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sz w:val="28"/>
          <w:szCs w:val="28"/>
        </w:rPr>
      </w:pPr>
    </w:p>
    <w:p>
      <w:pPr>
        <w:jc w:val="center"/>
        <w:rPr>
          <w:rFonts w:ascii="宋体"/>
          <w:sz w:val="72"/>
          <w:szCs w:val="72"/>
        </w:rPr>
      </w:pPr>
      <w:r>
        <w:rPr>
          <w:rFonts w:hint="eastAsia" w:ascii="宋体" w:hAnsi="宋体" w:cs="宋体"/>
          <w:sz w:val="72"/>
          <w:szCs w:val="72"/>
        </w:rPr>
        <w:t xml:space="preserve">         </w:t>
      </w:r>
    </w:p>
    <w:p>
      <w:pPr>
        <w:spacing w:line="360" w:lineRule="auto"/>
        <w:jc w:val="center"/>
        <w:textAlignment w:val="bottom"/>
        <w:rPr>
          <w:rFonts w:ascii="宋体"/>
          <w:b/>
          <w:bCs/>
          <w:kern w:val="0"/>
          <w:sz w:val="52"/>
          <w:szCs w:val="52"/>
        </w:rPr>
      </w:pPr>
      <w:r>
        <w:rPr>
          <w:rFonts w:hint="eastAsia" w:ascii="宋体" w:hAnsi="宋体" w:cs="宋体"/>
          <w:b/>
          <w:bCs/>
          <w:kern w:val="0"/>
          <w:sz w:val="52"/>
          <w:szCs w:val="52"/>
        </w:rPr>
        <w:t>政府采购电子招标文件</w:t>
      </w:r>
    </w:p>
    <w:p>
      <w:pPr>
        <w:spacing w:line="360" w:lineRule="auto"/>
        <w:rPr>
          <w:rFonts w:ascii="宋体" w:hAnsi="宋体" w:cs="宋体"/>
          <w:sz w:val="28"/>
          <w:szCs w:val="28"/>
        </w:rPr>
      </w:pPr>
    </w:p>
    <w:p>
      <w:pPr>
        <w:spacing w:line="360" w:lineRule="auto"/>
        <w:jc w:val="center"/>
        <w:textAlignment w:val="bottom"/>
        <w:rPr>
          <w:rFonts w:ascii="宋体" w:hAnsi="宋体" w:cs="宋体"/>
          <w:sz w:val="28"/>
          <w:szCs w:val="28"/>
        </w:rPr>
      </w:pPr>
    </w:p>
    <w:p>
      <w:pPr>
        <w:spacing w:line="360" w:lineRule="auto"/>
        <w:jc w:val="center"/>
        <w:textAlignment w:val="bottom"/>
        <w:rPr>
          <w:rFonts w:ascii="宋体"/>
          <w:sz w:val="28"/>
          <w:szCs w:val="28"/>
        </w:rPr>
      </w:pPr>
      <w:r>
        <w:rPr>
          <w:rFonts w:hint="eastAsia" w:ascii="宋体" w:hAnsi="宋体" w:cs="宋体"/>
          <w:sz w:val="28"/>
          <w:szCs w:val="28"/>
        </w:rPr>
        <w:t xml:space="preserve">项目编号：JC-GK2022-047 </w:t>
      </w:r>
    </w:p>
    <w:p>
      <w:pPr>
        <w:spacing w:line="360" w:lineRule="auto"/>
        <w:rPr>
          <w:rFonts w:ascii="宋体" w:hAnsi="宋体" w:cs="宋体"/>
          <w:sz w:val="28"/>
          <w:szCs w:val="28"/>
        </w:rPr>
      </w:pPr>
    </w:p>
    <w:p>
      <w:pPr>
        <w:tabs>
          <w:tab w:val="left" w:pos="3149"/>
        </w:tabs>
        <w:autoSpaceDE w:val="0"/>
        <w:autoSpaceDN w:val="0"/>
        <w:adjustRightInd w:val="0"/>
        <w:spacing w:line="360" w:lineRule="auto"/>
        <w:rPr>
          <w:rFonts w:ascii="宋体" w:hAnsi="宋体" w:cs="宋体"/>
          <w:kern w:val="0"/>
          <w:sz w:val="28"/>
          <w:szCs w:val="28"/>
        </w:rPr>
      </w:pPr>
      <w:r>
        <w:rPr>
          <w:rFonts w:ascii="宋体" w:hAnsi="宋体" w:cs="宋体"/>
          <w:kern w:val="0"/>
          <w:sz w:val="28"/>
          <w:szCs w:val="28"/>
        </w:rPr>
        <w:tab/>
      </w:r>
    </w:p>
    <w:p>
      <w:pPr>
        <w:autoSpaceDE w:val="0"/>
        <w:autoSpaceDN w:val="0"/>
        <w:adjustRightInd w:val="0"/>
        <w:spacing w:line="360" w:lineRule="auto"/>
        <w:jc w:val="center"/>
        <w:rPr>
          <w:rFonts w:ascii="宋体"/>
          <w:kern w:val="0"/>
          <w:sz w:val="28"/>
          <w:szCs w:val="28"/>
        </w:rPr>
      </w:pPr>
      <w:r>
        <w:rPr>
          <w:rFonts w:hint="eastAsia" w:ascii="宋体" w:hAnsi="宋体" w:cs="宋体"/>
          <w:kern w:val="0"/>
          <w:sz w:val="28"/>
          <w:szCs w:val="28"/>
        </w:rPr>
        <w:t>采购项目：黄岩区屿头未来乡村及低碳适用技术集成化应用项目</w:t>
      </w:r>
    </w:p>
    <w:p>
      <w:pPr>
        <w:autoSpaceDE w:val="0"/>
        <w:autoSpaceDN w:val="0"/>
        <w:adjustRightInd w:val="0"/>
        <w:spacing w:line="360" w:lineRule="auto"/>
        <w:ind w:firstLine="1400" w:firstLineChars="500"/>
        <w:jc w:val="center"/>
        <w:rPr>
          <w:rFonts w:ascii="宋体" w:hAnsi="宋体" w:cs="宋体"/>
          <w:kern w:val="0"/>
          <w:sz w:val="28"/>
          <w:szCs w:val="28"/>
        </w:rPr>
      </w:pPr>
    </w:p>
    <w:p>
      <w:pPr>
        <w:autoSpaceDE w:val="0"/>
        <w:autoSpaceDN w:val="0"/>
        <w:adjustRightInd w:val="0"/>
        <w:spacing w:line="360" w:lineRule="auto"/>
        <w:jc w:val="center"/>
        <w:rPr>
          <w:rFonts w:ascii="宋体"/>
          <w:kern w:val="0"/>
          <w:sz w:val="28"/>
          <w:szCs w:val="28"/>
        </w:rPr>
      </w:pPr>
      <w:r>
        <w:rPr>
          <w:rFonts w:hint="eastAsia" w:ascii="宋体" w:hAnsi="宋体" w:cs="宋体"/>
          <w:kern w:val="0"/>
          <w:sz w:val="28"/>
          <w:szCs w:val="28"/>
        </w:rPr>
        <w:t>采购单位：台州市黄岩区屿头乡人民政府</w:t>
      </w:r>
    </w:p>
    <w:p>
      <w:pPr>
        <w:spacing w:line="360" w:lineRule="auto"/>
        <w:rPr>
          <w:rFonts w:ascii="宋体" w:hAnsi="宋体" w:cs="宋体"/>
          <w:sz w:val="28"/>
          <w:szCs w:val="28"/>
        </w:rPr>
      </w:pPr>
    </w:p>
    <w:p>
      <w:pPr>
        <w:autoSpaceDE w:val="0"/>
        <w:autoSpaceDN w:val="0"/>
        <w:adjustRightInd w:val="0"/>
        <w:spacing w:line="360" w:lineRule="auto"/>
        <w:jc w:val="center"/>
        <w:rPr>
          <w:rFonts w:ascii="宋体"/>
          <w:kern w:val="0"/>
          <w:sz w:val="28"/>
          <w:szCs w:val="28"/>
        </w:rPr>
      </w:pPr>
      <w:r>
        <w:rPr>
          <w:rFonts w:hint="eastAsia" w:ascii="宋体" w:hAnsi="宋体" w:cs="宋体"/>
          <w:kern w:val="0"/>
          <w:sz w:val="28"/>
          <w:szCs w:val="28"/>
        </w:rPr>
        <w:t>采购代理机构：台州市玖诚工程管理有限公司</w:t>
      </w:r>
    </w:p>
    <w:p>
      <w:pPr>
        <w:autoSpaceDE w:val="0"/>
        <w:autoSpaceDN w:val="0"/>
        <w:adjustRightInd w:val="0"/>
        <w:spacing w:line="360" w:lineRule="auto"/>
        <w:jc w:val="center"/>
        <w:rPr>
          <w:rFonts w:ascii="宋体" w:hAnsi="宋体" w:cs="宋体"/>
          <w:kern w:val="0"/>
          <w:sz w:val="28"/>
          <w:szCs w:val="28"/>
        </w:rPr>
      </w:pPr>
    </w:p>
    <w:p>
      <w:pPr>
        <w:autoSpaceDE w:val="0"/>
        <w:autoSpaceDN w:val="0"/>
        <w:adjustRightInd w:val="0"/>
        <w:spacing w:line="360" w:lineRule="auto"/>
        <w:jc w:val="center"/>
        <w:rPr>
          <w:rFonts w:ascii="宋体" w:hAnsi="宋体" w:cs="宋体"/>
          <w:kern w:val="0"/>
          <w:sz w:val="28"/>
          <w:szCs w:val="28"/>
        </w:rPr>
      </w:pPr>
    </w:p>
    <w:p>
      <w:pPr>
        <w:autoSpaceDE w:val="0"/>
        <w:autoSpaceDN w:val="0"/>
        <w:adjustRightInd w:val="0"/>
        <w:spacing w:line="360" w:lineRule="auto"/>
        <w:jc w:val="center"/>
        <w:rPr>
          <w:rFonts w:ascii="宋体" w:hAnsi="宋体" w:cs="宋体"/>
          <w:sz w:val="28"/>
          <w:szCs w:val="28"/>
        </w:rPr>
      </w:pPr>
      <w:r>
        <w:rPr>
          <w:rFonts w:hint="eastAsia" w:ascii="宋体" w:hAnsi="宋体" w:cs="宋体"/>
          <w:kern w:val="0"/>
          <w:sz w:val="28"/>
          <w:szCs w:val="28"/>
        </w:rPr>
        <w:t>2022年</w:t>
      </w:r>
      <w:r>
        <w:rPr>
          <w:rFonts w:ascii="宋体" w:hAnsi="宋体" w:cs="宋体"/>
          <w:kern w:val="0"/>
          <w:sz w:val="28"/>
          <w:szCs w:val="28"/>
        </w:rPr>
        <w:t>9</w:t>
      </w:r>
      <w:r>
        <w:rPr>
          <w:rFonts w:hint="eastAsia" w:ascii="宋体" w:hAnsi="宋体" w:cs="宋体"/>
          <w:kern w:val="0"/>
          <w:sz w:val="28"/>
          <w:szCs w:val="28"/>
        </w:rPr>
        <w:t>月</w:t>
      </w:r>
    </w:p>
    <w:p>
      <w:pPr>
        <w:pStyle w:val="2"/>
      </w:pPr>
    </w:p>
    <w:p>
      <w:pPr>
        <w:jc w:val="center"/>
        <w:rPr>
          <w:rFonts w:ascii="宋体" w:hAnsi="宋体" w:cs="宋体"/>
          <w:b/>
          <w:bCs/>
          <w:sz w:val="36"/>
          <w:szCs w:val="36"/>
        </w:rPr>
        <w:sectPr>
          <w:headerReference r:id="rId4" w:type="default"/>
          <w:pgSz w:w="11906" w:h="16838"/>
          <w:pgMar w:top="1440" w:right="1417" w:bottom="1440" w:left="1797" w:header="1417" w:footer="992" w:gutter="0"/>
          <w:pgNumType w:start="1"/>
          <w:cols w:space="0" w:num="1"/>
          <w:docGrid w:type="lines" w:linePitch="335" w:charSpace="0"/>
        </w:sectPr>
      </w:pPr>
    </w:p>
    <w:p>
      <w:pPr>
        <w:jc w:val="center"/>
        <w:rPr>
          <w:rFonts w:ascii="宋体"/>
          <w:b/>
          <w:bCs/>
          <w:sz w:val="36"/>
          <w:szCs w:val="36"/>
        </w:rPr>
      </w:pPr>
      <w:r>
        <w:rPr>
          <w:rFonts w:hint="eastAsia" w:ascii="宋体" w:hAnsi="宋体" w:cs="宋体"/>
          <w:b/>
          <w:bCs/>
          <w:sz w:val="36"/>
          <w:szCs w:val="36"/>
        </w:rPr>
        <w:t>目  录</w:t>
      </w:r>
    </w:p>
    <w:p>
      <w:pPr>
        <w:spacing w:line="360" w:lineRule="auto"/>
        <w:rPr>
          <w:rFonts w:ascii="宋体" w:hAnsi="宋体" w:cs="宋体"/>
          <w:sz w:val="24"/>
          <w:szCs w:val="24"/>
        </w:rPr>
      </w:pPr>
    </w:p>
    <w:p>
      <w:pPr>
        <w:spacing w:line="360" w:lineRule="auto"/>
        <w:rPr>
          <w:rFonts w:ascii="宋体"/>
          <w:b/>
          <w:bCs/>
          <w:sz w:val="32"/>
          <w:szCs w:val="32"/>
        </w:rPr>
      </w:pPr>
      <w:r>
        <w:rPr>
          <w:rFonts w:hint="eastAsia" w:ascii="宋体" w:hAnsi="宋体" w:cs="宋体"/>
          <w:b/>
          <w:bCs/>
          <w:sz w:val="32"/>
          <w:szCs w:val="32"/>
        </w:rPr>
        <w:t>第一章 公开招标采购公告</w:t>
      </w:r>
    </w:p>
    <w:p>
      <w:pPr>
        <w:spacing w:line="360" w:lineRule="auto"/>
        <w:rPr>
          <w:rFonts w:ascii="宋体"/>
          <w:b/>
          <w:bCs/>
          <w:sz w:val="32"/>
          <w:szCs w:val="32"/>
        </w:rPr>
      </w:pPr>
      <w:r>
        <w:rPr>
          <w:rFonts w:hint="eastAsia" w:ascii="宋体" w:hAnsi="宋体" w:cs="宋体"/>
          <w:b/>
          <w:bCs/>
          <w:sz w:val="32"/>
          <w:szCs w:val="32"/>
        </w:rPr>
        <w:t>第二章 投标人须知</w:t>
      </w:r>
    </w:p>
    <w:p>
      <w:pPr>
        <w:spacing w:line="360" w:lineRule="auto"/>
        <w:rPr>
          <w:rFonts w:ascii="宋体"/>
          <w:b/>
          <w:bCs/>
          <w:sz w:val="32"/>
          <w:szCs w:val="32"/>
        </w:rPr>
      </w:pPr>
      <w:r>
        <w:rPr>
          <w:rFonts w:hint="eastAsia" w:ascii="宋体" w:hAnsi="宋体" w:cs="宋体"/>
          <w:b/>
          <w:bCs/>
          <w:sz w:val="32"/>
          <w:szCs w:val="32"/>
        </w:rPr>
        <w:t>第三章 评标办法及评分标准</w:t>
      </w:r>
    </w:p>
    <w:p>
      <w:pPr>
        <w:spacing w:line="360" w:lineRule="auto"/>
        <w:rPr>
          <w:rFonts w:ascii="宋体"/>
          <w:b/>
          <w:bCs/>
          <w:sz w:val="32"/>
          <w:szCs w:val="32"/>
        </w:rPr>
      </w:pPr>
      <w:r>
        <w:rPr>
          <w:rFonts w:hint="eastAsia" w:ascii="宋体" w:hAnsi="宋体" w:cs="宋体"/>
          <w:b/>
          <w:bCs/>
          <w:sz w:val="32"/>
          <w:szCs w:val="32"/>
        </w:rPr>
        <w:t>第四章 公开招标需求</w:t>
      </w:r>
    </w:p>
    <w:p>
      <w:pPr>
        <w:spacing w:line="360" w:lineRule="auto"/>
        <w:rPr>
          <w:rFonts w:ascii="宋体"/>
          <w:b/>
          <w:bCs/>
          <w:sz w:val="32"/>
          <w:szCs w:val="32"/>
        </w:rPr>
      </w:pPr>
      <w:r>
        <w:rPr>
          <w:rFonts w:hint="eastAsia" w:ascii="宋体" w:hAnsi="宋体" w:cs="宋体"/>
          <w:b/>
          <w:bCs/>
          <w:sz w:val="32"/>
          <w:szCs w:val="32"/>
        </w:rPr>
        <w:t>第五章 政府采购合同主要条款指引</w:t>
      </w:r>
    </w:p>
    <w:p>
      <w:pPr>
        <w:spacing w:line="360" w:lineRule="auto"/>
        <w:rPr>
          <w:rFonts w:ascii="宋体"/>
          <w:b/>
          <w:bCs/>
          <w:sz w:val="32"/>
          <w:szCs w:val="32"/>
        </w:rPr>
      </w:pPr>
      <w:r>
        <w:rPr>
          <w:rFonts w:hint="eastAsia" w:ascii="宋体" w:hAnsi="宋体" w:cs="宋体"/>
          <w:b/>
          <w:bCs/>
          <w:sz w:val="32"/>
          <w:szCs w:val="32"/>
        </w:rPr>
        <w:t>第六章 投标文件格式附件</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pStyle w:val="2"/>
      </w:pPr>
    </w:p>
    <w:p>
      <w:pPr>
        <w:pStyle w:val="92"/>
        <w:rPr>
          <w:color w:val="auto"/>
        </w:rPr>
      </w:pPr>
    </w:p>
    <w:p>
      <w:pPr>
        <w:pStyle w:val="92"/>
        <w:rPr>
          <w:color w:val="auto"/>
        </w:rPr>
      </w:pPr>
    </w:p>
    <w:p>
      <w:pPr>
        <w:numPr>
          <w:ilvl w:val="0"/>
          <w:numId w:val="5"/>
        </w:numPr>
        <w:spacing w:line="360" w:lineRule="auto"/>
        <w:jc w:val="center"/>
        <w:rPr>
          <w:rFonts w:ascii="宋体" w:hAnsi="宋体" w:cs="宋体"/>
          <w:b/>
          <w:bCs/>
          <w:sz w:val="36"/>
          <w:szCs w:val="36"/>
        </w:rPr>
      </w:pPr>
      <w:r>
        <w:rPr>
          <w:rFonts w:hint="eastAsia" w:ascii="宋体" w:hAnsi="宋体" w:cs="宋体"/>
          <w:b/>
          <w:bCs/>
          <w:sz w:val="36"/>
          <w:szCs w:val="36"/>
        </w:rPr>
        <w:t>公开招标采购公告</w:t>
      </w:r>
    </w:p>
    <w:p>
      <w:pPr>
        <w:spacing w:line="450" w:lineRule="exact"/>
        <w:rPr>
          <w:rStyle w:val="30"/>
          <w:rFonts w:ascii="宋体" w:hAnsi="宋体" w:cs="宋体"/>
          <w:sz w:val="24"/>
          <w:szCs w:val="24"/>
        </w:rPr>
      </w:pPr>
      <w:r>
        <w:rPr>
          <w:sz w:val="24"/>
          <w:szCs w:val="24"/>
        </w:rPr>
        <mc:AlternateContent>
          <mc:Choice Requires="wps">
            <w:drawing>
              <wp:anchor distT="0" distB="0" distL="0" distR="0" simplePos="0" relativeHeight="251659264" behindDoc="0" locked="0" layoutInCell="1" allowOverlap="1">
                <wp:simplePos x="0" y="0"/>
                <wp:positionH relativeFrom="column">
                  <wp:posOffset>7620</wp:posOffset>
                </wp:positionH>
                <wp:positionV relativeFrom="paragraph">
                  <wp:posOffset>107950</wp:posOffset>
                </wp:positionV>
                <wp:extent cx="5833745" cy="1572260"/>
                <wp:effectExtent l="7620" t="7620" r="10795" b="20320"/>
                <wp:wrapTopAndBottom/>
                <wp:docPr id="1026" name="文本框 9"/>
                <wp:cNvGraphicFramePr/>
                <a:graphic xmlns:a="http://schemas.openxmlformats.org/drawingml/2006/main">
                  <a:graphicData uri="http://schemas.microsoft.com/office/word/2010/wordprocessingShape">
                    <wps:wsp>
                      <wps:cNvSpPr/>
                      <wps:spPr>
                        <a:xfrm>
                          <a:off x="0" y="0"/>
                          <a:ext cx="5833745" cy="1572259"/>
                        </a:xfrm>
                        <a:prstGeom prst="rect">
                          <a:avLst/>
                        </a:prstGeom>
                        <a:gradFill flip="none" rotWithShape="0">
                          <a:gsLst>
                            <a:gs pos="0">
                              <a:srgbClr val="FFFFFF"/>
                            </a:gs>
                            <a:gs pos="100000">
                              <a:srgbClr val="FFFFFF"/>
                            </a:gs>
                          </a:gsLst>
                          <a:lin ang="0" scaled="0"/>
                        </a:gradFill>
                        <a:ln w="15875" cap="flat" cmpd="sng">
                          <a:solidFill>
                            <a:srgbClr val="000000"/>
                          </a:solidFill>
                          <a:prstDash val="solid"/>
                          <a:miter/>
                          <a:headEnd type="none" w="med" len="med"/>
                          <a:tailEnd type="none" w="med" len="med"/>
                        </a:ln>
                      </wps:spPr>
                      <wps:txbx>
                        <w:txbxContent>
                          <w:p>
                            <w:pPr>
                              <w:pStyle w:val="24"/>
                              <w:spacing w:line="440" w:lineRule="exact"/>
                              <w:rPr>
                                <w:kern w:val="2"/>
                              </w:rPr>
                            </w:pPr>
                            <w:r>
                              <w:rPr>
                                <w:rFonts w:hint="eastAsia"/>
                                <w:kern w:val="2"/>
                              </w:rPr>
                              <w:t>项目概况</w:t>
                            </w:r>
                          </w:p>
                          <w:p>
                            <w:pPr>
                              <w:pStyle w:val="24"/>
                              <w:spacing w:line="440" w:lineRule="exact"/>
                            </w:pPr>
                            <w:r>
                              <w:rPr>
                                <w:rFonts w:hint="eastAsia"/>
                                <w:color w:val="000000"/>
                              </w:rPr>
                              <w:t>黄岩区屿头未来乡村及低碳适用技术集成化应用项目</w:t>
                            </w:r>
                            <w:r>
                              <w:rPr>
                                <w:rFonts w:hint="eastAsia"/>
                              </w:rPr>
                              <w:t>的潜在投标人应在政采云平台（http：//zfcg.czt.zj.gov.cn）获取（下载）招标文件，并于</w:t>
                            </w:r>
                            <w:r>
                              <w:rPr>
                                <w:rFonts w:hint="eastAsia"/>
                                <w:color w:val="FF0000"/>
                              </w:rPr>
                              <w:t>2022年</w:t>
                            </w:r>
                            <w:r>
                              <w:rPr>
                                <w:rFonts w:hint="eastAsia"/>
                                <w:color w:val="FF0000"/>
                                <w:lang w:val="en-US" w:eastAsia="zh-CN"/>
                              </w:rPr>
                              <w:t>10</w:t>
                            </w:r>
                            <w:r>
                              <w:rPr>
                                <w:rFonts w:hint="eastAsia"/>
                                <w:color w:val="FF0000"/>
                              </w:rPr>
                              <w:t>月</w:t>
                            </w:r>
                            <w:r>
                              <w:rPr>
                                <w:rFonts w:hint="eastAsia"/>
                                <w:color w:val="FF0000"/>
                                <w:lang w:val="en-US" w:eastAsia="zh-CN"/>
                              </w:rPr>
                              <w:t>20</w:t>
                            </w:r>
                            <w:r>
                              <w:rPr>
                                <w:rFonts w:hint="eastAsia"/>
                                <w:color w:val="FF0000"/>
                              </w:rPr>
                              <w:t>日</w:t>
                            </w:r>
                            <w:r>
                              <w:rPr>
                                <w:rFonts w:hint="eastAsia"/>
                              </w:rPr>
                              <w:t xml:space="preserve">  </w:t>
                            </w:r>
                            <w:r>
                              <w:rPr>
                                <w:rFonts w:hint="eastAsia"/>
                                <w:lang w:val="en-US" w:eastAsia="zh-CN"/>
                              </w:rPr>
                              <w:t>9</w:t>
                            </w:r>
                            <w:r>
                              <w:rPr>
                                <w:rFonts w:hint="eastAsia"/>
                              </w:rPr>
                              <w:t>：</w:t>
                            </w:r>
                            <w:r>
                              <w:t>30</w:t>
                            </w:r>
                            <w:r>
                              <w:rPr>
                                <w:rFonts w:hint="eastAsia"/>
                              </w:rPr>
                              <w:t>（北</w:t>
                            </w:r>
                            <w:r>
                              <w:rPr>
                                <w:rFonts w:hint="eastAsia"/>
                                <w:color w:val="000000"/>
                              </w:rPr>
                              <w:t>京时间）前递交（上传）投标文件。   </w:t>
                            </w:r>
                          </w:p>
                        </w:txbxContent>
                      </wps:txbx>
                      <wps:bodyPr/>
                    </wps:wsp>
                  </a:graphicData>
                </a:graphic>
              </wp:anchor>
            </w:drawing>
          </mc:Choice>
          <mc:Fallback>
            <w:pict>
              <v:rect id="文本框 9" o:spid="_x0000_s1026" o:spt="1" style="position:absolute;left:0pt;margin-left:0.6pt;margin-top:8.5pt;height:123.8pt;width:459.35pt;mso-wrap-distance-bottom:0pt;mso-wrap-distance-top:0pt;z-index:251659264;mso-width-relative:page;mso-height-relative:page;" fillcolor="#FFFFFF" filled="t" stroked="t" coordsize="21600,21600" o:gfxdata="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oNkKtYAAAAIAQAADwAAAAAAAAABACAAAAAiAAAAZHJz&#10;L2Rvd25yZXYueG1sUEsBAhQAFAAAAAgAh07iQO1pVdI/AgAAtgQAAA4AAAAAAAAAAQAgAAAAJQEA&#10;AGRycy9lMm9Eb2MueG1sUEsFBgAAAAAGAAYAWQEAANYFAAAAAA==&#10;">
                <v:fill type="gradient" on="t" color2="#FFFFFF" angle="90" focus="100%" focussize="0,0">
                  <o:fill type="gradientUnscaled" v:ext="backwardCompatible"/>
                </v:fill>
                <v:stroke weight="1.25pt" color="#000000" joinstyle="miter"/>
                <v:imagedata o:title=""/>
                <o:lock v:ext="edit" aspectratio="f"/>
                <v:textbox>
                  <w:txbxContent>
                    <w:p>
                      <w:pPr>
                        <w:pStyle w:val="24"/>
                        <w:spacing w:line="440" w:lineRule="exact"/>
                        <w:rPr>
                          <w:kern w:val="2"/>
                        </w:rPr>
                      </w:pPr>
                      <w:r>
                        <w:rPr>
                          <w:rFonts w:hint="eastAsia"/>
                          <w:kern w:val="2"/>
                        </w:rPr>
                        <w:t>项目概况</w:t>
                      </w:r>
                    </w:p>
                    <w:p>
                      <w:pPr>
                        <w:pStyle w:val="24"/>
                        <w:spacing w:line="440" w:lineRule="exact"/>
                      </w:pPr>
                      <w:r>
                        <w:rPr>
                          <w:rFonts w:hint="eastAsia"/>
                          <w:color w:val="000000"/>
                        </w:rPr>
                        <w:t>黄岩区屿头未来乡村及低碳适用技术集成化应用项目</w:t>
                      </w:r>
                      <w:r>
                        <w:rPr>
                          <w:rFonts w:hint="eastAsia"/>
                        </w:rPr>
                        <w:t>的潜在投标人应在政采云平台（http：//zfcg.czt.zj.gov.cn）获取（下载）招标文件，并于</w:t>
                      </w:r>
                      <w:r>
                        <w:rPr>
                          <w:rFonts w:hint="eastAsia"/>
                          <w:color w:val="FF0000"/>
                        </w:rPr>
                        <w:t>2022年</w:t>
                      </w:r>
                      <w:r>
                        <w:rPr>
                          <w:rFonts w:hint="eastAsia"/>
                          <w:color w:val="FF0000"/>
                          <w:lang w:val="en-US" w:eastAsia="zh-CN"/>
                        </w:rPr>
                        <w:t>10</w:t>
                      </w:r>
                      <w:r>
                        <w:rPr>
                          <w:rFonts w:hint="eastAsia"/>
                          <w:color w:val="FF0000"/>
                        </w:rPr>
                        <w:t>月</w:t>
                      </w:r>
                      <w:r>
                        <w:rPr>
                          <w:rFonts w:hint="eastAsia"/>
                          <w:color w:val="FF0000"/>
                          <w:lang w:val="en-US" w:eastAsia="zh-CN"/>
                        </w:rPr>
                        <w:t>20</w:t>
                      </w:r>
                      <w:r>
                        <w:rPr>
                          <w:rFonts w:hint="eastAsia"/>
                          <w:color w:val="FF0000"/>
                        </w:rPr>
                        <w:t>日</w:t>
                      </w:r>
                      <w:r>
                        <w:rPr>
                          <w:rFonts w:hint="eastAsia"/>
                        </w:rPr>
                        <w:t xml:space="preserve">  </w:t>
                      </w:r>
                      <w:r>
                        <w:rPr>
                          <w:rFonts w:hint="eastAsia"/>
                          <w:lang w:val="en-US" w:eastAsia="zh-CN"/>
                        </w:rPr>
                        <w:t>9</w:t>
                      </w:r>
                      <w:r>
                        <w:rPr>
                          <w:rFonts w:hint="eastAsia"/>
                        </w:rPr>
                        <w:t>：</w:t>
                      </w:r>
                      <w:r>
                        <w:t>30</w:t>
                      </w:r>
                      <w:r>
                        <w:rPr>
                          <w:rFonts w:hint="eastAsia"/>
                        </w:rPr>
                        <w:t>（北</w:t>
                      </w:r>
                      <w:r>
                        <w:rPr>
                          <w:rFonts w:hint="eastAsia"/>
                          <w:color w:val="000000"/>
                        </w:rPr>
                        <w:t>京时间）前递交（上传）投标文件。   </w:t>
                      </w:r>
                    </w:p>
                  </w:txbxContent>
                </v:textbox>
                <w10:wrap type="topAndBottom"/>
              </v:rect>
            </w:pict>
          </mc:Fallback>
        </mc:AlternateContent>
      </w:r>
      <w:r>
        <w:rPr>
          <w:rStyle w:val="30"/>
          <w:rFonts w:hint="eastAsia" w:ascii="宋体" w:hAnsi="宋体" w:cs="宋体"/>
          <w:sz w:val="24"/>
          <w:szCs w:val="24"/>
        </w:rPr>
        <w:t>一、项目基本情况</w:t>
      </w:r>
    </w:p>
    <w:p>
      <w:pPr>
        <w:pStyle w:val="24"/>
        <w:spacing w:line="450" w:lineRule="exact"/>
        <w:ind w:firstLine="480" w:firstLineChars="200"/>
      </w:pPr>
      <w:r>
        <w:rPr>
          <w:rFonts w:hint="eastAsia"/>
        </w:rPr>
        <w:t xml:space="preserve">项目编号：JC-GK2022-047 </w:t>
      </w:r>
    </w:p>
    <w:p>
      <w:pPr>
        <w:pStyle w:val="24"/>
        <w:spacing w:line="450" w:lineRule="exact"/>
        <w:ind w:firstLine="480" w:firstLineChars="200"/>
      </w:pPr>
      <w:r>
        <w:rPr>
          <w:rFonts w:hint="eastAsia"/>
        </w:rPr>
        <w:t>项目名称：黄岩区屿头未来乡村及低碳适用技术集成化应用项目</w:t>
      </w:r>
    </w:p>
    <w:p>
      <w:pPr>
        <w:pStyle w:val="24"/>
        <w:spacing w:line="450" w:lineRule="exact"/>
        <w:ind w:firstLine="480" w:firstLineChars="200"/>
      </w:pPr>
      <w:r>
        <w:rPr>
          <w:rFonts w:hint="eastAsia"/>
        </w:rPr>
        <w:t>预算金额（元）：5650100  </w:t>
      </w:r>
    </w:p>
    <w:p>
      <w:pPr>
        <w:pStyle w:val="24"/>
        <w:spacing w:line="450" w:lineRule="exact"/>
        <w:ind w:firstLine="480" w:firstLineChars="200"/>
      </w:pPr>
      <w:r>
        <w:rPr>
          <w:rFonts w:hint="eastAsia"/>
        </w:rPr>
        <w:t>最高限价（元）：5650100 </w:t>
      </w:r>
    </w:p>
    <w:p>
      <w:pPr>
        <w:pStyle w:val="24"/>
        <w:spacing w:line="450" w:lineRule="exact"/>
        <w:ind w:firstLine="480" w:firstLineChars="200"/>
      </w:pPr>
      <w:r>
        <w:rPr>
          <w:rFonts w:hint="eastAsia"/>
        </w:rPr>
        <w:t>采购需求：详见</w:t>
      </w:r>
      <w:r>
        <w:t>第</w:t>
      </w:r>
      <w:r>
        <w:rPr>
          <w:rFonts w:hint="eastAsia"/>
        </w:rPr>
        <w:t>四</w:t>
      </w:r>
      <w:r>
        <w:t>章</w:t>
      </w:r>
      <w:r>
        <w:rPr>
          <w:rFonts w:hint="eastAsia"/>
        </w:rPr>
        <w:t>公开</w:t>
      </w:r>
      <w:r>
        <w:t>招标</w:t>
      </w:r>
      <w:r>
        <w:rPr>
          <w:rFonts w:hint="eastAsia"/>
        </w:rPr>
        <w:t>需求</w:t>
      </w:r>
    </w:p>
    <w:p>
      <w:pPr>
        <w:pStyle w:val="24"/>
        <w:spacing w:line="450" w:lineRule="exact"/>
        <w:ind w:firstLine="480" w:firstLineChars="200"/>
      </w:pPr>
      <w:r>
        <w:rPr>
          <w:rFonts w:hint="eastAsia"/>
        </w:rPr>
        <w:t>标项名称: 黄岩区屿头未来乡村及低碳适用技术集成化应用项目</w:t>
      </w:r>
    </w:p>
    <w:p>
      <w:pPr>
        <w:pStyle w:val="24"/>
        <w:spacing w:line="450" w:lineRule="exact"/>
        <w:ind w:firstLine="480" w:firstLineChars="200"/>
      </w:pPr>
      <w:r>
        <w:rPr>
          <w:rFonts w:hint="eastAsia"/>
        </w:rPr>
        <w:t>数量: 1项</w:t>
      </w:r>
    </w:p>
    <w:p>
      <w:pPr>
        <w:pStyle w:val="24"/>
        <w:spacing w:line="450" w:lineRule="exact"/>
        <w:ind w:firstLine="480" w:firstLineChars="200"/>
      </w:pPr>
      <w:r>
        <w:rPr>
          <w:rFonts w:hint="eastAsia"/>
        </w:rPr>
        <w:t>预算金额（元）: 5650100</w:t>
      </w:r>
    </w:p>
    <w:p>
      <w:pPr>
        <w:pStyle w:val="24"/>
        <w:spacing w:line="450" w:lineRule="exact"/>
        <w:ind w:firstLine="480" w:firstLineChars="200"/>
      </w:pPr>
      <w:r>
        <w:rPr>
          <w:rFonts w:hint="eastAsia"/>
        </w:rPr>
        <w:t>简要规格描述或项目基本概况介绍、用途：具体详见招标需求</w:t>
      </w:r>
    </w:p>
    <w:p>
      <w:pPr>
        <w:pStyle w:val="24"/>
        <w:spacing w:line="450" w:lineRule="exact"/>
        <w:ind w:firstLine="480" w:firstLineChars="200"/>
      </w:pPr>
      <w:r>
        <w:rPr>
          <w:rFonts w:hint="eastAsia"/>
        </w:rPr>
        <w:t>本项目（否）接受联合体投标。</w:t>
      </w:r>
    </w:p>
    <w:p>
      <w:pPr>
        <w:pStyle w:val="24"/>
        <w:spacing w:before="180" w:beforeAutospacing="0" w:after="180" w:afterAutospacing="0" w:line="450" w:lineRule="exact"/>
      </w:pPr>
      <w:r>
        <w:rPr>
          <w:rStyle w:val="30"/>
          <w:rFonts w:hint="eastAsia" w:ascii="宋体" w:hAnsi="宋体" w:cs="宋体"/>
        </w:rPr>
        <w:t>二、申请人的资格要求：</w:t>
      </w:r>
    </w:p>
    <w:p>
      <w:pPr>
        <w:pStyle w:val="24"/>
        <w:spacing w:line="450" w:lineRule="exact"/>
        <w:ind w:firstLine="480" w:firstLineChars="20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4"/>
        <w:spacing w:before="204" w:beforeAutospacing="0" w:after="204" w:afterAutospacing="0" w:line="450" w:lineRule="exact"/>
        <w:ind w:firstLine="480" w:firstLineChars="200"/>
        <w:jc w:val="both"/>
      </w:pPr>
      <w:r>
        <w:rPr>
          <w:rFonts w:hint="eastAsia"/>
        </w:rPr>
        <w:t>2.落实政府采购政策需满足的资格要求：无。</w:t>
      </w:r>
    </w:p>
    <w:p>
      <w:pPr>
        <w:pStyle w:val="24"/>
        <w:spacing w:before="204" w:beforeAutospacing="0" w:after="204" w:afterAutospacing="0" w:line="450" w:lineRule="exact"/>
        <w:ind w:firstLine="480" w:firstLineChars="200"/>
        <w:jc w:val="both"/>
      </w:pPr>
      <w:r>
        <w:rPr>
          <w:rFonts w:hint="eastAsia"/>
        </w:rPr>
        <w:t>3.本项目的特定资格要求：无。</w:t>
      </w:r>
    </w:p>
    <w:p>
      <w:pPr>
        <w:pStyle w:val="24"/>
        <w:spacing w:before="204" w:beforeAutospacing="0" w:after="204" w:afterAutospacing="0" w:line="450" w:lineRule="exact"/>
        <w:jc w:val="both"/>
      </w:pPr>
      <w:r>
        <w:rPr>
          <w:rStyle w:val="30"/>
          <w:rFonts w:hint="eastAsia" w:ascii="宋体" w:hAnsi="宋体" w:cs="宋体"/>
        </w:rPr>
        <w:t>三、获取招标文件</w:t>
      </w:r>
      <w:r>
        <w:rPr>
          <w:rFonts w:hint="eastAsia"/>
        </w:rPr>
        <w:t> </w:t>
      </w:r>
    </w:p>
    <w:p>
      <w:pPr>
        <w:pStyle w:val="24"/>
        <w:spacing w:line="450" w:lineRule="exact"/>
        <w:ind w:firstLine="480" w:firstLineChars="200"/>
      </w:pPr>
      <w:r>
        <w:rPr>
          <w:rFonts w:hint="eastAsia"/>
        </w:rPr>
        <w:t>时间：/至</w:t>
      </w:r>
      <w:r>
        <w:rPr>
          <w:rFonts w:hint="eastAsia"/>
          <w:color w:val="FF0000"/>
        </w:rPr>
        <w:t xml:space="preserve">2022年 </w:t>
      </w:r>
      <w:r>
        <w:rPr>
          <w:rFonts w:hint="eastAsia"/>
          <w:color w:val="FF0000"/>
          <w:lang w:val="en-US" w:eastAsia="zh-CN"/>
        </w:rPr>
        <w:t>10</w:t>
      </w:r>
      <w:r>
        <w:rPr>
          <w:rFonts w:hint="eastAsia"/>
          <w:color w:val="FF0000"/>
        </w:rPr>
        <w:t>月</w:t>
      </w:r>
      <w:r>
        <w:rPr>
          <w:rFonts w:hint="eastAsia"/>
          <w:color w:val="FF0000"/>
          <w:lang w:val="en-US" w:eastAsia="zh-CN"/>
        </w:rPr>
        <w:t>20</w:t>
      </w:r>
      <w:r>
        <w:rPr>
          <w:rFonts w:hint="eastAsia"/>
          <w:color w:val="FF0000"/>
        </w:rPr>
        <w:t>日</w:t>
      </w:r>
      <w:r>
        <w:rPr>
          <w:rFonts w:hint="eastAsia"/>
        </w:rPr>
        <w:t> ，每天上午00:00至12:00，下午12:00至23:59（北京时间，线上获取法定节假日均可，线下获取文件法定节假日除外）</w:t>
      </w:r>
    </w:p>
    <w:p>
      <w:pPr>
        <w:pStyle w:val="24"/>
        <w:spacing w:line="450" w:lineRule="exact"/>
        <w:ind w:firstLine="480" w:firstLineChars="200"/>
      </w:pPr>
      <w:r>
        <w:rPr>
          <w:rFonts w:hint="eastAsia"/>
        </w:rPr>
        <w:t>地点（网址）：政采云平台（http：//zfcg.czt.zj.gov.cn） </w:t>
      </w:r>
    </w:p>
    <w:p>
      <w:pPr>
        <w:pStyle w:val="24"/>
        <w:spacing w:line="450" w:lineRule="exact"/>
        <w:ind w:firstLine="480" w:firstLineChars="200"/>
      </w:pPr>
      <w:r>
        <w:rPr>
          <w:rFonts w:hint="eastAsia"/>
        </w:rPr>
        <w:t>方式：供应商登录政采云平台https://www.zcygov.cn/在线申请获取采购文件（进入“项目采购”应用，在获取采购文件菜单中选择项目，申请获取采购文件） </w:t>
      </w:r>
    </w:p>
    <w:p>
      <w:pPr>
        <w:pStyle w:val="24"/>
        <w:spacing w:line="450" w:lineRule="exact"/>
        <w:ind w:firstLine="480" w:firstLineChars="200"/>
      </w:pPr>
      <w:r>
        <w:rPr>
          <w:rFonts w:hint="eastAsia"/>
        </w:rPr>
        <w:t>售价（元）：0 </w:t>
      </w:r>
    </w:p>
    <w:p>
      <w:pPr>
        <w:pStyle w:val="24"/>
        <w:numPr>
          <w:ilvl w:val="0"/>
          <w:numId w:val="6"/>
        </w:numPr>
        <w:spacing w:before="204" w:beforeAutospacing="0" w:after="204" w:afterAutospacing="0" w:line="450" w:lineRule="exact"/>
        <w:jc w:val="both"/>
        <w:rPr>
          <w:rStyle w:val="30"/>
          <w:rFonts w:ascii="宋体" w:hAnsi="宋体" w:cs="宋体"/>
        </w:rPr>
      </w:pPr>
      <w:r>
        <w:rPr>
          <w:rStyle w:val="30"/>
          <w:rFonts w:hint="eastAsia" w:ascii="宋体" w:hAnsi="宋体" w:cs="宋体"/>
        </w:rPr>
        <w:t>提交投标文件截止时间、开标时间和地点</w:t>
      </w:r>
    </w:p>
    <w:p>
      <w:pPr>
        <w:pStyle w:val="24"/>
        <w:spacing w:before="204" w:beforeAutospacing="0" w:after="204" w:afterAutospacing="0" w:line="450" w:lineRule="exact"/>
        <w:ind w:firstLine="480" w:firstLineChars="200"/>
        <w:jc w:val="both"/>
      </w:pPr>
      <w:r>
        <w:rPr>
          <w:rFonts w:hint="eastAsia"/>
        </w:rPr>
        <w:t>提交投标文件截止时间：</w:t>
      </w:r>
      <w:r>
        <w:rPr>
          <w:rFonts w:hint="eastAsia"/>
          <w:color w:val="FF0000"/>
        </w:rPr>
        <w:t>2022年</w:t>
      </w:r>
      <w:r>
        <w:rPr>
          <w:rFonts w:hint="eastAsia"/>
          <w:color w:val="FF0000"/>
          <w:lang w:val="en-US" w:eastAsia="zh-CN"/>
        </w:rPr>
        <w:t>10</w:t>
      </w:r>
      <w:r>
        <w:rPr>
          <w:rFonts w:hint="eastAsia"/>
          <w:color w:val="FF0000"/>
        </w:rPr>
        <w:t>月</w:t>
      </w:r>
      <w:r>
        <w:rPr>
          <w:rFonts w:hint="eastAsia"/>
          <w:color w:val="FF0000"/>
          <w:lang w:val="en-US" w:eastAsia="zh-CN"/>
        </w:rPr>
        <w:t>20</w:t>
      </w:r>
      <w:r>
        <w:rPr>
          <w:rFonts w:hint="eastAsia"/>
          <w:color w:val="FF0000"/>
        </w:rPr>
        <w:t xml:space="preserve"> 日</w:t>
      </w:r>
      <w:r>
        <w:rPr>
          <w:rFonts w:hint="eastAsia"/>
        </w:rPr>
        <w:t xml:space="preserve">  </w:t>
      </w:r>
      <w:r>
        <w:rPr>
          <w:rFonts w:hint="eastAsia"/>
          <w:lang w:val="en-US" w:eastAsia="zh-CN"/>
        </w:rPr>
        <w:t>9</w:t>
      </w:r>
      <w:r>
        <w:rPr>
          <w:rFonts w:hint="eastAsia"/>
        </w:rPr>
        <w:t>：30（北京时间）</w:t>
      </w:r>
    </w:p>
    <w:p>
      <w:pPr>
        <w:pStyle w:val="24"/>
        <w:spacing w:before="204" w:beforeAutospacing="0" w:after="204" w:afterAutospacing="0" w:line="450" w:lineRule="exact"/>
        <w:ind w:firstLine="480" w:firstLineChars="200"/>
        <w:jc w:val="both"/>
      </w:pPr>
      <w:r>
        <w:rPr>
          <w:rFonts w:hint="eastAsia"/>
        </w:rPr>
        <w:t>投标地点（网址）：电子加密投标文件上传至：政府采购云平台（www.zcygov.cn)</w:t>
      </w:r>
    </w:p>
    <w:p>
      <w:pPr>
        <w:pStyle w:val="24"/>
        <w:spacing w:before="204" w:beforeAutospacing="0" w:after="204" w:afterAutospacing="0" w:line="450" w:lineRule="exact"/>
        <w:ind w:firstLine="480" w:firstLineChars="200"/>
        <w:jc w:val="both"/>
      </w:pPr>
      <w:r>
        <w:rPr>
          <w:rFonts w:hint="eastAsia"/>
        </w:rPr>
        <w:t>开标时间：</w:t>
      </w:r>
      <w:r>
        <w:rPr>
          <w:rFonts w:hint="eastAsia"/>
          <w:color w:val="FF0000"/>
        </w:rPr>
        <w:t>2022年</w:t>
      </w:r>
      <w:r>
        <w:rPr>
          <w:rFonts w:hint="eastAsia"/>
          <w:color w:val="FF0000"/>
          <w:lang w:val="en-US" w:eastAsia="zh-CN"/>
        </w:rPr>
        <w:t>10</w:t>
      </w:r>
      <w:r>
        <w:rPr>
          <w:rFonts w:hint="eastAsia"/>
          <w:color w:val="FF0000"/>
        </w:rPr>
        <w:t>月</w:t>
      </w:r>
      <w:r>
        <w:rPr>
          <w:rFonts w:hint="eastAsia"/>
          <w:color w:val="FF0000"/>
          <w:lang w:val="en-US" w:eastAsia="zh-CN"/>
        </w:rPr>
        <w:t>20</w:t>
      </w:r>
      <w:r>
        <w:rPr>
          <w:rFonts w:hint="eastAsia"/>
          <w:color w:val="FF0000"/>
        </w:rPr>
        <w:t xml:space="preserve"> 日</w:t>
      </w:r>
      <w:r>
        <w:rPr>
          <w:rFonts w:hint="eastAsia"/>
        </w:rPr>
        <w:t xml:space="preserve"> </w:t>
      </w:r>
      <w:r>
        <w:rPr>
          <w:rFonts w:hint="eastAsia"/>
          <w:lang w:val="en-US" w:eastAsia="zh-CN"/>
        </w:rPr>
        <w:t>9</w:t>
      </w:r>
      <w:r>
        <w:rPr>
          <w:rFonts w:hint="eastAsia"/>
        </w:rPr>
        <w:t>：30</w:t>
      </w:r>
    </w:p>
    <w:p>
      <w:pPr>
        <w:pStyle w:val="24"/>
        <w:spacing w:before="204" w:beforeAutospacing="0" w:after="204" w:afterAutospacing="0" w:line="450" w:lineRule="exact"/>
        <w:ind w:firstLine="480" w:firstLineChars="200"/>
        <w:jc w:val="both"/>
      </w:pPr>
      <w:r>
        <w:rPr>
          <w:rFonts w:hint="eastAsia"/>
        </w:rPr>
        <w:t>开标地点（网址）：</w:t>
      </w:r>
      <w:r>
        <w:rPr>
          <w:rFonts w:hint="eastAsia"/>
          <w:szCs w:val="21"/>
        </w:rPr>
        <w:t>黄岩区山前小微园区1号楼4楼2号场地（中石化加油站斜对面）84185577采购中心山前小微园区B2开标室</w:t>
      </w:r>
      <w:r>
        <w:rPr>
          <w:rFonts w:hint="eastAsia"/>
        </w:rPr>
        <w:t>  </w:t>
      </w:r>
    </w:p>
    <w:p>
      <w:pPr>
        <w:pStyle w:val="24"/>
        <w:spacing w:before="204" w:beforeAutospacing="0" w:after="204" w:afterAutospacing="0" w:line="450" w:lineRule="exact"/>
        <w:jc w:val="both"/>
      </w:pPr>
      <w:r>
        <w:rPr>
          <w:rStyle w:val="30"/>
          <w:rFonts w:hint="eastAsia" w:ascii="宋体" w:hAnsi="宋体" w:cs="宋体"/>
        </w:rPr>
        <w:t>五、公告期限</w:t>
      </w:r>
      <w:r>
        <w:rPr>
          <w:rFonts w:hint="eastAsia"/>
        </w:rPr>
        <w:t> </w:t>
      </w:r>
    </w:p>
    <w:p>
      <w:pPr>
        <w:pStyle w:val="24"/>
        <w:spacing w:line="450" w:lineRule="exact"/>
        <w:ind w:firstLine="480" w:firstLineChars="200"/>
      </w:pPr>
      <w:r>
        <w:rPr>
          <w:rFonts w:hint="eastAsia"/>
        </w:rPr>
        <w:t>自本公告发布之日起5个工作日。</w:t>
      </w:r>
    </w:p>
    <w:p>
      <w:pPr>
        <w:pStyle w:val="24"/>
        <w:spacing w:before="204" w:beforeAutospacing="0" w:after="204" w:afterAutospacing="0" w:line="450" w:lineRule="exact"/>
        <w:jc w:val="both"/>
      </w:pPr>
      <w:r>
        <w:rPr>
          <w:rStyle w:val="30"/>
          <w:rFonts w:hint="eastAsia" w:ascii="宋体" w:hAnsi="宋体" w:cs="宋体"/>
        </w:rPr>
        <w:t>六、其他补充事宜</w:t>
      </w:r>
    </w:p>
    <w:p>
      <w:pPr>
        <w:pStyle w:val="24"/>
        <w:spacing w:line="450" w:lineRule="exact"/>
        <w:ind w:firstLine="480" w:firstLineChars="200"/>
      </w:pPr>
      <w:r>
        <w:rPr>
          <w:rFonts w:hint="eastAsi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4"/>
        <w:spacing w:line="450" w:lineRule="exact"/>
        <w:ind w:firstLine="480" w:firstLineChars="200"/>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4"/>
        <w:spacing w:line="450" w:lineRule="exact"/>
        <w:ind w:firstLine="480" w:firstLineChars="200"/>
      </w:pPr>
      <w:r>
        <w:rPr>
          <w:rFonts w:hint="eastAsia"/>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4"/>
        <w:spacing w:line="450" w:lineRule="exact"/>
        <w:ind w:firstLine="480" w:firstLineChars="200"/>
      </w:pPr>
      <w:r>
        <w:rPr>
          <w:rFonts w:hint="eastAsia"/>
        </w:rPr>
        <w:t>4.其他事项：</w:t>
      </w:r>
    </w:p>
    <w:p>
      <w:pPr>
        <w:pStyle w:val="24"/>
        <w:spacing w:line="450" w:lineRule="exact"/>
        <w:ind w:firstLine="480" w:firstLineChars="200"/>
      </w:pPr>
      <w:r>
        <w:rPr>
          <w:rFonts w:hint="eastAsia"/>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pStyle w:val="24"/>
        <w:spacing w:line="450" w:lineRule="exact"/>
        <w:ind w:firstLine="480" w:firstLineChars="200"/>
      </w:pPr>
      <w:r>
        <w:rPr>
          <w:rFonts w:hint="eastAsia"/>
        </w:rPr>
        <w:t>4.2投标人通过政采云平台电子投标工具制作投标文件，电子投标工具请供应商自行前往浙江政府采购网下载并安装，（下载网址：http://zfcg.czt.zj.gov.cn/bidClientTemplate/2019-05-27/12946.html），电子投标具体流程详见本招标公告附件：“政采云供应商项目采购-电子招投标操作指南.pdf”。</w:t>
      </w:r>
    </w:p>
    <w:p>
      <w:pPr>
        <w:pStyle w:val="24"/>
        <w:spacing w:line="450" w:lineRule="exact"/>
        <w:ind w:firstLine="480" w:firstLineChars="200"/>
      </w:pPr>
      <w:r>
        <w:rPr>
          <w:rFonts w:hint="eastAsia"/>
        </w:rPr>
        <w:t>4.3投标人应在开标前完成CA数字证书办理。（办理流程详见http://zfcg.czt.zj.gov.cn/bidClientTemplate/2019-05-27/12945.html，完成CA数字证书办理预计一周左右，请各投标人自行把握时间）</w:t>
      </w:r>
    </w:p>
    <w:p>
      <w:pPr>
        <w:pStyle w:val="24"/>
      </w:pPr>
      <w:r>
        <w:rPr>
          <w:rStyle w:val="30"/>
          <w:rFonts w:hint="eastAsia" w:ascii="宋体" w:hAnsi="宋体" w:cs="宋体"/>
        </w:rPr>
        <w:t>七、对本次采购提出询问、质疑、投诉，请按以下方式联系</w:t>
      </w:r>
    </w:p>
    <w:p>
      <w:pPr>
        <w:pStyle w:val="24"/>
        <w:ind w:firstLine="480" w:firstLineChars="200"/>
      </w:pPr>
      <w:r>
        <w:rPr>
          <w:rFonts w:hint="eastAsia"/>
        </w:rPr>
        <w:t>1.采购人信息</w:t>
      </w:r>
    </w:p>
    <w:p>
      <w:pPr>
        <w:pStyle w:val="24"/>
        <w:ind w:firstLine="720" w:firstLineChars="300"/>
      </w:pPr>
      <w:r>
        <w:rPr>
          <w:rFonts w:hint="eastAsia"/>
        </w:rPr>
        <w:t>名   称：台州市黄岩区屿头乡人民政府 </w:t>
      </w:r>
    </w:p>
    <w:p>
      <w:pPr>
        <w:pStyle w:val="24"/>
        <w:ind w:firstLine="72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地   址： 黄岩区屿头乡</w:t>
      </w:r>
    </w:p>
    <w:p>
      <w:pPr>
        <w:pStyle w:val="24"/>
        <w:ind w:firstLine="72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项目联系人（询问）：郑先生  </w:t>
      </w:r>
    </w:p>
    <w:p>
      <w:pPr>
        <w:pStyle w:val="24"/>
        <w:ind w:firstLine="72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项目联系方式（询问）：13819696345</w:t>
      </w:r>
      <w:r>
        <w:rPr>
          <w:color w:val="000000" w:themeColor="text1"/>
          <w14:textFill>
            <w14:solidFill>
              <w14:schemeClr w14:val="tx1"/>
            </w14:solidFill>
          </w14:textFill>
        </w:rPr>
        <w:t xml:space="preserve"> </w:t>
      </w:r>
    </w:p>
    <w:p>
      <w:pPr>
        <w:pStyle w:val="24"/>
        <w:ind w:firstLine="72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质疑联系人：周先生  </w:t>
      </w:r>
    </w:p>
    <w:p>
      <w:pPr>
        <w:pStyle w:val="24"/>
        <w:ind w:firstLine="720" w:firstLineChars="300"/>
        <w:rPr>
          <w:color w:val="FF0000"/>
        </w:rPr>
      </w:pPr>
      <w:r>
        <w:rPr>
          <w:rFonts w:hint="eastAsia"/>
          <w:color w:val="000000" w:themeColor="text1"/>
          <w14:textFill>
            <w14:solidFill>
              <w14:schemeClr w14:val="tx1"/>
            </w14:solidFill>
          </w14:textFill>
        </w:rPr>
        <w:t>质疑联系方式：0576-84805025</w:t>
      </w:r>
      <w:r>
        <w:rPr>
          <w:color w:val="000000" w:themeColor="text1"/>
          <w14:textFill>
            <w14:solidFill>
              <w14:schemeClr w14:val="tx1"/>
            </w14:solidFill>
          </w14:textFill>
        </w:rPr>
        <w:t xml:space="preserve"> </w:t>
      </w:r>
    </w:p>
    <w:p>
      <w:pPr>
        <w:pStyle w:val="24"/>
        <w:ind w:firstLine="720"/>
      </w:pPr>
      <w:r>
        <w:rPr>
          <w:rFonts w:hint="eastAsia"/>
        </w:rPr>
        <w:t>2.采购代理机构信息            </w:t>
      </w:r>
    </w:p>
    <w:p>
      <w:pPr>
        <w:pStyle w:val="24"/>
      </w:pPr>
      <w:r>
        <w:rPr>
          <w:rFonts w:hint="eastAsia"/>
        </w:rPr>
        <w:t>    名   称：台州市玖诚工程管理有限公司             </w:t>
      </w:r>
    </w:p>
    <w:p>
      <w:pPr>
        <w:pStyle w:val="24"/>
      </w:pPr>
      <w:r>
        <w:rPr>
          <w:rFonts w:hint="eastAsia"/>
        </w:rPr>
        <w:t>    地   址：椒江白云街道解放南路291号             </w:t>
      </w:r>
    </w:p>
    <w:p>
      <w:pPr>
        <w:pStyle w:val="24"/>
      </w:pPr>
      <w:r>
        <w:rPr>
          <w:rFonts w:hint="eastAsia"/>
        </w:rPr>
        <w:t>    项目联系人（询问）：陈先生              </w:t>
      </w:r>
    </w:p>
    <w:p>
      <w:pPr>
        <w:pStyle w:val="24"/>
      </w:pPr>
      <w:r>
        <w:rPr>
          <w:rFonts w:hint="eastAsia"/>
        </w:rPr>
        <w:t>    项目联系方式（询问）：13486810088 </w:t>
      </w:r>
    </w:p>
    <w:p>
      <w:pPr>
        <w:pStyle w:val="24"/>
      </w:pPr>
      <w:r>
        <w:rPr>
          <w:rFonts w:hint="eastAsia"/>
        </w:rPr>
        <w:t xml:space="preserve">    质疑联系人：辛赛珠 </w:t>
      </w:r>
      <w:r>
        <w:t xml:space="preserve"> </w:t>
      </w:r>
      <w:r>
        <w:rPr>
          <w:rFonts w:hint="eastAsia"/>
        </w:rPr>
        <w:t>             </w:t>
      </w:r>
    </w:p>
    <w:p>
      <w:pPr>
        <w:pStyle w:val="24"/>
        <w:ind w:firstLine="720"/>
      </w:pPr>
      <w:r>
        <w:rPr>
          <w:rFonts w:hint="eastAsia"/>
        </w:rPr>
        <w:t>质疑联系方式：</w:t>
      </w:r>
      <w:r>
        <w:t xml:space="preserve"> 13456496010</w:t>
      </w:r>
    </w:p>
    <w:p>
      <w:pPr>
        <w:pStyle w:val="24"/>
        <w:ind w:firstLine="720" w:firstLineChars="300"/>
      </w:pPr>
      <w:r>
        <w:rPr>
          <w:rFonts w:hint="eastAsia"/>
        </w:rPr>
        <w:t>3.同级政府采购监督管理部门</w:t>
      </w:r>
    </w:p>
    <w:p>
      <w:pPr>
        <w:pStyle w:val="24"/>
        <w:ind w:firstLine="720" w:firstLineChars="300"/>
      </w:pPr>
      <w:r>
        <w:rPr>
          <w:rFonts w:hint="eastAsia"/>
        </w:rPr>
        <w:t>名   称：台州市黄岩区财政局政府采购监管科</w:t>
      </w:r>
    </w:p>
    <w:p>
      <w:pPr>
        <w:pStyle w:val="24"/>
        <w:ind w:firstLine="720" w:firstLineChars="300"/>
      </w:pPr>
      <w:r>
        <w:rPr>
          <w:rFonts w:hint="eastAsia"/>
        </w:rPr>
        <w:t>地   址：台州市黄岩区劳动南路289号</w:t>
      </w:r>
    </w:p>
    <w:p>
      <w:pPr>
        <w:pStyle w:val="24"/>
        <w:spacing w:line="360" w:lineRule="auto"/>
        <w:ind w:firstLine="720" w:firstLineChars="300"/>
      </w:pPr>
      <w:r>
        <w:rPr>
          <w:rFonts w:hint="eastAsia"/>
        </w:rPr>
        <w:t>联系人：宋先生</w:t>
      </w:r>
    </w:p>
    <w:p>
      <w:pPr>
        <w:pStyle w:val="24"/>
        <w:spacing w:line="360" w:lineRule="auto"/>
        <w:ind w:firstLine="720" w:firstLineChars="300"/>
      </w:pPr>
      <w:r>
        <w:rPr>
          <w:rFonts w:hint="eastAsia"/>
        </w:rPr>
        <w:t>监督投诉电话：0576-84222959</w:t>
      </w:r>
    </w:p>
    <w:p>
      <w:pPr>
        <w:numPr>
          <w:ilvl w:val="0"/>
          <w:numId w:val="7"/>
        </w:numPr>
        <w:spacing w:line="360" w:lineRule="auto"/>
        <w:ind w:firstLine="482" w:firstLineChars="200"/>
        <w:rPr>
          <w:rFonts w:ascii="宋体" w:hAnsi="宋体" w:cs="宋体"/>
          <w:b/>
          <w:bCs/>
          <w:sz w:val="24"/>
          <w:szCs w:val="24"/>
        </w:rPr>
      </w:pPr>
      <w:r>
        <w:rPr>
          <w:rFonts w:hint="eastAsia" w:ascii="宋体" w:hAnsi="宋体" w:cs="宋体"/>
          <w:b/>
          <w:bCs/>
          <w:sz w:val="24"/>
          <w:szCs w:val="24"/>
        </w:rPr>
        <w:t>其余事项：</w:t>
      </w:r>
    </w:p>
    <w:p>
      <w:pPr>
        <w:spacing w:line="360" w:lineRule="auto"/>
        <w:jc w:val="center"/>
        <w:rPr>
          <w:rFonts w:ascii="宋体" w:hAnsi="宋体" w:cs="宋体"/>
          <w:sz w:val="24"/>
          <w:szCs w:val="24"/>
        </w:rPr>
      </w:pPr>
      <w:r>
        <w:rPr>
          <w:rFonts w:hint="eastAsia" w:ascii="宋体" w:hAnsi="宋体" w:cs="宋体"/>
          <w:sz w:val="24"/>
          <w:szCs w:val="24"/>
        </w:rPr>
        <w:t>中标供应商如有融资需求，可使用以下银行的政采贷服务。</w:t>
      </w:r>
    </w:p>
    <w:tbl>
      <w:tblPr>
        <w:tblStyle w:val="27"/>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1562"/>
        <w:gridCol w:w="1343"/>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银行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贷款年利率</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联系人</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中国工商银行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3.8%起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王霖</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中国农业银行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3.8%起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龚盛</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中国建设银行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3.8%起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梅晶晶</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中国银行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3.75%起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任茜</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浦发银行台州分行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4.05%起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王渊</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浦发银行椒江分行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4.05%起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孙瑞华</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交通银行台州分行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3.75%起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周翔宇</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招商银行台州分行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4.32%起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王海玲</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浙商银行台州分行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5.01%起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章涉漪</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中信银行台州分行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4.15%起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陈金园</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华夏银行台州分行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4.5%起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邱明达</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泰隆银行开发区支行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5.6%起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梁宛莉</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民泰银行椒江支行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5.8%起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陈慧珠</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绍兴银行台州分行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5.1%起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郭庭斌</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温州银行台州分行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4.55%起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王晓波</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平安银行台州分行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6.53%起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李俊丽</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宁波银行台州分行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4.35%起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戴莉丽</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金华银行台州分行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4.05%起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金雪婷</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台州银行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5.6%起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洪婷</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2" w:type="dxa"/>
            <w:vAlign w:val="center"/>
          </w:tcPr>
          <w:p>
            <w:pPr>
              <w:spacing w:line="360" w:lineRule="auto"/>
              <w:jc w:val="center"/>
              <w:rPr>
                <w:rFonts w:ascii="宋体" w:hAnsi="宋体" w:cs="宋体"/>
                <w:sz w:val="24"/>
                <w:szCs w:val="24"/>
              </w:rPr>
            </w:pPr>
            <w:r>
              <w:rPr>
                <w:rFonts w:hint="eastAsia" w:ascii="宋体" w:hAnsi="宋体" w:cs="宋体"/>
                <w:sz w:val="24"/>
                <w:szCs w:val="24"/>
              </w:rPr>
              <w:t>邮储银行台州分行</w:t>
            </w:r>
          </w:p>
        </w:tc>
        <w:tc>
          <w:tcPr>
            <w:tcW w:w="1562" w:type="dxa"/>
            <w:vAlign w:val="center"/>
          </w:tcPr>
          <w:p>
            <w:pPr>
              <w:spacing w:line="360" w:lineRule="auto"/>
              <w:jc w:val="center"/>
              <w:rPr>
                <w:rFonts w:ascii="宋体" w:hAnsi="宋体" w:cs="宋体"/>
                <w:sz w:val="24"/>
                <w:szCs w:val="24"/>
              </w:rPr>
            </w:pPr>
            <w:r>
              <w:rPr>
                <w:rFonts w:hint="eastAsia" w:ascii="宋体" w:hAnsi="宋体" w:cs="宋体"/>
                <w:sz w:val="24"/>
                <w:szCs w:val="24"/>
              </w:rPr>
              <w:t>3.85%起</w:t>
            </w:r>
          </w:p>
        </w:tc>
        <w:tc>
          <w:tcPr>
            <w:tcW w:w="1343" w:type="dxa"/>
            <w:vAlign w:val="center"/>
          </w:tcPr>
          <w:p>
            <w:pPr>
              <w:spacing w:line="360" w:lineRule="auto"/>
              <w:jc w:val="center"/>
              <w:rPr>
                <w:rFonts w:ascii="宋体" w:hAnsi="宋体" w:cs="宋体"/>
                <w:sz w:val="24"/>
                <w:szCs w:val="24"/>
              </w:rPr>
            </w:pPr>
            <w:r>
              <w:rPr>
                <w:rFonts w:hint="eastAsia" w:ascii="宋体" w:hAnsi="宋体" w:cs="宋体"/>
                <w:sz w:val="24"/>
                <w:szCs w:val="24"/>
              </w:rPr>
              <w:t>董庆</w:t>
            </w:r>
          </w:p>
        </w:tc>
        <w:tc>
          <w:tcPr>
            <w:tcW w:w="2934" w:type="dxa"/>
            <w:vAlign w:val="center"/>
          </w:tcPr>
          <w:p>
            <w:pPr>
              <w:spacing w:line="360" w:lineRule="auto"/>
              <w:jc w:val="center"/>
              <w:rPr>
                <w:rFonts w:ascii="宋体" w:hAnsi="宋体" w:cs="宋体"/>
                <w:sz w:val="24"/>
                <w:szCs w:val="24"/>
              </w:rPr>
            </w:pPr>
            <w:r>
              <w:rPr>
                <w:rFonts w:hint="eastAsia" w:ascii="宋体" w:hAnsi="宋体" w:cs="宋体"/>
                <w:sz w:val="24"/>
                <w:szCs w:val="24"/>
              </w:rPr>
              <w:t>81888982/18957683735</w:t>
            </w:r>
          </w:p>
        </w:tc>
      </w:tr>
    </w:tbl>
    <w:p>
      <w:pPr>
        <w:spacing w:line="360" w:lineRule="auto"/>
        <w:ind w:firstLine="840" w:firstLineChars="350"/>
        <w:jc w:val="center"/>
        <w:rPr>
          <w:rFonts w:ascii="宋体" w:hAnsi="宋体" w:cs="宋体"/>
          <w:sz w:val="24"/>
          <w:szCs w:val="24"/>
        </w:rPr>
      </w:pPr>
    </w:p>
    <w:p>
      <w:pPr>
        <w:spacing w:line="360" w:lineRule="auto"/>
        <w:ind w:firstLine="840" w:firstLineChars="350"/>
        <w:jc w:val="center"/>
        <w:rPr>
          <w:rFonts w:ascii="宋体" w:hAnsi="宋体" w:cs="宋体"/>
          <w:sz w:val="24"/>
          <w:szCs w:val="24"/>
        </w:rPr>
      </w:pPr>
      <w:r>
        <w:rPr>
          <w:rFonts w:hint="eastAsia" w:ascii="宋体" w:hAnsi="宋体" w:cs="宋体"/>
          <w:sz w:val="24"/>
          <w:szCs w:val="24"/>
        </w:rPr>
        <w:t>合同履约保函联系方式</w:t>
      </w: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9"/>
        <w:gridCol w:w="2262"/>
        <w:gridCol w:w="985"/>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atLeast"/>
        </w:trPr>
        <w:tc>
          <w:tcPr>
            <w:tcW w:w="3739" w:type="dxa"/>
            <w:vAlign w:val="center"/>
          </w:tcPr>
          <w:p>
            <w:pPr>
              <w:spacing w:line="360" w:lineRule="auto"/>
              <w:jc w:val="center"/>
              <w:rPr>
                <w:rFonts w:ascii="宋体" w:hAnsi="宋体" w:cs="宋体"/>
                <w:sz w:val="24"/>
                <w:szCs w:val="24"/>
              </w:rPr>
            </w:pPr>
            <w:r>
              <w:rPr>
                <w:rFonts w:hint="eastAsia" w:ascii="宋体" w:hAnsi="宋体" w:cs="宋体"/>
                <w:sz w:val="24"/>
                <w:szCs w:val="24"/>
              </w:rPr>
              <w:t>保险公司名称</w:t>
            </w:r>
          </w:p>
        </w:tc>
        <w:tc>
          <w:tcPr>
            <w:tcW w:w="2262" w:type="dxa"/>
            <w:vAlign w:val="center"/>
          </w:tcPr>
          <w:p>
            <w:pPr>
              <w:spacing w:line="360" w:lineRule="auto"/>
              <w:jc w:val="center"/>
              <w:rPr>
                <w:rFonts w:ascii="宋体" w:hAnsi="宋体" w:cs="宋体"/>
                <w:sz w:val="24"/>
                <w:szCs w:val="24"/>
              </w:rPr>
            </w:pPr>
            <w:r>
              <w:rPr>
                <w:rFonts w:hint="eastAsia" w:ascii="宋体" w:hAnsi="宋体" w:cs="宋体"/>
                <w:sz w:val="24"/>
                <w:szCs w:val="24"/>
              </w:rPr>
              <w:t>保费率</w:t>
            </w:r>
          </w:p>
        </w:tc>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联系人</w:t>
            </w:r>
          </w:p>
        </w:tc>
        <w:tc>
          <w:tcPr>
            <w:tcW w:w="1536" w:type="dxa"/>
            <w:vAlign w:val="center"/>
          </w:tcPr>
          <w:p>
            <w:pPr>
              <w:spacing w:line="360" w:lineRule="auto"/>
              <w:jc w:val="center"/>
              <w:rPr>
                <w:rFonts w:ascii="宋体" w:hAnsi="宋体" w:cs="宋体"/>
                <w:sz w:val="24"/>
                <w:szCs w:val="24"/>
              </w:rPr>
            </w:pPr>
            <w:r>
              <w:rPr>
                <w:rFonts w:hint="eastAsia" w:ascii="宋体" w:hAnsi="宋体" w:cs="宋体"/>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pPr>
              <w:spacing w:line="360" w:lineRule="auto"/>
              <w:jc w:val="center"/>
              <w:rPr>
                <w:rFonts w:ascii="宋体" w:hAnsi="宋体" w:cs="宋体"/>
                <w:sz w:val="24"/>
                <w:szCs w:val="24"/>
              </w:rPr>
            </w:pPr>
            <w:r>
              <w:rPr>
                <w:rFonts w:hint="eastAsia" w:ascii="宋体" w:hAnsi="宋体" w:cs="宋体"/>
                <w:sz w:val="24"/>
                <w:szCs w:val="24"/>
              </w:rPr>
              <w:t>中国人寿财产保险股份有限公司台州中心支公司</w:t>
            </w:r>
          </w:p>
        </w:tc>
        <w:tc>
          <w:tcPr>
            <w:tcW w:w="2262" w:type="dxa"/>
            <w:vAlign w:val="center"/>
          </w:tcPr>
          <w:p>
            <w:pPr>
              <w:spacing w:line="360" w:lineRule="auto"/>
              <w:jc w:val="center"/>
              <w:rPr>
                <w:rFonts w:ascii="宋体" w:hAnsi="宋体" w:cs="宋体"/>
                <w:sz w:val="24"/>
                <w:szCs w:val="24"/>
              </w:rPr>
            </w:pPr>
            <w:r>
              <w:rPr>
                <w:rFonts w:hint="eastAsia" w:ascii="宋体" w:hAnsi="宋体" w:cs="宋体"/>
                <w:sz w:val="24"/>
                <w:szCs w:val="24"/>
              </w:rPr>
              <w:t>年费率1%，最低保费500元</w:t>
            </w:r>
          </w:p>
        </w:tc>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徐凌</w:t>
            </w:r>
          </w:p>
        </w:tc>
        <w:tc>
          <w:tcPr>
            <w:tcW w:w="1536" w:type="dxa"/>
            <w:vAlign w:val="center"/>
          </w:tcPr>
          <w:p>
            <w:pPr>
              <w:spacing w:line="360" w:lineRule="auto"/>
              <w:jc w:val="center"/>
              <w:rPr>
                <w:rFonts w:ascii="宋体" w:hAnsi="宋体" w:cs="宋体"/>
                <w:sz w:val="24"/>
                <w:szCs w:val="24"/>
              </w:rPr>
            </w:pPr>
            <w:r>
              <w:rPr>
                <w:rFonts w:hint="eastAsia" w:ascii="宋体" w:hAnsi="宋体" w:cs="宋体"/>
                <w:sz w:val="24"/>
                <w:szCs w:val="24"/>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pPr>
              <w:spacing w:line="360" w:lineRule="auto"/>
              <w:jc w:val="center"/>
              <w:rPr>
                <w:rFonts w:ascii="宋体" w:hAnsi="宋体" w:cs="宋体"/>
                <w:sz w:val="24"/>
                <w:szCs w:val="24"/>
              </w:rPr>
            </w:pPr>
            <w:r>
              <w:rPr>
                <w:rFonts w:hint="eastAsia" w:ascii="宋体" w:hAnsi="宋体" w:cs="宋体"/>
                <w:sz w:val="24"/>
                <w:szCs w:val="24"/>
              </w:rPr>
              <w:t>永诚财产保险股份有限公司台州分公司</w:t>
            </w:r>
          </w:p>
        </w:tc>
        <w:tc>
          <w:tcPr>
            <w:tcW w:w="2262" w:type="dxa"/>
            <w:vAlign w:val="center"/>
          </w:tcPr>
          <w:p>
            <w:pPr>
              <w:spacing w:line="360" w:lineRule="auto"/>
              <w:jc w:val="center"/>
              <w:rPr>
                <w:rFonts w:ascii="宋体" w:hAnsi="宋体" w:cs="宋体"/>
                <w:sz w:val="24"/>
                <w:szCs w:val="24"/>
              </w:rPr>
            </w:pPr>
            <w:r>
              <w:rPr>
                <w:rFonts w:hint="eastAsia" w:ascii="宋体" w:hAnsi="宋体" w:cs="宋体"/>
                <w:sz w:val="24"/>
                <w:szCs w:val="24"/>
              </w:rPr>
              <w:t>年费率1%，最低保费1000元</w:t>
            </w:r>
          </w:p>
        </w:tc>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尹刚强</w:t>
            </w:r>
          </w:p>
        </w:tc>
        <w:tc>
          <w:tcPr>
            <w:tcW w:w="1536" w:type="dxa"/>
            <w:vAlign w:val="center"/>
          </w:tcPr>
          <w:p>
            <w:pPr>
              <w:spacing w:line="360" w:lineRule="auto"/>
              <w:jc w:val="center"/>
              <w:rPr>
                <w:rFonts w:ascii="宋体" w:hAnsi="宋体" w:cs="宋体"/>
                <w:sz w:val="24"/>
                <w:szCs w:val="24"/>
              </w:rPr>
            </w:pPr>
            <w:r>
              <w:rPr>
                <w:rFonts w:hint="eastAsia" w:ascii="宋体" w:hAnsi="宋体" w:cs="宋体"/>
                <w:sz w:val="24"/>
                <w:szCs w:val="24"/>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pPr>
              <w:spacing w:line="360" w:lineRule="auto"/>
              <w:jc w:val="center"/>
              <w:rPr>
                <w:rFonts w:ascii="宋体" w:hAnsi="宋体" w:cs="宋体"/>
                <w:sz w:val="24"/>
                <w:szCs w:val="24"/>
              </w:rPr>
            </w:pPr>
            <w:r>
              <w:rPr>
                <w:rFonts w:hint="eastAsia" w:ascii="宋体" w:hAnsi="宋体" w:cs="宋体"/>
                <w:sz w:val="24"/>
                <w:szCs w:val="24"/>
              </w:rPr>
              <w:t>华泰财产保险有限公司台州中心支公司</w:t>
            </w:r>
          </w:p>
        </w:tc>
        <w:tc>
          <w:tcPr>
            <w:tcW w:w="2262" w:type="dxa"/>
            <w:vAlign w:val="center"/>
          </w:tcPr>
          <w:p>
            <w:pPr>
              <w:spacing w:line="360" w:lineRule="auto"/>
              <w:jc w:val="center"/>
              <w:rPr>
                <w:rFonts w:ascii="宋体" w:hAnsi="宋体" w:cs="宋体"/>
                <w:sz w:val="24"/>
                <w:szCs w:val="24"/>
              </w:rPr>
            </w:pPr>
            <w:r>
              <w:rPr>
                <w:rFonts w:hint="eastAsia" w:ascii="宋体" w:hAnsi="宋体" w:cs="宋体"/>
                <w:sz w:val="24"/>
                <w:szCs w:val="24"/>
              </w:rPr>
              <w:t>年费率0.5%，最低保费1000元</w:t>
            </w:r>
          </w:p>
        </w:tc>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王灵芳</w:t>
            </w:r>
          </w:p>
        </w:tc>
        <w:tc>
          <w:tcPr>
            <w:tcW w:w="1536" w:type="dxa"/>
            <w:vAlign w:val="center"/>
          </w:tcPr>
          <w:p>
            <w:pPr>
              <w:spacing w:line="360" w:lineRule="auto"/>
              <w:jc w:val="center"/>
              <w:rPr>
                <w:rFonts w:ascii="宋体" w:hAnsi="宋体" w:cs="宋体"/>
                <w:sz w:val="24"/>
                <w:szCs w:val="24"/>
              </w:rPr>
            </w:pPr>
            <w:r>
              <w:rPr>
                <w:rFonts w:hint="eastAsia" w:ascii="宋体" w:hAnsi="宋体" w:cs="宋体"/>
                <w:sz w:val="24"/>
                <w:szCs w:val="24"/>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pPr>
              <w:spacing w:line="360" w:lineRule="auto"/>
              <w:jc w:val="center"/>
              <w:rPr>
                <w:rFonts w:ascii="宋体" w:hAnsi="宋体" w:cs="宋体"/>
                <w:sz w:val="24"/>
                <w:szCs w:val="24"/>
              </w:rPr>
            </w:pPr>
            <w:r>
              <w:rPr>
                <w:rFonts w:hint="eastAsia" w:ascii="宋体" w:hAnsi="宋体" w:cs="宋体"/>
                <w:sz w:val="24"/>
                <w:szCs w:val="24"/>
              </w:rPr>
              <w:t>中国大地财产保险股份有限公司台州中心支公司</w:t>
            </w:r>
          </w:p>
        </w:tc>
        <w:tc>
          <w:tcPr>
            <w:tcW w:w="2262" w:type="dxa"/>
            <w:vAlign w:val="center"/>
          </w:tcPr>
          <w:p>
            <w:pPr>
              <w:spacing w:line="360" w:lineRule="auto"/>
              <w:jc w:val="center"/>
              <w:rPr>
                <w:rFonts w:ascii="宋体" w:hAnsi="宋体" w:cs="宋体"/>
                <w:sz w:val="24"/>
                <w:szCs w:val="24"/>
              </w:rPr>
            </w:pPr>
            <w:r>
              <w:rPr>
                <w:rFonts w:hint="eastAsia" w:ascii="宋体" w:hAnsi="宋体" w:cs="宋体"/>
                <w:sz w:val="24"/>
                <w:szCs w:val="24"/>
              </w:rPr>
              <w:t>年费率1.5%，最低保费1000元</w:t>
            </w:r>
          </w:p>
        </w:tc>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徐小明</w:t>
            </w:r>
          </w:p>
        </w:tc>
        <w:tc>
          <w:tcPr>
            <w:tcW w:w="1536" w:type="dxa"/>
            <w:vAlign w:val="center"/>
          </w:tcPr>
          <w:p>
            <w:pPr>
              <w:spacing w:line="360" w:lineRule="auto"/>
              <w:jc w:val="center"/>
              <w:rPr>
                <w:rFonts w:ascii="宋体" w:hAnsi="宋体" w:cs="宋体"/>
                <w:sz w:val="24"/>
                <w:szCs w:val="24"/>
              </w:rPr>
            </w:pPr>
            <w:r>
              <w:rPr>
                <w:rFonts w:hint="eastAsia" w:ascii="宋体" w:hAnsi="宋体" w:cs="宋体"/>
                <w:sz w:val="24"/>
                <w:szCs w:val="24"/>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pPr>
              <w:spacing w:line="360" w:lineRule="auto"/>
              <w:jc w:val="center"/>
              <w:rPr>
                <w:rFonts w:ascii="宋体" w:hAnsi="宋体" w:cs="宋体"/>
                <w:sz w:val="24"/>
                <w:szCs w:val="24"/>
              </w:rPr>
            </w:pPr>
            <w:r>
              <w:rPr>
                <w:rFonts w:hint="eastAsia" w:ascii="宋体" w:hAnsi="宋体" w:cs="宋体"/>
                <w:sz w:val="24"/>
                <w:szCs w:val="24"/>
              </w:rPr>
              <w:t>阳光保险台州中心支公司</w:t>
            </w:r>
          </w:p>
        </w:tc>
        <w:tc>
          <w:tcPr>
            <w:tcW w:w="2262" w:type="dxa"/>
            <w:vAlign w:val="center"/>
          </w:tcPr>
          <w:p>
            <w:pPr>
              <w:spacing w:line="360" w:lineRule="auto"/>
              <w:jc w:val="center"/>
              <w:rPr>
                <w:rFonts w:ascii="宋体" w:hAnsi="宋体" w:cs="宋体"/>
                <w:sz w:val="24"/>
                <w:szCs w:val="24"/>
              </w:rPr>
            </w:pPr>
            <w:r>
              <w:rPr>
                <w:rFonts w:hint="eastAsia" w:ascii="宋体" w:hAnsi="宋体" w:cs="宋体"/>
                <w:sz w:val="24"/>
                <w:szCs w:val="24"/>
              </w:rPr>
              <w:t>年费率1%，最低保费500元</w:t>
            </w:r>
          </w:p>
        </w:tc>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林高明</w:t>
            </w:r>
          </w:p>
        </w:tc>
        <w:tc>
          <w:tcPr>
            <w:tcW w:w="1536" w:type="dxa"/>
            <w:vAlign w:val="center"/>
          </w:tcPr>
          <w:p>
            <w:pPr>
              <w:spacing w:line="360" w:lineRule="auto"/>
              <w:jc w:val="center"/>
              <w:rPr>
                <w:rFonts w:ascii="宋体" w:hAnsi="宋体" w:cs="宋体"/>
                <w:sz w:val="24"/>
                <w:szCs w:val="24"/>
              </w:rPr>
            </w:pPr>
            <w:r>
              <w:rPr>
                <w:rFonts w:hint="eastAsia" w:ascii="宋体" w:hAnsi="宋体" w:cs="宋体"/>
                <w:sz w:val="24"/>
                <w:szCs w:val="24"/>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pPr>
              <w:spacing w:line="360" w:lineRule="auto"/>
              <w:jc w:val="center"/>
              <w:rPr>
                <w:rFonts w:ascii="宋体" w:hAnsi="宋体" w:cs="宋体"/>
                <w:sz w:val="24"/>
                <w:szCs w:val="24"/>
              </w:rPr>
            </w:pPr>
            <w:r>
              <w:rPr>
                <w:rFonts w:hint="eastAsia" w:ascii="宋体" w:hAnsi="宋体" w:cs="宋体"/>
                <w:sz w:val="24"/>
                <w:szCs w:val="24"/>
              </w:rPr>
              <w:t>中华联合财产保险股份有限公司台州中心支公司</w:t>
            </w:r>
          </w:p>
        </w:tc>
        <w:tc>
          <w:tcPr>
            <w:tcW w:w="2262" w:type="dxa"/>
            <w:vAlign w:val="center"/>
          </w:tcPr>
          <w:p>
            <w:pPr>
              <w:spacing w:line="360" w:lineRule="auto"/>
              <w:jc w:val="center"/>
              <w:rPr>
                <w:rFonts w:ascii="宋体" w:hAnsi="宋体" w:cs="宋体"/>
                <w:sz w:val="24"/>
                <w:szCs w:val="24"/>
              </w:rPr>
            </w:pPr>
            <w:r>
              <w:rPr>
                <w:rFonts w:hint="eastAsia" w:ascii="宋体" w:hAnsi="宋体" w:cs="宋体"/>
                <w:sz w:val="24"/>
                <w:szCs w:val="24"/>
              </w:rPr>
              <w:t>年费率2%，最低保费500元</w:t>
            </w:r>
          </w:p>
        </w:tc>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王仙高</w:t>
            </w:r>
          </w:p>
        </w:tc>
        <w:tc>
          <w:tcPr>
            <w:tcW w:w="1536" w:type="dxa"/>
            <w:vAlign w:val="center"/>
          </w:tcPr>
          <w:p>
            <w:pPr>
              <w:spacing w:line="360" w:lineRule="auto"/>
              <w:jc w:val="center"/>
              <w:rPr>
                <w:rFonts w:ascii="宋体" w:hAnsi="宋体" w:cs="宋体"/>
                <w:sz w:val="24"/>
                <w:szCs w:val="24"/>
              </w:rPr>
            </w:pPr>
            <w:r>
              <w:rPr>
                <w:rFonts w:hint="eastAsia" w:ascii="宋体" w:hAnsi="宋体" w:cs="宋体"/>
                <w:sz w:val="24"/>
                <w:szCs w:val="24"/>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pPr>
              <w:spacing w:line="360" w:lineRule="auto"/>
              <w:jc w:val="center"/>
              <w:rPr>
                <w:rFonts w:ascii="宋体" w:hAnsi="宋体" w:cs="宋体"/>
                <w:sz w:val="24"/>
                <w:szCs w:val="24"/>
              </w:rPr>
            </w:pPr>
            <w:r>
              <w:rPr>
                <w:rFonts w:hint="eastAsia" w:ascii="宋体" w:hAnsi="宋体" w:cs="宋体"/>
                <w:sz w:val="24"/>
                <w:szCs w:val="24"/>
              </w:rPr>
              <w:t>中国人民财产保险股份有限公司台州中心支公司</w:t>
            </w:r>
          </w:p>
        </w:tc>
        <w:tc>
          <w:tcPr>
            <w:tcW w:w="2262" w:type="dxa"/>
            <w:vAlign w:val="center"/>
          </w:tcPr>
          <w:p>
            <w:pPr>
              <w:spacing w:line="360" w:lineRule="auto"/>
              <w:jc w:val="center"/>
              <w:rPr>
                <w:rFonts w:ascii="宋体" w:hAnsi="宋体" w:cs="宋体"/>
                <w:sz w:val="24"/>
                <w:szCs w:val="24"/>
              </w:rPr>
            </w:pPr>
            <w:r>
              <w:rPr>
                <w:rFonts w:hint="eastAsia" w:ascii="宋体" w:hAnsi="宋体" w:cs="宋体"/>
                <w:sz w:val="24"/>
                <w:szCs w:val="24"/>
              </w:rPr>
              <w:t>年费率0.3%，最低保费1000元</w:t>
            </w:r>
          </w:p>
        </w:tc>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王仙春</w:t>
            </w:r>
          </w:p>
        </w:tc>
        <w:tc>
          <w:tcPr>
            <w:tcW w:w="1536" w:type="dxa"/>
            <w:vAlign w:val="center"/>
          </w:tcPr>
          <w:p>
            <w:pPr>
              <w:spacing w:line="360" w:lineRule="auto"/>
              <w:jc w:val="center"/>
              <w:rPr>
                <w:rFonts w:ascii="宋体" w:hAnsi="宋体" w:cs="宋体"/>
                <w:sz w:val="24"/>
                <w:szCs w:val="24"/>
              </w:rPr>
            </w:pPr>
            <w:r>
              <w:rPr>
                <w:rFonts w:hint="eastAsia" w:ascii="宋体" w:hAnsi="宋体" w:cs="宋体"/>
                <w:sz w:val="24"/>
                <w:szCs w:val="24"/>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pPr>
              <w:spacing w:line="360" w:lineRule="auto"/>
              <w:jc w:val="center"/>
              <w:rPr>
                <w:rFonts w:ascii="宋体" w:hAnsi="宋体" w:cs="宋体"/>
                <w:sz w:val="24"/>
                <w:szCs w:val="24"/>
              </w:rPr>
            </w:pPr>
            <w:r>
              <w:rPr>
                <w:rFonts w:hint="eastAsia" w:ascii="宋体" w:hAnsi="宋体" w:cs="宋体"/>
                <w:sz w:val="24"/>
                <w:szCs w:val="24"/>
              </w:rPr>
              <w:t>永安财产保险股份有限公司台州中心支公司</w:t>
            </w:r>
          </w:p>
        </w:tc>
        <w:tc>
          <w:tcPr>
            <w:tcW w:w="2262" w:type="dxa"/>
            <w:vAlign w:val="center"/>
          </w:tcPr>
          <w:p>
            <w:pPr>
              <w:spacing w:line="360" w:lineRule="auto"/>
              <w:jc w:val="center"/>
              <w:rPr>
                <w:rFonts w:ascii="宋体" w:hAnsi="宋体" w:cs="宋体"/>
                <w:sz w:val="24"/>
                <w:szCs w:val="24"/>
              </w:rPr>
            </w:pPr>
            <w:r>
              <w:rPr>
                <w:rFonts w:hint="eastAsia" w:ascii="宋体" w:hAnsi="宋体" w:cs="宋体"/>
                <w:sz w:val="24"/>
                <w:szCs w:val="24"/>
              </w:rPr>
              <w:t>年费率0.3%，最低保费1000</w:t>
            </w:r>
          </w:p>
        </w:tc>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王春宇</w:t>
            </w:r>
          </w:p>
        </w:tc>
        <w:tc>
          <w:tcPr>
            <w:tcW w:w="1536" w:type="dxa"/>
            <w:vAlign w:val="center"/>
          </w:tcPr>
          <w:p>
            <w:pPr>
              <w:spacing w:line="360" w:lineRule="auto"/>
              <w:jc w:val="center"/>
              <w:rPr>
                <w:rFonts w:ascii="宋体" w:hAnsi="宋体" w:cs="宋体"/>
                <w:sz w:val="24"/>
                <w:szCs w:val="24"/>
              </w:rPr>
            </w:pPr>
            <w:r>
              <w:rPr>
                <w:rFonts w:hint="eastAsia" w:ascii="宋体" w:hAnsi="宋体" w:cs="宋体"/>
                <w:sz w:val="24"/>
                <w:szCs w:val="24"/>
              </w:rPr>
              <w:t>13676675331</w:t>
            </w:r>
          </w:p>
        </w:tc>
      </w:tr>
    </w:tbl>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预付款保函联系方式</w:t>
      </w: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27"/>
        <w:gridCol w:w="2274"/>
        <w:gridCol w:w="985"/>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3727" w:type="dxa"/>
            <w:vAlign w:val="center"/>
          </w:tcPr>
          <w:p>
            <w:pPr>
              <w:spacing w:line="360" w:lineRule="auto"/>
              <w:jc w:val="center"/>
              <w:rPr>
                <w:rFonts w:ascii="宋体" w:hAnsi="宋体" w:cs="宋体"/>
                <w:sz w:val="24"/>
                <w:szCs w:val="24"/>
              </w:rPr>
            </w:pPr>
            <w:r>
              <w:rPr>
                <w:rFonts w:hint="eastAsia" w:ascii="宋体" w:hAnsi="宋体" w:cs="宋体"/>
                <w:sz w:val="24"/>
                <w:szCs w:val="24"/>
              </w:rPr>
              <w:t>保险公司名称</w:t>
            </w:r>
          </w:p>
        </w:tc>
        <w:tc>
          <w:tcPr>
            <w:tcW w:w="2274" w:type="dxa"/>
            <w:vAlign w:val="center"/>
          </w:tcPr>
          <w:p>
            <w:pPr>
              <w:spacing w:line="360" w:lineRule="auto"/>
              <w:jc w:val="center"/>
              <w:rPr>
                <w:rFonts w:ascii="宋体" w:hAnsi="宋体" w:cs="宋体"/>
                <w:sz w:val="24"/>
                <w:szCs w:val="24"/>
              </w:rPr>
            </w:pPr>
            <w:r>
              <w:rPr>
                <w:rFonts w:hint="eastAsia" w:ascii="宋体" w:hAnsi="宋体" w:cs="宋体"/>
                <w:sz w:val="24"/>
                <w:szCs w:val="24"/>
              </w:rPr>
              <w:t>保费率</w:t>
            </w:r>
          </w:p>
        </w:tc>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联系人</w:t>
            </w:r>
          </w:p>
        </w:tc>
        <w:tc>
          <w:tcPr>
            <w:tcW w:w="1536" w:type="dxa"/>
            <w:vAlign w:val="center"/>
          </w:tcPr>
          <w:p>
            <w:pPr>
              <w:spacing w:line="360" w:lineRule="auto"/>
              <w:jc w:val="center"/>
              <w:rPr>
                <w:rFonts w:ascii="宋体" w:hAnsi="宋体" w:cs="宋体"/>
                <w:sz w:val="24"/>
                <w:szCs w:val="24"/>
              </w:rPr>
            </w:pPr>
            <w:r>
              <w:rPr>
                <w:rFonts w:hint="eastAsia" w:ascii="宋体" w:hAnsi="宋体" w:cs="宋体"/>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7" w:type="dxa"/>
            <w:vAlign w:val="center"/>
          </w:tcPr>
          <w:p>
            <w:pPr>
              <w:spacing w:line="360" w:lineRule="auto"/>
              <w:jc w:val="center"/>
              <w:rPr>
                <w:rFonts w:ascii="宋体" w:hAnsi="宋体" w:cs="宋体"/>
                <w:sz w:val="24"/>
                <w:szCs w:val="24"/>
              </w:rPr>
            </w:pPr>
            <w:r>
              <w:rPr>
                <w:rFonts w:hint="eastAsia" w:ascii="宋体" w:hAnsi="宋体" w:cs="宋体"/>
                <w:sz w:val="24"/>
                <w:szCs w:val="24"/>
              </w:rPr>
              <w:t>中国人寿财产保险股份有限公司台州中心支公司</w:t>
            </w:r>
          </w:p>
        </w:tc>
        <w:tc>
          <w:tcPr>
            <w:tcW w:w="2274" w:type="dxa"/>
            <w:vAlign w:val="center"/>
          </w:tcPr>
          <w:p>
            <w:pPr>
              <w:spacing w:line="360" w:lineRule="auto"/>
              <w:jc w:val="center"/>
              <w:rPr>
                <w:rFonts w:ascii="宋体" w:hAnsi="宋体" w:cs="宋体"/>
                <w:sz w:val="24"/>
                <w:szCs w:val="24"/>
              </w:rPr>
            </w:pPr>
            <w:r>
              <w:rPr>
                <w:rFonts w:hint="eastAsia" w:ascii="宋体" w:hAnsi="宋体" w:cs="宋体"/>
                <w:sz w:val="24"/>
                <w:szCs w:val="24"/>
              </w:rPr>
              <w:t>年费率3%，最低保费500元</w:t>
            </w:r>
          </w:p>
        </w:tc>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徐凌</w:t>
            </w:r>
          </w:p>
        </w:tc>
        <w:tc>
          <w:tcPr>
            <w:tcW w:w="1536" w:type="dxa"/>
            <w:vAlign w:val="center"/>
          </w:tcPr>
          <w:p>
            <w:pPr>
              <w:spacing w:line="360" w:lineRule="auto"/>
              <w:jc w:val="center"/>
              <w:rPr>
                <w:rFonts w:ascii="宋体" w:hAnsi="宋体" w:cs="宋体"/>
                <w:sz w:val="24"/>
                <w:szCs w:val="24"/>
              </w:rPr>
            </w:pPr>
            <w:r>
              <w:rPr>
                <w:rFonts w:hint="eastAsia" w:ascii="宋体" w:hAnsi="宋体" w:cs="宋体"/>
                <w:sz w:val="24"/>
                <w:szCs w:val="24"/>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7" w:type="dxa"/>
            <w:vAlign w:val="center"/>
          </w:tcPr>
          <w:p>
            <w:pPr>
              <w:spacing w:line="360" w:lineRule="auto"/>
              <w:jc w:val="center"/>
              <w:rPr>
                <w:rFonts w:ascii="宋体" w:hAnsi="宋体" w:cs="宋体"/>
                <w:sz w:val="24"/>
                <w:szCs w:val="24"/>
              </w:rPr>
            </w:pPr>
            <w:r>
              <w:rPr>
                <w:rFonts w:hint="eastAsia" w:ascii="宋体" w:hAnsi="宋体" w:cs="宋体"/>
                <w:sz w:val="24"/>
                <w:szCs w:val="24"/>
              </w:rPr>
              <w:t>阳光保险台州中心支公司</w:t>
            </w:r>
          </w:p>
        </w:tc>
        <w:tc>
          <w:tcPr>
            <w:tcW w:w="2274" w:type="dxa"/>
            <w:vAlign w:val="center"/>
          </w:tcPr>
          <w:p>
            <w:pPr>
              <w:spacing w:line="360" w:lineRule="auto"/>
              <w:jc w:val="center"/>
              <w:rPr>
                <w:rFonts w:ascii="宋体" w:hAnsi="宋体" w:cs="宋体"/>
                <w:sz w:val="24"/>
                <w:szCs w:val="24"/>
              </w:rPr>
            </w:pPr>
            <w:r>
              <w:rPr>
                <w:rFonts w:hint="eastAsia" w:ascii="宋体" w:hAnsi="宋体" w:cs="宋体"/>
                <w:sz w:val="24"/>
                <w:szCs w:val="24"/>
              </w:rPr>
              <w:t>年费率1%，最低保费500元</w:t>
            </w:r>
          </w:p>
        </w:tc>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林高明</w:t>
            </w:r>
          </w:p>
        </w:tc>
        <w:tc>
          <w:tcPr>
            <w:tcW w:w="1536" w:type="dxa"/>
            <w:vAlign w:val="center"/>
          </w:tcPr>
          <w:p>
            <w:pPr>
              <w:spacing w:line="360" w:lineRule="auto"/>
              <w:jc w:val="center"/>
              <w:rPr>
                <w:rFonts w:ascii="宋体" w:hAnsi="宋体" w:cs="宋体"/>
                <w:sz w:val="24"/>
                <w:szCs w:val="24"/>
              </w:rPr>
            </w:pPr>
            <w:r>
              <w:rPr>
                <w:rFonts w:hint="eastAsia" w:ascii="宋体" w:hAnsi="宋体" w:cs="宋体"/>
                <w:sz w:val="24"/>
                <w:szCs w:val="24"/>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7" w:type="dxa"/>
            <w:vAlign w:val="center"/>
          </w:tcPr>
          <w:p>
            <w:pPr>
              <w:spacing w:line="360" w:lineRule="auto"/>
              <w:jc w:val="center"/>
              <w:rPr>
                <w:rFonts w:ascii="宋体" w:hAnsi="宋体" w:cs="宋体"/>
                <w:sz w:val="24"/>
                <w:szCs w:val="24"/>
              </w:rPr>
            </w:pPr>
            <w:r>
              <w:rPr>
                <w:rFonts w:hint="eastAsia" w:ascii="宋体" w:hAnsi="宋体" w:cs="宋体"/>
                <w:sz w:val="24"/>
                <w:szCs w:val="24"/>
              </w:rPr>
              <w:t>天安财产保险股份有限公司台州中心支公司</w:t>
            </w:r>
          </w:p>
        </w:tc>
        <w:tc>
          <w:tcPr>
            <w:tcW w:w="2274" w:type="dxa"/>
            <w:vAlign w:val="center"/>
          </w:tcPr>
          <w:p>
            <w:pPr>
              <w:spacing w:line="360" w:lineRule="auto"/>
              <w:jc w:val="center"/>
              <w:rPr>
                <w:rFonts w:ascii="宋体" w:hAnsi="宋体" w:cs="宋体"/>
                <w:sz w:val="24"/>
                <w:szCs w:val="24"/>
              </w:rPr>
            </w:pPr>
            <w:r>
              <w:rPr>
                <w:rFonts w:hint="eastAsia" w:ascii="宋体" w:hAnsi="宋体" w:cs="宋体"/>
                <w:sz w:val="24"/>
                <w:szCs w:val="24"/>
              </w:rPr>
              <w:t>年费率1%-2%，最低保费500元</w:t>
            </w:r>
          </w:p>
        </w:tc>
        <w:tc>
          <w:tcPr>
            <w:tcW w:w="985" w:type="dxa"/>
            <w:vAlign w:val="center"/>
          </w:tcPr>
          <w:p>
            <w:pPr>
              <w:spacing w:line="360" w:lineRule="auto"/>
              <w:jc w:val="center"/>
              <w:rPr>
                <w:rFonts w:ascii="宋体" w:hAnsi="宋体" w:cs="宋体"/>
                <w:sz w:val="24"/>
                <w:szCs w:val="24"/>
              </w:rPr>
            </w:pPr>
            <w:r>
              <w:rPr>
                <w:rFonts w:hint="eastAsia" w:ascii="宋体" w:hAnsi="宋体" w:cs="宋体"/>
                <w:sz w:val="24"/>
                <w:szCs w:val="24"/>
              </w:rPr>
              <w:t>罗赛</w:t>
            </w:r>
          </w:p>
        </w:tc>
        <w:tc>
          <w:tcPr>
            <w:tcW w:w="1536" w:type="dxa"/>
            <w:vAlign w:val="center"/>
          </w:tcPr>
          <w:p>
            <w:pPr>
              <w:spacing w:line="360" w:lineRule="auto"/>
              <w:jc w:val="center"/>
              <w:rPr>
                <w:rFonts w:ascii="宋体" w:hAnsi="宋体" w:cs="宋体"/>
                <w:sz w:val="24"/>
                <w:szCs w:val="24"/>
              </w:rPr>
            </w:pPr>
            <w:r>
              <w:rPr>
                <w:rFonts w:hint="eastAsia" w:ascii="宋体" w:hAnsi="宋体" w:cs="宋体"/>
                <w:sz w:val="24"/>
                <w:szCs w:val="24"/>
              </w:rPr>
              <w:t>13736605643</w:t>
            </w:r>
          </w:p>
        </w:tc>
      </w:tr>
    </w:tbl>
    <w:p>
      <w:pPr>
        <w:pStyle w:val="24"/>
        <w:spacing w:line="360" w:lineRule="auto"/>
        <w:ind w:firstLine="1446" w:firstLineChars="600"/>
        <w:jc w:val="both"/>
        <w:rPr>
          <w:b/>
          <w:bCs/>
        </w:rPr>
      </w:pPr>
    </w:p>
    <w:p>
      <w:pPr>
        <w:pStyle w:val="24"/>
        <w:spacing w:line="360" w:lineRule="auto"/>
        <w:ind w:firstLine="1446" w:firstLineChars="600"/>
        <w:jc w:val="both"/>
        <w:rPr>
          <w:b/>
          <w:bCs/>
        </w:rPr>
      </w:pPr>
    </w:p>
    <w:p>
      <w:pPr>
        <w:pStyle w:val="24"/>
        <w:spacing w:line="360" w:lineRule="auto"/>
        <w:ind w:firstLine="1446" w:firstLineChars="600"/>
        <w:jc w:val="both"/>
        <w:rPr>
          <w:b/>
          <w:bCs/>
        </w:rPr>
      </w:pPr>
    </w:p>
    <w:p>
      <w:pPr>
        <w:pStyle w:val="24"/>
        <w:spacing w:line="360" w:lineRule="auto"/>
        <w:ind w:firstLine="1446" w:firstLineChars="600"/>
        <w:jc w:val="both"/>
        <w:rPr>
          <w:b/>
          <w:bCs/>
        </w:rPr>
      </w:pPr>
    </w:p>
    <w:p>
      <w:pPr>
        <w:pStyle w:val="24"/>
        <w:spacing w:line="360" w:lineRule="auto"/>
        <w:ind w:firstLine="1446" w:firstLineChars="600"/>
        <w:jc w:val="both"/>
        <w:rPr>
          <w:b/>
          <w:bCs/>
        </w:rPr>
      </w:pPr>
    </w:p>
    <w:p>
      <w:pPr>
        <w:pStyle w:val="24"/>
        <w:spacing w:line="360" w:lineRule="auto"/>
        <w:jc w:val="center"/>
        <w:rPr>
          <w:b/>
          <w:bCs/>
          <w:kern w:val="2"/>
          <w:sz w:val="36"/>
          <w:szCs w:val="36"/>
        </w:rPr>
      </w:pPr>
      <w:r>
        <w:rPr>
          <w:rFonts w:hint="eastAsia"/>
          <w:b/>
          <w:bCs/>
          <w:kern w:val="2"/>
          <w:sz w:val="36"/>
          <w:szCs w:val="36"/>
        </w:rPr>
        <w:t>第二章  投标人须知</w:t>
      </w:r>
    </w:p>
    <w:p>
      <w:pPr>
        <w:spacing w:line="360" w:lineRule="auto"/>
        <w:jc w:val="center"/>
        <w:rPr>
          <w:rFonts w:ascii="宋体" w:hAnsi="宋体" w:cs="宋体"/>
          <w:b/>
          <w:bCs/>
          <w:sz w:val="24"/>
          <w:szCs w:val="24"/>
        </w:rPr>
      </w:pPr>
      <w:r>
        <w:rPr>
          <w:rFonts w:hint="eastAsia" w:ascii="宋体" w:hAnsi="宋体" w:cs="宋体"/>
          <w:b/>
          <w:bCs/>
          <w:sz w:val="24"/>
          <w:szCs w:val="24"/>
        </w:rPr>
        <w:t>前附表</w:t>
      </w:r>
    </w:p>
    <w:tbl>
      <w:tblPr>
        <w:tblStyle w:val="27"/>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54"/>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9"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1554"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项目</w:t>
            </w:r>
          </w:p>
        </w:tc>
        <w:tc>
          <w:tcPr>
            <w:tcW w:w="7214"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29"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4" w:type="dxa"/>
            <w:vAlign w:val="center"/>
          </w:tcPr>
          <w:p>
            <w:pPr>
              <w:spacing w:line="360" w:lineRule="auto"/>
              <w:jc w:val="center"/>
              <w:rPr>
                <w:rFonts w:ascii="宋体" w:hAnsi="宋体" w:cs="宋体"/>
                <w:sz w:val="24"/>
                <w:szCs w:val="24"/>
              </w:rPr>
            </w:pPr>
            <w:r>
              <w:rPr>
                <w:rFonts w:hint="eastAsia" w:ascii="宋体" w:hAnsi="宋体" w:cs="宋体"/>
                <w:sz w:val="24"/>
                <w:szCs w:val="24"/>
              </w:rPr>
              <w:t>供应商特定资格要求</w:t>
            </w:r>
          </w:p>
        </w:tc>
        <w:tc>
          <w:tcPr>
            <w:tcW w:w="7214" w:type="dxa"/>
            <w:vAlign w:val="center"/>
          </w:tcPr>
          <w:p>
            <w:pPr>
              <w:spacing w:line="360" w:lineRule="auto"/>
              <w:rPr>
                <w:rFonts w:ascii="宋体" w:hAnsi="宋体" w:cs="宋体"/>
                <w:sz w:val="24"/>
                <w:szCs w:val="24"/>
              </w:rPr>
            </w:pPr>
            <w:r>
              <w:rPr>
                <w:rFonts w:hint="eastAsia" w:ascii="宋体" w:hAnsi="宋体" w:cs="宋体"/>
                <w:sz w:val="24"/>
                <w:szCs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29"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4" w:type="dxa"/>
            <w:vAlign w:val="center"/>
          </w:tcPr>
          <w:p>
            <w:pPr>
              <w:spacing w:line="360" w:lineRule="auto"/>
              <w:jc w:val="center"/>
              <w:rPr>
                <w:rFonts w:ascii="宋体" w:hAnsi="宋体" w:cs="宋体"/>
                <w:sz w:val="24"/>
                <w:szCs w:val="24"/>
              </w:rPr>
            </w:pPr>
            <w:r>
              <w:rPr>
                <w:rFonts w:hint="eastAsia" w:ascii="宋体" w:hAnsi="宋体" w:cs="宋体"/>
                <w:sz w:val="24"/>
                <w:szCs w:val="24"/>
              </w:rPr>
              <w:t>答疑会或现场踏勘</w:t>
            </w:r>
          </w:p>
        </w:tc>
        <w:tc>
          <w:tcPr>
            <w:tcW w:w="7214" w:type="dxa"/>
            <w:vAlign w:val="center"/>
          </w:tcPr>
          <w:p>
            <w:pPr>
              <w:spacing w:line="360" w:lineRule="auto"/>
              <w:rPr>
                <w:rFonts w:ascii="宋体" w:hAnsi="宋体" w:cs="宋体"/>
                <w:sz w:val="24"/>
                <w:szCs w:val="24"/>
              </w:rPr>
            </w:pPr>
            <w:r>
              <w:rPr>
                <w:rFonts w:hint="eastAsia" w:ascii="宋体" w:hAnsi="宋体" w:cs="宋体"/>
                <w:sz w:val="24"/>
                <w:szCs w:val="24"/>
              </w:rPr>
              <w:t>各投标单位自行前往勘察现场和周围环境，所产生的费用由投标单位自理。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29" w:type="dxa"/>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1554" w:type="dxa"/>
            <w:vAlign w:val="center"/>
          </w:tcPr>
          <w:p>
            <w:pPr>
              <w:spacing w:line="360" w:lineRule="auto"/>
              <w:jc w:val="center"/>
              <w:rPr>
                <w:rFonts w:ascii="宋体" w:hAnsi="宋体" w:cs="宋体"/>
                <w:sz w:val="24"/>
                <w:szCs w:val="24"/>
              </w:rPr>
            </w:pPr>
            <w:r>
              <w:rPr>
                <w:rFonts w:hint="eastAsia" w:ascii="宋体" w:hAnsi="宋体" w:cs="宋体"/>
                <w:sz w:val="24"/>
                <w:szCs w:val="24"/>
              </w:rPr>
              <w:t>投标文件递交要求</w:t>
            </w:r>
          </w:p>
        </w:tc>
        <w:tc>
          <w:tcPr>
            <w:tcW w:w="7214" w:type="dxa"/>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本项目实行电子投标，供应商应准备电子投标文件、以介质存储的数据电文形式的备份投标文件二类：</w:t>
            </w:r>
          </w:p>
          <w:p>
            <w:pPr>
              <w:spacing w:line="360" w:lineRule="auto"/>
              <w:ind w:firstLine="480" w:firstLineChars="200"/>
              <w:rPr>
                <w:rFonts w:ascii="宋体" w:hAnsi="宋体" w:cs="宋体"/>
                <w:sz w:val="24"/>
                <w:szCs w:val="24"/>
              </w:rPr>
            </w:pPr>
            <w:r>
              <w:rPr>
                <w:rFonts w:hint="eastAsia" w:ascii="宋体" w:hAnsi="宋体" w:cs="宋体"/>
                <w:sz w:val="24"/>
                <w:szCs w:val="24"/>
              </w:rPr>
              <w:t>1.电子投标文件，按政采云平台项目采购--电子招投标操作指南及本招标文件要求编制、递交。</w:t>
            </w:r>
          </w:p>
          <w:p>
            <w:pPr>
              <w:spacing w:line="360" w:lineRule="auto"/>
              <w:ind w:firstLine="480" w:firstLineChars="200"/>
              <w:rPr>
                <w:rFonts w:ascii="宋体" w:hAnsi="宋体" w:cs="宋体"/>
                <w:sz w:val="24"/>
                <w:szCs w:val="24"/>
              </w:rPr>
            </w:pPr>
            <w:r>
              <w:rPr>
                <w:rFonts w:hint="eastAsia" w:ascii="宋体" w:hAnsi="宋体" w:cs="宋体"/>
                <w:sz w:val="24"/>
                <w:szCs w:val="24"/>
              </w:rPr>
              <w:t>2. 以介质存储的数据电文形式的备份投标文件，按政采云平台项目采购-电子招投标操作指南中上传的电子投标文件格式，以U盘形式提供。数量为1份。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p>
            <w:pPr>
              <w:spacing w:line="360" w:lineRule="auto"/>
              <w:ind w:firstLine="480" w:firstLineChars="200"/>
              <w:rPr>
                <w:rFonts w:ascii="宋体" w:hAnsi="宋体" w:cs="宋体"/>
                <w:sz w:val="24"/>
                <w:szCs w:val="24"/>
              </w:rPr>
            </w:pPr>
            <w:r>
              <w:rPr>
                <w:rFonts w:hint="eastAsia" w:ascii="宋体" w:hAnsi="宋体" w:cs="宋体"/>
                <w:sz w:val="24"/>
                <w:szCs w:val="24"/>
              </w:rPr>
              <w:t>5.未传输递交电子投标文件的，投标无效。未按规定提供相应的备份投标文件，造成项目开评标活动无法进行下去的，投标无效。</w:t>
            </w:r>
          </w:p>
          <w:p>
            <w:pPr>
              <w:spacing w:line="360" w:lineRule="auto"/>
              <w:ind w:firstLine="480" w:firstLineChars="200"/>
              <w:rPr>
                <w:rFonts w:ascii="宋体" w:hAnsi="宋体" w:cs="宋体"/>
                <w:sz w:val="24"/>
                <w:szCs w:val="24"/>
              </w:rPr>
            </w:pPr>
            <w:r>
              <w:rPr>
                <w:rFonts w:hint="eastAsia" w:ascii="宋体" w:hAnsi="宋体" w:cs="宋体"/>
                <w:sz w:val="24"/>
                <w:szCs w:val="24"/>
              </w:rPr>
              <w:t>6.投标供应商在“政府采购云平台”完成“电子加密投标文件”的上传递交后，需在投标截止时间前递交以介质（U盘）存储的数据电文形式的“备份投标文件”，“备份投标文件”应当密封包装并在包装上标注投标项目名称、投标单位名称并加盖公章。以介质（U盘）存储的数据电文形式的“备份投标文件”需密封，可采用以下两种方式其中一种送达（逾期送达或未密封将被拒收）：</w:t>
            </w:r>
          </w:p>
          <w:p>
            <w:pPr>
              <w:spacing w:line="360" w:lineRule="auto"/>
              <w:ind w:firstLine="480" w:firstLineChars="200"/>
              <w:rPr>
                <w:rFonts w:ascii="宋体" w:hAnsi="宋体" w:cs="宋体"/>
                <w:sz w:val="24"/>
                <w:szCs w:val="24"/>
              </w:rPr>
            </w:pPr>
            <w:r>
              <w:rPr>
                <w:rFonts w:hint="eastAsia" w:ascii="宋体" w:hAnsi="宋体" w:cs="宋体"/>
                <w:sz w:val="24"/>
                <w:szCs w:val="24"/>
              </w:rPr>
              <w:t>①在投标截止时间前送交到开标地点；</w:t>
            </w:r>
          </w:p>
          <w:p>
            <w:pPr>
              <w:spacing w:line="360" w:lineRule="auto"/>
              <w:ind w:firstLine="480" w:firstLineChars="200"/>
              <w:rPr>
                <w:rFonts w:ascii="宋体" w:hAnsi="宋体" w:cs="宋体"/>
                <w:sz w:val="24"/>
                <w:szCs w:val="24"/>
              </w:rPr>
            </w:pPr>
            <w:r>
              <w:rPr>
                <w:rFonts w:hint="eastAsia" w:ascii="宋体" w:hAnsi="宋体" w:cs="宋体"/>
                <w:sz w:val="24"/>
                <w:szCs w:val="24"/>
              </w:rPr>
              <w:t>②采用邮寄方式，邮寄公司统一采用顺丰（包裹外包装上请注明单位、项目名称、联系电话等信息，以便代理机构作接收登记工作），邮寄接收截止时间为投标截止时间前一个</w:t>
            </w:r>
            <w:r>
              <w:rPr>
                <w:rFonts w:ascii="宋体" w:hAnsi="宋体" w:cs="宋体"/>
                <w:sz w:val="24"/>
                <w:szCs w:val="24"/>
              </w:rPr>
              <w:t>工作日下午</w:t>
            </w:r>
            <w:r>
              <w:rPr>
                <w:rFonts w:hint="eastAsia" w:ascii="宋体" w:hAnsi="宋体" w:cs="宋体"/>
                <w:sz w:val="24"/>
                <w:szCs w:val="24"/>
              </w:rPr>
              <w:t>17:00前（邮寄地址：台州市玖诚工程管理有限公司（椒江白云街道解放南路291号，联系人：陈老师，电话：13486810088。))。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29" w:type="dxa"/>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1554" w:type="dxa"/>
            <w:vAlign w:val="center"/>
          </w:tcPr>
          <w:p>
            <w:pPr>
              <w:spacing w:line="360" w:lineRule="auto"/>
              <w:jc w:val="center"/>
              <w:rPr>
                <w:rFonts w:ascii="宋体" w:hAnsi="宋体" w:cs="宋体"/>
                <w:sz w:val="24"/>
                <w:szCs w:val="24"/>
              </w:rPr>
            </w:pPr>
            <w:r>
              <w:rPr>
                <w:rFonts w:hint="eastAsia" w:ascii="宋体" w:hAnsi="宋体" w:cs="宋体"/>
                <w:sz w:val="24"/>
                <w:szCs w:val="24"/>
              </w:rPr>
              <w:t>投标有效期</w:t>
            </w:r>
          </w:p>
        </w:tc>
        <w:tc>
          <w:tcPr>
            <w:tcW w:w="7214" w:type="dxa"/>
            <w:vAlign w:val="center"/>
          </w:tcPr>
          <w:p>
            <w:pPr>
              <w:spacing w:line="360" w:lineRule="auto"/>
              <w:rPr>
                <w:rFonts w:ascii="宋体" w:hAnsi="宋体" w:cs="宋体"/>
                <w:sz w:val="24"/>
                <w:szCs w:val="24"/>
              </w:rPr>
            </w:pPr>
            <w:r>
              <w:rPr>
                <w:rFonts w:hint="eastAsia" w:ascii="宋体" w:hAnsi="宋体" w:cs="宋体"/>
                <w:sz w:val="24"/>
                <w:szCs w:val="24"/>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29" w:type="dxa"/>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1554" w:type="dxa"/>
            <w:vAlign w:val="center"/>
          </w:tcPr>
          <w:p>
            <w:pPr>
              <w:spacing w:line="360" w:lineRule="auto"/>
              <w:jc w:val="center"/>
              <w:rPr>
                <w:rFonts w:ascii="宋体" w:hAnsi="宋体" w:cs="宋体"/>
                <w:sz w:val="24"/>
                <w:szCs w:val="24"/>
              </w:rPr>
            </w:pPr>
            <w:r>
              <w:rPr>
                <w:rFonts w:hint="eastAsia" w:ascii="宋体" w:hAnsi="宋体" w:cs="宋体"/>
                <w:sz w:val="24"/>
                <w:szCs w:val="24"/>
              </w:rPr>
              <w:t>投标文件递交</w:t>
            </w:r>
          </w:p>
        </w:tc>
        <w:tc>
          <w:tcPr>
            <w:tcW w:w="7214" w:type="dxa"/>
            <w:vAlign w:val="center"/>
          </w:tcPr>
          <w:p>
            <w:pPr>
              <w:spacing w:line="360" w:lineRule="auto"/>
              <w:jc w:val="left"/>
              <w:rPr>
                <w:rFonts w:ascii="宋体" w:hAnsi="宋体" w:cs="宋体"/>
                <w:sz w:val="24"/>
                <w:szCs w:val="24"/>
              </w:rPr>
            </w:pPr>
            <w:r>
              <w:rPr>
                <w:rFonts w:hint="eastAsia" w:ascii="宋体" w:hAnsi="宋体" w:cs="宋体"/>
                <w:sz w:val="24"/>
                <w:szCs w:val="24"/>
              </w:rPr>
              <w:t>截止时间：北京时间2022年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20</w:t>
            </w:r>
            <w:r>
              <w:rPr>
                <w:rFonts w:hint="eastAsia" w:ascii="宋体" w:hAnsi="宋体" w:cs="宋体"/>
                <w:sz w:val="24"/>
                <w:szCs w:val="24"/>
              </w:rPr>
              <w:t>日</w:t>
            </w:r>
            <w:r>
              <w:rPr>
                <w:rFonts w:hint="eastAsia" w:ascii="宋体" w:hAnsi="宋体" w:cs="宋体"/>
                <w:sz w:val="24"/>
                <w:szCs w:val="24"/>
                <w:lang w:val="en-US" w:eastAsia="zh-CN"/>
              </w:rPr>
              <w:t>9</w:t>
            </w:r>
            <w:r>
              <w:rPr>
                <w:rFonts w:hint="eastAsia" w:ascii="宋体" w:hAnsi="宋体" w:cs="宋体"/>
                <w:sz w:val="24"/>
                <w:szCs w:val="24"/>
              </w:rPr>
              <w:t>：30整</w:t>
            </w:r>
          </w:p>
          <w:p>
            <w:pPr>
              <w:spacing w:line="360" w:lineRule="auto"/>
              <w:rPr>
                <w:rFonts w:ascii="宋体" w:hAnsi="宋体" w:cs="宋体"/>
                <w:sz w:val="24"/>
                <w:szCs w:val="24"/>
              </w:rPr>
            </w:pPr>
            <w:r>
              <w:rPr>
                <w:rFonts w:hint="eastAsia" w:ascii="宋体" w:hAnsi="宋体" w:cs="宋体"/>
                <w:sz w:val="24"/>
                <w:szCs w:val="24"/>
              </w:rPr>
              <w:t>投标供应商应当在投标截止时间前将生成的“电子加密投标文件”上传递交至“政府采购云平台”，并在开标当日投标截止时间前提交备份投标文件。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29" w:type="dxa"/>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1554" w:type="dxa"/>
            <w:vAlign w:val="center"/>
          </w:tcPr>
          <w:p>
            <w:pPr>
              <w:spacing w:line="360" w:lineRule="auto"/>
              <w:jc w:val="center"/>
              <w:rPr>
                <w:rFonts w:ascii="宋体" w:hAnsi="宋体" w:cs="宋体"/>
                <w:sz w:val="24"/>
                <w:szCs w:val="24"/>
              </w:rPr>
            </w:pPr>
            <w:r>
              <w:rPr>
                <w:rFonts w:hint="eastAsia" w:ascii="宋体" w:hAnsi="宋体" w:cs="宋体"/>
                <w:sz w:val="24"/>
                <w:szCs w:val="24"/>
              </w:rPr>
              <w:t>开标时间及地点</w:t>
            </w:r>
          </w:p>
        </w:tc>
        <w:tc>
          <w:tcPr>
            <w:tcW w:w="7214" w:type="dxa"/>
            <w:vAlign w:val="center"/>
          </w:tcPr>
          <w:p>
            <w:pPr>
              <w:spacing w:line="360" w:lineRule="auto"/>
              <w:rPr>
                <w:rFonts w:ascii="宋体" w:hAnsi="宋体" w:cs="宋体"/>
                <w:sz w:val="24"/>
                <w:szCs w:val="24"/>
              </w:rPr>
            </w:pPr>
            <w:r>
              <w:rPr>
                <w:rFonts w:hint="eastAsia" w:ascii="宋体" w:hAnsi="宋体" w:cs="宋体"/>
                <w:sz w:val="24"/>
                <w:szCs w:val="24"/>
              </w:rPr>
              <w:t xml:space="preserve">时间：北京时间2022年 </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20</w:t>
            </w:r>
            <w:r>
              <w:rPr>
                <w:rFonts w:hint="eastAsia" w:ascii="宋体" w:hAnsi="宋体" w:cs="宋体"/>
                <w:sz w:val="24"/>
                <w:szCs w:val="24"/>
              </w:rPr>
              <w:t>日</w:t>
            </w:r>
            <w:r>
              <w:rPr>
                <w:rFonts w:hint="eastAsia" w:ascii="宋体" w:hAnsi="宋体" w:cs="宋体"/>
                <w:sz w:val="24"/>
                <w:szCs w:val="24"/>
                <w:lang w:val="en-US" w:eastAsia="zh-CN"/>
              </w:rPr>
              <w:t>9</w:t>
            </w:r>
            <w:r>
              <w:rPr>
                <w:rFonts w:hint="eastAsia" w:ascii="宋体" w:hAnsi="宋体" w:cs="宋体"/>
                <w:sz w:val="24"/>
                <w:szCs w:val="24"/>
              </w:rPr>
              <w:t>：30整</w:t>
            </w:r>
          </w:p>
          <w:p>
            <w:pPr>
              <w:spacing w:line="360" w:lineRule="auto"/>
              <w:rPr>
                <w:rFonts w:ascii="宋体" w:hAnsi="宋体" w:cs="宋体"/>
                <w:sz w:val="24"/>
                <w:szCs w:val="24"/>
              </w:rPr>
            </w:pPr>
            <w:r>
              <w:rPr>
                <w:rFonts w:hint="eastAsia" w:ascii="宋体" w:hAnsi="宋体" w:cs="宋体"/>
                <w:sz w:val="24"/>
                <w:szCs w:val="24"/>
              </w:rPr>
              <w:t>地点：黄岩区山前小微园区1号楼4楼2号场地（中石化加油站斜对面）84185577采购中心山前小微园区B2开标室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29" w:type="dxa"/>
            <w:vAlign w:val="center"/>
          </w:tcPr>
          <w:p>
            <w:pPr>
              <w:spacing w:line="360" w:lineRule="auto"/>
              <w:jc w:val="center"/>
              <w:rPr>
                <w:rFonts w:ascii="宋体" w:hAnsi="宋体" w:cs="宋体"/>
                <w:sz w:val="24"/>
                <w:szCs w:val="24"/>
              </w:rPr>
            </w:pPr>
            <w:r>
              <w:rPr>
                <w:rFonts w:hint="eastAsia" w:ascii="宋体" w:hAnsi="宋体" w:cs="宋体"/>
                <w:sz w:val="24"/>
                <w:szCs w:val="24"/>
              </w:rPr>
              <w:t>7</w:t>
            </w:r>
          </w:p>
        </w:tc>
        <w:tc>
          <w:tcPr>
            <w:tcW w:w="1554" w:type="dxa"/>
            <w:vAlign w:val="center"/>
          </w:tcPr>
          <w:p>
            <w:pPr>
              <w:spacing w:line="360" w:lineRule="auto"/>
              <w:jc w:val="center"/>
              <w:rPr>
                <w:rFonts w:ascii="宋体" w:hAnsi="宋体" w:cs="宋体"/>
                <w:sz w:val="24"/>
                <w:szCs w:val="24"/>
              </w:rPr>
            </w:pPr>
            <w:r>
              <w:rPr>
                <w:rFonts w:hint="eastAsia" w:ascii="宋体" w:hAnsi="宋体" w:cs="宋体"/>
                <w:sz w:val="24"/>
                <w:szCs w:val="24"/>
              </w:rPr>
              <w:t>信用记录相关说明</w:t>
            </w:r>
          </w:p>
        </w:tc>
        <w:tc>
          <w:tcPr>
            <w:tcW w:w="7214" w:type="dxa"/>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sz w:val="24"/>
                <w:szCs w:val="24"/>
              </w:rPr>
            </w:pPr>
            <w:r>
              <w:rPr>
                <w:rFonts w:hint="eastAsia" w:ascii="宋体" w:hAnsi="宋体" w:cs="宋体"/>
                <w:sz w:val="24"/>
                <w:szCs w:val="24"/>
              </w:rPr>
              <w:t>1）信用信息查询的截止时点：开标后评标前；</w:t>
            </w:r>
          </w:p>
          <w:p>
            <w:pPr>
              <w:spacing w:line="360" w:lineRule="auto"/>
              <w:ind w:firstLine="480" w:firstLineChars="200"/>
              <w:rPr>
                <w:rFonts w:ascii="宋体" w:hAnsi="宋体" w:cs="宋体"/>
                <w:sz w:val="24"/>
                <w:szCs w:val="24"/>
              </w:rPr>
            </w:pPr>
            <w:r>
              <w:rPr>
                <w:rFonts w:hint="eastAsia" w:ascii="宋体" w:hAnsi="宋体" w:cs="宋体"/>
                <w:sz w:val="24"/>
                <w:szCs w:val="24"/>
              </w:rPr>
              <w:t>2）</w:t>
            </w:r>
            <w:bookmarkStart w:id="1" w:name="_GoBack"/>
            <w:bookmarkEnd w:id="1"/>
            <w:r>
              <w:rPr>
                <w:rFonts w:hint="eastAsia" w:ascii="宋体" w:hAnsi="宋体" w:cs="宋体"/>
                <w:sz w:val="24"/>
                <w:szCs w:val="24"/>
              </w:rPr>
              <w:t>查询渠道：“信用中国”（www.creditchina.gov.cn）、“中国政府采购网”（www.ccgp.gov.cn）、“浙江政府采购网（www.zjzfcg.gov.cn）；</w:t>
            </w:r>
          </w:p>
          <w:p>
            <w:pPr>
              <w:spacing w:line="360" w:lineRule="auto"/>
              <w:ind w:firstLine="480" w:firstLineChars="200"/>
              <w:rPr>
                <w:rFonts w:ascii="宋体" w:hAnsi="宋体" w:cs="宋体"/>
                <w:sz w:val="24"/>
                <w:szCs w:val="24"/>
              </w:rPr>
            </w:pPr>
            <w:r>
              <w:rPr>
                <w:rFonts w:hint="eastAsia" w:ascii="宋体" w:hAnsi="宋体" w:cs="宋体"/>
                <w:sz w:val="24"/>
                <w:szCs w:val="24"/>
              </w:rPr>
              <w:t>3）信用信息查询记录和证据留存具体方式：采购代理机构经办人和监督人员将查询网页打印与其他采购相关文件一并保存；</w:t>
            </w:r>
          </w:p>
          <w:p>
            <w:pPr>
              <w:spacing w:line="360" w:lineRule="auto"/>
              <w:ind w:firstLine="480" w:firstLineChars="200"/>
              <w:rPr>
                <w:rFonts w:ascii="宋体" w:hAnsi="宋体" w:cs="宋体"/>
                <w:sz w:val="24"/>
                <w:szCs w:val="24"/>
              </w:rPr>
            </w:pPr>
            <w:r>
              <w:rPr>
                <w:rFonts w:hint="eastAsia" w:ascii="宋体" w:hAnsi="宋体" w:cs="宋体"/>
                <w:sz w:val="24"/>
                <w:szCs w:val="24"/>
              </w:rPr>
              <w:t>4）信用信息的使用规则：投标人存在不良信用记录的，其投标将被作为无效投标被拒绝。</w:t>
            </w:r>
          </w:p>
          <w:p>
            <w:pPr>
              <w:spacing w:line="360" w:lineRule="auto"/>
              <w:ind w:firstLine="480" w:firstLineChars="200"/>
              <w:rPr>
                <w:rFonts w:ascii="宋体" w:hAnsi="宋体" w:cs="宋体"/>
                <w:sz w:val="24"/>
                <w:szCs w:val="24"/>
              </w:rPr>
            </w:pPr>
            <w:r>
              <w:rPr>
                <w:rFonts w:hint="eastAsia" w:ascii="宋体" w:hAnsi="宋体" w:cs="宋体"/>
                <w:sz w:val="24"/>
                <w:szCs w:val="24"/>
              </w:rPr>
              <w:t>3.不良信用记录指：被列入失信被执行人、重大税收违法案件当事人名单、政府采购严重违法失信行为记录名单或浙江政府采购网曝光台中尚在行政处罚期内的。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29" w:type="dxa"/>
            <w:vAlign w:val="center"/>
          </w:tcPr>
          <w:p>
            <w:pPr>
              <w:spacing w:line="360" w:lineRule="auto"/>
              <w:jc w:val="center"/>
              <w:rPr>
                <w:rFonts w:ascii="宋体" w:hAnsi="宋体" w:cs="宋体"/>
                <w:sz w:val="24"/>
                <w:szCs w:val="24"/>
              </w:rPr>
            </w:pPr>
            <w:r>
              <w:rPr>
                <w:rFonts w:hint="eastAsia" w:ascii="宋体" w:hAnsi="宋体" w:cs="宋体"/>
                <w:sz w:val="24"/>
                <w:szCs w:val="24"/>
              </w:rPr>
              <w:t>8</w:t>
            </w:r>
          </w:p>
        </w:tc>
        <w:tc>
          <w:tcPr>
            <w:tcW w:w="1554"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zh-CN"/>
              </w:rPr>
              <w:t>实质性条款</w:t>
            </w:r>
          </w:p>
        </w:tc>
        <w:tc>
          <w:tcPr>
            <w:tcW w:w="7214"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zh-CN"/>
              </w:rPr>
              <w:t>带“</w:t>
            </w:r>
            <w:r>
              <w:rPr>
                <w:rFonts w:hint="eastAsia" w:ascii="宋体" w:hAnsi="宋体" w:cs="宋体"/>
                <w:sz w:val="24"/>
                <w:szCs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29"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9</w:t>
            </w:r>
          </w:p>
        </w:tc>
        <w:tc>
          <w:tcPr>
            <w:tcW w:w="1554"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lang w:val="zh-CN"/>
              </w:rPr>
              <w:t>是否提供</w:t>
            </w:r>
            <w:r>
              <w:rPr>
                <w:rFonts w:hint="eastAsia" w:ascii="宋体" w:hAnsi="宋体" w:cs="宋体"/>
                <w:kern w:val="0"/>
                <w:sz w:val="24"/>
                <w:szCs w:val="24"/>
              </w:rPr>
              <w:t>演示</w:t>
            </w:r>
          </w:p>
        </w:tc>
        <w:tc>
          <w:tcPr>
            <w:tcW w:w="7214" w:type="dxa"/>
            <w:vAlign w:val="center"/>
          </w:tcPr>
          <w:p>
            <w:pPr>
              <w:widowControl/>
              <w:spacing w:line="360" w:lineRule="auto"/>
              <w:rPr>
                <w:rFonts w:ascii="宋体" w:hAnsi="宋体" w:cs="宋体"/>
                <w:kern w:val="0"/>
                <w:sz w:val="24"/>
                <w:szCs w:val="24"/>
                <w:lang w:val="zh-CN"/>
              </w:rPr>
            </w:pPr>
            <w:r>
              <w:rPr>
                <w:rFonts w:hint="eastAsia" w:ascii="宋体" w:hAnsi="宋体" w:cs="宋体"/>
                <w:kern w:val="0"/>
                <w:sz w:val="24"/>
                <w:szCs w:val="24"/>
                <w:lang w:val="zh-CN"/>
              </w:rPr>
              <w:t>是，</w:t>
            </w:r>
            <w:r>
              <w:rPr>
                <w:rFonts w:hint="eastAsia" w:ascii="宋体" w:hAnsi="宋体" w:cs="宋体"/>
                <w:kern w:val="0"/>
                <w:sz w:val="24"/>
                <w:szCs w:val="24"/>
              </w:rPr>
              <w:t>按采购文件要求提供</w:t>
            </w:r>
            <w:r>
              <w:rPr>
                <w:rFonts w:hint="eastAsia" w:ascii="宋体" w:hAnsi="宋体" w:cs="宋体"/>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29" w:type="dxa"/>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1554" w:type="dxa"/>
            <w:vAlign w:val="center"/>
          </w:tcPr>
          <w:p>
            <w:pPr>
              <w:widowControl/>
              <w:spacing w:line="360" w:lineRule="auto"/>
              <w:jc w:val="center"/>
              <w:rPr>
                <w:rFonts w:ascii="宋体" w:hAnsi="宋体" w:cs="宋体"/>
                <w:sz w:val="24"/>
                <w:szCs w:val="24"/>
                <w:lang w:val="zh-CN"/>
              </w:rPr>
            </w:pPr>
            <w:r>
              <w:rPr>
                <w:rFonts w:hint="eastAsia" w:ascii="宋体" w:hAnsi="宋体" w:cs="宋体"/>
                <w:kern w:val="0"/>
                <w:sz w:val="24"/>
                <w:szCs w:val="24"/>
              </w:rPr>
              <w:t>是否专门面向中小微企业采购</w:t>
            </w:r>
          </w:p>
        </w:tc>
        <w:tc>
          <w:tcPr>
            <w:tcW w:w="7214" w:type="dxa"/>
            <w:vAlign w:val="center"/>
          </w:tcPr>
          <w:p>
            <w:pPr>
              <w:widowControl/>
              <w:spacing w:line="360" w:lineRule="auto"/>
              <w:jc w:val="left"/>
              <w:rPr>
                <w:rFonts w:ascii="宋体" w:hAnsi="宋体" w:cs="宋体"/>
                <w:sz w:val="24"/>
                <w:szCs w:val="24"/>
              </w:rPr>
            </w:pPr>
            <w:r>
              <w:rPr>
                <w:rFonts w:hint="eastAsia" w:ascii="宋体" w:hAnsi="宋体" w:cs="宋体"/>
                <w:kern w:val="0"/>
                <w:sz w:val="24"/>
                <w:szCs w:val="24"/>
              </w:rPr>
              <w:sym w:font="Wingdings" w:char="00A8"/>
            </w:r>
            <w:r>
              <w:rPr>
                <w:rFonts w:hint="eastAsia" w:ascii="宋体" w:hAnsi="宋体" w:cs="宋体"/>
                <w:kern w:val="0"/>
                <w:sz w:val="24"/>
                <w:szCs w:val="24"/>
              </w:rPr>
              <w:t xml:space="preserve">是 </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sym w:font="Wingdings" w:char="00FE"/>
            </w:r>
            <w:r>
              <w:rPr>
                <w:rFonts w:ascii="宋体" w:hAnsi="宋体" w:cs="宋体"/>
                <w:kern w:val="0"/>
                <w:sz w:val="24"/>
                <w:szCs w:val="24"/>
              </w:rPr>
              <w:t xml:space="preserve"> </w:t>
            </w:r>
            <w:r>
              <w:rPr>
                <w:rFonts w:hint="eastAsia" w:ascii="宋体" w:hAnsi="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29" w:type="dxa"/>
            <w:vAlign w:val="center"/>
          </w:tcPr>
          <w:p>
            <w:pPr>
              <w:spacing w:line="360" w:lineRule="auto"/>
              <w:jc w:val="center"/>
              <w:rPr>
                <w:rFonts w:ascii="宋体" w:hAnsi="宋体" w:cs="宋体"/>
                <w:sz w:val="24"/>
                <w:szCs w:val="24"/>
              </w:rPr>
            </w:pPr>
            <w:r>
              <w:rPr>
                <w:rFonts w:hint="eastAsia" w:ascii="宋体" w:hAnsi="宋体" w:cs="宋体"/>
                <w:sz w:val="24"/>
                <w:szCs w:val="24"/>
              </w:rPr>
              <w:t>11</w:t>
            </w:r>
          </w:p>
        </w:tc>
        <w:tc>
          <w:tcPr>
            <w:tcW w:w="1554" w:type="dxa"/>
            <w:vAlign w:val="center"/>
          </w:tcPr>
          <w:p>
            <w:pPr>
              <w:widowControl/>
              <w:spacing w:line="360" w:lineRule="auto"/>
              <w:jc w:val="center"/>
              <w:rPr>
                <w:rFonts w:ascii="宋体" w:hAnsi="宋体" w:cs="宋体"/>
                <w:kern w:val="0"/>
                <w:sz w:val="24"/>
                <w:szCs w:val="24"/>
                <w:lang w:val="zh-CN"/>
              </w:rPr>
            </w:pPr>
            <w:r>
              <w:rPr>
                <w:rFonts w:hint="eastAsia" w:ascii="宋体" w:hAnsi="宋体" w:cs="宋体"/>
                <w:kern w:val="0"/>
                <w:sz w:val="24"/>
                <w:szCs w:val="24"/>
              </w:rPr>
              <w:t>中小企业划分标准所属行业</w:t>
            </w:r>
          </w:p>
        </w:tc>
        <w:tc>
          <w:tcPr>
            <w:tcW w:w="7214" w:type="dxa"/>
            <w:vAlign w:val="center"/>
          </w:tcPr>
          <w:p>
            <w:pPr>
              <w:widowControl/>
              <w:spacing w:line="360" w:lineRule="auto"/>
              <w:rPr>
                <w:rFonts w:ascii="宋体" w:hAnsi="宋体" w:cs="宋体"/>
                <w:kern w:val="0"/>
                <w:sz w:val="24"/>
                <w:szCs w:val="24"/>
                <w:lang w:val="zh-CN"/>
              </w:rPr>
            </w:pPr>
            <w:r>
              <w:rPr>
                <w:rFonts w:hint="eastAsia" w:ascii="宋体" w:hAnsi="宋体" w:cs="宋体"/>
                <w:kern w:val="0"/>
                <w:sz w:val="24"/>
                <w:szCs w:val="24"/>
              </w:rPr>
              <w:t>所属行业：软件和信息技术服务业。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29" w:type="dxa"/>
            <w:vAlign w:val="center"/>
          </w:tcPr>
          <w:p>
            <w:pPr>
              <w:spacing w:line="360" w:lineRule="auto"/>
              <w:jc w:val="center"/>
              <w:rPr>
                <w:rFonts w:ascii="宋体" w:hAnsi="宋体" w:cs="宋体"/>
                <w:sz w:val="24"/>
                <w:szCs w:val="24"/>
              </w:rPr>
            </w:pPr>
            <w:r>
              <w:rPr>
                <w:rFonts w:hint="eastAsia" w:ascii="宋体" w:hAnsi="宋体" w:cs="宋体"/>
                <w:sz w:val="24"/>
                <w:szCs w:val="24"/>
              </w:rPr>
              <w:t>12</w:t>
            </w:r>
          </w:p>
        </w:tc>
        <w:tc>
          <w:tcPr>
            <w:tcW w:w="1554" w:type="dxa"/>
            <w:vAlign w:val="center"/>
          </w:tcPr>
          <w:p>
            <w:pPr>
              <w:spacing w:line="360" w:lineRule="auto"/>
              <w:ind w:left="1"/>
              <w:jc w:val="center"/>
              <w:textAlignment w:val="bottom"/>
              <w:rPr>
                <w:rFonts w:ascii="宋体" w:hAnsi="宋体" w:cs="宋体"/>
                <w:sz w:val="24"/>
                <w:szCs w:val="24"/>
                <w:lang w:val="zh-CN"/>
              </w:rPr>
            </w:pPr>
            <w:r>
              <w:rPr>
                <w:rFonts w:hint="eastAsia" w:ascii="宋体" w:hAnsi="宋体" w:cs="宋体"/>
                <w:kern w:val="0"/>
                <w:sz w:val="24"/>
                <w:szCs w:val="24"/>
              </w:rPr>
              <w:t>节能环保</w:t>
            </w:r>
          </w:p>
        </w:tc>
        <w:tc>
          <w:tcPr>
            <w:tcW w:w="7214" w:type="dxa"/>
            <w:vAlign w:val="center"/>
          </w:tcPr>
          <w:p>
            <w:pPr>
              <w:pStyle w:val="3"/>
              <w:spacing w:line="360" w:lineRule="auto"/>
              <w:ind w:left="0" w:leftChars="0"/>
              <w:rPr>
                <w:rFonts w:ascii="宋体" w:hAnsi="宋体" w:cs="宋体"/>
                <w:bCs/>
                <w:sz w:val="24"/>
                <w:szCs w:val="24"/>
              </w:rPr>
            </w:pPr>
            <w:r>
              <w:rPr>
                <w:rFonts w:hint="eastAsia" w:ascii="宋体" w:hAnsi="宋体" w:cs="宋体"/>
                <w:bCs/>
                <w:sz w:val="24"/>
                <w:szCs w:val="24"/>
              </w:rPr>
              <w:t>1、节能产品的强制采购政策</w:t>
            </w:r>
          </w:p>
          <w:p>
            <w:pPr>
              <w:pStyle w:val="3"/>
              <w:spacing w:line="360" w:lineRule="auto"/>
              <w:ind w:left="0" w:leftChars="0"/>
              <w:rPr>
                <w:rFonts w:ascii="宋体" w:hAnsi="宋体" w:cs="宋体"/>
                <w:bCs/>
                <w:sz w:val="24"/>
                <w:szCs w:val="24"/>
              </w:rPr>
            </w:pPr>
            <w:r>
              <w:rPr>
                <w:rFonts w:hint="eastAsia" w:ascii="宋体" w:hAnsi="宋体" w:cs="宋体"/>
                <w:bCs/>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w:t>
            </w:r>
          </w:p>
          <w:p>
            <w:pPr>
              <w:pStyle w:val="3"/>
              <w:spacing w:line="360" w:lineRule="auto"/>
              <w:ind w:left="0" w:leftChars="0"/>
              <w:rPr>
                <w:rFonts w:ascii="宋体" w:hAnsi="宋体" w:cs="宋体"/>
                <w:bCs/>
                <w:sz w:val="24"/>
                <w:szCs w:val="24"/>
              </w:rPr>
            </w:pPr>
            <w:r>
              <w:rPr>
                <w:rFonts w:hint="eastAsia" w:ascii="宋体" w:hAnsi="宋体" w:cs="宋体"/>
                <w:bCs/>
                <w:sz w:val="24"/>
                <w:szCs w:val="24"/>
              </w:rPr>
              <w:t>2、节能产品、环境标志产品的优先采购政策</w:t>
            </w:r>
          </w:p>
          <w:p>
            <w:pPr>
              <w:spacing w:line="360" w:lineRule="auto"/>
              <w:ind w:left="1"/>
              <w:textAlignment w:val="bottom"/>
              <w:rPr>
                <w:rFonts w:ascii="宋体" w:hAnsi="宋体" w:cs="宋体"/>
                <w:sz w:val="24"/>
                <w:szCs w:val="24"/>
                <w:lang w:val="zh-CN"/>
              </w:rPr>
            </w:pPr>
            <w:r>
              <w:rPr>
                <w:rFonts w:hint="eastAsia" w:ascii="宋体" w:hAnsi="宋体" w:cs="宋体"/>
                <w:bCs/>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29" w:type="dxa"/>
            <w:vAlign w:val="center"/>
          </w:tcPr>
          <w:p>
            <w:pPr>
              <w:spacing w:line="360" w:lineRule="auto"/>
              <w:jc w:val="center"/>
              <w:rPr>
                <w:rFonts w:ascii="宋体" w:hAnsi="宋体" w:cs="宋体"/>
                <w:sz w:val="24"/>
                <w:szCs w:val="24"/>
              </w:rPr>
            </w:pPr>
            <w:r>
              <w:rPr>
                <w:rFonts w:hint="eastAsia" w:ascii="宋体" w:hAnsi="宋体" w:cs="宋体"/>
                <w:sz w:val="24"/>
                <w:szCs w:val="24"/>
              </w:rPr>
              <w:t>13</w:t>
            </w:r>
          </w:p>
        </w:tc>
        <w:tc>
          <w:tcPr>
            <w:tcW w:w="1554" w:type="dxa"/>
            <w:vAlign w:val="center"/>
          </w:tcPr>
          <w:p>
            <w:pPr>
              <w:spacing w:line="360" w:lineRule="auto"/>
              <w:jc w:val="center"/>
              <w:rPr>
                <w:rFonts w:ascii="宋体" w:hAnsi="宋体" w:cs="宋体"/>
                <w:sz w:val="24"/>
                <w:szCs w:val="24"/>
              </w:rPr>
            </w:pPr>
            <w:r>
              <w:rPr>
                <w:rFonts w:hint="eastAsia" w:ascii="宋体" w:hAnsi="宋体" w:cs="宋体"/>
                <w:sz w:val="24"/>
                <w:szCs w:val="24"/>
              </w:rPr>
              <w:t>其他</w:t>
            </w:r>
          </w:p>
        </w:tc>
        <w:tc>
          <w:tcPr>
            <w:tcW w:w="7214" w:type="dxa"/>
            <w:vAlign w:val="center"/>
          </w:tcPr>
          <w:p>
            <w:pPr>
              <w:numPr>
                <w:ilvl w:val="0"/>
                <w:numId w:val="8"/>
              </w:numPr>
              <w:spacing w:line="360" w:lineRule="auto"/>
              <w:rPr>
                <w:rFonts w:ascii="宋体" w:hAnsi="宋体" w:cs="宋体"/>
                <w:sz w:val="24"/>
                <w:szCs w:val="24"/>
              </w:rPr>
            </w:pPr>
            <w:r>
              <w:rPr>
                <w:rFonts w:hint="eastAsia" w:ascii="宋体" w:hAnsi="宋体" w:cs="宋体"/>
                <w:sz w:val="24"/>
                <w:szCs w:val="24"/>
              </w:rPr>
              <w:t>各供应商自行在浙江政府采购网下载或查阅采购文件和相关更正公告等，不另行通知，如有遗漏采购人、采购代理机构概不负责。</w:t>
            </w:r>
          </w:p>
          <w:p>
            <w:pPr>
              <w:numPr>
                <w:ilvl w:val="0"/>
                <w:numId w:val="8"/>
              </w:numPr>
              <w:spacing w:line="360" w:lineRule="auto"/>
              <w:rPr>
                <w:rFonts w:ascii="宋体" w:hAnsi="宋体" w:cs="宋体"/>
                <w:sz w:val="24"/>
                <w:szCs w:val="24"/>
              </w:rPr>
            </w:pPr>
            <w:r>
              <w:rPr>
                <w:rFonts w:hint="eastAsia" w:ascii="宋体" w:hAnsi="宋体" w:cs="宋体"/>
                <w:sz w:val="24"/>
                <w:szCs w:val="24"/>
              </w:rPr>
              <w:t>2、两家或两家以上供应商提供的投标文件出自同一终端设备的，或在相同Internet主机分配地址（相同IP地址）报名或网上投标的，后果由供应商自行承担。</w:t>
            </w:r>
          </w:p>
          <w:p>
            <w:pPr>
              <w:pStyle w:val="12"/>
              <w:spacing w:line="360" w:lineRule="auto"/>
              <w:rPr>
                <w:rFonts w:ascii="宋体" w:hAnsi="宋体" w:cs="宋体"/>
              </w:rPr>
            </w:pPr>
            <w:r>
              <w:rPr>
                <w:rFonts w:hint="eastAsia" w:ascii="宋体" w:hAnsi="宋体" w:cs="宋体"/>
              </w:rPr>
              <w:t>3、</w:t>
            </w:r>
            <w:r>
              <w:rPr>
                <w:rFonts w:hint="eastAsia" w:ascii="宋体" w:hAnsi="宋体" w:cs="宋体"/>
                <w:b/>
                <w:bCs/>
              </w:rPr>
              <w:t>开标时间后30分钟内供应商须携带CA自备电脑登录“政采云”平台，用“项目采购-开标评标”功能解密投标文件，投标人未按时解密或解密失败的，其上传的电子投标文件自动失效。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29" w:type="dxa"/>
            <w:vAlign w:val="center"/>
          </w:tcPr>
          <w:p>
            <w:pPr>
              <w:spacing w:line="360" w:lineRule="auto"/>
              <w:jc w:val="center"/>
              <w:rPr>
                <w:rFonts w:ascii="宋体" w:hAnsi="宋体" w:cs="宋体"/>
                <w:sz w:val="24"/>
                <w:szCs w:val="24"/>
              </w:rPr>
            </w:pPr>
            <w:r>
              <w:rPr>
                <w:rFonts w:hint="eastAsia" w:ascii="宋体" w:hAnsi="宋体" w:cs="宋体"/>
                <w:sz w:val="24"/>
                <w:szCs w:val="24"/>
              </w:rPr>
              <w:t>14</w:t>
            </w:r>
          </w:p>
        </w:tc>
        <w:tc>
          <w:tcPr>
            <w:tcW w:w="1554" w:type="dxa"/>
            <w:vAlign w:val="center"/>
          </w:tcPr>
          <w:p>
            <w:pPr>
              <w:spacing w:line="360" w:lineRule="auto"/>
              <w:jc w:val="center"/>
              <w:rPr>
                <w:rFonts w:ascii="宋体" w:hAnsi="宋体" w:cs="宋体"/>
                <w:sz w:val="24"/>
                <w:szCs w:val="24"/>
              </w:rPr>
            </w:pPr>
            <w:r>
              <w:rPr>
                <w:rFonts w:hint="eastAsia" w:ascii="宋体" w:hAnsi="宋体" w:cs="宋体"/>
                <w:sz w:val="24"/>
                <w:szCs w:val="24"/>
              </w:rPr>
              <w:t>解释权</w:t>
            </w:r>
          </w:p>
        </w:tc>
        <w:tc>
          <w:tcPr>
            <w:tcW w:w="7214" w:type="dxa"/>
            <w:vAlign w:val="center"/>
          </w:tcPr>
          <w:p>
            <w:pPr>
              <w:pStyle w:val="12"/>
              <w:spacing w:line="360" w:lineRule="auto"/>
              <w:rPr>
                <w:rFonts w:ascii="宋体" w:hAnsi="宋体" w:cs="宋体"/>
              </w:rPr>
            </w:pPr>
            <w:r>
              <w:rPr>
                <w:rFonts w:hint="eastAsia" w:ascii="宋体" w:hAnsi="宋体" w:cs="宋体"/>
              </w:rPr>
              <w:t>本招标文件解释权属于采购人和台州市玖诚工程管理有限公司。</w:t>
            </w:r>
          </w:p>
        </w:tc>
      </w:tr>
    </w:tbl>
    <w:p>
      <w:pPr>
        <w:spacing w:line="360" w:lineRule="auto"/>
        <w:rPr>
          <w:rFonts w:ascii="宋体" w:hAnsi="宋体" w:cs="宋体"/>
          <w:b/>
          <w:bCs/>
          <w:sz w:val="24"/>
          <w:szCs w:val="24"/>
        </w:rPr>
      </w:pPr>
    </w:p>
    <w:p>
      <w:pPr>
        <w:pStyle w:val="7"/>
        <w:spacing w:line="360" w:lineRule="auto"/>
        <w:rPr>
          <w:rFonts w:ascii="宋体" w:hAnsi="宋体" w:eastAsia="宋体" w:cs="宋体"/>
          <w:sz w:val="24"/>
          <w:szCs w:val="24"/>
        </w:rPr>
      </w:pPr>
    </w:p>
    <w:p>
      <w:pPr>
        <w:spacing w:line="360" w:lineRule="auto"/>
        <w:rPr>
          <w:rFonts w:ascii="宋体" w:hAnsi="宋体" w:cs="宋体"/>
          <w:b/>
          <w:bCs/>
          <w:sz w:val="24"/>
          <w:szCs w:val="24"/>
        </w:rPr>
      </w:pPr>
    </w:p>
    <w:p>
      <w:pPr>
        <w:pStyle w:val="92"/>
        <w:spacing w:line="360" w:lineRule="auto"/>
        <w:rPr>
          <w:rFonts w:ascii="宋体" w:hAnsi="宋体" w:cs="宋体"/>
          <w:color w:val="auto"/>
        </w:rPr>
      </w:pPr>
    </w:p>
    <w:p>
      <w:pPr>
        <w:pStyle w:val="92"/>
        <w:spacing w:line="360" w:lineRule="auto"/>
        <w:rPr>
          <w:rFonts w:ascii="宋体" w:hAnsi="宋体" w:cs="宋体"/>
          <w:color w:val="auto"/>
        </w:rPr>
      </w:pPr>
    </w:p>
    <w:p>
      <w:pPr>
        <w:pStyle w:val="92"/>
        <w:spacing w:line="360" w:lineRule="auto"/>
        <w:rPr>
          <w:rFonts w:ascii="宋体" w:hAnsi="宋体" w:cs="宋体"/>
          <w:color w:val="auto"/>
        </w:rPr>
      </w:pPr>
    </w:p>
    <w:p>
      <w:pPr>
        <w:pStyle w:val="92"/>
        <w:spacing w:line="360" w:lineRule="auto"/>
        <w:rPr>
          <w:rFonts w:ascii="宋体" w:hAnsi="宋体" w:cs="宋体"/>
          <w:color w:val="auto"/>
        </w:rPr>
      </w:pPr>
    </w:p>
    <w:p>
      <w:pPr>
        <w:pStyle w:val="92"/>
        <w:spacing w:line="360" w:lineRule="auto"/>
        <w:rPr>
          <w:rFonts w:ascii="宋体" w:hAnsi="宋体" w:cs="宋体"/>
          <w:color w:val="auto"/>
        </w:rPr>
      </w:pPr>
    </w:p>
    <w:p>
      <w:pPr>
        <w:pStyle w:val="92"/>
        <w:spacing w:line="360" w:lineRule="auto"/>
        <w:rPr>
          <w:rFonts w:ascii="宋体" w:hAnsi="宋体" w:cs="宋体"/>
          <w:color w:val="auto"/>
        </w:rPr>
      </w:pPr>
    </w:p>
    <w:p>
      <w:pPr>
        <w:pStyle w:val="92"/>
        <w:spacing w:line="360" w:lineRule="auto"/>
        <w:rPr>
          <w:rFonts w:ascii="宋体" w:hAnsi="宋体" w:cs="宋体"/>
          <w:color w:val="auto"/>
        </w:rPr>
      </w:pPr>
    </w:p>
    <w:p>
      <w:pPr>
        <w:pStyle w:val="92"/>
        <w:spacing w:line="360" w:lineRule="auto"/>
        <w:rPr>
          <w:rFonts w:ascii="宋体" w:hAnsi="宋体" w:cs="宋体"/>
          <w:color w:val="auto"/>
        </w:rPr>
      </w:pPr>
    </w:p>
    <w:p>
      <w:pPr>
        <w:pStyle w:val="92"/>
        <w:spacing w:line="360" w:lineRule="auto"/>
        <w:rPr>
          <w:rFonts w:ascii="宋体" w:hAnsi="宋体" w:cs="宋体"/>
          <w:color w:val="auto"/>
        </w:rPr>
      </w:pPr>
    </w:p>
    <w:p>
      <w:pPr>
        <w:pStyle w:val="92"/>
        <w:spacing w:line="360" w:lineRule="auto"/>
        <w:rPr>
          <w:rFonts w:ascii="宋体" w:hAnsi="宋体" w:cs="宋体"/>
          <w:color w:val="auto"/>
        </w:rPr>
      </w:pPr>
    </w:p>
    <w:p>
      <w:pPr>
        <w:pStyle w:val="92"/>
        <w:spacing w:line="360" w:lineRule="auto"/>
        <w:rPr>
          <w:rFonts w:ascii="宋体" w:hAnsi="宋体" w:cs="宋体"/>
          <w:color w:val="auto"/>
        </w:rPr>
      </w:pPr>
    </w:p>
    <w:p>
      <w:pPr>
        <w:pStyle w:val="92"/>
        <w:spacing w:line="360" w:lineRule="auto"/>
        <w:rPr>
          <w:rFonts w:ascii="宋体" w:hAnsi="宋体" w:cs="宋体"/>
          <w:color w:val="auto"/>
        </w:rPr>
      </w:pPr>
    </w:p>
    <w:p>
      <w:pPr>
        <w:spacing w:line="360" w:lineRule="auto"/>
        <w:rPr>
          <w:rFonts w:ascii="宋体" w:hAnsi="宋体" w:cs="宋体"/>
          <w:b/>
          <w:bCs/>
          <w:sz w:val="24"/>
          <w:szCs w:val="32"/>
        </w:rPr>
      </w:pPr>
      <w:r>
        <w:rPr>
          <w:rFonts w:hint="eastAsia" w:ascii="宋体" w:hAnsi="宋体" w:cs="宋体"/>
          <w:b/>
          <w:bCs/>
          <w:sz w:val="24"/>
          <w:szCs w:val="32"/>
        </w:rPr>
        <w:t>一 、总  则</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（一） 适用范围</w:t>
      </w:r>
    </w:p>
    <w:p>
      <w:pPr>
        <w:spacing w:line="360" w:lineRule="auto"/>
        <w:ind w:firstLine="480" w:firstLineChars="200"/>
        <w:rPr>
          <w:rFonts w:ascii="宋体" w:hAnsi="宋体" w:cs="宋体"/>
          <w:sz w:val="24"/>
          <w:szCs w:val="32"/>
        </w:rPr>
      </w:pPr>
      <w:r>
        <w:rPr>
          <w:rFonts w:hint="eastAsia" w:ascii="宋体" w:hAnsi="宋体" w:cs="宋体"/>
          <w:sz w:val="24"/>
          <w:szCs w:val="32"/>
        </w:rPr>
        <w:t>本招标文件适用于本次项目的招标、投标、评标、定标、验收、合同履约、付款等行为（法律、法规另有规定的，从其规定）。</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（二）定义</w:t>
      </w:r>
    </w:p>
    <w:p>
      <w:pPr>
        <w:spacing w:line="360" w:lineRule="auto"/>
        <w:ind w:firstLine="480" w:firstLineChars="200"/>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zh-CN"/>
        </w:rPr>
        <w:t>“采购组织机构”指采购人委托组织招标的采购代理机构。</w:t>
      </w:r>
    </w:p>
    <w:p>
      <w:pPr>
        <w:spacing w:line="360" w:lineRule="auto"/>
        <w:ind w:firstLine="480" w:firstLineChars="200"/>
        <w:rPr>
          <w:rFonts w:ascii="宋体" w:hAnsi="宋体" w:cs="宋体"/>
          <w:sz w:val="24"/>
          <w:szCs w:val="32"/>
        </w:rPr>
      </w:pPr>
      <w:r>
        <w:rPr>
          <w:rFonts w:hint="eastAsia" w:ascii="宋体" w:hAnsi="宋体" w:cs="宋体"/>
          <w:sz w:val="24"/>
          <w:szCs w:val="32"/>
        </w:rPr>
        <w:t>2、采购人：是指委托采购代理机构采购本次项目的国家机关、事业单位和团体组织。</w:t>
      </w:r>
    </w:p>
    <w:p>
      <w:pPr>
        <w:spacing w:line="360" w:lineRule="auto"/>
        <w:ind w:firstLine="480" w:firstLineChars="200"/>
        <w:rPr>
          <w:rFonts w:ascii="宋体" w:hAnsi="宋体" w:cs="宋体"/>
          <w:sz w:val="24"/>
          <w:szCs w:val="32"/>
        </w:rPr>
      </w:pPr>
      <w:r>
        <w:rPr>
          <w:rFonts w:hint="eastAsia" w:ascii="宋体" w:hAnsi="宋体" w:cs="宋体"/>
          <w:sz w:val="24"/>
          <w:szCs w:val="32"/>
        </w:rPr>
        <w:t>3、投标人：是指向采购</w:t>
      </w:r>
      <w:r>
        <w:rPr>
          <w:rFonts w:hint="eastAsia" w:ascii="宋体" w:hAnsi="宋体" w:cs="宋体"/>
          <w:sz w:val="24"/>
          <w:szCs w:val="32"/>
          <w:lang w:val="zh-CN"/>
        </w:rPr>
        <w:t>组织</w:t>
      </w:r>
      <w:r>
        <w:rPr>
          <w:rFonts w:hint="eastAsia" w:ascii="宋体" w:hAnsi="宋体" w:cs="宋体"/>
          <w:sz w:val="24"/>
          <w:szCs w:val="32"/>
        </w:rPr>
        <w:t>机构提交投标文件的单位或个人。</w:t>
      </w:r>
    </w:p>
    <w:p>
      <w:pPr>
        <w:spacing w:line="360" w:lineRule="auto"/>
        <w:ind w:firstLine="480" w:firstLineChars="200"/>
        <w:rPr>
          <w:rFonts w:ascii="宋体" w:hAnsi="宋体" w:cs="宋体"/>
          <w:sz w:val="24"/>
          <w:szCs w:val="32"/>
        </w:rPr>
      </w:pPr>
      <w:r>
        <w:rPr>
          <w:rFonts w:hint="eastAsia" w:ascii="宋体" w:hAnsi="宋体" w:cs="宋体"/>
          <w:sz w:val="24"/>
          <w:szCs w:val="32"/>
        </w:rPr>
        <w:t>4、货物：是指各种形态和种类的物品，包括原材料、燃料、设备、产品等。</w:t>
      </w:r>
    </w:p>
    <w:p>
      <w:pPr>
        <w:spacing w:line="360" w:lineRule="auto"/>
        <w:ind w:firstLine="480" w:firstLineChars="200"/>
        <w:rPr>
          <w:rFonts w:ascii="宋体" w:hAnsi="宋体" w:cs="宋体"/>
          <w:sz w:val="24"/>
          <w:szCs w:val="32"/>
        </w:rPr>
      </w:pPr>
      <w:r>
        <w:rPr>
          <w:rFonts w:hint="eastAsia" w:ascii="宋体" w:hAnsi="宋体" w:cs="宋体"/>
          <w:sz w:val="24"/>
          <w:szCs w:val="32"/>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宋体" w:hAnsi="宋体" w:cs="宋体"/>
          <w:sz w:val="24"/>
          <w:szCs w:val="32"/>
        </w:rPr>
      </w:pPr>
      <w:r>
        <w:rPr>
          <w:rFonts w:hint="eastAsia" w:ascii="宋体" w:hAnsi="宋体" w:cs="宋体"/>
          <w:sz w:val="24"/>
          <w:szCs w:val="32"/>
        </w:rPr>
        <w:t>6、“书面形式”包括信函、传真等。</w:t>
      </w:r>
    </w:p>
    <w:p>
      <w:pPr>
        <w:spacing w:line="360" w:lineRule="auto"/>
        <w:ind w:firstLine="480" w:firstLineChars="200"/>
        <w:rPr>
          <w:rFonts w:ascii="宋体" w:hAnsi="宋体" w:cs="宋体"/>
          <w:sz w:val="24"/>
          <w:szCs w:val="32"/>
        </w:rPr>
      </w:pPr>
      <w:r>
        <w:rPr>
          <w:rFonts w:hint="eastAsia" w:ascii="宋体" w:hAnsi="宋体" w:cs="宋体"/>
          <w:sz w:val="24"/>
          <w:szCs w:val="32"/>
        </w:rPr>
        <w:t>7、“▲”系指实质性要求条款。</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（三）投标费用</w:t>
      </w:r>
    </w:p>
    <w:p>
      <w:pPr>
        <w:spacing w:line="360" w:lineRule="auto"/>
        <w:ind w:firstLine="480" w:firstLineChars="200"/>
        <w:rPr>
          <w:rFonts w:ascii="宋体" w:hAnsi="宋体" w:cs="宋体"/>
          <w:sz w:val="24"/>
          <w:szCs w:val="32"/>
        </w:rPr>
      </w:pPr>
      <w:r>
        <w:rPr>
          <w:rFonts w:hint="eastAsia" w:ascii="宋体" w:hAnsi="宋体" w:cs="宋体"/>
          <w:sz w:val="24"/>
          <w:szCs w:val="32"/>
        </w:rPr>
        <w:t>不论投标结果如何，投标人均应自行承担所有与投标有关的全部费用（招标文件有相关规定除外）。</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（四）特别说明</w:t>
      </w:r>
    </w:p>
    <w:p>
      <w:pPr>
        <w:spacing w:line="360" w:lineRule="auto"/>
        <w:ind w:firstLine="480" w:firstLineChars="200"/>
        <w:rPr>
          <w:rFonts w:ascii="宋体" w:hAnsi="宋体" w:cs="宋体"/>
          <w:sz w:val="24"/>
          <w:szCs w:val="32"/>
        </w:rPr>
      </w:pPr>
      <w:r>
        <w:rPr>
          <w:rFonts w:hint="eastAsia" w:ascii="宋体" w:hAnsi="宋体" w:cs="宋体"/>
          <w:sz w:val="24"/>
          <w:szCs w:val="32"/>
        </w:rPr>
        <w:t>1、投标人投标所使用的资格、信誉、荣誉、业绩与企业认证必须为本法人所拥有。投标人投标所使用的采购项目实施人员必须为本法人员工（指本法人或控股公司正式员工）。</w:t>
      </w:r>
    </w:p>
    <w:p>
      <w:pPr>
        <w:spacing w:line="360" w:lineRule="auto"/>
        <w:ind w:firstLine="480" w:firstLineChars="200"/>
        <w:rPr>
          <w:rFonts w:ascii="宋体" w:hAnsi="宋体" w:cs="宋体"/>
          <w:sz w:val="24"/>
          <w:szCs w:val="32"/>
        </w:rPr>
      </w:pPr>
      <w:r>
        <w:rPr>
          <w:rFonts w:hint="eastAsia" w:ascii="宋体" w:hAnsi="宋体" w:cs="宋体"/>
          <w:sz w:val="24"/>
          <w:szCs w:val="32"/>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sz w:val="24"/>
          <w:szCs w:val="32"/>
        </w:rPr>
        <w:tab/>
      </w:r>
    </w:p>
    <w:p>
      <w:pPr>
        <w:spacing w:line="360" w:lineRule="auto"/>
        <w:ind w:firstLine="480" w:firstLineChars="200"/>
        <w:rPr>
          <w:rFonts w:ascii="宋体" w:hAnsi="宋体" w:cs="宋体"/>
          <w:sz w:val="24"/>
          <w:szCs w:val="32"/>
        </w:rPr>
      </w:pPr>
      <w:r>
        <w:rPr>
          <w:rFonts w:hint="eastAsia" w:ascii="宋体" w:hAnsi="宋体" w:cs="宋体"/>
          <w:sz w:val="24"/>
          <w:szCs w:val="32"/>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cs="宋体"/>
          <w:sz w:val="24"/>
          <w:szCs w:val="32"/>
        </w:rPr>
      </w:pPr>
      <w:r>
        <w:rPr>
          <w:rFonts w:hint="eastAsia" w:ascii="宋体" w:hAnsi="宋体" w:cs="宋体"/>
          <w:sz w:val="24"/>
          <w:szCs w:val="32"/>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hAnsi="宋体" w:cs="宋体"/>
          <w:sz w:val="24"/>
          <w:szCs w:val="32"/>
        </w:rPr>
      </w:pPr>
      <w:r>
        <w:rPr>
          <w:rFonts w:hint="eastAsia" w:ascii="宋体" w:hAnsi="宋体" w:cs="宋体"/>
          <w:sz w:val="24"/>
          <w:szCs w:val="32"/>
        </w:rPr>
        <w:t>5、为采购项目提供整体设计、规范编制或者项目管理、监理、检测等服务的供应商，不得再参加该采购项目的其他采购活动。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sz w:val="24"/>
          <w:szCs w:val="32"/>
        </w:rPr>
      </w:pPr>
      <w:r>
        <w:rPr>
          <w:rFonts w:hint="eastAsia" w:ascii="宋体" w:hAnsi="宋体" w:cs="宋体"/>
          <w:sz w:val="24"/>
          <w:szCs w:val="32"/>
        </w:rPr>
        <w:t>6、投标文件格式中的表格式样可以根据项目差别做适当调整，但应当保持表格样式基本形态不变。</w:t>
      </w:r>
    </w:p>
    <w:p>
      <w:pPr>
        <w:spacing w:line="360" w:lineRule="auto"/>
        <w:ind w:firstLine="480" w:firstLineChars="200"/>
        <w:rPr>
          <w:rFonts w:ascii="宋体" w:hAnsi="宋体" w:cs="宋体"/>
          <w:sz w:val="24"/>
          <w:szCs w:val="32"/>
        </w:rPr>
      </w:pPr>
      <w:r>
        <w:rPr>
          <w:rFonts w:hint="eastAsia" w:ascii="宋体" w:hAnsi="宋体" w:cs="宋体"/>
          <w:sz w:val="24"/>
          <w:szCs w:val="32"/>
        </w:rPr>
        <w:t>7、单位负责人为同一人或者存在直接控股、管理关系的不同供应商，不得参加同一合同项下的政府采购活动。</w:t>
      </w:r>
    </w:p>
    <w:p>
      <w:pPr>
        <w:spacing w:line="360" w:lineRule="auto"/>
        <w:ind w:firstLine="480" w:firstLineChars="200"/>
        <w:rPr>
          <w:rFonts w:ascii="宋体" w:hAnsi="宋体" w:cs="宋体"/>
          <w:sz w:val="24"/>
          <w:szCs w:val="32"/>
        </w:rPr>
      </w:pPr>
      <w:r>
        <w:rPr>
          <w:rFonts w:hint="eastAsia" w:ascii="宋体" w:hAnsi="宋体" w:cs="宋体"/>
          <w:sz w:val="24"/>
          <w:szCs w:val="32"/>
        </w:rPr>
        <w:t>8、本项目不允许分包。</w:t>
      </w:r>
    </w:p>
    <w:p>
      <w:pPr>
        <w:spacing w:line="360" w:lineRule="auto"/>
        <w:rPr>
          <w:rFonts w:ascii="宋体" w:hAnsi="宋体" w:cs="宋体"/>
          <w:b/>
          <w:bCs/>
          <w:sz w:val="24"/>
          <w:szCs w:val="32"/>
        </w:rPr>
      </w:pPr>
      <w:r>
        <w:rPr>
          <w:rFonts w:hint="eastAsia" w:ascii="宋体" w:hAnsi="宋体" w:cs="宋体"/>
          <w:b/>
          <w:bCs/>
          <w:sz w:val="24"/>
          <w:szCs w:val="32"/>
        </w:rPr>
        <w:t>二、招标文件</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（一）招标文件由招标文件总目录所列内容组成。</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（二）招标文件的澄清或修改</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ascii="宋体" w:hAnsi="宋体" w:cs="宋体"/>
          <w:sz w:val="24"/>
          <w:szCs w:val="32"/>
        </w:rPr>
      </w:pPr>
      <w:r>
        <w:rPr>
          <w:rFonts w:hint="eastAsia" w:ascii="宋体" w:hAnsi="宋体" w:cs="宋体"/>
          <w:sz w:val="24"/>
          <w:szCs w:val="32"/>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hAnsi="宋体" w:cs="宋体"/>
          <w:b/>
          <w:bCs/>
          <w:sz w:val="24"/>
          <w:szCs w:val="32"/>
        </w:rPr>
      </w:pPr>
      <w:r>
        <w:rPr>
          <w:rFonts w:hint="eastAsia" w:ascii="宋体" w:hAnsi="宋体" w:cs="宋体"/>
          <w:b/>
          <w:bCs/>
          <w:sz w:val="24"/>
          <w:szCs w:val="32"/>
        </w:rPr>
        <w:t>三、投标文件</w:t>
      </w:r>
    </w:p>
    <w:p>
      <w:pPr>
        <w:spacing w:line="360" w:lineRule="auto"/>
        <w:ind w:firstLine="241" w:firstLineChars="100"/>
        <w:rPr>
          <w:rFonts w:ascii="宋体" w:hAnsi="宋体" w:cs="宋体"/>
          <w:b/>
          <w:bCs/>
          <w:sz w:val="24"/>
          <w:szCs w:val="32"/>
        </w:rPr>
      </w:pPr>
      <w:r>
        <w:rPr>
          <w:rFonts w:hint="eastAsia" w:ascii="宋体" w:hAnsi="宋体" w:cs="宋体"/>
          <w:b/>
          <w:bCs/>
          <w:sz w:val="24"/>
          <w:szCs w:val="32"/>
          <w:lang w:val="zh-CN"/>
        </w:rPr>
        <w:t>（一）</w:t>
      </w:r>
      <w:r>
        <w:rPr>
          <w:rFonts w:hint="eastAsia" w:ascii="宋体" w:hAnsi="宋体" w:cs="宋体"/>
          <w:b/>
          <w:bCs/>
          <w:sz w:val="24"/>
          <w:szCs w:val="32"/>
        </w:rPr>
        <w:t>投标文件的组成</w:t>
      </w:r>
    </w:p>
    <w:p>
      <w:pPr>
        <w:spacing w:line="360" w:lineRule="auto"/>
        <w:ind w:firstLine="480" w:firstLineChars="200"/>
        <w:rPr>
          <w:rFonts w:ascii="宋体" w:hAnsi="宋体" w:cs="宋体"/>
          <w:sz w:val="24"/>
          <w:szCs w:val="32"/>
        </w:rPr>
      </w:pPr>
      <w:r>
        <w:rPr>
          <w:rFonts w:hint="eastAsia" w:ascii="宋体" w:hAnsi="宋体" w:cs="宋体"/>
          <w:sz w:val="24"/>
          <w:szCs w:val="32"/>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sz w:val="24"/>
          <w:szCs w:val="32"/>
          <w:lang w:val="zh-CN"/>
        </w:rPr>
        <w:t>】</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1、资格证明文件的组成：</w:t>
      </w:r>
    </w:p>
    <w:p>
      <w:pPr>
        <w:spacing w:line="360" w:lineRule="auto"/>
        <w:ind w:firstLine="480" w:firstLineChars="200"/>
        <w:rPr>
          <w:rFonts w:ascii="宋体" w:hAnsi="宋体" w:cs="宋体"/>
          <w:sz w:val="24"/>
          <w:szCs w:val="32"/>
        </w:rPr>
      </w:pPr>
      <w:r>
        <w:rPr>
          <w:rFonts w:hint="eastAsia" w:ascii="宋体" w:hAnsi="宋体" w:cs="宋体"/>
          <w:sz w:val="24"/>
          <w:szCs w:val="32"/>
        </w:rPr>
        <w:t>（1）投标声明书（附件2）；</w:t>
      </w:r>
    </w:p>
    <w:p>
      <w:pPr>
        <w:spacing w:line="360" w:lineRule="auto"/>
        <w:ind w:firstLine="480" w:firstLineChars="200"/>
        <w:rPr>
          <w:rFonts w:ascii="宋体" w:hAnsi="宋体" w:cs="宋体"/>
          <w:sz w:val="24"/>
          <w:szCs w:val="32"/>
        </w:rPr>
      </w:pPr>
      <w:r>
        <w:rPr>
          <w:rFonts w:hint="eastAsia" w:ascii="宋体" w:hAnsi="宋体" w:cs="宋体"/>
          <w:sz w:val="24"/>
          <w:szCs w:val="32"/>
        </w:rPr>
        <w:t>（2）授权委托书（附件3）；（法定代表人亲自办理投标事宜的，则无需提交）；</w:t>
      </w:r>
    </w:p>
    <w:p>
      <w:pPr>
        <w:spacing w:line="360" w:lineRule="auto"/>
        <w:ind w:firstLine="480" w:firstLineChars="200"/>
        <w:rPr>
          <w:rFonts w:ascii="宋体" w:hAnsi="宋体" w:cs="宋体"/>
          <w:sz w:val="24"/>
          <w:szCs w:val="32"/>
        </w:rPr>
      </w:pPr>
      <w:r>
        <w:rPr>
          <w:rFonts w:hint="eastAsia" w:ascii="宋体" w:hAnsi="宋体" w:cs="宋体"/>
          <w:sz w:val="24"/>
          <w:szCs w:val="32"/>
        </w:rPr>
        <w:t>（3）法人或者其他组织的营业执照等证明文件，自然人的身份证明；</w:t>
      </w:r>
    </w:p>
    <w:p>
      <w:pPr>
        <w:spacing w:line="360" w:lineRule="auto"/>
        <w:ind w:firstLine="480" w:firstLineChars="200"/>
        <w:rPr>
          <w:rFonts w:ascii="宋体" w:hAnsi="宋体" w:cs="宋体"/>
          <w:sz w:val="24"/>
          <w:szCs w:val="32"/>
        </w:rPr>
      </w:pPr>
      <w:r>
        <w:rPr>
          <w:rFonts w:hint="eastAsia" w:ascii="宋体" w:hAnsi="宋体" w:cs="宋体"/>
          <w:sz w:val="24"/>
          <w:szCs w:val="32"/>
        </w:rPr>
        <w:t>（4）良好财务状况，依法缴纳税收和社会保障资金的相关证明材料</w:t>
      </w:r>
      <w:r>
        <w:rPr>
          <w:rFonts w:hint="eastAsia" w:ascii="宋体" w:hAnsi="宋体" w:cs="宋体"/>
          <w:sz w:val="24"/>
          <w:szCs w:val="24"/>
          <w:lang w:val="zh-CN"/>
        </w:rPr>
        <w:t>（附件</w:t>
      </w:r>
      <w:r>
        <w:rPr>
          <w:rFonts w:hint="eastAsia" w:ascii="宋体" w:hAnsi="宋体" w:cs="宋体"/>
          <w:sz w:val="24"/>
          <w:szCs w:val="24"/>
        </w:rPr>
        <w:t>4</w:t>
      </w:r>
      <w:r>
        <w:rPr>
          <w:rFonts w:hint="eastAsia" w:ascii="宋体" w:hAnsi="宋体" w:cs="宋体"/>
          <w:sz w:val="24"/>
          <w:szCs w:val="24"/>
          <w:lang w:val="zh-CN"/>
        </w:rPr>
        <w:t>）</w:t>
      </w: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w:t>
      </w:r>
      <w:r>
        <w:rPr>
          <w:rFonts w:ascii="宋体" w:hAnsi="宋体" w:cs="宋体"/>
          <w:sz w:val="24"/>
          <w:szCs w:val="32"/>
        </w:rPr>
        <w:t>5</w:t>
      </w:r>
      <w:r>
        <w:rPr>
          <w:rFonts w:hint="eastAsia" w:ascii="宋体" w:hAnsi="宋体" w:cs="宋体"/>
          <w:sz w:val="24"/>
          <w:szCs w:val="32"/>
        </w:rPr>
        <w:t>）提供采购公告中符合供应商特定条件的有效资质证书复印件（投标供应商特定条件中有要求的必须提供），以及需要说明的其他资料.</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2、商务与技术文件的组成：</w:t>
      </w:r>
    </w:p>
    <w:p>
      <w:pPr>
        <w:snapToGrid w:val="0"/>
        <w:spacing w:line="360" w:lineRule="auto"/>
        <w:ind w:firstLine="480" w:firstLineChars="200"/>
        <w:rPr>
          <w:rFonts w:ascii="宋体" w:hAnsi="宋体" w:cs="宋体"/>
          <w:sz w:val="24"/>
        </w:rPr>
      </w:pPr>
      <w:r>
        <w:rPr>
          <w:rFonts w:hint="eastAsia" w:ascii="宋体" w:hAnsi="宋体" w:cs="宋体"/>
          <w:sz w:val="24"/>
          <w:szCs w:val="32"/>
        </w:rPr>
        <w:t>（1）</w:t>
      </w:r>
      <w:r>
        <w:rPr>
          <w:rFonts w:hint="eastAsia" w:ascii="宋体" w:hAnsi="宋体" w:cs="宋体"/>
          <w:sz w:val="24"/>
        </w:rPr>
        <w:t>投标人情况介绍（附件5）；</w:t>
      </w:r>
    </w:p>
    <w:p>
      <w:pPr>
        <w:spacing w:line="360" w:lineRule="auto"/>
        <w:ind w:firstLine="480" w:firstLineChars="200"/>
        <w:rPr>
          <w:rFonts w:ascii="宋体" w:hAnsi="宋体" w:cs="宋体"/>
          <w:sz w:val="24"/>
          <w:szCs w:val="32"/>
        </w:rPr>
      </w:pPr>
      <w:r>
        <w:rPr>
          <w:rFonts w:hint="eastAsia" w:ascii="宋体" w:hAnsi="宋体" w:cs="宋体"/>
          <w:sz w:val="24"/>
          <w:szCs w:val="32"/>
        </w:rPr>
        <w:t>（2）投标方案描述：</w:t>
      </w:r>
    </w:p>
    <w:p>
      <w:pPr>
        <w:spacing w:line="360" w:lineRule="auto"/>
        <w:ind w:firstLine="480" w:firstLineChars="200"/>
        <w:rPr>
          <w:rFonts w:ascii="宋体" w:hAnsi="宋体" w:cs="宋体"/>
          <w:sz w:val="24"/>
          <w:szCs w:val="32"/>
        </w:rPr>
      </w:pPr>
      <w:r>
        <w:rPr>
          <w:rFonts w:hint="eastAsia" w:ascii="宋体" w:hAnsi="宋体" w:cs="宋体"/>
          <w:sz w:val="24"/>
          <w:szCs w:val="32"/>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ascii="宋体" w:hAnsi="宋体" w:cs="宋体"/>
          <w:sz w:val="24"/>
          <w:szCs w:val="32"/>
        </w:rPr>
      </w:pPr>
      <w:r>
        <w:rPr>
          <w:rFonts w:hint="eastAsia" w:ascii="宋体" w:hAnsi="宋体" w:cs="宋体"/>
          <w:sz w:val="24"/>
          <w:szCs w:val="32"/>
        </w:rPr>
        <w:t>B.项目组织实施方案（包括项目工期、确保项目供货的措施或方案、项目实施进度安排、项目实施人员及项目负责人的资质、类似经验及社保证明等）。</w:t>
      </w:r>
    </w:p>
    <w:p>
      <w:pPr>
        <w:snapToGrid w:val="0"/>
        <w:spacing w:line="360" w:lineRule="auto"/>
        <w:ind w:firstLine="480" w:firstLineChars="200"/>
        <w:rPr>
          <w:rFonts w:ascii="宋体" w:hAnsi="宋体" w:cs="宋体"/>
          <w:sz w:val="24"/>
        </w:rPr>
      </w:pPr>
      <w:r>
        <w:rPr>
          <w:rFonts w:hint="eastAsia" w:ascii="宋体" w:hAnsi="宋体" w:cs="宋体"/>
          <w:sz w:val="24"/>
        </w:rPr>
        <w:t>项目实施人员一览表（附件6）</w:t>
      </w:r>
    </w:p>
    <w:p>
      <w:pPr>
        <w:snapToGrid w:val="0"/>
        <w:spacing w:line="360" w:lineRule="auto"/>
        <w:ind w:firstLine="480" w:firstLineChars="200"/>
        <w:rPr>
          <w:rFonts w:ascii="宋体" w:hAnsi="宋体" w:cs="宋体"/>
          <w:sz w:val="24"/>
        </w:rPr>
      </w:pPr>
      <w:r>
        <w:rPr>
          <w:rFonts w:hint="eastAsia" w:ascii="宋体" w:hAnsi="宋体" w:cs="宋体"/>
          <w:sz w:val="24"/>
        </w:rPr>
        <w:t xml:space="preserve">项目负责人资格情况表(附件7) </w:t>
      </w:r>
    </w:p>
    <w:p>
      <w:pPr>
        <w:spacing w:line="360" w:lineRule="auto"/>
        <w:ind w:firstLine="480" w:firstLineChars="200"/>
        <w:rPr>
          <w:rFonts w:ascii="宋体" w:hAnsi="宋体" w:cs="宋体"/>
          <w:sz w:val="24"/>
          <w:szCs w:val="32"/>
        </w:rPr>
      </w:pPr>
      <w:r>
        <w:rPr>
          <w:rFonts w:hint="eastAsia" w:ascii="宋体" w:hAnsi="宋体" w:cs="宋体"/>
          <w:sz w:val="24"/>
          <w:szCs w:val="32"/>
        </w:rPr>
        <w:t>C.安装、调试及验收方案（包括项目验收标准和验收方法等）和措施。</w:t>
      </w:r>
    </w:p>
    <w:p>
      <w:pPr>
        <w:spacing w:line="360" w:lineRule="auto"/>
        <w:ind w:firstLine="480" w:firstLineChars="200"/>
        <w:rPr>
          <w:rFonts w:ascii="宋体" w:hAnsi="宋体" w:cs="宋体"/>
          <w:sz w:val="24"/>
          <w:szCs w:val="32"/>
        </w:rPr>
      </w:pPr>
      <w:r>
        <w:rPr>
          <w:rFonts w:hint="eastAsia" w:ascii="宋体" w:hAnsi="宋体" w:cs="宋体"/>
          <w:sz w:val="24"/>
          <w:szCs w:val="32"/>
        </w:rPr>
        <w:t>（3）投标产品描述及相关资料：</w:t>
      </w:r>
    </w:p>
    <w:p>
      <w:pPr>
        <w:spacing w:line="360" w:lineRule="auto"/>
        <w:ind w:firstLine="480" w:firstLineChars="200"/>
        <w:rPr>
          <w:rFonts w:ascii="宋体" w:hAnsi="宋体" w:cs="宋体"/>
          <w:sz w:val="24"/>
          <w:szCs w:val="32"/>
        </w:rPr>
      </w:pPr>
      <w:r>
        <w:rPr>
          <w:rFonts w:hint="eastAsia" w:ascii="宋体" w:hAnsi="宋体" w:cs="宋体"/>
          <w:sz w:val="24"/>
          <w:szCs w:val="32"/>
        </w:rPr>
        <w:t>A.产品清单(附件8）</w:t>
      </w:r>
    </w:p>
    <w:p>
      <w:pPr>
        <w:spacing w:line="360" w:lineRule="auto"/>
        <w:ind w:firstLine="480" w:firstLineChars="200"/>
        <w:rPr>
          <w:rFonts w:ascii="宋体" w:hAnsi="宋体" w:cs="宋体"/>
          <w:sz w:val="24"/>
          <w:szCs w:val="32"/>
        </w:rPr>
      </w:pPr>
      <w:r>
        <w:rPr>
          <w:rFonts w:hint="eastAsia" w:ascii="宋体" w:hAnsi="宋体" w:cs="宋体"/>
          <w:sz w:val="24"/>
          <w:szCs w:val="32"/>
        </w:rPr>
        <w:t>B.投标产品技术参数、性能特点以及所遵循的技术规范等内容。</w:t>
      </w:r>
    </w:p>
    <w:p>
      <w:pPr>
        <w:spacing w:line="360" w:lineRule="auto"/>
        <w:ind w:left="479" w:leftChars="228"/>
        <w:rPr>
          <w:rFonts w:ascii="宋体" w:hAnsi="宋体" w:cs="宋体"/>
          <w:sz w:val="24"/>
          <w:szCs w:val="32"/>
        </w:rPr>
      </w:pPr>
      <w:r>
        <w:rPr>
          <w:rFonts w:hint="eastAsia" w:ascii="宋体" w:hAnsi="宋体" w:cs="宋体"/>
          <w:sz w:val="24"/>
          <w:szCs w:val="32"/>
        </w:rPr>
        <w:t>（4）投标产品相应检测报告；</w:t>
      </w:r>
    </w:p>
    <w:p>
      <w:pPr>
        <w:spacing w:line="360" w:lineRule="auto"/>
        <w:ind w:firstLine="480" w:firstLineChars="200"/>
        <w:rPr>
          <w:rFonts w:ascii="宋体" w:hAnsi="宋体" w:cs="宋体"/>
          <w:sz w:val="24"/>
          <w:szCs w:val="32"/>
        </w:rPr>
      </w:pPr>
      <w:r>
        <w:rPr>
          <w:rFonts w:hint="eastAsia" w:ascii="宋体" w:hAnsi="宋体" w:cs="宋体"/>
          <w:sz w:val="24"/>
          <w:szCs w:val="32"/>
        </w:rPr>
        <w:t>（5）投标产品主体列入节能产品证明资料、投标产品主体列入环境标志产品证明资料（如有）；</w:t>
      </w:r>
    </w:p>
    <w:p>
      <w:pPr>
        <w:snapToGrid w:val="0"/>
        <w:spacing w:line="360" w:lineRule="auto"/>
        <w:ind w:firstLine="480" w:firstLineChars="200"/>
        <w:rPr>
          <w:rFonts w:ascii="宋体" w:hAnsi="宋体" w:cs="宋体"/>
          <w:sz w:val="24"/>
        </w:rPr>
      </w:pPr>
      <w:r>
        <w:rPr>
          <w:rFonts w:hint="eastAsia" w:ascii="宋体" w:hAnsi="宋体" w:cs="宋体"/>
          <w:sz w:val="24"/>
          <w:szCs w:val="32"/>
        </w:rPr>
        <w:t>（6）</w:t>
      </w:r>
      <w:r>
        <w:rPr>
          <w:rFonts w:hint="eastAsia" w:ascii="宋体" w:hAnsi="宋体" w:cs="宋体"/>
          <w:sz w:val="24"/>
        </w:rPr>
        <w:t>技术需求响应表（附件9）；</w:t>
      </w:r>
    </w:p>
    <w:p>
      <w:pPr>
        <w:snapToGrid w:val="0"/>
        <w:spacing w:line="360" w:lineRule="auto"/>
        <w:ind w:firstLine="470" w:firstLineChars="196"/>
        <w:rPr>
          <w:rFonts w:ascii="宋体" w:hAnsi="宋体" w:cs="宋体"/>
          <w:sz w:val="24"/>
        </w:rPr>
      </w:pPr>
      <w:r>
        <w:rPr>
          <w:rFonts w:hint="eastAsia" w:ascii="宋体" w:hAnsi="宋体" w:cs="宋体"/>
          <w:sz w:val="24"/>
          <w:szCs w:val="32"/>
        </w:rPr>
        <w:t>（7）</w:t>
      </w:r>
      <w:r>
        <w:rPr>
          <w:rFonts w:hint="eastAsia" w:ascii="宋体" w:hAnsi="宋体" w:cs="宋体"/>
          <w:sz w:val="24"/>
        </w:rPr>
        <w:t>证书一览表（附件10）；</w:t>
      </w:r>
    </w:p>
    <w:p>
      <w:pPr>
        <w:snapToGrid w:val="0"/>
        <w:spacing w:line="360" w:lineRule="auto"/>
        <w:ind w:firstLine="470" w:firstLineChars="196"/>
        <w:rPr>
          <w:rFonts w:ascii="宋体" w:hAnsi="宋体" w:cs="宋体"/>
          <w:sz w:val="24"/>
        </w:rPr>
      </w:pPr>
      <w:r>
        <w:rPr>
          <w:rFonts w:hint="eastAsia" w:ascii="宋体" w:hAnsi="宋体" w:cs="宋体"/>
          <w:sz w:val="24"/>
          <w:szCs w:val="32"/>
        </w:rPr>
        <w:t>（8）</w:t>
      </w:r>
      <w:r>
        <w:rPr>
          <w:rFonts w:hint="eastAsia" w:ascii="宋体" w:hAnsi="宋体" w:cs="宋体"/>
          <w:sz w:val="24"/>
        </w:rPr>
        <w:t>投标人类似项目实施情况一览表（附件11）；</w:t>
      </w:r>
    </w:p>
    <w:p>
      <w:pPr>
        <w:snapToGrid w:val="0"/>
        <w:spacing w:line="360" w:lineRule="auto"/>
        <w:ind w:firstLine="470" w:firstLineChars="196"/>
        <w:rPr>
          <w:rFonts w:ascii="宋体" w:hAnsi="宋体" w:cs="宋体"/>
          <w:sz w:val="24"/>
        </w:rPr>
      </w:pPr>
      <w:r>
        <w:rPr>
          <w:rFonts w:hint="eastAsia" w:ascii="宋体" w:hAnsi="宋体" w:cs="宋体"/>
          <w:sz w:val="24"/>
          <w:szCs w:val="32"/>
        </w:rPr>
        <w:t>（9）</w:t>
      </w:r>
      <w:r>
        <w:rPr>
          <w:rFonts w:hint="eastAsia" w:ascii="宋体" w:hAnsi="宋体" w:cs="宋体"/>
          <w:sz w:val="24"/>
        </w:rPr>
        <w:t>商务需求响应表（附件12）；</w:t>
      </w:r>
    </w:p>
    <w:p>
      <w:pPr>
        <w:snapToGrid w:val="0"/>
        <w:spacing w:line="360" w:lineRule="auto"/>
        <w:ind w:firstLine="470" w:firstLineChars="196"/>
        <w:rPr>
          <w:rFonts w:ascii="宋体" w:hAnsi="宋体" w:cs="宋体"/>
          <w:sz w:val="24"/>
        </w:rPr>
      </w:pPr>
      <w:r>
        <w:rPr>
          <w:rFonts w:hint="eastAsia" w:ascii="宋体" w:hAnsi="宋体" w:cs="宋体"/>
          <w:sz w:val="24"/>
          <w:szCs w:val="32"/>
        </w:rPr>
        <w:t>（10）</w:t>
      </w:r>
      <w:r>
        <w:rPr>
          <w:rFonts w:hint="eastAsia" w:ascii="宋体" w:hAnsi="宋体" w:cs="宋体"/>
          <w:sz w:val="24"/>
        </w:rPr>
        <w:t>售后服务情况表（附件13）；</w:t>
      </w:r>
    </w:p>
    <w:p>
      <w:pPr>
        <w:snapToGrid w:val="0"/>
        <w:spacing w:line="360" w:lineRule="auto"/>
        <w:ind w:firstLine="470" w:firstLineChars="196"/>
        <w:rPr>
          <w:rFonts w:ascii="宋体" w:hAnsi="宋体" w:cs="宋体"/>
          <w:sz w:val="24"/>
        </w:rPr>
      </w:pPr>
      <w:r>
        <w:rPr>
          <w:rFonts w:hint="eastAsia" w:ascii="宋体" w:hAnsi="宋体" w:cs="宋体"/>
          <w:sz w:val="24"/>
          <w:szCs w:val="32"/>
        </w:rPr>
        <w:t>（11）</w:t>
      </w:r>
      <w:r>
        <w:rPr>
          <w:rFonts w:hint="eastAsia" w:ascii="宋体" w:hAnsi="宋体" w:cs="宋体"/>
          <w:sz w:val="24"/>
        </w:rPr>
        <w:t>投标人需要说明的其他内容。（包括可能影响投标人商务与技术文件评分的各类证明材料）</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3、报价文件的组成</w:t>
      </w:r>
    </w:p>
    <w:p>
      <w:pPr>
        <w:spacing w:line="360" w:lineRule="auto"/>
        <w:ind w:firstLine="480" w:firstLineChars="200"/>
        <w:rPr>
          <w:rFonts w:ascii="宋体" w:hAnsi="宋体" w:cs="宋体"/>
          <w:sz w:val="24"/>
          <w:szCs w:val="32"/>
        </w:rPr>
      </w:pPr>
      <w:r>
        <w:rPr>
          <w:rFonts w:hint="eastAsia" w:ascii="宋体" w:hAnsi="宋体" w:cs="宋体"/>
          <w:sz w:val="24"/>
          <w:szCs w:val="32"/>
        </w:rPr>
        <w:t>（1）报价文件由开标一览表、报价明细表、中小企业等声明函（不符合中小企业要求的无需提供）以及投标人认为其他需要说明的内容组成。</w:t>
      </w:r>
    </w:p>
    <w:p>
      <w:pPr>
        <w:spacing w:line="360" w:lineRule="auto"/>
        <w:ind w:firstLine="480" w:firstLineChars="200"/>
        <w:rPr>
          <w:rFonts w:ascii="宋体" w:hAnsi="宋体" w:cs="宋体"/>
          <w:sz w:val="24"/>
          <w:szCs w:val="32"/>
        </w:rPr>
      </w:pPr>
      <w:r>
        <w:rPr>
          <w:rFonts w:hint="eastAsia" w:ascii="宋体" w:hAnsi="宋体" w:cs="宋体"/>
          <w:sz w:val="24"/>
          <w:szCs w:val="32"/>
        </w:rPr>
        <w:t>（2）此报价为投标人一次性报出唯一的最终价格，包含其它一切所要涉及到的费用，有选择的报价将被拒绝。</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w:t>
      </w:r>
      <w:r>
        <w:rPr>
          <w:rFonts w:hint="eastAsia" w:ascii="宋体" w:hAnsi="宋体" w:cs="宋体"/>
          <w:sz w:val="24"/>
          <w:szCs w:val="32"/>
        </w:rPr>
        <w:t>3</w:t>
      </w:r>
      <w:r>
        <w:rPr>
          <w:rFonts w:hint="eastAsia" w:ascii="宋体" w:hAnsi="宋体" w:cs="宋体"/>
          <w:sz w:val="24"/>
          <w:szCs w:val="32"/>
          <w:lang w:val="zh-CN"/>
        </w:rPr>
        <w:t>）投标报价为完成本项目服务及要求所包含的所有费用，投标人应考虑企业自身实力、经验及项目实施过程中的各种因素，在投标报价中应充分考虑所有可能发生的费用，否则采购人将视投标总价中已包括所有费用。。</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w:t>
      </w:r>
      <w:r>
        <w:rPr>
          <w:rFonts w:hint="eastAsia" w:ascii="宋体" w:hAnsi="宋体" w:cs="宋体"/>
          <w:sz w:val="24"/>
          <w:szCs w:val="32"/>
        </w:rPr>
        <w:t>4</w:t>
      </w:r>
      <w:r>
        <w:rPr>
          <w:rFonts w:hint="eastAsia" w:ascii="宋体" w:hAnsi="宋体" w:cs="宋体"/>
          <w:sz w:val="24"/>
          <w:szCs w:val="32"/>
          <w:lang w:val="zh-CN"/>
        </w:rPr>
        <w:t>）</w:t>
      </w:r>
      <w:r>
        <w:rPr>
          <w:rFonts w:hint="eastAsia" w:ascii="宋体" w:hAnsi="宋体" w:cs="宋体"/>
          <w:sz w:val="24"/>
          <w:szCs w:val="32"/>
        </w:rPr>
        <w:t>政府采购优惠政策相关资料（如有）。</w:t>
      </w:r>
    </w:p>
    <w:p>
      <w:pPr>
        <w:spacing w:line="360" w:lineRule="auto"/>
        <w:ind w:firstLine="480" w:firstLineChars="200"/>
        <w:rPr>
          <w:rFonts w:ascii="宋体" w:hAnsi="宋体" w:cs="宋体"/>
          <w:sz w:val="24"/>
          <w:szCs w:val="32"/>
        </w:rPr>
      </w:pPr>
      <w:r>
        <w:rPr>
          <w:rFonts w:hint="eastAsia" w:ascii="宋体" w:hAnsi="宋体" w:cs="宋体"/>
          <w:sz w:val="24"/>
          <w:szCs w:val="32"/>
        </w:rPr>
        <w:t>（5）相关报价单需打印或用不褪色的墨水填写，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sz w:val="24"/>
          <w:szCs w:val="32"/>
        </w:rPr>
      </w:pPr>
      <w:r>
        <w:rPr>
          <w:rFonts w:hint="eastAsia" w:ascii="宋体" w:hAnsi="宋体" w:cs="宋体"/>
          <w:sz w:val="24"/>
          <w:szCs w:val="32"/>
        </w:rPr>
        <w:t>（6）投标报价应按招标文件中相关附表格式填写。</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（二）投标文件的制作、封装及递交要求</w:t>
      </w:r>
    </w:p>
    <w:p>
      <w:pPr>
        <w:spacing w:line="360" w:lineRule="auto"/>
        <w:ind w:firstLine="482" w:firstLineChars="200"/>
        <w:rPr>
          <w:rFonts w:ascii="宋体" w:hAnsi="宋体" w:cs="宋体"/>
          <w:b/>
          <w:bCs/>
          <w:sz w:val="24"/>
          <w:szCs w:val="32"/>
          <w:lang w:val="en-GB"/>
        </w:rPr>
      </w:pPr>
      <w:r>
        <w:rPr>
          <w:rFonts w:hint="eastAsia" w:ascii="宋体" w:hAnsi="宋体" w:cs="宋体"/>
          <w:b/>
          <w:bCs/>
          <w:sz w:val="24"/>
          <w:szCs w:val="32"/>
        </w:rPr>
        <w:t xml:space="preserve">1. </w:t>
      </w:r>
      <w:r>
        <w:rPr>
          <w:rFonts w:hint="eastAsia" w:ascii="宋体" w:hAnsi="宋体" w:cs="宋体"/>
          <w:b/>
          <w:bCs/>
          <w:sz w:val="24"/>
          <w:szCs w:val="32"/>
          <w:lang w:val="en-GB"/>
        </w:rPr>
        <w:t>投标文件的编制</w:t>
      </w:r>
    </w:p>
    <w:p>
      <w:pPr>
        <w:spacing w:line="360" w:lineRule="auto"/>
        <w:ind w:firstLine="480" w:firstLineChars="200"/>
        <w:rPr>
          <w:rFonts w:ascii="宋体" w:hAnsi="宋体" w:cs="宋体"/>
          <w:sz w:val="24"/>
          <w:szCs w:val="32"/>
          <w:lang w:val="en-GB"/>
        </w:rPr>
      </w:pPr>
      <w:r>
        <w:rPr>
          <w:rFonts w:hint="eastAsia" w:ascii="宋体" w:hAnsi="宋体" w:cs="宋体"/>
          <w:sz w:val="24"/>
          <w:szCs w:val="32"/>
        </w:rPr>
        <w:t>1</w:t>
      </w:r>
      <w:r>
        <w:rPr>
          <w:rFonts w:hint="eastAsia" w:ascii="宋体" w:hAnsi="宋体" w:cs="宋体"/>
          <w:sz w:val="24"/>
          <w:szCs w:val="32"/>
          <w:lang w:val="en-GB"/>
        </w:rPr>
        <w:t>.1本项目通过“政府采购云平台（www.zcygov.cn）”实行在线投标响应（电子投标）。投标人应通过“政采云电子交易客户端”，并按照本招标文件和“政府采购云平台”的要求编制并加密投标文件。</w:t>
      </w:r>
    </w:p>
    <w:p>
      <w:pPr>
        <w:spacing w:line="360" w:lineRule="auto"/>
        <w:ind w:firstLine="480" w:firstLineChars="200"/>
        <w:rPr>
          <w:rFonts w:ascii="宋体" w:hAnsi="宋体" w:cs="宋体"/>
          <w:sz w:val="24"/>
          <w:szCs w:val="32"/>
          <w:lang w:val="en-GB"/>
        </w:rPr>
      </w:pPr>
      <w:r>
        <w:rPr>
          <w:rFonts w:hint="eastAsia" w:ascii="宋体" w:hAnsi="宋体" w:cs="宋体"/>
          <w:sz w:val="24"/>
          <w:szCs w:val="32"/>
          <w:lang w:val="en-GB"/>
        </w:rPr>
        <w:t>1.2投标人应当按照本章节 “投标文件组成”规定的内容及顺序在“政采云电子交易客户端”编制投标文件。其中</w:t>
      </w:r>
      <w:r>
        <w:rPr>
          <w:rFonts w:hint="eastAsia" w:ascii="宋体" w:hAnsi="宋体" w:cs="宋体"/>
          <w:sz w:val="24"/>
          <w:szCs w:val="32"/>
        </w:rPr>
        <w:t>资格及商务技术文件</w:t>
      </w:r>
      <w:r>
        <w:rPr>
          <w:rFonts w:hint="eastAsia" w:ascii="宋体" w:hAnsi="宋体" w:cs="宋体"/>
          <w:sz w:val="24"/>
          <w:szCs w:val="32"/>
          <w:lang w:val="en-GB"/>
        </w:rPr>
        <w:t>中不得出现本项目投标报价，如因投标人原因提前泄露投标报价，是投标人的责任。</w:t>
      </w:r>
    </w:p>
    <w:p>
      <w:pPr>
        <w:spacing w:line="360" w:lineRule="auto"/>
        <w:ind w:firstLine="480" w:firstLineChars="200"/>
        <w:rPr>
          <w:rFonts w:ascii="宋体" w:hAnsi="宋体" w:cs="宋体"/>
          <w:sz w:val="24"/>
          <w:szCs w:val="32"/>
          <w:lang w:val="en-GB"/>
        </w:rPr>
      </w:pPr>
      <w:r>
        <w:rPr>
          <w:rFonts w:hint="eastAsia" w:ascii="宋体" w:hAnsi="宋体" w:cs="宋体"/>
          <w:sz w:val="24"/>
          <w:szCs w:val="32"/>
          <w:lang w:val="zh-CN"/>
        </w:rPr>
        <w:t>1.3投标文件分为</w:t>
      </w:r>
      <w:r>
        <w:rPr>
          <w:rFonts w:hint="eastAsia" w:ascii="宋体" w:hAnsi="宋体" w:cs="宋体"/>
          <w:sz w:val="24"/>
          <w:szCs w:val="32"/>
        </w:rPr>
        <w:t>资格及商务技术文件、报价文件二部分</w:t>
      </w:r>
      <w:r>
        <w:rPr>
          <w:rFonts w:hint="eastAsia" w:ascii="宋体" w:hAnsi="宋体" w:cs="宋体"/>
          <w:sz w:val="24"/>
          <w:szCs w:val="32"/>
          <w:lang w:val="zh-CN"/>
        </w:rPr>
        <w:t>。各投标人在编制投标文件时请按照采购文件第六部分规定的格式进行，</w:t>
      </w:r>
      <w:r>
        <w:rPr>
          <w:rFonts w:hint="eastAsia" w:ascii="宋体" w:hAnsi="宋体" w:cs="宋体"/>
          <w:sz w:val="24"/>
          <w:szCs w:val="32"/>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ascii="宋体" w:hAnsi="宋体" w:cs="宋体"/>
          <w:sz w:val="24"/>
          <w:szCs w:val="32"/>
          <w:lang w:val="en-GB"/>
        </w:rPr>
      </w:pPr>
      <w:r>
        <w:rPr>
          <w:rFonts w:hint="eastAsia" w:ascii="宋体" w:hAnsi="宋体" w:cs="宋体"/>
          <w:sz w:val="24"/>
          <w:szCs w:val="32"/>
          <w:lang w:val="en-GB"/>
        </w:rPr>
        <w:t>1.4《投标文件》内容不完整、</w:t>
      </w:r>
      <w:r>
        <w:rPr>
          <w:rFonts w:hint="eastAsia" w:ascii="宋体" w:hAnsi="宋体" w:cs="宋体"/>
          <w:sz w:val="24"/>
          <w:szCs w:val="32"/>
          <w:lang w:val="zh-CN"/>
        </w:rPr>
        <w:t>混乱的编排导致投标文件被误读或评标委员会查找不到有效文件是投标人的责任。</w:t>
      </w:r>
      <w:r>
        <w:rPr>
          <w:rFonts w:hint="eastAsia" w:ascii="宋体" w:hAnsi="宋体" w:cs="宋体"/>
          <w:sz w:val="24"/>
          <w:szCs w:val="32"/>
          <w:lang w:val="en-GB"/>
        </w:rPr>
        <w:t>《投标文件》因字迹潦草或表达不清所引起的后果由投标人负责。</w:t>
      </w:r>
    </w:p>
    <w:p>
      <w:pPr>
        <w:spacing w:line="360" w:lineRule="auto"/>
        <w:ind w:firstLine="482" w:firstLineChars="200"/>
        <w:rPr>
          <w:rFonts w:ascii="宋体" w:hAnsi="宋体" w:cs="宋体"/>
          <w:b/>
          <w:bCs/>
          <w:sz w:val="24"/>
          <w:szCs w:val="32"/>
          <w:lang w:val="en-GB"/>
        </w:rPr>
      </w:pPr>
      <w:r>
        <w:rPr>
          <w:rFonts w:ascii="宋体" w:hAnsi="宋体" w:cs="宋体"/>
          <w:b/>
          <w:bCs/>
          <w:sz w:val="24"/>
          <w:szCs w:val="32"/>
          <w:lang w:val="en-GB"/>
        </w:rPr>
        <w:t>2</w:t>
      </w:r>
      <w:r>
        <w:rPr>
          <w:rFonts w:hint="eastAsia" w:ascii="宋体" w:hAnsi="宋体" w:cs="宋体"/>
          <w:b/>
          <w:bCs/>
          <w:sz w:val="24"/>
          <w:szCs w:val="32"/>
          <w:lang w:val="en-GB"/>
        </w:rPr>
        <w:t>.投标文件的签章</w:t>
      </w:r>
    </w:p>
    <w:p>
      <w:pPr>
        <w:spacing w:line="360" w:lineRule="auto"/>
        <w:ind w:firstLine="480" w:firstLineChars="200"/>
        <w:rPr>
          <w:rFonts w:ascii="宋体" w:hAnsi="宋体" w:cs="宋体"/>
          <w:sz w:val="24"/>
          <w:szCs w:val="32"/>
          <w:lang w:val="en-GB"/>
        </w:rPr>
      </w:pPr>
      <w:r>
        <w:rPr>
          <w:rFonts w:hint="eastAsia" w:ascii="宋体" w:hAnsi="宋体" w:cs="宋体"/>
          <w:sz w:val="24"/>
          <w:szCs w:val="32"/>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spacing w:line="360" w:lineRule="auto"/>
        <w:ind w:firstLine="482" w:firstLineChars="200"/>
        <w:rPr>
          <w:rFonts w:ascii="宋体" w:hAnsi="宋体" w:cs="宋体"/>
          <w:b/>
          <w:bCs/>
          <w:sz w:val="24"/>
          <w:szCs w:val="32"/>
          <w:lang w:val="en-GB"/>
        </w:rPr>
      </w:pPr>
      <w:r>
        <w:rPr>
          <w:rFonts w:ascii="宋体" w:hAnsi="宋体" w:cs="宋体"/>
          <w:b/>
          <w:bCs/>
          <w:sz w:val="24"/>
          <w:szCs w:val="32"/>
          <w:lang w:val="en-GB"/>
        </w:rPr>
        <w:t>3</w:t>
      </w:r>
      <w:r>
        <w:rPr>
          <w:rFonts w:hint="eastAsia" w:ascii="宋体" w:hAnsi="宋体" w:cs="宋体"/>
          <w:b/>
          <w:bCs/>
          <w:sz w:val="24"/>
          <w:szCs w:val="32"/>
          <w:lang w:val="en-GB"/>
        </w:rPr>
        <w:t>. 备份投标文件的密封与标志</w:t>
      </w:r>
    </w:p>
    <w:p>
      <w:pPr>
        <w:spacing w:line="360" w:lineRule="auto"/>
        <w:ind w:firstLine="480" w:firstLineChars="200"/>
        <w:rPr>
          <w:rFonts w:ascii="宋体" w:hAnsi="宋体" w:cs="宋体"/>
          <w:sz w:val="24"/>
          <w:szCs w:val="32"/>
          <w:lang w:val="en-GB"/>
        </w:rPr>
      </w:pPr>
      <w:r>
        <w:rPr>
          <w:rFonts w:ascii="宋体" w:hAnsi="宋体" w:cs="宋体"/>
          <w:sz w:val="24"/>
          <w:szCs w:val="32"/>
          <w:lang w:val="en-GB"/>
        </w:rPr>
        <w:t>3</w:t>
      </w:r>
      <w:r>
        <w:rPr>
          <w:rFonts w:hint="eastAsia" w:ascii="宋体" w:hAnsi="宋体" w:cs="宋体"/>
          <w:sz w:val="24"/>
          <w:szCs w:val="32"/>
          <w:lang w:val="en-GB"/>
        </w:rPr>
        <w:t>.1备份投标文件须密封包装。没有密封包装的投标文件，将被拒收。</w:t>
      </w:r>
    </w:p>
    <w:p>
      <w:pPr>
        <w:spacing w:line="360" w:lineRule="auto"/>
        <w:ind w:firstLine="480" w:firstLineChars="200"/>
        <w:rPr>
          <w:rFonts w:ascii="宋体" w:hAnsi="宋体" w:cs="宋体"/>
          <w:sz w:val="24"/>
          <w:szCs w:val="32"/>
          <w:lang w:val="en-GB"/>
        </w:rPr>
      </w:pPr>
      <w:r>
        <w:rPr>
          <w:rFonts w:ascii="宋体" w:hAnsi="宋体" w:cs="宋体"/>
          <w:sz w:val="24"/>
          <w:szCs w:val="32"/>
          <w:lang w:val="en-GB"/>
        </w:rPr>
        <w:t>3</w:t>
      </w:r>
      <w:r>
        <w:rPr>
          <w:rFonts w:hint="eastAsia" w:ascii="宋体" w:hAnsi="宋体" w:cs="宋体"/>
          <w:sz w:val="24"/>
          <w:szCs w:val="32"/>
          <w:lang w:val="en-GB"/>
        </w:rPr>
        <w:t>.2备份投标文件包装封面物应写明项目名称、投标人名称(联合体投标的，包装物封面需注明联合体投标，并注明联合体成员各方的名称和联合体协议中约定的牵头人的名称)。</w:t>
      </w:r>
    </w:p>
    <w:p>
      <w:pPr>
        <w:spacing w:line="360" w:lineRule="auto"/>
        <w:ind w:firstLine="482" w:firstLineChars="200"/>
        <w:rPr>
          <w:rFonts w:ascii="宋体" w:hAnsi="宋体" w:cs="宋体"/>
          <w:b/>
          <w:bCs/>
          <w:sz w:val="24"/>
          <w:szCs w:val="32"/>
          <w:lang w:val="en-GB"/>
        </w:rPr>
      </w:pPr>
      <w:r>
        <w:rPr>
          <w:rFonts w:ascii="宋体" w:hAnsi="宋体" w:cs="宋体"/>
          <w:b/>
          <w:bCs/>
          <w:sz w:val="24"/>
          <w:szCs w:val="32"/>
          <w:lang w:val="en-GB"/>
        </w:rPr>
        <w:t>4</w:t>
      </w:r>
      <w:r>
        <w:rPr>
          <w:rFonts w:hint="eastAsia" w:ascii="宋体" w:hAnsi="宋体" w:cs="宋体"/>
          <w:b/>
          <w:bCs/>
          <w:sz w:val="24"/>
          <w:szCs w:val="32"/>
          <w:lang w:val="en-GB"/>
        </w:rPr>
        <w:t>. 投标文件的上传和递交</w:t>
      </w:r>
    </w:p>
    <w:p>
      <w:pPr>
        <w:spacing w:line="360" w:lineRule="auto"/>
        <w:ind w:firstLine="480" w:firstLineChars="200"/>
        <w:rPr>
          <w:rFonts w:ascii="宋体" w:hAnsi="宋体" w:cs="宋体"/>
          <w:sz w:val="24"/>
          <w:szCs w:val="32"/>
          <w:lang w:val="en-GB"/>
        </w:rPr>
      </w:pPr>
      <w:r>
        <w:rPr>
          <w:rFonts w:ascii="宋体" w:hAnsi="宋体" w:cs="宋体"/>
          <w:sz w:val="24"/>
          <w:szCs w:val="32"/>
          <w:lang w:val="en-GB"/>
        </w:rPr>
        <w:t>4</w:t>
      </w:r>
      <w:r>
        <w:rPr>
          <w:rFonts w:hint="eastAsia" w:ascii="宋体" w:hAnsi="宋体" w:cs="宋体"/>
          <w:sz w:val="24"/>
          <w:szCs w:val="32"/>
          <w:lang w:val="en-GB"/>
        </w:rPr>
        <w:t>.1“投标文件”的上传、递交：见《前附表》。未传输递交电子投标文件的，投标无效。</w:t>
      </w:r>
    </w:p>
    <w:p>
      <w:pPr>
        <w:spacing w:line="360" w:lineRule="auto"/>
        <w:ind w:firstLine="480" w:firstLineChars="200"/>
        <w:rPr>
          <w:rFonts w:ascii="宋体" w:hAnsi="宋体" w:cs="宋体"/>
          <w:sz w:val="24"/>
          <w:szCs w:val="32"/>
          <w:lang w:val="en-GB"/>
        </w:rPr>
      </w:pPr>
      <w:r>
        <w:rPr>
          <w:rFonts w:ascii="宋体" w:hAnsi="宋体" w:cs="宋体"/>
          <w:sz w:val="24"/>
          <w:szCs w:val="32"/>
          <w:lang w:val="en-GB"/>
        </w:rPr>
        <w:t>4</w:t>
      </w:r>
      <w:r>
        <w:rPr>
          <w:rFonts w:hint="eastAsia" w:ascii="宋体" w:hAnsi="宋体" w:cs="宋体"/>
          <w:sz w:val="24"/>
          <w:szCs w:val="32"/>
          <w:lang w:val="en-GB"/>
        </w:rPr>
        <w:t>.</w:t>
      </w:r>
      <w:r>
        <w:rPr>
          <w:rFonts w:hint="eastAsia" w:ascii="宋体" w:hAnsi="宋体" w:cs="宋体"/>
          <w:sz w:val="24"/>
          <w:szCs w:val="32"/>
        </w:rPr>
        <w:t>2</w:t>
      </w:r>
      <w:r>
        <w:rPr>
          <w:rFonts w:hint="eastAsia" w:ascii="宋体" w:hAnsi="宋体" w:cs="宋体"/>
          <w:sz w:val="24"/>
          <w:szCs w:val="32"/>
          <w:lang w:val="en-GB"/>
        </w:rPr>
        <w:t>投标人应当在投标截止时间将以介质存储的数据电文形式的备份投标文件密封送交到招标公告规定的投标地点。未按规定提供相应的备份投标文件，造成项目开评标活动无法进行下去的，投标无效。采购机构将拒绝接受逾期送达的投标文件。</w:t>
      </w:r>
    </w:p>
    <w:p>
      <w:pPr>
        <w:spacing w:line="360" w:lineRule="auto"/>
        <w:ind w:firstLine="480" w:firstLineChars="200"/>
        <w:rPr>
          <w:rFonts w:ascii="宋体" w:hAnsi="宋体" w:cs="宋体"/>
          <w:sz w:val="24"/>
          <w:szCs w:val="32"/>
          <w:lang w:val="en-GB"/>
        </w:rPr>
      </w:pPr>
      <w:r>
        <w:rPr>
          <w:rFonts w:ascii="宋体" w:hAnsi="宋体" w:cs="宋体"/>
          <w:sz w:val="24"/>
          <w:szCs w:val="32"/>
          <w:lang w:val="en-GB"/>
        </w:rPr>
        <w:t>4</w:t>
      </w:r>
      <w:r>
        <w:rPr>
          <w:rFonts w:hint="eastAsia" w:ascii="宋体" w:hAnsi="宋体" w:cs="宋体"/>
          <w:sz w:val="24"/>
          <w:szCs w:val="32"/>
          <w:lang w:val="en-GB"/>
        </w:rPr>
        <w:t>.</w:t>
      </w:r>
      <w:r>
        <w:rPr>
          <w:rFonts w:hint="eastAsia" w:ascii="宋体" w:hAnsi="宋体" w:cs="宋体"/>
          <w:sz w:val="24"/>
          <w:szCs w:val="32"/>
        </w:rPr>
        <w:t>3</w:t>
      </w:r>
      <w:r>
        <w:rPr>
          <w:rFonts w:hint="eastAsia" w:ascii="宋体" w:hAnsi="宋体" w:cs="宋体"/>
          <w:sz w:val="24"/>
          <w:szCs w:val="32"/>
          <w:lang w:val="en-GB"/>
        </w:rPr>
        <w:t>投标文件的备选方案</w:t>
      </w:r>
    </w:p>
    <w:p>
      <w:pPr>
        <w:spacing w:line="360" w:lineRule="auto"/>
        <w:ind w:firstLine="480" w:firstLineChars="200"/>
        <w:rPr>
          <w:rFonts w:ascii="宋体" w:hAnsi="宋体" w:cs="宋体"/>
          <w:sz w:val="24"/>
          <w:szCs w:val="32"/>
          <w:lang w:val="en-GB"/>
        </w:rPr>
      </w:pPr>
      <w:r>
        <w:rPr>
          <w:rFonts w:hint="eastAsia" w:ascii="宋体" w:hAnsi="宋体" w:cs="宋体"/>
          <w:sz w:val="24"/>
          <w:szCs w:val="32"/>
          <w:lang w:val="en-GB"/>
        </w:rPr>
        <w:t>投标人不得递交任何的投标备选（替代）方案，否则其投标文件将作无效标处理。与“电子加密投标文件”同时生成的“备份投标文件”不是投标备选（替代）方案。</w:t>
      </w:r>
    </w:p>
    <w:p>
      <w:pPr>
        <w:spacing w:line="360" w:lineRule="auto"/>
        <w:ind w:firstLine="480" w:firstLineChars="200"/>
        <w:rPr>
          <w:rFonts w:ascii="宋体" w:hAnsi="宋体" w:cs="宋体"/>
          <w:sz w:val="24"/>
          <w:szCs w:val="32"/>
          <w:lang w:val="en-GB"/>
        </w:rPr>
      </w:pPr>
      <w:r>
        <w:rPr>
          <w:rFonts w:ascii="宋体" w:hAnsi="宋体" w:cs="宋体"/>
          <w:sz w:val="24"/>
          <w:szCs w:val="32"/>
          <w:lang w:val="en-GB"/>
        </w:rPr>
        <w:t>5</w:t>
      </w:r>
      <w:r>
        <w:rPr>
          <w:rFonts w:hint="eastAsia" w:ascii="宋体" w:hAnsi="宋体" w:cs="宋体"/>
          <w:sz w:val="24"/>
          <w:szCs w:val="32"/>
          <w:lang w:val="en-GB"/>
        </w:rPr>
        <w:t>. 投标文件的补充、修改、撤回</w:t>
      </w:r>
    </w:p>
    <w:p>
      <w:pPr>
        <w:spacing w:line="360" w:lineRule="auto"/>
        <w:ind w:firstLine="480" w:firstLineChars="200"/>
        <w:rPr>
          <w:rFonts w:ascii="宋体" w:hAnsi="宋体" w:cs="宋体"/>
          <w:sz w:val="24"/>
          <w:szCs w:val="32"/>
          <w:lang w:val="en-GB"/>
        </w:rPr>
      </w:pPr>
      <w:r>
        <w:rPr>
          <w:rFonts w:ascii="宋体" w:hAnsi="宋体" w:cs="宋体"/>
          <w:sz w:val="24"/>
          <w:szCs w:val="32"/>
          <w:lang w:val="en-GB"/>
        </w:rPr>
        <w:t>5</w:t>
      </w:r>
      <w:r>
        <w:rPr>
          <w:rFonts w:hint="eastAsia" w:ascii="宋体" w:hAnsi="宋体" w:cs="宋体"/>
          <w:sz w:val="24"/>
          <w:szCs w:val="32"/>
          <w:lang w:val="en-GB"/>
        </w:rPr>
        <w:t>.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80" w:firstLineChars="200"/>
        <w:rPr>
          <w:rFonts w:ascii="宋体" w:hAnsi="宋体" w:cs="宋体"/>
          <w:sz w:val="24"/>
          <w:szCs w:val="32"/>
          <w:lang w:val="en-GB"/>
        </w:rPr>
      </w:pPr>
      <w:r>
        <w:rPr>
          <w:rFonts w:ascii="宋体" w:hAnsi="宋体" w:cs="宋体"/>
          <w:sz w:val="24"/>
          <w:szCs w:val="32"/>
          <w:lang w:val="en-GB"/>
        </w:rPr>
        <w:t>5</w:t>
      </w:r>
      <w:r>
        <w:rPr>
          <w:rFonts w:hint="eastAsia" w:ascii="宋体" w:hAnsi="宋体" w:cs="宋体"/>
          <w:sz w:val="24"/>
          <w:szCs w:val="32"/>
          <w:lang w:val="en-GB"/>
        </w:rPr>
        <w:t>.</w:t>
      </w:r>
      <w:r>
        <w:rPr>
          <w:rFonts w:hint="eastAsia" w:ascii="宋体" w:hAnsi="宋体" w:cs="宋体"/>
          <w:sz w:val="24"/>
          <w:szCs w:val="32"/>
        </w:rPr>
        <w:t>2</w:t>
      </w:r>
      <w:r>
        <w:rPr>
          <w:rFonts w:hint="eastAsia" w:ascii="宋体" w:hAnsi="宋体" w:cs="宋体"/>
          <w:sz w:val="24"/>
          <w:szCs w:val="32"/>
          <w:lang w:val="en-GB"/>
        </w:rPr>
        <w:t>投标截止时间后，投标供应商不得撤回、修改投标文件。</w:t>
      </w:r>
    </w:p>
    <w:p>
      <w:pPr>
        <w:spacing w:line="360" w:lineRule="auto"/>
        <w:ind w:firstLine="480" w:firstLineChars="200"/>
        <w:rPr>
          <w:rFonts w:ascii="宋体" w:hAnsi="宋体" w:cs="宋体"/>
          <w:sz w:val="24"/>
          <w:szCs w:val="32"/>
          <w:lang w:val="en-GB"/>
        </w:rPr>
      </w:pPr>
      <w:r>
        <w:rPr>
          <w:rFonts w:hint="eastAsia" w:ascii="宋体" w:hAnsi="宋体" w:cs="宋体"/>
          <w:sz w:val="24"/>
          <w:szCs w:val="32"/>
        </w:rPr>
        <w:t>6.3</w:t>
      </w:r>
      <w:r>
        <w:rPr>
          <w:rFonts w:hint="eastAsia" w:ascii="宋体" w:hAnsi="宋体" w:cs="宋体"/>
          <w:sz w:val="24"/>
          <w:szCs w:val="32"/>
          <w:lang w:val="en-GB"/>
        </w:rPr>
        <w:t>在开标后规定的投标有效期内，投标人不能撤销投标文件。</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（三）投标文件的有效期</w:t>
      </w:r>
    </w:p>
    <w:p>
      <w:pPr>
        <w:spacing w:line="360" w:lineRule="auto"/>
        <w:ind w:firstLine="480" w:firstLineChars="200"/>
        <w:rPr>
          <w:rFonts w:ascii="宋体" w:hAnsi="宋体" w:cs="宋体"/>
          <w:sz w:val="24"/>
          <w:szCs w:val="32"/>
          <w:lang w:val="en-GB"/>
        </w:rPr>
      </w:pPr>
      <w:r>
        <w:rPr>
          <w:rFonts w:hint="eastAsia" w:ascii="宋体" w:hAnsi="宋体" w:cs="宋体"/>
          <w:sz w:val="24"/>
          <w:szCs w:val="32"/>
        </w:rPr>
        <w:t>1、</w:t>
      </w:r>
      <w:r>
        <w:rPr>
          <w:rFonts w:hint="eastAsia" w:ascii="宋体" w:hAnsi="宋体" w:cs="宋体"/>
          <w:sz w:val="24"/>
          <w:szCs w:val="32"/>
          <w:lang w:val="en-GB"/>
        </w:rPr>
        <w:t>自投标截止日起90天投标文件应保持有效。有效期不足的投标文件将被拒绝。</w:t>
      </w:r>
    </w:p>
    <w:p>
      <w:pPr>
        <w:spacing w:line="360" w:lineRule="auto"/>
        <w:ind w:firstLine="480" w:firstLineChars="200"/>
        <w:rPr>
          <w:rFonts w:ascii="宋体" w:hAnsi="宋体" w:cs="宋体"/>
          <w:sz w:val="24"/>
          <w:szCs w:val="32"/>
          <w:lang w:val="en-GB"/>
        </w:rPr>
      </w:pPr>
      <w:r>
        <w:rPr>
          <w:rFonts w:hint="eastAsia" w:ascii="宋体" w:hAnsi="宋体" w:cs="宋体"/>
          <w:sz w:val="24"/>
          <w:szCs w:val="32"/>
        </w:rPr>
        <w:t>2、</w:t>
      </w:r>
      <w:r>
        <w:rPr>
          <w:rFonts w:hint="eastAsia" w:ascii="宋体" w:hAnsi="宋体" w:cs="宋体"/>
          <w:sz w:val="24"/>
          <w:szCs w:val="32"/>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sz w:val="24"/>
          <w:szCs w:val="32"/>
        </w:rPr>
      </w:pPr>
      <w:r>
        <w:rPr>
          <w:rFonts w:hint="eastAsia" w:ascii="宋体" w:hAnsi="宋体" w:cs="宋体"/>
          <w:sz w:val="24"/>
          <w:szCs w:val="32"/>
        </w:rPr>
        <w:t>3、中标人的投标文件自开标之日起至合同履行完毕均应保持有效。</w:t>
      </w:r>
    </w:p>
    <w:p>
      <w:pPr>
        <w:spacing w:line="360" w:lineRule="auto"/>
        <w:rPr>
          <w:rFonts w:ascii="宋体" w:hAnsi="宋体" w:cs="宋体"/>
          <w:b/>
          <w:bCs/>
          <w:sz w:val="24"/>
          <w:szCs w:val="32"/>
        </w:rPr>
      </w:pPr>
      <w:r>
        <w:rPr>
          <w:rFonts w:hint="eastAsia" w:ascii="宋体" w:hAnsi="宋体" w:cs="宋体"/>
          <w:b/>
          <w:bCs/>
          <w:sz w:val="24"/>
          <w:szCs w:val="32"/>
        </w:rPr>
        <w:t>四、开标</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（一）开标事项</w:t>
      </w:r>
    </w:p>
    <w:p>
      <w:pPr>
        <w:spacing w:line="360" w:lineRule="auto"/>
        <w:ind w:firstLine="480" w:firstLineChars="200"/>
        <w:rPr>
          <w:rFonts w:ascii="宋体" w:hAnsi="宋体" w:cs="宋体"/>
          <w:sz w:val="24"/>
          <w:szCs w:val="32"/>
        </w:rPr>
      </w:pPr>
      <w:r>
        <w:rPr>
          <w:rFonts w:hint="eastAsia" w:ascii="宋体" w:hAnsi="宋体" w:cs="宋体"/>
          <w:sz w:val="24"/>
          <w:szCs w:val="32"/>
        </w:rPr>
        <w:t>采购组织机构在“招标公告”规定的时间和地点公开开标，本次招标采用先评审商务资格和技术服务方案，后评审报价的办法实施。</w:t>
      </w:r>
    </w:p>
    <w:p>
      <w:pPr>
        <w:spacing w:line="360" w:lineRule="auto"/>
        <w:ind w:firstLine="482" w:firstLineChars="200"/>
        <w:rPr>
          <w:b/>
          <w:bCs/>
          <w:sz w:val="24"/>
          <w:szCs w:val="24"/>
        </w:rPr>
      </w:pPr>
      <w:r>
        <w:rPr>
          <w:rFonts w:hint="eastAsia"/>
          <w:b/>
          <w:bCs/>
          <w:sz w:val="24"/>
          <w:szCs w:val="24"/>
        </w:rPr>
        <w:t>特别说明：如遇政府采购云平台电子化开标或评审程序调整的，按调整后程序执行。</w:t>
      </w:r>
    </w:p>
    <w:p>
      <w:pPr>
        <w:spacing w:line="360" w:lineRule="auto"/>
        <w:ind w:firstLine="480" w:firstLineChars="200"/>
        <w:rPr>
          <w:rFonts w:ascii="宋体" w:hAnsi="宋体" w:cs="宋体"/>
          <w:sz w:val="24"/>
          <w:szCs w:val="32"/>
        </w:rPr>
      </w:pPr>
      <w:r>
        <w:rPr>
          <w:rFonts w:hint="eastAsia" w:ascii="宋体" w:hAnsi="宋体" w:cs="宋体"/>
          <w:sz w:val="24"/>
          <w:szCs w:val="32"/>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（1）电子交易平台发生故障而无法登录访问的； </w:t>
      </w:r>
    </w:p>
    <w:p>
      <w:pPr>
        <w:spacing w:line="360" w:lineRule="auto"/>
        <w:ind w:firstLine="480" w:firstLineChars="200"/>
        <w:rPr>
          <w:rFonts w:ascii="宋体" w:hAnsi="宋体" w:cs="宋体"/>
          <w:sz w:val="24"/>
          <w:szCs w:val="32"/>
        </w:rPr>
      </w:pPr>
      <w:r>
        <w:rPr>
          <w:rFonts w:hint="eastAsia" w:ascii="宋体" w:hAnsi="宋体" w:cs="宋体"/>
          <w:sz w:val="24"/>
          <w:szCs w:val="32"/>
        </w:rPr>
        <w:t>（2）电子交易平台应用或数据库出现错误，不能进行正常操作的；</w:t>
      </w:r>
    </w:p>
    <w:p>
      <w:pPr>
        <w:spacing w:line="360" w:lineRule="auto"/>
        <w:ind w:firstLine="480" w:firstLineChars="200"/>
        <w:rPr>
          <w:rFonts w:ascii="宋体" w:hAnsi="宋体" w:cs="宋体"/>
          <w:sz w:val="24"/>
          <w:szCs w:val="32"/>
        </w:rPr>
      </w:pPr>
      <w:r>
        <w:rPr>
          <w:rFonts w:hint="eastAsia" w:ascii="宋体" w:hAnsi="宋体" w:cs="宋体"/>
          <w:sz w:val="24"/>
          <w:szCs w:val="32"/>
        </w:rPr>
        <w:t>（3）电子交易平台发现严重安全漏洞，有潜在泄密危险的；</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（4）病毒发作导致不能进行正常操作的； </w:t>
      </w:r>
    </w:p>
    <w:p>
      <w:pPr>
        <w:spacing w:line="360" w:lineRule="auto"/>
        <w:ind w:firstLine="480" w:firstLineChars="200"/>
        <w:rPr>
          <w:rFonts w:ascii="宋体" w:hAnsi="宋体" w:cs="宋体"/>
          <w:sz w:val="24"/>
          <w:szCs w:val="32"/>
        </w:rPr>
      </w:pPr>
      <w:r>
        <w:rPr>
          <w:rFonts w:hint="eastAsia" w:ascii="宋体" w:hAnsi="宋体" w:cs="宋体"/>
          <w:sz w:val="24"/>
          <w:szCs w:val="32"/>
        </w:rPr>
        <w:t>（5）其他无法保证电子交易的公平、公正和安全的情况。</w:t>
      </w:r>
    </w:p>
    <w:p>
      <w:pPr>
        <w:spacing w:line="360" w:lineRule="auto"/>
        <w:ind w:firstLine="480" w:firstLineChars="200"/>
        <w:rPr>
          <w:rFonts w:ascii="宋体" w:hAnsi="宋体" w:cs="宋体"/>
          <w:sz w:val="24"/>
          <w:szCs w:val="32"/>
        </w:rPr>
      </w:pPr>
      <w:r>
        <w:rPr>
          <w:rFonts w:hint="eastAsia" w:ascii="宋体" w:hAnsi="宋体" w:cs="宋体"/>
          <w:sz w:val="24"/>
          <w:szCs w:val="32"/>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（二） 开标程序</w:t>
      </w:r>
    </w:p>
    <w:p>
      <w:pPr>
        <w:spacing w:line="360" w:lineRule="auto"/>
        <w:ind w:firstLine="480" w:firstLineChars="200"/>
        <w:rPr>
          <w:rFonts w:ascii="宋体" w:hAnsi="宋体" w:cs="宋体"/>
          <w:sz w:val="24"/>
          <w:szCs w:val="32"/>
        </w:rPr>
      </w:pPr>
      <w:r>
        <w:rPr>
          <w:rFonts w:hint="eastAsia" w:ascii="宋体" w:hAnsi="宋体" w:cs="宋体"/>
          <w:sz w:val="24"/>
          <w:szCs w:val="32"/>
        </w:rPr>
        <w:t>1、开标会由招标项目负责人主持，主持人宣布开标会议开始；</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2、主持人介绍参加开标会的人员名单； </w:t>
      </w:r>
    </w:p>
    <w:p>
      <w:pPr>
        <w:spacing w:line="360" w:lineRule="auto"/>
        <w:ind w:firstLine="480" w:firstLineChars="200"/>
        <w:rPr>
          <w:rFonts w:ascii="宋体" w:hAnsi="宋体" w:cs="宋体"/>
          <w:sz w:val="24"/>
          <w:szCs w:val="32"/>
        </w:rPr>
      </w:pPr>
      <w:r>
        <w:rPr>
          <w:rFonts w:hint="eastAsia" w:ascii="宋体" w:hAnsi="宋体" w:cs="宋体"/>
          <w:sz w:val="24"/>
          <w:szCs w:val="32"/>
        </w:rPr>
        <w:t>3、主持人宣布评标期间的有关事项，告知应当回避的情形，提请有关人员回避；对投标人进行签到验证。</w:t>
      </w:r>
    </w:p>
    <w:p>
      <w:pPr>
        <w:spacing w:line="360" w:lineRule="auto"/>
        <w:ind w:firstLine="480" w:firstLineChars="200"/>
        <w:rPr>
          <w:rFonts w:ascii="宋体" w:hAnsi="宋体" w:cs="宋体"/>
          <w:sz w:val="24"/>
          <w:szCs w:val="32"/>
        </w:rPr>
      </w:pPr>
      <w:r>
        <w:rPr>
          <w:rFonts w:hint="eastAsia" w:ascii="宋体" w:hAnsi="宋体" w:cs="宋体"/>
          <w:sz w:val="24"/>
          <w:szCs w:val="32"/>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sz w:val="24"/>
          <w:szCs w:val="32"/>
        </w:rPr>
      </w:pPr>
      <w:r>
        <w:rPr>
          <w:rFonts w:hint="eastAsia" w:ascii="宋体" w:hAnsi="宋体" w:cs="宋体"/>
          <w:sz w:val="24"/>
          <w:szCs w:val="32"/>
        </w:rPr>
        <w:t>5、采购组织机构点击【开启标书信息】，开启标书成功后进入开标流程。</w:t>
      </w:r>
    </w:p>
    <w:p>
      <w:pPr>
        <w:spacing w:line="360" w:lineRule="auto"/>
        <w:ind w:firstLine="480" w:firstLineChars="200"/>
        <w:rPr>
          <w:rFonts w:ascii="宋体" w:hAnsi="宋体" w:cs="宋体"/>
          <w:sz w:val="24"/>
          <w:szCs w:val="32"/>
        </w:rPr>
      </w:pPr>
      <w:r>
        <w:rPr>
          <w:rFonts w:hint="eastAsia" w:ascii="宋体" w:hAnsi="宋体" w:cs="宋体"/>
          <w:sz w:val="24"/>
          <w:szCs w:val="32"/>
        </w:rPr>
        <w:t>6、资格及商务技术文件评审；</w:t>
      </w:r>
    </w:p>
    <w:p>
      <w:pPr>
        <w:spacing w:line="360" w:lineRule="auto"/>
        <w:ind w:firstLine="480" w:firstLineChars="200"/>
        <w:rPr>
          <w:rFonts w:ascii="宋体" w:hAnsi="宋体" w:cs="宋体"/>
          <w:sz w:val="24"/>
          <w:szCs w:val="32"/>
        </w:rPr>
      </w:pPr>
      <w:r>
        <w:rPr>
          <w:rFonts w:hint="eastAsia" w:ascii="宋体" w:hAnsi="宋体" w:cs="宋体"/>
          <w:sz w:val="24"/>
          <w:szCs w:val="32"/>
        </w:rPr>
        <w:t>7、由主持人公布无效投标的投标人名单、投标无效的原因及其他有效投标的评分汇总分；</w:t>
      </w:r>
    </w:p>
    <w:p>
      <w:pPr>
        <w:spacing w:line="360" w:lineRule="auto"/>
        <w:ind w:firstLine="480" w:firstLineChars="200"/>
        <w:rPr>
          <w:rFonts w:ascii="宋体" w:hAnsi="宋体" w:cs="宋体"/>
          <w:sz w:val="24"/>
          <w:szCs w:val="32"/>
        </w:rPr>
      </w:pPr>
      <w:r>
        <w:rPr>
          <w:rFonts w:hint="eastAsia" w:ascii="宋体" w:hAnsi="宋体" w:cs="宋体"/>
          <w:sz w:val="24"/>
          <w:szCs w:val="32"/>
        </w:rPr>
        <w:t>8、开启报价响应文件：采购代理机构成功开启报价响应文件后，方可查看各供应商报价情况。</w:t>
      </w:r>
    </w:p>
    <w:p>
      <w:pPr>
        <w:spacing w:line="360" w:lineRule="auto"/>
        <w:ind w:firstLine="480" w:firstLineChars="200"/>
        <w:rPr>
          <w:rFonts w:ascii="宋体" w:hAnsi="宋体" w:cs="宋体"/>
          <w:sz w:val="24"/>
          <w:szCs w:val="32"/>
        </w:rPr>
      </w:pPr>
      <w:r>
        <w:rPr>
          <w:rFonts w:hint="eastAsia" w:ascii="宋体" w:hAnsi="宋体" w:cs="宋体"/>
          <w:sz w:val="24"/>
          <w:szCs w:val="32"/>
        </w:rPr>
        <w:t>9、报价文件评审；</w:t>
      </w:r>
    </w:p>
    <w:p>
      <w:pPr>
        <w:spacing w:line="360" w:lineRule="auto"/>
        <w:ind w:firstLine="480" w:firstLineChars="200"/>
        <w:rPr>
          <w:rFonts w:ascii="宋体" w:hAnsi="宋体" w:cs="宋体"/>
          <w:sz w:val="24"/>
          <w:szCs w:val="32"/>
        </w:rPr>
      </w:pPr>
      <w:r>
        <w:rPr>
          <w:rFonts w:hint="eastAsia" w:ascii="宋体" w:hAnsi="宋体" w:cs="宋体"/>
          <w:sz w:val="24"/>
          <w:szCs w:val="32"/>
        </w:rPr>
        <w:t>10、由主持人公布无效投标的投标人名单、投标无效的原因及其他有效投标的报价文件得分；</w:t>
      </w:r>
    </w:p>
    <w:p>
      <w:pPr>
        <w:spacing w:line="360" w:lineRule="auto"/>
        <w:ind w:firstLine="480" w:firstLineChars="200"/>
        <w:rPr>
          <w:rFonts w:ascii="宋体" w:hAnsi="宋体" w:cs="宋体"/>
          <w:sz w:val="24"/>
          <w:szCs w:val="32"/>
        </w:rPr>
      </w:pPr>
      <w:r>
        <w:rPr>
          <w:rFonts w:hint="eastAsia" w:ascii="宋体" w:hAnsi="宋体" w:cs="宋体"/>
          <w:sz w:val="24"/>
          <w:szCs w:val="32"/>
        </w:rPr>
        <w:t>11、宣布综合得分结果及中标候选人名单；</w:t>
      </w:r>
    </w:p>
    <w:p>
      <w:pPr>
        <w:spacing w:line="360" w:lineRule="auto"/>
        <w:ind w:firstLine="480" w:firstLineChars="200"/>
        <w:rPr>
          <w:rFonts w:ascii="宋体" w:hAnsi="宋体" w:cs="宋体"/>
          <w:sz w:val="24"/>
          <w:szCs w:val="32"/>
        </w:rPr>
      </w:pPr>
      <w:r>
        <w:rPr>
          <w:rFonts w:hint="eastAsia" w:ascii="宋体" w:hAnsi="宋体" w:cs="宋体"/>
          <w:sz w:val="24"/>
          <w:szCs w:val="32"/>
        </w:rPr>
        <w:t>12、开标会议结束。</w:t>
      </w:r>
    </w:p>
    <w:p>
      <w:pPr>
        <w:spacing w:line="360" w:lineRule="auto"/>
        <w:rPr>
          <w:rFonts w:ascii="宋体" w:hAnsi="宋体" w:cs="宋体"/>
          <w:b/>
          <w:bCs/>
          <w:sz w:val="24"/>
          <w:szCs w:val="32"/>
        </w:rPr>
      </w:pPr>
      <w:r>
        <w:rPr>
          <w:rFonts w:hint="eastAsia" w:ascii="宋体" w:hAnsi="宋体" w:cs="宋体"/>
          <w:b/>
          <w:bCs/>
          <w:sz w:val="24"/>
          <w:szCs w:val="32"/>
        </w:rPr>
        <w:t>五、评标</w:t>
      </w:r>
    </w:p>
    <w:p>
      <w:pPr>
        <w:spacing w:line="360" w:lineRule="auto"/>
        <w:ind w:firstLine="480" w:firstLineChars="200"/>
        <w:rPr>
          <w:rFonts w:ascii="宋体" w:hAnsi="宋体" w:cs="宋体"/>
          <w:sz w:val="24"/>
          <w:szCs w:val="32"/>
        </w:rPr>
      </w:pPr>
      <w:r>
        <w:rPr>
          <w:rFonts w:hint="eastAsia" w:ascii="宋体" w:hAnsi="宋体" w:cs="宋体"/>
          <w:sz w:val="24"/>
          <w:szCs w:val="32"/>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（一）组建评标委员会</w:t>
      </w:r>
    </w:p>
    <w:p>
      <w:pPr>
        <w:spacing w:line="360" w:lineRule="auto"/>
        <w:ind w:firstLine="480" w:firstLineChars="200"/>
        <w:rPr>
          <w:rFonts w:ascii="宋体" w:hAnsi="宋体" w:cs="宋体"/>
          <w:sz w:val="24"/>
          <w:szCs w:val="32"/>
        </w:rPr>
      </w:pPr>
      <w:r>
        <w:rPr>
          <w:rFonts w:hint="eastAsia" w:ascii="宋体" w:hAnsi="宋体" w:cs="宋体"/>
          <w:sz w:val="24"/>
          <w:szCs w:val="32"/>
        </w:rPr>
        <w:t>评标委员会由采购人代表和评审专家组成，成员人数为5人以上单数，其中评审专家不得少于成员总数的三分之二。</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（二）评标程序</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1、资格审查</w:t>
      </w:r>
    </w:p>
    <w:p>
      <w:pPr>
        <w:spacing w:line="360" w:lineRule="auto"/>
        <w:ind w:firstLine="480" w:firstLineChars="200"/>
        <w:rPr>
          <w:rFonts w:ascii="宋体" w:hAnsi="宋体" w:cs="宋体"/>
          <w:sz w:val="24"/>
          <w:szCs w:val="32"/>
        </w:rPr>
      </w:pPr>
      <w:r>
        <w:rPr>
          <w:rFonts w:hint="eastAsia" w:ascii="宋体" w:hAnsi="宋体" w:cs="宋体"/>
          <w:sz w:val="24"/>
          <w:szCs w:val="32"/>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2、符合性审查</w:t>
      </w:r>
    </w:p>
    <w:p>
      <w:pPr>
        <w:spacing w:line="360" w:lineRule="auto"/>
        <w:ind w:firstLine="480" w:firstLineChars="200"/>
        <w:rPr>
          <w:rFonts w:ascii="宋体" w:hAnsi="宋体" w:cs="宋体"/>
          <w:sz w:val="24"/>
          <w:szCs w:val="32"/>
        </w:rPr>
      </w:pPr>
      <w:r>
        <w:rPr>
          <w:rFonts w:hint="eastAsia" w:ascii="宋体" w:hAnsi="宋体" w:cs="宋体"/>
          <w:sz w:val="24"/>
          <w:szCs w:val="32"/>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3、综合比较与评价</w:t>
      </w:r>
    </w:p>
    <w:p>
      <w:pPr>
        <w:spacing w:line="360" w:lineRule="auto"/>
        <w:ind w:firstLine="480" w:firstLineChars="200"/>
        <w:rPr>
          <w:rFonts w:ascii="宋体" w:hAnsi="宋体" w:cs="宋体"/>
          <w:sz w:val="24"/>
          <w:szCs w:val="32"/>
        </w:rPr>
      </w:pPr>
      <w:r>
        <w:rPr>
          <w:rFonts w:hint="eastAsia" w:ascii="宋体" w:hAnsi="宋体" w:cs="宋体"/>
          <w:sz w:val="24"/>
          <w:szCs w:val="32"/>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32"/>
        </w:rPr>
      </w:pPr>
      <w:r>
        <w:rPr>
          <w:rFonts w:hint="eastAsia" w:ascii="宋体" w:hAnsi="宋体" w:cs="宋体"/>
          <w:sz w:val="24"/>
          <w:szCs w:val="32"/>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sz w:val="24"/>
          <w:szCs w:val="32"/>
        </w:rPr>
      </w:pPr>
      <w:r>
        <w:rPr>
          <w:rFonts w:hint="eastAsia" w:ascii="宋体" w:hAnsi="宋体" w:cs="宋体"/>
          <w:sz w:val="24"/>
          <w:szCs w:val="32"/>
        </w:rPr>
        <w:t>（3）评标时，评标委员会各成员应当独立对每个投标人的投标文件进行评价，并汇总每个投标人的得分。</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4、得分确认及评审报告编写</w:t>
      </w:r>
    </w:p>
    <w:p>
      <w:pPr>
        <w:spacing w:line="360" w:lineRule="auto"/>
        <w:ind w:firstLine="480" w:firstLineChars="200"/>
        <w:rPr>
          <w:rFonts w:ascii="宋体" w:hAnsi="宋体" w:cs="宋体"/>
          <w:sz w:val="24"/>
          <w:szCs w:val="32"/>
        </w:rPr>
      </w:pPr>
      <w:r>
        <w:rPr>
          <w:rFonts w:hint="eastAsia" w:ascii="宋体" w:hAnsi="宋体" w:cs="宋体"/>
          <w:sz w:val="24"/>
          <w:szCs w:val="32"/>
        </w:rPr>
        <w:t>（1）评标委员会对报价文件进行复核，对于系统计算出的价格分及总得分进行确认；</w:t>
      </w:r>
    </w:p>
    <w:p>
      <w:pPr>
        <w:spacing w:line="360" w:lineRule="auto"/>
        <w:ind w:firstLine="480" w:firstLineChars="200"/>
        <w:rPr>
          <w:rFonts w:ascii="宋体" w:hAnsi="宋体" w:cs="宋体"/>
          <w:sz w:val="24"/>
          <w:szCs w:val="32"/>
        </w:rPr>
      </w:pPr>
      <w:r>
        <w:rPr>
          <w:rFonts w:hint="eastAsia" w:ascii="宋体" w:hAnsi="宋体" w:cs="宋体"/>
          <w:sz w:val="24"/>
          <w:szCs w:val="32"/>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sz w:val="24"/>
          <w:szCs w:val="32"/>
        </w:rPr>
      </w:pPr>
      <w:r>
        <w:rPr>
          <w:rFonts w:hint="eastAsia" w:ascii="宋体" w:hAnsi="宋体" w:cs="宋体"/>
          <w:sz w:val="24"/>
          <w:szCs w:val="32"/>
        </w:rPr>
        <w:t>（3）评标委员会按评标原则及得分情况编写评审报告。</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5、评价</w:t>
      </w:r>
    </w:p>
    <w:p>
      <w:pPr>
        <w:spacing w:line="360" w:lineRule="auto"/>
        <w:ind w:firstLine="480" w:firstLineChars="200"/>
        <w:rPr>
          <w:rFonts w:ascii="宋体" w:hAnsi="宋体" w:cs="宋体"/>
          <w:sz w:val="24"/>
          <w:szCs w:val="32"/>
        </w:rPr>
      </w:pPr>
      <w:r>
        <w:rPr>
          <w:rFonts w:hint="eastAsia" w:ascii="宋体" w:hAnsi="宋体" w:cs="宋体"/>
          <w:sz w:val="24"/>
          <w:szCs w:val="32"/>
        </w:rPr>
        <w:t>采购组织机构对评标委员会评审专家进行评价。</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（三）澄清问题的形式</w:t>
      </w:r>
    </w:p>
    <w:p>
      <w:pPr>
        <w:spacing w:line="360" w:lineRule="auto"/>
        <w:ind w:firstLine="480" w:firstLineChars="200"/>
        <w:rPr>
          <w:rFonts w:ascii="宋体" w:hAnsi="宋体" w:cs="宋体"/>
          <w:sz w:val="24"/>
          <w:szCs w:val="32"/>
        </w:rPr>
      </w:pPr>
      <w:r>
        <w:rPr>
          <w:rFonts w:hint="eastAsia" w:ascii="宋体" w:hAnsi="宋体" w:cs="宋体"/>
          <w:sz w:val="24"/>
          <w:szCs w:val="32"/>
        </w:rPr>
        <w:t>投标人的澄清、说明或者补正应当采用书面形式，并加盖公章或者由法定代理人或其授权的代表签字，并不得超出投标文件的范围或者改变投标文件的实质性内容。</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（四）错误修正</w:t>
      </w:r>
    </w:p>
    <w:p>
      <w:pPr>
        <w:spacing w:line="360" w:lineRule="auto"/>
        <w:ind w:firstLine="480" w:firstLineChars="200"/>
        <w:rPr>
          <w:rFonts w:ascii="宋体" w:hAnsi="宋体" w:cs="宋体"/>
          <w:sz w:val="24"/>
          <w:szCs w:val="32"/>
        </w:rPr>
      </w:pPr>
      <w:r>
        <w:rPr>
          <w:rFonts w:hint="eastAsia" w:ascii="宋体" w:hAnsi="宋体" w:cs="宋体"/>
          <w:sz w:val="24"/>
          <w:szCs w:val="32"/>
        </w:rPr>
        <w:t>投标文件报价出现前后不一致的，除招标文件另有规定外，按照下列规定修正：</w:t>
      </w:r>
    </w:p>
    <w:p>
      <w:pPr>
        <w:spacing w:line="360" w:lineRule="auto"/>
        <w:ind w:firstLine="480" w:firstLineChars="200"/>
        <w:rPr>
          <w:rFonts w:ascii="宋体" w:hAnsi="宋体" w:cs="宋体"/>
          <w:sz w:val="24"/>
          <w:szCs w:val="32"/>
        </w:rPr>
      </w:pPr>
      <w:r>
        <w:rPr>
          <w:rFonts w:hint="eastAsia" w:ascii="宋体" w:hAnsi="宋体" w:cs="宋体"/>
          <w:sz w:val="24"/>
          <w:szCs w:val="32"/>
        </w:rPr>
        <w:t>1、投标文件中开标一览表（报价表）内容与投标文件中相应内容不一致的，以开标一览表（报价表）为准；</w:t>
      </w:r>
    </w:p>
    <w:p>
      <w:pPr>
        <w:spacing w:line="360" w:lineRule="auto"/>
        <w:ind w:firstLine="480" w:firstLineChars="200"/>
        <w:rPr>
          <w:rFonts w:ascii="宋体" w:hAnsi="宋体" w:cs="宋体"/>
          <w:sz w:val="24"/>
          <w:szCs w:val="32"/>
        </w:rPr>
      </w:pPr>
      <w:r>
        <w:rPr>
          <w:rFonts w:hint="eastAsia" w:ascii="宋体" w:hAnsi="宋体" w:cs="宋体"/>
          <w:sz w:val="24"/>
          <w:szCs w:val="32"/>
        </w:rPr>
        <w:t>2、大写金额和小写金额不一致的，以大写金额为准；</w:t>
      </w:r>
    </w:p>
    <w:p>
      <w:pPr>
        <w:spacing w:line="360" w:lineRule="auto"/>
        <w:ind w:firstLine="480" w:firstLineChars="200"/>
        <w:rPr>
          <w:rFonts w:ascii="宋体" w:hAnsi="宋体" w:cs="宋体"/>
          <w:sz w:val="24"/>
          <w:szCs w:val="32"/>
        </w:rPr>
      </w:pPr>
      <w:r>
        <w:rPr>
          <w:rFonts w:hint="eastAsia" w:ascii="宋体" w:hAnsi="宋体" w:cs="宋体"/>
          <w:sz w:val="24"/>
          <w:szCs w:val="32"/>
        </w:rPr>
        <w:t>3、单价金额小数点或者百分比有明显错位的，以开标一览表的总价为准，并修改单价；</w:t>
      </w:r>
    </w:p>
    <w:p>
      <w:pPr>
        <w:spacing w:line="360" w:lineRule="auto"/>
        <w:ind w:firstLine="480" w:firstLineChars="200"/>
        <w:rPr>
          <w:rFonts w:ascii="宋体" w:hAnsi="宋体" w:cs="宋体"/>
          <w:sz w:val="24"/>
          <w:szCs w:val="32"/>
        </w:rPr>
      </w:pPr>
      <w:r>
        <w:rPr>
          <w:rFonts w:hint="eastAsia" w:ascii="宋体" w:hAnsi="宋体" w:cs="宋体"/>
          <w:sz w:val="24"/>
          <w:szCs w:val="32"/>
        </w:rPr>
        <w:t>4、总价金额与按单价汇总金额不一致的，以单价金额计算结果为准。</w:t>
      </w:r>
    </w:p>
    <w:p>
      <w:pPr>
        <w:spacing w:line="360" w:lineRule="auto"/>
        <w:ind w:firstLine="480" w:firstLineChars="200"/>
        <w:rPr>
          <w:rFonts w:ascii="宋体" w:hAnsi="宋体" w:cs="宋体"/>
          <w:sz w:val="24"/>
          <w:szCs w:val="32"/>
        </w:rPr>
      </w:pPr>
      <w:r>
        <w:rPr>
          <w:rFonts w:hint="eastAsia" w:ascii="宋体" w:hAnsi="宋体" w:cs="宋体"/>
          <w:sz w:val="24"/>
          <w:szCs w:val="32"/>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（五）投标人存在下列情况之一的，投标无效</w:t>
      </w:r>
    </w:p>
    <w:p>
      <w:pPr>
        <w:spacing w:line="360" w:lineRule="auto"/>
        <w:ind w:firstLine="480" w:firstLineChars="200"/>
        <w:rPr>
          <w:rFonts w:ascii="宋体" w:hAnsi="宋体" w:cs="宋体"/>
          <w:sz w:val="24"/>
          <w:szCs w:val="32"/>
        </w:rPr>
      </w:pPr>
      <w:r>
        <w:rPr>
          <w:rFonts w:hint="eastAsia" w:ascii="宋体" w:hAnsi="宋体" w:cs="宋体"/>
          <w:sz w:val="24"/>
          <w:szCs w:val="32"/>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pacing w:line="360" w:lineRule="auto"/>
        <w:ind w:firstLine="480" w:firstLineChars="200"/>
        <w:rPr>
          <w:rFonts w:ascii="宋体" w:hAnsi="宋体" w:cs="宋体"/>
          <w:sz w:val="24"/>
          <w:szCs w:val="32"/>
        </w:rPr>
      </w:pPr>
      <w:r>
        <w:rPr>
          <w:rFonts w:hint="eastAsia" w:ascii="宋体" w:hAnsi="宋体" w:cs="宋体"/>
          <w:sz w:val="24"/>
          <w:szCs w:val="32"/>
        </w:rPr>
        <w:t>2、资格及商务技术文件跟报价文件出现混装或在资格及商务技术文件中出现投标报价的，或者报价文件中报价的货物跟资格及商务技术文件中的投标货物出现重大偏差的；</w:t>
      </w:r>
    </w:p>
    <w:p>
      <w:pPr>
        <w:spacing w:line="360" w:lineRule="auto"/>
        <w:ind w:firstLine="480" w:firstLineChars="200"/>
        <w:rPr>
          <w:rFonts w:ascii="宋体" w:hAnsi="宋体" w:cs="宋体"/>
          <w:sz w:val="24"/>
          <w:szCs w:val="32"/>
        </w:rPr>
      </w:pPr>
      <w:r>
        <w:rPr>
          <w:rFonts w:hint="eastAsia" w:ascii="宋体" w:hAnsi="宋体" w:cs="宋体"/>
          <w:sz w:val="24"/>
          <w:szCs w:val="32"/>
        </w:rPr>
        <w:t>3、不具备招标文件中规定的资格要求的。</w:t>
      </w:r>
      <w:r>
        <w:rPr>
          <w:rFonts w:hint="eastAsia" w:ascii="宋体" w:hAnsi="宋体" w:cs="宋体"/>
          <w:sz w:val="24"/>
          <w:szCs w:val="32"/>
        </w:rPr>
        <w:tab/>
      </w:r>
    </w:p>
    <w:p>
      <w:pPr>
        <w:spacing w:line="360" w:lineRule="auto"/>
        <w:ind w:firstLine="480" w:firstLineChars="200"/>
        <w:rPr>
          <w:rFonts w:ascii="宋体" w:hAnsi="宋体" w:cs="宋体"/>
          <w:sz w:val="24"/>
          <w:szCs w:val="32"/>
        </w:rPr>
      </w:pPr>
      <w:r>
        <w:rPr>
          <w:rFonts w:hint="eastAsia" w:ascii="宋体" w:hAnsi="宋体" w:cs="宋体"/>
          <w:sz w:val="24"/>
          <w:szCs w:val="32"/>
        </w:rPr>
        <w:t>4、投标文件含有采购人不能接受的附加条件的。</w:t>
      </w:r>
    </w:p>
    <w:p>
      <w:pPr>
        <w:spacing w:line="360" w:lineRule="auto"/>
        <w:ind w:firstLine="480" w:firstLineChars="200"/>
        <w:rPr>
          <w:rFonts w:ascii="宋体" w:hAnsi="宋体" w:cs="宋体"/>
          <w:sz w:val="24"/>
          <w:szCs w:val="32"/>
        </w:rPr>
      </w:pPr>
      <w:r>
        <w:rPr>
          <w:rFonts w:hint="eastAsia" w:ascii="宋体" w:hAnsi="宋体" w:cs="宋体"/>
          <w:sz w:val="24"/>
          <w:szCs w:val="32"/>
        </w:rPr>
        <w:t>5、授权委托代理人未能出具身份证明或与法定代表人授权委托人身份不符的；</w:t>
      </w:r>
    </w:p>
    <w:p>
      <w:pPr>
        <w:spacing w:line="360" w:lineRule="auto"/>
        <w:ind w:firstLine="480" w:firstLineChars="200"/>
        <w:rPr>
          <w:rFonts w:ascii="宋体" w:hAnsi="宋体" w:cs="宋体"/>
          <w:sz w:val="24"/>
          <w:szCs w:val="32"/>
        </w:rPr>
      </w:pPr>
      <w:r>
        <w:rPr>
          <w:rFonts w:hint="eastAsia" w:ascii="宋体" w:hAnsi="宋体" w:cs="宋体"/>
          <w:sz w:val="24"/>
          <w:szCs w:val="32"/>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sz w:val="24"/>
          <w:szCs w:val="32"/>
        </w:rPr>
      </w:pPr>
      <w:r>
        <w:rPr>
          <w:rFonts w:hint="eastAsia" w:ascii="宋体" w:hAnsi="宋体" w:cs="宋体"/>
          <w:sz w:val="24"/>
          <w:szCs w:val="32"/>
        </w:rPr>
        <w:t>7、报价超过招标文件中规定的预算金额/最高限价。</w:t>
      </w:r>
    </w:p>
    <w:p>
      <w:pPr>
        <w:spacing w:line="360" w:lineRule="auto"/>
        <w:ind w:firstLine="480" w:firstLineChars="200"/>
        <w:rPr>
          <w:rFonts w:ascii="宋体" w:hAnsi="宋体" w:cs="宋体"/>
          <w:sz w:val="24"/>
          <w:szCs w:val="32"/>
        </w:rPr>
      </w:pPr>
      <w:r>
        <w:rPr>
          <w:rFonts w:hint="eastAsia" w:ascii="宋体" w:hAnsi="宋体" w:cs="宋体"/>
          <w:sz w:val="24"/>
          <w:szCs w:val="32"/>
        </w:rPr>
        <w:t>8、投标参数未如实填写，完全复制粘贴招标参数的。</w:t>
      </w:r>
    </w:p>
    <w:p>
      <w:pPr>
        <w:spacing w:line="360" w:lineRule="auto"/>
        <w:ind w:firstLine="480" w:firstLineChars="200"/>
        <w:rPr>
          <w:rFonts w:ascii="宋体" w:hAnsi="宋体" w:cs="宋体"/>
          <w:sz w:val="24"/>
          <w:szCs w:val="32"/>
        </w:rPr>
      </w:pPr>
      <w:r>
        <w:rPr>
          <w:rFonts w:hint="eastAsia" w:ascii="宋体" w:hAnsi="宋体" w:cs="宋体"/>
          <w:sz w:val="24"/>
          <w:szCs w:val="32"/>
        </w:rPr>
        <w:t>9、投标文件提供虚假材料的。</w:t>
      </w:r>
    </w:p>
    <w:p>
      <w:pPr>
        <w:spacing w:line="360" w:lineRule="auto"/>
        <w:ind w:firstLine="480" w:firstLineChars="200"/>
        <w:rPr>
          <w:rFonts w:ascii="宋体" w:hAnsi="宋体" w:cs="宋体"/>
          <w:sz w:val="24"/>
          <w:szCs w:val="32"/>
        </w:rPr>
      </w:pPr>
      <w:r>
        <w:rPr>
          <w:rFonts w:hint="eastAsia" w:ascii="宋体" w:hAnsi="宋体" w:cs="宋体"/>
          <w:sz w:val="24"/>
          <w:szCs w:val="32"/>
        </w:rPr>
        <w:t>10、不符合中华人民共和国财政部令第87号《政府采购货物和服务招标投标管理办法》第三十七条情形之一的，视为投标人串通投标，其投标无效，并移送采购监管部门：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sz w:val="24"/>
          <w:szCs w:val="32"/>
        </w:rPr>
      </w:pPr>
      <w:r>
        <w:rPr>
          <w:rFonts w:hint="eastAsia" w:ascii="宋体" w:hAnsi="宋体" w:cs="宋体"/>
          <w:sz w:val="24"/>
          <w:szCs w:val="32"/>
        </w:rPr>
        <w:t>（1）不同投标人的投标文件由同一单位或者个人编制；</w:t>
      </w:r>
    </w:p>
    <w:p>
      <w:pPr>
        <w:spacing w:line="360" w:lineRule="auto"/>
        <w:ind w:firstLine="480" w:firstLineChars="200"/>
        <w:rPr>
          <w:rFonts w:ascii="宋体" w:hAnsi="宋体" w:cs="宋体"/>
          <w:sz w:val="24"/>
          <w:szCs w:val="32"/>
        </w:rPr>
      </w:pPr>
      <w:r>
        <w:rPr>
          <w:rFonts w:hint="eastAsia" w:ascii="宋体" w:hAnsi="宋体" w:cs="宋体"/>
          <w:sz w:val="24"/>
          <w:szCs w:val="32"/>
        </w:rPr>
        <w:t>（2）不同投标人委托同一单位或者个人办理投标事宜；</w:t>
      </w:r>
    </w:p>
    <w:p>
      <w:pPr>
        <w:spacing w:line="360" w:lineRule="auto"/>
        <w:ind w:firstLine="480" w:firstLineChars="200"/>
        <w:rPr>
          <w:rFonts w:ascii="宋体" w:hAnsi="宋体" w:cs="宋体"/>
          <w:sz w:val="24"/>
          <w:szCs w:val="32"/>
        </w:rPr>
      </w:pPr>
      <w:r>
        <w:rPr>
          <w:rFonts w:hint="eastAsia" w:ascii="宋体" w:hAnsi="宋体" w:cs="宋体"/>
          <w:sz w:val="24"/>
          <w:szCs w:val="32"/>
        </w:rPr>
        <w:t>（3）不同投标人的投标文件载明的项目管理成员或者联系人员为同一人；</w:t>
      </w:r>
    </w:p>
    <w:p>
      <w:pPr>
        <w:spacing w:line="360" w:lineRule="auto"/>
        <w:ind w:firstLine="480" w:firstLineChars="200"/>
        <w:rPr>
          <w:rFonts w:ascii="宋体" w:hAnsi="宋体" w:cs="宋体"/>
          <w:sz w:val="24"/>
          <w:szCs w:val="32"/>
        </w:rPr>
      </w:pPr>
      <w:r>
        <w:rPr>
          <w:rFonts w:hint="eastAsia" w:ascii="宋体" w:hAnsi="宋体" w:cs="宋体"/>
          <w:sz w:val="24"/>
          <w:szCs w:val="32"/>
        </w:rPr>
        <w:t>（4）不同投标人的投标文件异常一致或者投标报价呈规律性差异；</w:t>
      </w:r>
    </w:p>
    <w:p>
      <w:pPr>
        <w:spacing w:line="360" w:lineRule="auto"/>
        <w:ind w:firstLine="480" w:firstLineChars="200"/>
        <w:rPr>
          <w:rFonts w:ascii="宋体" w:hAnsi="宋体" w:cs="宋体"/>
          <w:sz w:val="24"/>
          <w:szCs w:val="32"/>
        </w:rPr>
      </w:pPr>
      <w:r>
        <w:rPr>
          <w:rFonts w:hint="eastAsia" w:ascii="宋体" w:hAnsi="宋体" w:cs="宋体"/>
          <w:sz w:val="24"/>
          <w:szCs w:val="32"/>
        </w:rPr>
        <w:t>（5）不同投标人的投标文件相互混装；</w:t>
      </w:r>
    </w:p>
    <w:p>
      <w:pPr>
        <w:spacing w:line="360" w:lineRule="auto"/>
        <w:ind w:firstLine="480" w:firstLineChars="200"/>
        <w:rPr>
          <w:rFonts w:ascii="宋体" w:hAnsi="宋体" w:cs="宋体"/>
          <w:sz w:val="24"/>
          <w:szCs w:val="32"/>
        </w:rPr>
      </w:pPr>
      <w:r>
        <w:rPr>
          <w:rFonts w:hint="eastAsia" w:ascii="宋体" w:hAnsi="宋体" w:cs="宋体"/>
          <w:sz w:val="24"/>
          <w:szCs w:val="32"/>
        </w:rPr>
        <w:t>11、不符合法律、法规和招标文件中规定的其他实质性要求的（招标文件中打“▲”内容及被拒绝的条款）。</w:t>
      </w:r>
    </w:p>
    <w:p>
      <w:pPr>
        <w:spacing w:line="360" w:lineRule="auto"/>
        <w:ind w:firstLine="480" w:firstLineChars="200"/>
        <w:rPr>
          <w:rFonts w:ascii="宋体" w:hAnsi="宋体" w:cs="宋体"/>
          <w:sz w:val="24"/>
          <w:szCs w:val="32"/>
        </w:rPr>
      </w:pPr>
      <w:r>
        <w:rPr>
          <w:rFonts w:hint="eastAsia" w:ascii="宋体" w:hAnsi="宋体" w:cs="宋体"/>
          <w:sz w:val="24"/>
          <w:szCs w:val="32"/>
        </w:rPr>
        <w:t>12、未传输递交电子投标文件的或者未按规定提供相应的备份投标文件，造成项目开评标活动无法进行下去的.</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（六）有下列情况之一的，本次招标作为废标处理</w:t>
      </w:r>
    </w:p>
    <w:p>
      <w:pPr>
        <w:spacing w:line="360" w:lineRule="auto"/>
        <w:ind w:firstLine="480" w:firstLineChars="200"/>
        <w:rPr>
          <w:rFonts w:ascii="宋体" w:hAnsi="宋体" w:cs="宋体"/>
          <w:sz w:val="24"/>
          <w:szCs w:val="32"/>
        </w:rPr>
      </w:pPr>
      <w:r>
        <w:rPr>
          <w:rFonts w:hint="eastAsia" w:ascii="宋体" w:hAnsi="宋体" w:cs="宋体"/>
          <w:sz w:val="24"/>
          <w:szCs w:val="32"/>
        </w:rPr>
        <w:t>1、出现影响采购公正的违法、违规行为的；</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sz w:val="24"/>
          <w:szCs w:val="32"/>
        </w:rPr>
      </w:pPr>
      <w:r>
        <w:rPr>
          <w:rFonts w:hint="eastAsia" w:ascii="宋体" w:hAnsi="宋体" w:cs="宋体"/>
          <w:sz w:val="24"/>
          <w:szCs w:val="32"/>
        </w:rPr>
        <w:t>3、因重大变故，采购任务取消的；</w:t>
      </w:r>
    </w:p>
    <w:p>
      <w:pPr>
        <w:spacing w:line="360" w:lineRule="auto"/>
        <w:ind w:firstLine="480" w:firstLineChars="200"/>
        <w:rPr>
          <w:rFonts w:ascii="宋体" w:hAnsi="宋体" w:cs="宋体"/>
          <w:sz w:val="24"/>
          <w:szCs w:val="32"/>
        </w:rPr>
      </w:pPr>
      <w:r>
        <w:rPr>
          <w:rFonts w:hint="eastAsia" w:ascii="宋体" w:hAnsi="宋体" w:cs="宋体"/>
          <w:sz w:val="24"/>
          <w:szCs w:val="32"/>
        </w:rPr>
        <w:t>4、法律、法规和招标文件规定的其他导致评标结果无效的。</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（七）评标原则和评标办法</w:t>
      </w:r>
    </w:p>
    <w:p>
      <w:pPr>
        <w:spacing w:line="360" w:lineRule="auto"/>
        <w:ind w:firstLine="480" w:firstLineChars="200"/>
        <w:rPr>
          <w:rFonts w:ascii="宋体" w:hAnsi="宋体" w:cs="宋体"/>
          <w:sz w:val="24"/>
          <w:szCs w:val="32"/>
        </w:rPr>
      </w:pPr>
      <w:r>
        <w:rPr>
          <w:rFonts w:hint="eastAsia" w:ascii="宋体" w:hAnsi="宋体" w:cs="宋体"/>
          <w:sz w:val="24"/>
          <w:szCs w:val="32"/>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sz w:val="24"/>
          <w:szCs w:val="32"/>
        </w:rPr>
      </w:pPr>
      <w:r>
        <w:rPr>
          <w:rFonts w:hint="eastAsia" w:ascii="宋体" w:hAnsi="宋体" w:cs="宋体"/>
          <w:sz w:val="24"/>
          <w:szCs w:val="32"/>
        </w:rPr>
        <w:t>2、评标办法。具体评标内容及评分标准等详见《第三章：评标方法及评分标准》。</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（八）评标过程的监控</w:t>
      </w:r>
    </w:p>
    <w:p>
      <w:pPr>
        <w:spacing w:line="360" w:lineRule="auto"/>
        <w:ind w:firstLine="480" w:firstLineChars="200"/>
        <w:rPr>
          <w:rFonts w:ascii="宋体" w:hAnsi="宋体" w:cs="宋体"/>
          <w:sz w:val="24"/>
          <w:szCs w:val="32"/>
        </w:rPr>
      </w:pPr>
      <w:r>
        <w:rPr>
          <w:rFonts w:hint="eastAsia" w:ascii="宋体" w:hAnsi="宋体" w:cs="宋体"/>
          <w:sz w:val="24"/>
          <w:szCs w:val="32"/>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sz w:val="24"/>
          <w:szCs w:val="32"/>
        </w:rPr>
      </w:pPr>
      <w:r>
        <w:rPr>
          <w:rFonts w:hint="eastAsia" w:ascii="宋体" w:hAnsi="宋体" w:cs="宋体"/>
          <w:b/>
          <w:bCs/>
          <w:sz w:val="24"/>
          <w:szCs w:val="32"/>
        </w:rPr>
        <w:t>六、定标</w:t>
      </w:r>
    </w:p>
    <w:p>
      <w:pPr>
        <w:spacing w:line="360" w:lineRule="auto"/>
        <w:ind w:firstLine="480" w:firstLineChars="200"/>
        <w:rPr>
          <w:rFonts w:ascii="宋体" w:hAnsi="宋体" w:cs="宋体"/>
          <w:sz w:val="24"/>
          <w:szCs w:val="32"/>
        </w:rPr>
      </w:pPr>
      <w:r>
        <w:rPr>
          <w:rFonts w:hint="eastAsia" w:ascii="宋体" w:hAnsi="宋体" w:cs="宋体"/>
          <w:sz w:val="24"/>
          <w:szCs w:val="32"/>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sz w:val="24"/>
          <w:szCs w:val="32"/>
        </w:rPr>
      </w:pPr>
      <w:r>
        <w:rPr>
          <w:rFonts w:hint="eastAsia" w:ascii="宋体" w:hAnsi="宋体" w:cs="宋体"/>
          <w:sz w:val="24"/>
          <w:szCs w:val="32"/>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pPr>
        <w:spacing w:line="360" w:lineRule="auto"/>
        <w:ind w:firstLine="480" w:firstLineChars="200"/>
        <w:rPr>
          <w:rFonts w:ascii="宋体" w:hAnsi="宋体" w:cs="宋体"/>
          <w:sz w:val="24"/>
          <w:szCs w:val="32"/>
        </w:rPr>
      </w:pPr>
      <w:r>
        <w:rPr>
          <w:rFonts w:hint="eastAsia" w:ascii="宋体" w:hAnsi="宋体" w:cs="宋体"/>
          <w:sz w:val="24"/>
          <w:szCs w:val="32"/>
        </w:rPr>
        <w:t>3、发出中标通知书。采购组织机构在发布中标结果的同时，向中标人发出中标通知书。</w:t>
      </w:r>
    </w:p>
    <w:p>
      <w:pPr>
        <w:spacing w:line="360" w:lineRule="auto"/>
        <w:ind w:firstLine="480" w:firstLineChars="200"/>
        <w:rPr>
          <w:rFonts w:ascii="宋体" w:hAnsi="宋体" w:cs="宋体"/>
          <w:sz w:val="24"/>
          <w:szCs w:val="32"/>
        </w:rPr>
      </w:pPr>
      <w:r>
        <w:rPr>
          <w:rFonts w:hint="eastAsia" w:ascii="宋体" w:hAnsi="宋体" w:cs="宋体"/>
          <w:sz w:val="24"/>
          <w:szCs w:val="32"/>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pPr>
      <w:r>
        <w:rPr>
          <w:rFonts w:hint="eastAsia" w:ascii="宋体" w:hAnsi="宋体" w:cs="宋体"/>
          <w:sz w:val="24"/>
          <w:szCs w:val="32"/>
        </w:rPr>
        <w:t>5、</w:t>
      </w:r>
      <w:r>
        <w:rPr>
          <w:rFonts w:hint="eastAsia" w:ascii="宋体" w:hAnsi="宋体"/>
          <w:sz w:val="24"/>
        </w:rPr>
        <w:t>招标代理费：</w:t>
      </w:r>
      <w:r>
        <w:rPr>
          <w:rFonts w:hint="eastAsia" w:ascii="宋体" w:hAnsi="宋体" w:cs="宋体"/>
          <w:sz w:val="24"/>
        </w:rPr>
        <w:t>根据国家发改委发改办价格[2003]857号通知和国家计委计价格[2002]1980号文件规定的招标费率标准，向中标单位收取招标服务费，该费用中标方须在中标通知书发出5日内一次性付清。</w:t>
      </w:r>
    </w:p>
    <w:p>
      <w:pPr>
        <w:spacing w:line="360" w:lineRule="auto"/>
        <w:rPr>
          <w:rFonts w:ascii="宋体" w:hAnsi="宋体" w:cs="宋体"/>
          <w:b/>
          <w:bCs/>
          <w:sz w:val="24"/>
          <w:szCs w:val="32"/>
        </w:rPr>
      </w:pPr>
      <w:r>
        <w:rPr>
          <w:rFonts w:hint="eastAsia" w:ascii="宋体" w:hAnsi="宋体" w:cs="宋体"/>
          <w:b/>
          <w:bCs/>
          <w:sz w:val="24"/>
          <w:szCs w:val="32"/>
        </w:rPr>
        <w:t>七、合同签订及公告</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（一）签订合同</w:t>
      </w:r>
    </w:p>
    <w:p>
      <w:pPr>
        <w:spacing w:line="360" w:lineRule="auto"/>
        <w:ind w:firstLine="480" w:firstLineChars="200"/>
        <w:rPr>
          <w:rFonts w:ascii="宋体" w:hAnsi="宋体" w:cs="宋体"/>
          <w:sz w:val="24"/>
          <w:szCs w:val="32"/>
        </w:rPr>
      </w:pPr>
      <w:r>
        <w:rPr>
          <w:rFonts w:hint="eastAsia" w:ascii="宋体" w:hAnsi="宋体" w:cs="宋体"/>
          <w:sz w:val="24"/>
          <w:szCs w:val="32"/>
        </w:rPr>
        <w:t>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sz w:val="24"/>
          <w:szCs w:val="32"/>
        </w:rPr>
      </w:pPr>
      <w:r>
        <w:rPr>
          <w:rFonts w:hint="eastAsia" w:ascii="宋体" w:hAnsi="宋体" w:cs="宋体"/>
          <w:sz w:val="24"/>
          <w:szCs w:val="32"/>
        </w:rPr>
        <w:t>2、采购人不得向中标人提出任何不合理的要求作为签订合同的条件。</w:t>
      </w:r>
    </w:p>
    <w:p>
      <w:pPr>
        <w:spacing w:line="360" w:lineRule="auto"/>
        <w:ind w:firstLine="480" w:firstLineChars="200"/>
        <w:rPr>
          <w:rFonts w:ascii="宋体" w:hAnsi="宋体" w:cs="宋体"/>
          <w:sz w:val="24"/>
          <w:szCs w:val="32"/>
        </w:rPr>
      </w:pPr>
      <w:r>
        <w:rPr>
          <w:rFonts w:hint="eastAsia" w:ascii="宋体" w:hAnsi="宋体" w:cs="宋体"/>
          <w:sz w:val="24"/>
          <w:szCs w:val="32"/>
        </w:rPr>
        <w:t>3、中标人无故拖延、拒签合同的，取消中标资格。</w:t>
      </w:r>
    </w:p>
    <w:p>
      <w:pPr>
        <w:spacing w:line="360" w:lineRule="auto"/>
        <w:ind w:firstLine="480" w:firstLineChars="200"/>
        <w:rPr>
          <w:rFonts w:ascii="宋体" w:hAnsi="宋体" w:cs="宋体"/>
          <w:sz w:val="24"/>
          <w:szCs w:val="32"/>
        </w:rPr>
      </w:pPr>
      <w:r>
        <w:rPr>
          <w:rFonts w:hint="eastAsia" w:ascii="宋体" w:hAnsi="宋体" w:cs="宋体"/>
          <w:sz w:val="24"/>
          <w:szCs w:val="32"/>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pacing w:line="360" w:lineRule="auto"/>
        <w:ind w:firstLine="480" w:firstLineChars="200"/>
        <w:rPr>
          <w:rFonts w:ascii="宋体" w:hAnsi="宋体" w:cs="宋体"/>
          <w:sz w:val="24"/>
          <w:szCs w:val="32"/>
        </w:rPr>
      </w:pPr>
      <w:r>
        <w:rPr>
          <w:rFonts w:hint="eastAsia" w:ascii="宋体" w:hAnsi="宋体" w:cs="宋体"/>
          <w:sz w:val="24"/>
          <w:szCs w:val="32"/>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241" w:firstLineChars="100"/>
        <w:rPr>
          <w:rFonts w:ascii="宋体" w:hAnsi="宋体" w:cs="宋体"/>
          <w:b/>
          <w:bCs/>
          <w:sz w:val="24"/>
          <w:szCs w:val="32"/>
        </w:rPr>
      </w:pPr>
      <w:r>
        <w:rPr>
          <w:rFonts w:hint="eastAsia" w:ascii="宋体" w:hAnsi="宋体" w:cs="宋体"/>
          <w:b/>
          <w:bCs/>
          <w:sz w:val="24"/>
          <w:szCs w:val="32"/>
        </w:rPr>
        <w:t>（二）合同公告及备案</w:t>
      </w:r>
    </w:p>
    <w:p>
      <w:pPr>
        <w:spacing w:line="360" w:lineRule="auto"/>
        <w:ind w:firstLine="480" w:firstLineChars="200"/>
        <w:rPr>
          <w:rFonts w:ascii="宋体" w:hAnsi="宋体" w:cs="宋体"/>
          <w:sz w:val="24"/>
          <w:szCs w:val="32"/>
        </w:rPr>
      </w:pPr>
      <w:r>
        <w:rPr>
          <w:rFonts w:hint="eastAsia" w:ascii="宋体" w:hAnsi="宋体" w:cs="宋体"/>
          <w:sz w:val="24"/>
          <w:szCs w:val="32"/>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sz w:val="24"/>
          <w:szCs w:val="32"/>
        </w:rPr>
      </w:pPr>
      <w:r>
        <w:rPr>
          <w:rFonts w:hint="eastAsia" w:ascii="宋体" w:hAnsi="宋体" w:cs="宋体"/>
          <w:sz w:val="24"/>
          <w:szCs w:val="32"/>
        </w:rPr>
        <w:t>2、采购人应当自政府采购合同签订之日起7个工作日内，将政府采购合同副本报同级人民政府财政部门备案以及采购组织机构存档。</w:t>
      </w:r>
    </w:p>
    <w:p>
      <w:pPr>
        <w:spacing w:line="360" w:lineRule="auto"/>
        <w:rPr>
          <w:rFonts w:ascii="宋体" w:hAnsi="宋体" w:cs="宋体"/>
          <w:sz w:val="24"/>
          <w:szCs w:val="24"/>
        </w:rPr>
      </w:pPr>
    </w:p>
    <w:p>
      <w:pPr>
        <w:spacing w:line="360" w:lineRule="auto"/>
        <w:rPr>
          <w:rFonts w:ascii="宋体" w:hAnsi="宋体" w:cs="宋体"/>
          <w:sz w:val="24"/>
          <w:szCs w:val="24"/>
        </w:rPr>
      </w:pPr>
    </w:p>
    <w:p>
      <w:pPr>
        <w:pStyle w:val="2"/>
      </w:pPr>
    </w:p>
    <w:p>
      <w:pPr>
        <w:rPr>
          <w:rFonts w:hint="eastAsia"/>
        </w:rPr>
      </w:pPr>
    </w:p>
    <w:p>
      <w:pPr>
        <w:pStyle w:val="25"/>
      </w:pPr>
    </w:p>
    <w:p>
      <w:pPr>
        <w:spacing w:line="360" w:lineRule="auto"/>
        <w:jc w:val="center"/>
        <w:rPr>
          <w:rFonts w:ascii="宋体"/>
          <w:b/>
          <w:bCs/>
          <w:sz w:val="36"/>
          <w:szCs w:val="36"/>
        </w:rPr>
      </w:pPr>
      <w:r>
        <w:rPr>
          <w:rFonts w:hint="eastAsia" w:ascii="宋体" w:hAnsi="宋体" w:cs="宋体"/>
          <w:b/>
          <w:bCs/>
          <w:sz w:val="36"/>
          <w:szCs w:val="36"/>
        </w:rPr>
        <w:t>第三章  评标办法及评分标准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一、采购组织机构将组织评标委员会，对投标人提供的投标文件进行综合评审。</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二、本次招标项目的评标方法为综合评分法，总计100分，其中资格及</w:t>
      </w:r>
      <w:r>
        <w:rPr>
          <w:rFonts w:hint="eastAsia" w:ascii="宋体" w:hAnsi="宋体" w:cs="宋体"/>
          <w:kern w:val="0"/>
          <w:sz w:val="24"/>
          <w:lang w:val="zh-CN"/>
        </w:rPr>
        <w:t>商务技术文件分值</w:t>
      </w:r>
      <w:r>
        <w:rPr>
          <w:rFonts w:ascii="宋体" w:hAnsi="宋体" w:cs="宋体"/>
          <w:kern w:val="0"/>
          <w:sz w:val="24"/>
        </w:rPr>
        <w:t>80</w:t>
      </w:r>
      <w:r>
        <w:rPr>
          <w:rFonts w:hint="eastAsia" w:ascii="宋体" w:hAnsi="宋体" w:cs="宋体"/>
          <w:kern w:val="0"/>
          <w:sz w:val="24"/>
          <w:lang w:val="zh-CN"/>
        </w:rPr>
        <w:t>分，投标报价分值</w:t>
      </w:r>
      <w:r>
        <w:rPr>
          <w:rFonts w:ascii="宋体" w:hAnsi="宋体" w:cs="宋体"/>
          <w:kern w:val="0"/>
          <w:sz w:val="24"/>
        </w:rPr>
        <w:t>20</w:t>
      </w:r>
      <w:r>
        <w:rPr>
          <w:rFonts w:hint="eastAsia" w:ascii="宋体" w:hAnsi="宋体" w:cs="宋体"/>
          <w:kern w:val="0"/>
          <w:sz w:val="24"/>
          <w:lang w:val="zh-CN"/>
        </w:rPr>
        <w:t>分</w:t>
      </w:r>
      <w:r>
        <w:rPr>
          <w:rFonts w:hint="eastAsia" w:ascii="宋体" w:hAnsi="宋体" w:cs="宋体"/>
          <w:kern w:val="0"/>
          <w:sz w:val="24"/>
        </w:rPr>
        <w:t>。评标标准按评分细化条款及分值进行评审。</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（一）</w:t>
      </w:r>
      <w:r>
        <w:rPr>
          <w:rFonts w:hint="eastAsia" w:ascii="宋体" w:hAnsi="宋体" w:cs="宋体"/>
          <w:kern w:val="0"/>
          <w:sz w:val="24"/>
        </w:rPr>
        <w:t>资格及</w:t>
      </w:r>
      <w:r>
        <w:rPr>
          <w:rFonts w:hint="eastAsia" w:ascii="宋体" w:hAnsi="宋体" w:cs="宋体"/>
          <w:kern w:val="0"/>
          <w:sz w:val="24"/>
          <w:lang w:val="zh-CN"/>
        </w:rPr>
        <w:t>商务技术文件中的客观分由评标委员会讨论后统一打分；其余在规定的分值内单独评定打分</w:t>
      </w:r>
      <w:r>
        <w:rPr>
          <w:rFonts w:hint="eastAsia" w:ascii="宋体" w:hAnsi="宋体" w:cs="宋体"/>
          <w:kern w:val="0"/>
          <w:sz w:val="24"/>
        </w:rPr>
        <w:t>（小数点后保留1位）</w:t>
      </w:r>
      <w:r>
        <w:rPr>
          <w:rFonts w:hint="eastAsia" w:ascii="宋体" w:hAnsi="宋体" w:cs="宋体"/>
          <w:kern w:val="0"/>
          <w:sz w:val="24"/>
          <w:lang w:val="zh-CN"/>
        </w:rPr>
        <w:t>。</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（二）各投标人</w:t>
      </w:r>
      <w:r>
        <w:rPr>
          <w:rFonts w:hint="eastAsia" w:ascii="宋体" w:hAnsi="宋体" w:cs="宋体"/>
          <w:kern w:val="0"/>
          <w:sz w:val="24"/>
        </w:rPr>
        <w:t>资格及</w:t>
      </w:r>
      <w:r>
        <w:rPr>
          <w:rFonts w:hint="eastAsia" w:ascii="宋体" w:hAnsi="宋体" w:cs="宋体"/>
          <w:kern w:val="0"/>
          <w:sz w:val="24"/>
          <w:lang w:val="zh-CN"/>
        </w:rPr>
        <w:t>商务技术文件得分按照评标委员会成员的独立评分结果汇总后的算术平均分计算</w:t>
      </w:r>
      <w:r>
        <w:rPr>
          <w:rFonts w:hint="eastAsia" w:ascii="宋体" w:hAnsi="宋体" w:cs="宋体"/>
          <w:kern w:val="0"/>
          <w:sz w:val="24"/>
        </w:rPr>
        <w:t>（小数点后保留2位）</w:t>
      </w:r>
      <w:r>
        <w:rPr>
          <w:rFonts w:hint="eastAsia" w:ascii="宋体" w:hAnsi="宋体" w:cs="宋体"/>
          <w:kern w:val="0"/>
          <w:sz w:val="24"/>
          <w:lang w:val="zh-CN"/>
        </w:rPr>
        <w:t>，计算公式为：</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资格及</w:t>
      </w:r>
      <w:r>
        <w:rPr>
          <w:rFonts w:hint="eastAsia" w:ascii="宋体" w:hAnsi="宋体" w:cs="宋体"/>
          <w:kern w:val="0"/>
          <w:sz w:val="24"/>
          <w:lang w:val="zh-CN"/>
        </w:rPr>
        <w:t>商务技术文件</w:t>
      </w:r>
      <w:r>
        <w:rPr>
          <w:rFonts w:hint="eastAsia" w:ascii="宋体" w:hAnsi="宋体" w:cs="宋体"/>
          <w:kern w:val="0"/>
          <w:sz w:val="24"/>
        </w:rPr>
        <w:t>得分</w:t>
      </w:r>
      <w:r>
        <w:rPr>
          <w:rFonts w:hint="eastAsia" w:ascii="宋体" w:hAnsi="宋体" w:cs="宋体"/>
          <w:kern w:val="0"/>
          <w:sz w:val="24"/>
          <w:lang w:val="zh-CN"/>
        </w:rPr>
        <w:t>=评标委员会所有成员评分合计数/评标委员会组成人员数。</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（三）投标报价得分采用低价优先法计算</w:t>
      </w:r>
      <w:r>
        <w:rPr>
          <w:rFonts w:hint="eastAsia" w:ascii="宋体" w:hAnsi="宋体" w:cs="宋体"/>
          <w:kern w:val="0"/>
          <w:sz w:val="24"/>
        </w:rPr>
        <w:t>（小数点后保留2位）</w:t>
      </w:r>
      <w:r>
        <w:rPr>
          <w:rFonts w:hint="eastAsia" w:ascii="宋体" w:hAnsi="宋体" w:cs="宋体"/>
          <w:kern w:val="0"/>
          <w:sz w:val="24"/>
          <w:lang w:val="zh-CN"/>
        </w:rPr>
        <w:t>，即满足招标文件要求且投标价格最低的投标报价为评标基准价，其报价得满分。其他投标人的投标报价得分按下列公式计算：</w:t>
      </w:r>
    </w:p>
    <w:p>
      <w:pPr>
        <w:autoSpaceDE w:val="0"/>
        <w:autoSpaceDN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投标报价得分=(评标基准价／投标报价)×</w:t>
      </w:r>
      <w:r>
        <w:rPr>
          <w:rFonts w:ascii="宋体" w:hAnsi="宋体" w:cs="宋体"/>
          <w:kern w:val="0"/>
          <w:sz w:val="24"/>
          <w:u w:val="single"/>
        </w:rPr>
        <w:t>20</w:t>
      </w:r>
      <w:r>
        <w:rPr>
          <w:rFonts w:hint="eastAsia" w:ascii="宋体" w:hAnsi="宋体" w:cs="宋体"/>
          <w:kern w:val="0"/>
          <w:sz w:val="24"/>
          <w:u w:val="single"/>
        </w:rPr>
        <w:t>%×100 。</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（四）投标人综合得分＝资格及商务技术文件得分＋投标报价得分。</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（五）政府采购政策及优惠：</w:t>
      </w:r>
    </w:p>
    <w:p>
      <w:pPr>
        <w:spacing w:line="360" w:lineRule="auto"/>
        <w:ind w:firstLine="480" w:firstLineChars="200"/>
        <w:rPr>
          <w:rFonts w:ascii="宋体" w:hAnsi="宋体" w:cs="宋体"/>
          <w:sz w:val="24"/>
        </w:rPr>
      </w:pPr>
      <w:r>
        <w:rPr>
          <w:rFonts w:hint="eastAsia" w:ascii="宋体" w:hAnsi="宋体" w:cs="宋体"/>
          <w:sz w:val="24"/>
        </w:rPr>
        <w:t>根据财政部、工业和信息化部发布的《政府采购促进中小企业发展管理办法》【财库（2020）46号】和【财库（</w:t>
      </w:r>
      <w:r>
        <w:rPr>
          <w:rFonts w:ascii="宋体" w:hAnsi="宋体" w:cs="宋体"/>
          <w:sz w:val="24"/>
        </w:rPr>
        <w:t>2022</w:t>
      </w:r>
      <w:r>
        <w:rPr>
          <w:rFonts w:hint="eastAsia" w:ascii="宋体" w:hAnsi="宋体" w:cs="宋体"/>
          <w:sz w:val="24"/>
        </w:rPr>
        <w:t>）</w:t>
      </w:r>
      <w:r>
        <w:rPr>
          <w:rFonts w:ascii="宋体" w:hAnsi="宋体" w:cs="宋体"/>
          <w:sz w:val="24"/>
        </w:rPr>
        <w:t>19</w:t>
      </w:r>
      <w:r>
        <w:rPr>
          <w:rFonts w:hint="eastAsia" w:ascii="宋体" w:hAnsi="宋体" w:cs="宋体"/>
          <w:sz w:val="24"/>
        </w:rPr>
        <w:t xml:space="preserve">号】，浙江省财政厅发布的《浙江省财政厅关于进一步发挥政府采购政策功能全力推动经济稳进提质的通知》【浙财采监〔2022〕3号】规定，对于经主管预算单位统筹后未预留份额专门面向中小企业采购的采购项目，以及预留份额项目中的非预留部分采购包，采购人、采购代理机构应当对符合本办法规定的小微企业报价给予 </w:t>
      </w:r>
      <w:r>
        <w:rPr>
          <w:rFonts w:ascii="宋体" w:hAnsi="宋体" w:cs="宋体"/>
          <w:sz w:val="24"/>
        </w:rPr>
        <w:t>20</w:t>
      </w:r>
      <w:r>
        <w:rPr>
          <w:rFonts w:hint="eastAsia" w:ascii="宋体" w:hAnsi="宋体" w:cs="宋体"/>
          <w:sz w:val="24"/>
        </w:rPr>
        <w:t>%的扣除，用扣除后的价格参加评审。</w:t>
      </w:r>
    </w:p>
    <w:p>
      <w:pPr>
        <w:spacing w:line="360" w:lineRule="auto"/>
        <w:ind w:firstLine="480" w:firstLineChars="200"/>
        <w:rPr>
          <w:rFonts w:ascii="宋体" w:hAnsi="宋体" w:cs="宋体"/>
          <w:sz w:val="24"/>
        </w:rPr>
      </w:pPr>
      <w:r>
        <w:rPr>
          <w:rFonts w:hint="eastAsia" w:ascii="宋体" w:hAnsi="宋体" w:cs="宋体"/>
          <w:sz w:val="24"/>
        </w:rPr>
        <w:t>投标文件中须同时出具《中小企业声明函》，否则不得享受价格扣除。</w:t>
      </w:r>
    </w:p>
    <w:p>
      <w:pPr>
        <w:spacing w:line="360" w:lineRule="auto"/>
        <w:ind w:firstLine="482" w:firstLineChars="200"/>
        <w:rPr>
          <w:rFonts w:ascii="宋体" w:hAnsi="宋体" w:cs="宋体"/>
          <w:b/>
          <w:sz w:val="24"/>
        </w:rPr>
      </w:pPr>
      <w:r>
        <w:rPr>
          <w:rFonts w:hint="eastAsia" w:ascii="宋体" w:hAnsi="宋体" w:cs="宋体"/>
          <w:b/>
          <w:sz w:val="24"/>
        </w:rPr>
        <w:t>本项目对符合规定的小微企业（含小型企业）报价给予</w:t>
      </w:r>
      <w:r>
        <w:rPr>
          <w:rFonts w:ascii="宋体" w:hAnsi="宋体" w:cs="宋体"/>
          <w:b/>
          <w:sz w:val="24"/>
        </w:rPr>
        <w:t>20</w:t>
      </w:r>
      <w:r>
        <w:rPr>
          <w:rFonts w:hint="eastAsia" w:ascii="宋体" w:hAnsi="宋体" w:cs="宋体"/>
          <w:b/>
          <w:sz w:val="24"/>
        </w:rPr>
        <w:t>% 的扣除。</w:t>
      </w:r>
    </w:p>
    <w:p>
      <w:pPr>
        <w:spacing w:line="360" w:lineRule="auto"/>
        <w:ind w:firstLine="480" w:firstLineChars="200"/>
        <w:rPr>
          <w:rFonts w:ascii="宋体" w:hAnsi="宋体" w:cs="宋体"/>
          <w:sz w:val="24"/>
        </w:rPr>
      </w:pPr>
      <w:r>
        <w:rPr>
          <w:rFonts w:hint="eastAsia" w:ascii="宋体" w:hAnsi="宋体" w:cs="宋体"/>
          <w:sz w:val="24"/>
        </w:rPr>
        <w:t>（2）根据《关于政府采购支持监狱企业发展有关问题的通知》（财库[2014]68号）的规定，供应商如为监狱企业且所投产品为小型或微型企业生产的，其投标报价扣除</w:t>
      </w:r>
      <w:r>
        <w:rPr>
          <w:rFonts w:ascii="宋体" w:hAnsi="宋体" w:cs="宋体"/>
          <w:sz w:val="24"/>
        </w:rPr>
        <w:t>20</w:t>
      </w:r>
      <w:r>
        <w:rPr>
          <w:rFonts w:hint="eastAsia" w:ascii="宋体" w:hAnsi="宋体" w:cs="宋体"/>
          <w:sz w:val="24"/>
        </w:rPr>
        <w:t>%后参与评审。</w:t>
      </w:r>
    </w:p>
    <w:p>
      <w:pPr>
        <w:spacing w:line="360" w:lineRule="auto"/>
        <w:ind w:firstLine="480" w:firstLineChars="200"/>
        <w:rPr>
          <w:rFonts w:ascii="宋体" w:hAnsi="宋体" w:cs="宋体"/>
          <w:sz w:val="24"/>
        </w:rPr>
      </w:pPr>
      <w:r>
        <w:rPr>
          <w:rFonts w:hint="eastAsia" w:ascii="宋体" w:hAnsi="宋体" w:cs="宋体"/>
          <w:sz w:val="24"/>
        </w:rPr>
        <w:t>投标文件中须同时提供：供应商的省级以上监狱管理局、戒毒管理局(含新疆生产建设兵团)出具的属于监狱企业的证明文件，未提供完整证明材料的，投标报价不予扣减。</w:t>
      </w:r>
    </w:p>
    <w:p>
      <w:pPr>
        <w:spacing w:line="360" w:lineRule="auto"/>
        <w:ind w:firstLine="480" w:firstLineChars="200"/>
        <w:rPr>
          <w:rFonts w:ascii="宋体" w:hAnsi="宋体" w:cs="宋体"/>
          <w:sz w:val="24"/>
        </w:rPr>
      </w:pPr>
      <w:r>
        <w:rPr>
          <w:rFonts w:hint="eastAsia" w:ascii="宋体" w:hAnsi="宋体" w:cs="宋体"/>
          <w:sz w:val="24"/>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pacing w:line="360" w:lineRule="auto"/>
        <w:ind w:firstLine="480" w:firstLineChars="200"/>
        <w:rPr>
          <w:rFonts w:ascii="宋体" w:hAnsi="宋体" w:cs="宋体"/>
          <w:sz w:val="24"/>
        </w:rPr>
      </w:pPr>
      <w:r>
        <w:rPr>
          <w:rFonts w:hint="eastAsia" w:ascii="宋体" w:hAnsi="宋体" w:cs="宋体"/>
          <w:sz w:val="24"/>
        </w:rPr>
        <w:t>享受政府采购支持政策的残疾人福利性单位应当同时满足以下条件：</w:t>
      </w:r>
    </w:p>
    <w:p>
      <w:pPr>
        <w:spacing w:line="360" w:lineRule="auto"/>
        <w:ind w:firstLine="480" w:firstLineChars="200"/>
        <w:rPr>
          <w:rFonts w:ascii="宋体" w:hAnsi="宋体" w:cs="宋体"/>
          <w:sz w:val="24"/>
        </w:rPr>
      </w:pPr>
      <w:r>
        <w:rPr>
          <w:rFonts w:hint="eastAsia" w:ascii="Yu Gothic UI Semilight" w:hAnsi="Yu Gothic UI Semilight" w:eastAsia="Yu Gothic UI Semilight" w:cs="Yu Gothic UI Semilight"/>
          <w:sz w:val="24"/>
        </w:rPr>
        <w:t>①</w:t>
      </w:r>
      <w:r>
        <w:rPr>
          <w:rFonts w:hint="eastAsia" w:ascii="宋体" w:hAnsi="宋体" w:cs="宋体"/>
          <w:sz w:val="24"/>
        </w:rPr>
        <w:t>安置的残疾人占本单位在职职工人数的比例不低于25%（含25%），并且安置的残疾人人数不少于10人（含10人）；</w:t>
      </w:r>
    </w:p>
    <w:p>
      <w:pPr>
        <w:spacing w:line="360" w:lineRule="auto"/>
        <w:ind w:firstLine="480" w:firstLineChars="200"/>
        <w:rPr>
          <w:rFonts w:ascii="宋体" w:hAnsi="宋体" w:cs="宋体"/>
          <w:sz w:val="24"/>
        </w:rPr>
      </w:pPr>
      <w:r>
        <w:rPr>
          <w:rFonts w:hint="eastAsia" w:ascii="Yu Gothic UI Semilight" w:hAnsi="Yu Gothic UI Semilight" w:eastAsia="Yu Gothic UI Semilight" w:cs="Yu Gothic UI Semilight"/>
          <w:sz w:val="24"/>
        </w:rPr>
        <w:t>②</w:t>
      </w:r>
      <w:r>
        <w:rPr>
          <w:rFonts w:hint="eastAsia" w:ascii="宋体" w:hAnsi="宋体" w:cs="宋体"/>
          <w:sz w:val="24"/>
        </w:rPr>
        <w:t>依法与安置的每位残疾人签订了一年以上（含一年）的劳动合同或服务协议；</w:t>
      </w:r>
    </w:p>
    <w:p>
      <w:pPr>
        <w:spacing w:line="360" w:lineRule="auto"/>
        <w:ind w:firstLine="480" w:firstLineChars="200"/>
        <w:rPr>
          <w:rFonts w:ascii="宋体" w:hAnsi="宋体" w:cs="宋体"/>
          <w:sz w:val="24"/>
        </w:rPr>
      </w:pPr>
      <w:r>
        <w:rPr>
          <w:rFonts w:hint="eastAsia" w:ascii="Yu Gothic UI Semilight" w:hAnsi="Yu Gothic UI Semilight" w:eastAsia="Yu Gothic UI Semilight" w:cs="Yu Gothic UI Semilight"/>
          <w:sz w:val="24"/>
        </w:rPr>
        <w:t>③</w:t>
      </w:r>
      <w:r>
        <w:rPr>
          <w:rFonts w:hint="eastAsia" w:ascii="宋体" w:hAnsi="宋体" w:cs="宋体"/>
          <w:sz w:val="24"/>
        </w:rPr>
        <w:t>为安置的每位残疾人按月足额缴纳了基本养老保险、基本医疗保险、失业保险、工伤保险和生育保险等社会保险费；</w:t>
      </w:r>
    </w:p>
    <w:p>
      <w:pPr>
        <w:spacing w:line="360" w:lineRule="auto"/>
        <w:ind w:firstLine="480" w:firstLineChars="200"/>
        <w:rPr>
          <w:rFonts w:ascii="宋体" w:hAnsi="宋体" w:cs="宋体"/>
          <w:sz w:val="24"/>
        </w:rPr>
      </w:pPr>
      <w:r>
        <w:rPr>
          <w:rFonts w:hint="eastAsia" w:ascii="Yu Gothic UI Semilight" w:hAnsi="Yu Gothic UI Semilight" w:eastAsia="Yu Gothic UI Semilight" w:cs="Yu Gothic UI Semilight"/>
          <w:sz w:val="24"/>
        </w:rPr>
        <w:t>④</w:t>
      </w:r>
      <w:r>
        <w:rPr>
          <w:rFonts w:hint="eastAsia" w:ascii="宋体" w:hAnsi="宋体" w:cs="宋体"/>
          <w:sz w:val="24"/>
        </w:rPr>
        <w:t>通过银行等金融机构向安置的每位残疾人，按月支付了不低于单位所在区县适用的经省级人民政府批准的月最低工资标准的工资；</w:t>
      </w:r>
    </w:p>
    <w:p>
      <w:pPr>
        <w:spacing w:line="360" w:lineRule="auto"/>
        <w:ind w:firstLine="480" w:firstLineChars="200"/>
        <w:rPr>
          <w:rFonts w:ascii="宋体" w:hAnsi="宋体" w:cs="宋体"/>
          <w:sz w:val="24"/>
        </w:rPr>
      </w:pPr>
      <w:r>
        <w:rPr>
          <w:rFonts w:hint="eastAsia" w:ascii="宋体" w:hAnsi="宋体" w:cs="宋体"/>
          <w:sz w:val="24"/>
        </w:rPr>
        <w:t>⑤提供本单位制造的货物、承担的工程或者服务（以下简称产品），或者提供其他残疾人福利性单位制造的货物（不包括使用非残疾人福利性单位注册商标的货物）。</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80" w:firstLineChars="200"/>
        <w:rPr>
          <w:rFonts w:ascii="宋体" w:hAnsi="宋体" w:cs="宋体"/>
          <w:sz w:val="24"/>
          <w:lang w:val="zh-CN"/>
        </w:rPr>
      </w:pPr>
      <w:r>
        <w:rPr>
          <w:rFonts w:hint="eastAsia" w:ascii="宋体" w:hAnsi="宋体" w:cs="宋体"/>
          <w:sz w:val="24"/>
          <w:lang w:val="zh-CN"/>
        </w:rPr>
        <w:t>注：得分以系统计算为准，保留2位小数。</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三、在最大限度地满足招标文件实质性要求前提下，评标委员会按照招标文件中规定的各项因素进行综合评审后，以评标总得分最高的投标人为中标候选人。</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六、本次评分具体分值细化条款如下表：</w:t>
      </w:r>
    </w:p>
    <w:tbl>
      <w:tblPr>
        <w:tblStyle w:val="27"/>
        <w:tblW w:w="5102" w:type="pct"/>
        <w:tblInd w:w="18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97"/>
        <w:gridCol w:w="718"/>
        <w:gridCol w:w="70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1297" w:type="dxa"/>
            <w:tcBorders>
              <w:top w:val="single" w:color="auto" w:sz="4" w:space="0"/>
              <w:left w:val="single" w:color="auto" w:sz="4" w:space="0"/>
            </w:tcBorders>
            <w:shd w:val="clear" w:color="auto" w:fill="B3B3B3"/>
            <w:vAlign w:val="center"/>
          </w:tcPr>
          <w:p>
            <w:pPr>
              <w:jc w:val="center"/>
              <w:rPr>
                <w:rFonts w:ascii="宋体" w:hAnsi="宋体"/>
                <w:b/>
                <w:bCs/>
              </w:rPr>
            </w:pPr>
            <w:r>
              <w:rPr>
                <w:rFonts w:hint="eastAsia" w:ascii="宋体" w:hAnsi="宋体"/>
                <w:b/>
                <w:bCs/>
              </w:rPr>
              <w:t>评分</w:t>
            </w:r>
          </w:p>
          <w:p>
            <w:pPr>
              <w:jc w:val="center"/>
              <w:rPr>
                <w:rFonts w:ascii="宋体" w:hAnsi="宋体"/>
                <w:b/>
                <w:bCs/>
              </w:rPr>
            </w:pPr>
            <w:r>
              <w:rPr>
                <w:rFonts w:hint="eastAsia" w:ascii="宋体" w:hAnsi="宋体"/>
                <w:b/>
                <w:bCs/>
              </w:rPr>
              <w:t>项目</w:t>
            </w:r>
          </w:p>
        </w:tc>
        <w:tc>
          <w:tcPr>
            <w:tcW w:w="718" w:type="dxa"/>
            <w:tcBorders>
              <w:top w:val="single" w:color="auto" w:sz="4" w:space="0"/>
            </w:tcBorders>
            <w:shd w:val="clear" w:color="auto" w:fill="B3B3B3"/>
            <w:vAlign w:val="center"/>
          </w:tcPr>
          <w:p>
            <w:pPr>
              <w:jc w:val="center"/>
              <w:rPr>
                <w:rFonts w:ascii="宋体" w:hAnsi="宋体"/>
                <w:b/>
                <w:bCs/>
              </w:rPr>
            </w:pPr>
            <w:r>
              <w:rPr>
                <w:rFonts w:hint="eastAsia" w:ascii="宋体" w:hAnsi="宋体"/>
                <w:b/>
                <w:bCs/>
              </w:rPr>
              <w:t>分值</w:t>
            </w:r>
          </w:p>
        </w:tc>
        <w:tc>
          <w:tcPr>
            <w:tcW w:w="7068" w:type="dxa"/>
            <w:tcBorders>
              <w:top w:val="single" w:color="auto" w:sz="4" w:space="0"/>
              <w:bottom w:val="single" w:color="auto" w:sz="4" w:space="0"/>
              <w:right w:val="single" w:color="auto" w:sz="4" w:space="0"/>
            </w:tcBorders>
            <w:shd w:val="clear" w:color="auto" w:fill="B3B3B3"/>
            <w:vAlign w:val="center"/>
          </w:tcPr>
          <w:p>
            <w:pPr>
              <w:jc w:val="center"/>
              <w:rPr>
                <w:rFonts w:ascii="宋体" w:hAnsi="宋体"/>
                <w:b/>
                <w:bCs/>
              </w:rPr>
            </w:pPr>
            <w:r>
              <w:rPr>
                <w:rFonts w:hint="eastAsia" w:ascii="宋体" w:hAnsi="宋体"/>
                <w:b/>
                <w:bCs/>
              </w:rPr>
              <w:t>评标要点及说明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1" w:hRule="atLeast"/>
        </w:trPr>
        <w:tc>
          <w:tcPr>
            <w:tcW w:w="1297" w:type="dxa"/>
            <w:tcBorders>
              <w:left w:val="single" w:color="auto" w:sz="4" w:space="0"/>
              <w:bottom w:val="single" w:color="auto" w:sz="4" w:space="0"/>
            </w:tcBorders>
            <w:vAlign w:val="center"/>
          </w:tcPr>
          <w:p>
            <w:pPr>
              <w:rPr>
                <w:rFonts w:ascii="宋体" w:hAnsi="宋体"/>
              </w:rPr>
            </w:pPr>
            <w:r>
              <w:rPr>
                <w:rFonts w:hint="eastAsia" w:ascii="宋体" w:hAnsi="宋体"/>
              </w:rPr>
              <w:t>总体技术方案及设计</w:t>
            </w:r>
          </w:p>
        </w:tc>
        <w:tc>
          <w:tcPr>
            <w:tcW w:w="718" w:type="dxa"/>
            <w:tcBorders>
              <w:bottom w:val="single" w:color="auto" w:sz="4" w:space="0"/>
            </w:tcBorders>
            <w:vAlign w:val="center"/>
          </w:tcPr>
          <w:p>
            <w:pPr>
              <w:jc w:val="center"/>
              <w:rPr>
                <w:rFonts w:ascii="宋体" w:hAnsi="宋体"/>
              </w:rPr>
            </w:pPr>
            <w:r>
              <w:rPr>
                <w:rFonts w:ascii="宋体" w:hAnsi="宋体"/>
              </w:rPr>
              <w:t>5分</w:t>
            </w:r>
          </w:p>
        </w:tc>
        <w:tc>
          <w:tcPr>
            <w:tcW w:w="7068" w:type="dxa"/>
            <w:tcBorders>
              <w:top w:val="single" w:color="auto" w:sz="4" w:space="0"/>
              <w:right w:val="single" w:color="auto" w:sz="4" w:space="0"/>
            </w:tcBorders>
            <w:vAlign w:val="center"/>
          </w:tcPr>
          <w:p>
            <w:pPr>
              <w:rPr>
                <w:rFonts w:ascii="宋体" w:hAnsi="宋体"/>
              </w:rPr>
            </w:pPr>
            <w:r>
              <w:rPr>
                <w:rFonts w:ascii="宋体" w:hAnsi="宋体"/>
              </w:rPr>
              <w:t>对系统整体架构设计的合理性，采用技术的先进性，设计的完整性以及系统的扩展性、可靠性等进行综合评价：架构设计合理，技术先进、完整，系统扩展性、可靠性强，得</w:t>
            </w:r>
            <w:r>
              <w:rPr>
                <w:rFonts w:hint="eastAsia" w:ascii="宋体" w:hAnsi="宋体"/>
              </w:rPr>
              <w:t>（</w:t>
            </w:r>
            <w:r>
              <w:rPr>
                <w:rFonts w:ascii="宋体" w:hAnsi="宋体"/>
              </w:rPr>
              <w:t>3</w:t>
            </w:r>
            <w:r>
              <w:rPr>
                <w:rFonts w:hint="eastAsia" w:ascii="宋体" w:hAnsi="宋体"/>
              </w:rPr>
              <w:t>-</w:t>
            </w:r>
            <w:r>
              <w:rPr>
                <w:rFonts w:ascii="宋体" w:hAnsi="宋体"/>
              </w:rPr>
              <w:t>5分</w:t>
            </w:r>
            <w:r>
              <w:rPr>
                <w:rFonts w:hint="eastAsia" w:ascii="宋体" w:hAnsi="宋体"/>
              </w:rPr>
              <w:t>）</w:t>
            </w:r>
            <w:r>
              <w:rPr>
                <w:rFonts w:ascii="宋体" w:hAnsi="宋体"/>
              </w:rPr>
              <w:t>；架构设计一般合理，技术一般、完整性一般，系统扩展性、可靠性一般，得</w:t>
            </w:r>
            <w:r>
              <w:rPr>
                <w:rFonts w:hint="eastAsia" w:ascii="宋体" w:hAnsi="宋体"/>
              </w:rPr>
              <w:t>（</w:t>
            </w:r>
            <w:r>
              <w:rPr>
                <w:rFonts w:ascii="宋体" w:hAnsi="宋体"/>
              </w:rPr>
              <w:t>0</w:t>
            </w:r>
            <w:r>
              <w:rPr>
                <w:rFonts w:hint="eastAsia" w:ascii="宋体" w:hAnsi="宋体"/>
              </w:rPr>
              <w:t>-</w:t>
            </w:r>
            <w:r>
              <w:rPr>
                <w:rFonts w:ascii="宋体" w:hAnsi="宋体"/>
              </w:rPr>
              <w:t>2.9分</w:t>
            </w:r>
            <w:r>
              <w:rPr>
                <w:rFonts w:hint="eastAsia" w:ascii="宋体" w:hAnsi="宋体"/>
              </w:rPr>
              <w:t>）</w:t>
            </w:r>
            <w:r>
              <w:rPr>
                <w:rFonts w:ascii="宋体" w:hAnsi="宋体"/>
              </w:rPr>
              <w:t>；架构设计较不合理，技术先进性、完整性较差，系统扩展性、可靠性较差，</w:t>
            </w:r>
            <w:r>
              <w:rPr>
                <w:rFonts w:hint="eastAsia" w:ascii="宋体" w:hAnsi="宋体"/>
              </w:rPr>
              <w:t>或缺失不得分</w:t>
            </w:r>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9" w:hRule="atLeast"/>
        </w:trPr>
        <w:tc>
          <w:tcPr>
            <w:tcW w:w="1297" w:type="dxa"/>
            <w:tcBorders>
              <w:top w:val="single" w:color="auto" w:sz="4" w:space="0"/>
              <w:left w:val="single" w:color="auto" w:sz="4" w:space="0"/>
              <w:bottom w:val="single" w:color="auto" w:sz="4" w:space="0"/>
            </w:tcBorders>
            <w:vAlign w:val="center"/>
          </w:tcPr>
          <w:p>
            <w:pPr>
              <w:rPr>
                <w:rFonts w:ascii="宋体" w:hAnsi="宋体"/>
              </w:rPr>
            </w:pPr>
            <w:r>
              <w:rPr>
                <w:rFonts w:hint="eastAsia" w:ascii="宋体" w:hAnsi="宋体"/>
              </w:rPr>
              <w:t>智慧乡村云平台相关软件</w:t>
            </w:r>
            <w:r>
              <w:rPr>
                <w:rFonts w:ascii="宋体" w:hAnsi="宋体"/>
              </w:rPr>
              <w:t>功能设计</w:t>
            </w:r>
          </w:p>
        </w:tc>
        <w:tc>
          <w:tcPr>
            <w:tcW w:w="718" w:type="dxa"/>
            <w:tcBorders>
              <w:top w:val="single" w:color="auto" w:sz="4" w:space="0"/>
              <w:bottom w:val="single" w:color="auto" w:sz="4" w:space="0"/>
            </w:tcBorders>
            <w:vAlign w:val="center"/>
          </w:tcPr>
          <w:p>
            <w:pPr>
              <w:rPr>
                <w:rFonts w:ascii="宋体" w:hAnsi="宋体"/>
              </w:rPr>
            </w:pPr>
            <w:r>
              <w:rPr>
                <w:rFonts w:ascii="宋体" w:hAnsi="宋体"/>
              </w:rPr>
              <w:t>5</w:t>
            </w:r>
            <w:r>
              <w:rPr>
                <w:rFonts w:hint="eastAsia" w:ascii="宋体" w:hAnsi="宋体"/>
              </w:rPr>
              <w:t>分</w:t>
            </w:r>
          </w:p>
        </w:tc>
        <w:tc>
          <w:tcPr>
            <w:tcW w:w="7068" w:type="dxa"/>
            <w:tcBorders>
              <w:bottom w:val="single" w:color="auto" w:sz="4" w:space="0"/>
              <w:right w:val="single" w:color="auto" w:sz="4" w:space="0"/>
            </w:tcBorders>
            <w:vAlign w:val="center"/>
          </w:tcPr>
          <w:p>
            <w:pPr>
              <w:rPr>
                <w:rFonts w:ascii="宋体" w:hAnsi="宋体"/>
              </w:rPr>
            </w:pPr>
            <w:r>
              <w:rPr>
                <w:rFonts w:hint="eastAsia" w:ascii="宋体" w:hAnsi="宋体"/>
              </w:rPr>
              <w:t>对招标</w:t>
            </w:r>
            <w:r>
              <w:rPr>
                <w:rFonts w:ascii="宋体" w:hAnsi="宋体"/>
              </w:rPr>
              <w:t>要求的</w:t>
            </w:r>
            <w:r>
              <w:rPr>
                <w:rFonts w:hint="eastAsia" w:ascii="宋体" w:hAnsi="宋体"/>
              </w:rPr>
              <w:t>智慧乡村云平台软件功能</w:t>
            </w:r>
            <w:r>
              <w:rPr>
                <w:rFonts w:ascii="宋体" w:hAnsi="宋体"/>
              </w:rPr>
              <w:t>响应情况进行综合评分，</w:t>
            </w:r>
            <w:r>
              <w:rPr>
                <w:rFonts w:hint="eastAsia" w:ascii="宋体" w:hAnsi="宋体"/>
              </w:rPr>
              <w:t>根据功能模块描述、功能模块设计截图等详细描述内容进行评比。对软件功能设计方案</w:t>
            </w:r>
            <w:r>
              <w:rPr>
                <w:rFonts w:ascii="宋体" w:hAnsi="宋体"/>
              </w:rPr>
              <w:t>的先进性</w:t>
            </w:r>
            <w:r>
              <w:rPr>
                <w:rFonts w:hint="eastAsia" w:ascii="宋体" w:hAnsi="宋体"/>
              </w:rPr>
              <w:t>、</w:t>
            </w:r>
            <w:r>
              <w:rPr>
                <w:rFonts w:ascii="宋体" w:hAnsi="宋体"/>
              </w:rPr>
              <w:t>合理性</w:t>
            </w:r>
            <w:r>
              <w:rPr>
                <w:rFonts w:hint="eastAsia" w:ascii="宋体" w:hAnsi="宋体"/>
              </w:rPr>
              <w:t>、功能完整性</w:t>
            </w:r>
            <w:r>
              <w:rPr>
                <w:rFonts w:ascii="宋体" w:hAnsi="宋体"/>
              </w:rPr>
              <w:t>进行</w:t>
            </w:r>
            <w:r>
              <w:rPr>
                <w:rFonts w:hint="eastAsia" w:ascii="宋体" w:hAnsi="宋体"/>
              </w:rPr>
              <w:t>评比，根据方案完整性、实用性综合评分，优的得（</w:t>
            </w:r>
            <w:r>
              <w:rPr>
                <w:rFonts w:ascii="宋体" w:hAnsi="宋体"/>
              </w:rPr>
              <w:t>4</w:t>
            </w:r>
            <w:r>
              <w:rPr>
                <w:rFonts w:hint="eastAsia" w:ascii="宋体" w:hAnsi="宋体"/>
              </w:rPr>
              <w:t>-</w:t>
            </w:r>
            <w:r>
              <w:rPr>
                <w:rFonts w:ascii="宋体" w:hAnsi="宋体"/>
              </w:rPr>
              <w:t>5</w:t>
            </w:r>
            <w:r>
              <w:rPr>
                <w:rFonts w:hint="eastAsia" w:ascii="宋体" w:hAnsi="宋体"/>
              </w:rPr>
              <w:t>分），一般的得（</w:t>
            </w:r>
            <w:r>
              <w:rPr>
                <w:rFonts w:ascii="宋体" w:hAnsi="宋体"/>
              </w:rPr>
              <w:t>3.9</w:t>
            </w:r>
            <w:r>
              <w:rPr>
                <w:rFonts w:hint="eastAsia" w:ascii="宋体" w:hAnsi="宋体"/>
              </w:rPr>
              <w:t>-</w:t>
            </w:r>
            <w:r>
              <w:rPr>
                <w:rFonts w:ascii="宋体" w:hAnsi="宋体"/>
              </w:rPr>
              <w:t>3</w:t>
            </w:r>
            <w:r>
              <w:rPr>
                <w:rFonts w:hint="eastAsia" w:ascii="宋体" w:hAnsi="宋体"/>
              </w:rPr>
              <w:t>分），差的得（</w:t>
            </w:r>
            <w:r>
              <w:rPr>
                <w:rFonts w:ascii="宋体" w:hAnsi="宋体"/>
              </w:rPr>
              <w:t>2.9</w:t>
            </w:r>
            <w:r>
              <w:rPr>
                <w:rFonts w:hint="eastAsia" w:ascii="宋体" w:hAnsi="宋体"/>
              </w:rPr>
              <w:t>-</w:t>
            </w:r>
            <w:r>
              <w:rPr>
                <w:rFonts w:ascii="宋体" w:hAnsi="宋体"/>
              </w:rPr>
              <w:t>1</w:t>
            </w:r>
            <w:r>
              <w:rPr>
                <w:rFonts w:hint="eastAsia" w:ascii="宋体" w:hAnsi="宋体"/>
              </w:rPr>
              <w:t>分），不提供的不得分；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5" w:hRule="atLeast"/>
        </w:trPr>
        <w:tc>
          <w:tcPr>
            <w:tcW w:w="1297" w:type="dxa"/>
            <w:tcBorders>
              <w:top w:val="single" w:color="auto" w:sz="4" w:space="0"/>
              <w:left w:val="single" w:color="auto" w:sz="4" w:space="0"/>
              <w:bottom w:val="single" w:color="auto" w:sz="4" w:space="0"/>
            </w:tcBorders>
            <w:vAlign w:val="center"/>
          </w:tcPr>
          <w:p>
            <w:pPr>
              <w:rPr>
                <w:rFonts w:ascii="宋体" w:hAnsi="宋体"/>
                <w:color w:val="FF0000"/>
              </w:rPr>
            </w:pPr>
            <w:r>
              <w:rPr>
                <w:rFonts w:hint="eastAsia" w:ascii="宋体" w:hAnsi="宋体"/>
              </w:rPr>
              <w:t>十项低碳技术相关设计功能阐述</w:t>
            </w:r>
          </w:p>
        </w:tc>
        <w:tc>
          <w:tcPr>
            <w:tcW w:w="718" w:type="dxa"/>
            <w:tcBorders>
              <w:top w:val="single" w:color="auto" w:sz="4" w:space="0"/>
              <w:bottom w:val="single" w:color="auto" w:sz="4" w:space="0"/>
            </w:tcBorders>
            <w:vAlign w:val="center"/>
          </w:tcPr>
          <w:p>
            <w:pPr>
              <w:rPr>
                <w:rFonts w:ascii="宋体" w:hAnsi="宋体"/>
                <w:color w:val="FF0000"/>
              </w:rPr>
            </w:pPr>
            <w:r>
              <w:rPr>
                <w:rFonts w:hint="eastAsia" w:ascii="宋体" w:hAnsi="宋体"/>
              </w:rPr>
              <w:t>5分</w:t>
            </w:r>
          </w:p>
        </w:tc>
        <w:tc>
          <w:tcPr>
            <w:tcW w:w="7068" w:type="dxa"/>
            <w:tcBorders>
              <w:bottom w:val="single" w:color="auto" w:sz="4" w:space="0"/>
              <w:right w:val="single" w:color="auto" w:sz="4" w:space="0"/>
            </w:tcBorders>
            <w:vAlign w:val="center"/>
          </w:tcPr>
          <w:p>
            <w:pPr>
              <w:rPr>
                <w:rFonts w:ascii="宋体" w:hAnsi="宋体"/>
                <w:color w:val="FF0000"/>
              </w:rPr>
            </w:pPr>
            <w:r>
              <w:rPr>
                <w:rFonts w:hint="eastAsia" w:ascii="宋体" w:hAnsi="宋体"/>
              </w:rPr>
              <w:t>对招标文件要求的屿头乡十项低碳适用技术进行打分，根据是否有无合理设计图纸，功能模块描述，系统架构设计及设备功能合理性进行评比。对整体功能设计方案</w:t>
            </w:r>
            <w:r>
              <w:rPr>
                <w:rFonts w:ascii="宋体" w:hAnsi="宋体"/>
              </w:rPr>
              <w:t>的先进性</w:t>
            </w:r>
            <w:r>
              <w:rPr>
                <w:rFonts w:hint="eastAsia" w:ascii="宋体" w:hAnsi="宋体"/>
              </w:rPr>
              <w:t>、</w:t>
            </w:r>
            <w:r>
              <w:rPr>
                <w:rFonts w:ascii="宋体" w:hAnsi="宋体"/>
              </w:rPr>
              <w:t>合理性</w:t>
            </w:r>
            <w:r>
              <w:rPr>
                <w:rFonts w:hint="eastAsia" w:ascii="宋体" w:hAnsi="宋体"/>
              </w:rPr>
              <w:t>、功能完整性</w:t>
            </w:r>
            <w:r>
              <w:rPr>
                <w:rFonts w:ascii="宋体" w:hAnsi="宋体"/>
              </w:rPr>
              <w:t>进行</w:t>
            </w:r>
            <w:r>
              <w:rPr>
                <w:rFonts w:hint="eastAsia" w:ascii="宋体" w:hAnsi="宋体"/>
              </w:rPr>
              <w:t>评比，根据方案完整性、实用性综合评分，优的得（</w:t>
            </w:r>
            <w:r>
              <w:rPr>
                <w:rFonts w:ascii="宋体" w:hAnsi="宋体"/>
              </w:rPr>
              <w:t>4</w:t>
            </w:r>
            <w:r>
              <w:rPr>
                <w:rFonts w:hint="eastAsia" w:ascii="宋体" w:hAnsi="宋体"/>
              </w:rPr>
              <w:t>-</w:t>
            </w:r>
            <w:r>
              <w:rPr>
                <w:rFonts w:ascii="宋体" w:hAnsi="宋体"/>
              </w:rPr>
              <w:t>5</w:t>
            </w:r>
            <w:r>
              <w:rPr>
                <w:rFonts w:hint="eastAsia" w:ascii="宋体" w:hAnsi="宋体"/>
              </w:rPr>
              <w:t>分），一般的得（</w:t>
            </w:r>
            <w:r>
              <w:rPr>
                <w:rFonts w:ascii="宋体" w:hAnsi="宋体"/>
              </w:rPr>
              <w:t>3.9</w:t>
            </w:r>
            <w:r>
              <w:rPr>
                <w:rFonts w:hint="eastAsia" w:ascii="宋体" w:hAnsi="宋体"/>
              </w:rPr>
              <w:t>-</w:t>
            </w:r>
            <w:r>
              <w:rPr>
                <w:rFonts w:ascii="宋体" w:hAnsi="宋体"/>
              </w:rPr>
              <w:t>3</w:t>
            </w:r>
            <w:r>
              <w:rPr>
                <w:rFonts w:hint="eastAsia" w:ascii="宋体" w:hAnsi="宋体"/>
              </w:rPr>
              <w:t>分），差的得（</w:t>
            </w:r>
            <w:r>
              <w:rPr>
                <w:rFonts w:ascii="宋体" w:hAnsi="宋体"/>
              </w:rPr>
              <w:t>2.9</w:t>
            </w:r>
            <w:r>
              <w:rPr>
                <w:rFonts w:hint="eastAsia" w:ascii="宋体" w:hAnsi="宋体"/>
              </w:rPr>
              <w:t>-</w:t>
            </w:r>
            <w:r>
              <w:rPr>
                <w:rFonts w:ascii="宋体" w:hAnsi="宋体"/>
              </w:rPr>
              <w:t>1</w:t>
            </w:r>
            <w:r>
              <w:rPr>
                <w:rFonts w:hint="eastAsia" w:ascii="宋体" w:hAnsi="宋体"/>
              </w:rPr>
              <w:t>分），不提供的不得分；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4" w:hRule="atLeast"/>
        </w:trPr>
        <w:tc>
          <w:tcPr>
            <w:tcW w:w="1297" w:type="dxa"/>
            <w:tcBorders>
              <w:top w:val="single" w:color="auto" w:sz="4" w:space="0"/>
              <w:left w:val="single" w:color="auto" w:sz="4" w:space="0"/>
              <w:bottom w:val="single" w:color="auto" w:sz="4" w:space="0"/>
            </w:tcBorders>
            <w:vAlign w:val="center"/>
          </w:tcPr>
          <w:p>
            <w:pPr>
              <w:rPr>
                <w:rFonts w:ascii="宋体" w:hAnsi="宋体"/>
              </w:rPr>
            </w:pPr>
            <w:r>
              <w:rPr>
                <w:rFonts w:hint="eastAsia" w:ascii="宋体" w:hAnsi="宋体"/>
              </w:rPr>
              <w:t>智慧乡村基础硬件系统产品功能要求</w:t>
            </w:r>
          </w:p>
        </w:tc>
        <w:tc>
          <w:tcPr>
            <w:tcW w:w="718" w:type="dxa"/>
            <w:tcBorders>
              <w:top w:val="single" w:color="auto" w:sz="4" w:space="0"/>
              <w:bottom w:val="single" w:color="auto" w:sz="4" w:space="0"/>
            </w:tcBorders>
            <w:vAlign w:val="center"/>
          </w:tcPr>
          <w:p>
            <w:pPr>
              <w:rPr>
                <w:rFonts w:ascii="宋体" w:hAnsi="宋体"/>
              </w:rPr>
            </w:pPr>
            <w:r>
              <w:rPr>
                <w:rFonts w:hint="eastAsia" w:ascii="宋体" w:hAnsi="宋体"/>
              </w:rPr>
              <w:t>10分</w:t>
            </w:r>
          </w:p>
        </w:tc>
        <w:tc>
          <w:tcPr>
            <w:tcW w:w="7068" w:type="dxa"/>
            <w:tcBorders>
              <w:bottom w:val="single" w:color="auto" w:sz="4" w:space="0"/>
              <w:right w:val="single" w:color="auto" w:sz="4" w:space="0"/>
            </w:tcBorders>
            <w:vAlign w:val="center"/>
          </w:tcPr>
          <w:p>
            <w:pPr>
              <w:rPr>
                <w:rFonts w:ascii="宋体" w:hAnsi="宋体"/>
              </w:rPr>
            </w:pPr>
            <w:r>
              <w:rPr>
                <w:rFonts w:hint="eastAsia" w:ascii="宋体" w:hAnsi="宋体"/>
              </w:rPr>
              <w:t>根据所投产品基本功能、技术指标与需求的吻合程度和偏差情况（包括所投标产品的规格型号、详细配置、主要技术参数、随机软件等），是否能够满足采购文件要求，能满足招标货物的所有性能及技术指标要求得（</w:t>
            </w:r>
            <w:r>
              <w:rPr>
                <w:rFonts w:ascii="宋体" w:hAnsi="宋体"/>
              </w:rPr>
              <w:t>10分</w:t>
            </w:r>
            <w:r>
              <w:rPr>
                <w:rFonts w:hint="eastAsia" w:ascii="宋体" w:hAnsi="宋体"/>
              </w:rPr>
              <w:t>）</w:t>
            </w:r>
            <w:r>
              <w:rPr>
                <w:rFonts w:ascii="宋体" w:hAnsi="宋体"/>
              </w:rPr>
              <w:t>；所投货物有负偏离项的，与标注“</w:t>
            </w:r>
            <w:r>
              <w:rPr>
                <w:rFonts w:ascii="宋体" w:hAnsi="宋体"/>
              </w:rPr>
              <w:sym w:font="Wingdings" w:char="F0AB"/>
            </w:r>
            <w:r>
              <w:rPr>
                <w:rFonts w:ascii="宋体" w:hAnsi="宋体"/>
              </w:rPr>
              <w:t>”关键性技术指标负偏离的每一项扣减</w:t>
            </w:r>
            <w:r>
              <w:rPr>
                <w:rFonts w:hint="eastAsia" w:ascii="宋体" w:hAnsi="宋体"/>
              </w:rPr>
              <w:t>（</w:t>
            </w:r>
            <w:r>
              <w:rPr>
                <w:rFonts w:ascii="宋体" w:hAnsi="宋体"/>
              </w:rPr>
              <w:t>1分</w:t>
            </w:r>
            <w:r>
              <w:rPr>
                <w:rFonts w:hint="eastAsia" w:ascii="宋体" w:hAnsi="宋体"/>
              </w:rPr>
              <w:t>），</w:t>
            </w:r>
            <w:r>
              <w:rPr>
                <w:rFonts w:ascii="宋体" w:hAnsi="宋体"/>
              </w:rPr>
              <w:t>其他指标产生负偏离的每一项扣</w:t>
            </w:r>
            <w:r>
              <w:rPr>
                <w:rFonts w:hint="eastAsia" w:ascii="宋体" w:hAnsi="宋体"/>
              </w:rPr>
              <w:t>（</w:t>
            </w:r>
            <w:r>
              <w:rPr>
                <w:rFonts w:ascii="宋体" w:hAnsi="宋体"/>
              </w:rPr>
              <w:t>0.5分</w:t>
            </w:r>
            <w:r>
              <w:rPr>
                <w:rFonts w:hint="eastAsia" w:ascii="宋体" w:hAnsi="宋体"/>
              </w:rPr>
              <w:t>）</w:t>
            </w:r>
            <w:r>
              <w:rPr>
                <w:rFonts w:ascii="宋体" w:hAnsi="宋体"/>
              </w:rPr>
              <w:t>，扣完为止。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8" w:hRule="atLeast"/>
        </w:trPr>
        <w:tc>
          <w:tcPr>
            <w:tcW w:w="1297" w:type="dxa"/>
            <w:tcBorders>
              <w:top w:val="single" w:color="auto" w:sz="4" w:space="0"/>
              <w:left w:val="single" w:color="auto" w:sz="4" w:space="0"/>
            </w:tcBorders>
            <w:vAlign w:val="center"/>
          </w:tcPr>
          <w:p>
            <w:pPr>
              <w:rPr>
                <w:rFonts w:ascii="宋体" w:hAnsi="宋体"/>
              </w:rPr>
            </w:pPr>
            <w:r>
              <w:rPr>
                <w:rFonts w:hint="eastAsia" w:ascii="宋体" w:hAnsi="宋体"/>
              </w:rPr>
              <w:t>项目实施方案</w:t>
            </w:r>
          </w:p>
        </w:tc>
        <w:tc>
          <w:tcPr>
            <w:tcW w:w="718" w:type="dxa"/>
            <w:tcBorders>
              <w:top w:val="single" w:color="auto" w:sz="4" w:space="0"/>
              <w:bottom w:val="single" w:color="auto" w:sz="4" w:space="0"/>
            </w:tcBorders>
            <w:vAlign w:val="center"/>
          </w:tcPr>
          <w:p>
            <w:pPr>
              <w:jc w:val="center"/>
              <w:rPr>
                <w:rFonts w:ascii="宋体" w:hAnsi="宋体"/>
              </w:rPr>
            </w:pPr>
            <w:r>
              <w:rPr>
                <w:rFonts w:hint="eastAsia" w:ascii="宋体" w:hAnsi="宋体"/>
              </w:rPr>
              <w:t>4分</w:t>
            </w:r>
          </w:p>
        </w:tc>
        <w:tc>
          <w:tcPr>
            <w:tcW w:w="7068" w:type="dxa"/>
            <w:tcBorders>
              <w:bottom w:val="single" w:color="auto" w:sz="4" w:space="0"/>
              <w:right w:val="single" w:color="auto" w:sz="4" w:space="0"/>
            </w:tcBorders>
            <w:vAlign w:val="center"/>
          </w:tcPr>
          <w:p>
            <w:r>
              <w:rPr>
                <w:rFonts w:hint="eastAsia" w:ascii="宋体" w:hAnsi="宋体"/>
              </w:rPr>
              <w:t>根据项目实施方案是否具备施工计划、项目管理计划、团队实施能力情况、</w:t>
            </w:r>
            <w:r>
              <w:rPr>
                <w:rFonts w:ascii="宋体" w:hAnsi="宋体"/>
              </w:rPr>
              <w:t>专项小组明确职责分工</w:t>
            </w:r>
            <w:r>
              <w:rPr>
                <w:rFonts w:hint="eastAsia" w:ascii="宋体" w:hAnsi="宋体"/>
              </w:rPr>
              <w:t>、项目实施进度计划表、测试方案等比较综合评分，优的得（3-4分），一般的得（2-</w:t>
            </w:r>
            <w:r>
              <w:rPr>
                <w:rFonts w:ascii="宋体" w:hAnsi="宋体"/>
              </w:rPr>
              <w:t>3</w:t>
            </w:r>
            <w:r>
              <w:rPr>
                <w:rFonts w:hint="eastAsia" w:ascii="宋体" w:hAnsi="宋体"/>
              </w:rPr>
              <w:t>分），差的得（1-2分），未提供的不得分。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2" w:hRule="atLeast"/>
        </w:trPr>
        <w:tc>
          <w:tcPr>
            <w:tcW w:w="1297" w:type="dxa"/>
            <w:tcBorders>
              <w:left w:val="single" w:color="auto" w:sz="4" w:space="0"/>
              <w:bottom w:val="single" w:color="auto" w:sz="4" w:space="0"/>
            </w:tcBorders>
            <w:vAlign w:val="center"/>
          </w:tcPr>
          <w:p>
            <w:pPr>
              <w:rPr>
                <w:rFonts w:ascii="宋体" w:hAnsi="宋体"/>
              </w:rPr>
            </w:pPr>
            <w:r>
              <w:rPr>
                <w:rFonts w:hint="eastAsia" w:ascii="宋体" w:hAnsi="宋体"/>
              </w:rPr>
              <w:t>培训方案</w:t>
            </w:r>
          </w:p>
        </w:tc>
        <w:tc>
          <w:tcPr>
            <w:tcW w:w="718" w:type="dxa"/>
            <w:tcBorders>
              <w:top w:val="single" w:color="auto" w:sz="4" w:space="0"/>
              <w:bottom w:val="single" w:color="auto" w:sz="4" w:space="0"/>
            </w:tcBorders>
            <w:vAlign w:val="center"/>
          </w:tcPr>
          <w:p>
            <w:pPr>
              <w:jc w:val="center"/>
              <w:rPr>
                <w:rFonts w:ascii="宋体" w:hAnsi="宋体"/>
              </w:rPr>
            </w:pPr>
            <w:r>
              <w:rPr>
                <w:rFonts w:ascii="宋体" w:hAnsi="宋体"/>
              </w:rPr>
              <w:t>3</w:t>
            </w:r>
            <w:r>
              <w:rPr>
                <w:rFonts w:hint="eastAsia" w:ascii="宋体" w:hAnsi="宋体"/>
              </w:rPr>
              <w:t>分</w:t>
            </w:r>
          </w:p>
        </w:tc>
        <w:tc>
          <w:tcPr>
            <w:tcW w:w="7068" w:type="dxa"/>
            <w:tcBorders>
              <w:top w:val="single" w:color="auto" w:sz="4" w:space="0"/>
              <w:right w:val="single" w:color="auto" w:sz="4" w:space="0"/>
            </w:tcBorders>
            <w:vAlign w:val="center"/>
          </w:tcPr>
          <w:p>
            <w:pPr>
              <w:rPr>
                <w:rFonts w:ascii="宋体" w:hAnsi="宋体"/>
              </w:rPr>
            </w:pPr>
            <w:r>
              <w:rPr>
                <w:rFonts w:hint="eastAsia" w:ascii="宋体" w:hAnsi="宋体"/>
              </w:rPr>
              <w:t>根据投标人提供的培训方案情况综合评分，优秀得（</w:t>
            </w:r>
            <w:r>
              <w:rPr>
                <w:rFonts w:ascii="宋体" w:hAnsi="宋体"/>
              </w:rPr>
              <w:t>3-2</w:t>
            </w:r>
            <w:r>
              <w:rPr>
                <w:rFonts w:hint="eastAsia" w:ascii="宋体" w:hAnsi="宋体"/>
              </w:rPr>
              <w:t>分），良好得（</w:t>
            </w:r>
            <w:r>
              <w:rPr>
                <w:rFonts w:ascii="宋体" w:hAnsi="宋体"/>
              </w:rPr>
              <w:t>1.9-1</w:t>
            </w:r>
            <w:r>
              <w:rPr>
                <w:rFonts w:hint="eastAsia" w:ascii="宋体" w:hAnsi="宋体"/>
              </w:rPr>
              <w:t>分），一般得（</w:t>
            </w:r>
            <w:r>
              <w:rPr>
                <w:rFonts w:ascii="宋体" w:hAnsi="宋体"/>
              </w:rPr>
              <w:t>0.9-0</w:t>
            </w:r>
            <w:r>
              <w:rPr>
                <w:rFonts w:hint="eastAsia" w:ascii="宋体" w:hAnsi="宋体"/>
              </w:rPr>
              <w:t>分），未提供的不得分。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1297" w:type="dxa"/>
            <w:vMerge w:val="restart"/>
            <w:tcBorders>
              <w:top w:val="single" w:color="auto" w:sz="4" w:space="0"/>
              <w:left w:val="single" w:color="auto" w:sz="4" w:space="0"/>
              <w:bottom w:val="single" w:color="auto" w:sz="4" w:space="0"/>
            </w:tcBorders>
            <w:vAlign w:val="center"/>
          </w:tcPr>
          <w:p>
            <w:pPr>
              <w:rPr>
                <w:rFonts w:ascii="宋体" w:hAnsi="宋体"/>
              </w:rPr>
            </w:pPr>
            <w:r>
              <w:rPr>
                <w:rFonts w:hint="eastAsia" w:ascii="宋体" w:hAnsi="宋体"/>
              </w:rPr>
              <w:t>项目人员配备</w:t>
            </w:r>
          </w:p>
        </w:tc>
        <w:tc>
          <w:tcPr>
            <w:tcW w:w="718" w:type="dxa"/>
            <w:tcBorders>
              <w:top w:val="single" w:color="auto" w:sz="4" w:space="0"/>
              <w:bottom w:val="single" w:color="auto" w:sz="4" w:space="0"/>
            </w:tcBorders>
            <w:vAlign w:val="center"/>
          </w:tcPr>
          <w:p>
            <w:pPr>
              <w:rPr>
                <w:rFonts w:ascii="宋体" w:hAnsi="宋体"/>
              </w:rPr>
            </w:pPr>
            <w:r>
              <w:rPr>
                <w:rFonts w:hint="eastAsia" w:ascii="宋体" w:hAnsi="宋体"/>
              </w:rPr>
              <w:t xml:space="preserve"> </w:t>
            </w:r>
            <w:r>
              <w:rPr>
                <w:rFonts w:ascii="宋体" w:hAnsi="宋体"/>
              </w:rPr>
              <w:t>3</w:t>
            </w:r>
            <w:r>
              <w:rPr>
                <w:rFonts w:hint="eastAsia" w:ascii="宋体" w:hAnsi="宋体"/>
              </w:rPr>
              <w:t>分</w:t>
            </w:r>
          </w:p>
        </w:tc>
        <w:tc>
          <w:tcPr>
            <w:tcW w:w="7068" w:type="dxa"/>
            <w:tcBorders>
              <w:top w:val="single" w:color="auto" w:sz="4" w:space="0"/>
              <w:bottom w:val="single" w:color="auto" w:sz="4" w:space="0"/>
              <w:right w:val="single" w:color="auto" w:sz="4" w:space="0"/>
            </w:tcBorders>
            <w:vAlign w:val="center"/>
          </w:tcPr>
          <w:p>
            <w:pPr>
              <w:rPr>
                <w:rFonts w:ascii="宋体" w:hAnsi="宋体"/>
              </w:rPr>
            </w:pPr>
            <w:r>
              <w:rPr>
                <w:rFonts w:hint="eastAsia" w:ascii="宋体" w:hAnsi="宋体"/>
              </w:rPr>
              <w:t>1、项目经理具有高级信息系统项目管理师和国家信息安全测评注册信息安全专业人员证书（CISP）及建造师资格证书二级（或以上）证书的，得（</w:t>
            </w:r>
            <w:r>
              <w:rPr>
                <w:rFonts w:ascii="宋体" w:hAnsi="宋体"/>
              </w:rPr>
              <w:t>3</w:t>
            </w:r>
            <w:r>
              <w:rPr>
                <w:rFonts w:hint="eastAsia" w:ascii="宋体" w:hAnsi="宋体"/>
              </w:rPr>
              <w:t>分），每缺一本证书的扣1分，扣完为止。</w:t>
            </w:r>
          </w:p>
          <w:p>
            <w:pPr>
              <w:rPr>
                <w:rFonts w:ascii="宋体" w:hAnsi="宋体"/>
              </w:rPr>
            </w:pPr>
            <w:r>
              <w:rPr>
                <w:rFonts w:hint="eastAsia" w:ascii="宋体" w:hAnsi="宋体"/>
                <w:b/>
              </w:rPr>
              <w:t>提供人员证书原件扫描件和近三个月中任意一个月的社保缴纳证明并加盖电子签章，否则不得分。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8" w:hRule="atLeast"/>
        </w:trPr>
        <w:tc>
          <w:tcPr>
            <w:tcW w:w="1297" w:type="dxa"/>
            <w:vMerge w:val="continue"/>
            <w:tcBorders>
              <w:top w:val="single" w:color="auto" w:sz="4" w:space="0"/>
              <w:left w:val="single" w:color="auto" w:sz="4" w:space="0"/>
            </w:tcBorders>
            <w:vAlign w:val="center"/>
          </w:tcPr>
          <w:p>
            <w:pPr>
              <w:rPr>
                <w:rFonts w:ascii="宋体" w:hAnsi="宋体"/>
              </w:rPr>
            </w:pPr>
          </w:p>
        </w:tc>
        <w:tc>
          <w:tcPr>
            <w:tcW w:w="718" w:type="dxa"/>
            <w:tcBorders>
              <w:top w:val="single" w:color="auto" w:sz="4" w:space="0"/>
              <w:bottom w:val="single" w:color="auto" w:sz="4" w:space="0"/>
            </w:tcBorders>
            <w:vAlign w:val="center"/>
          </w:tcPr>
          <w:p>
            <w:pPr>
              <w:jc w:val="center"/>
              <w:rPr>
                <w:rFonts w:ascii="宋体" w:hAnsi="宋体"/>
              </w:rPr>
            </w:pPr>
            <w:r>
              <w:rPr>
                <w:rFonts w:ascii="宋体" w:hAnsi="宋体"/>
              </w:rPr>
              <w:t>2</w:t>
            </w:r>
            <w:r>
              <w:rPr>
                <w:rFonts w:hint="eastAsia" w:ascii="宋体" w:hAnsi="宋体"/>
              </w:rPr>
              <w:t>分</w:t>
            </w:r>
          </w:p>
        </w:tc>
        <w:tc>
          <w:tcPr>
            <w:tcW w:w="7068" w:type="dxa"/>
            <w:tcBorders>
              <w:top w:val="single" w:color="auto" w:sz="4" w:space="0"/>
              <w:bottom w:val="single" w:color="auto" w:sz="4" w:space="0"/>
              <w:right w:val="single" w:color="auto" w:sz="4" w:space="0"/>
            </w:tcBorders>
            <w:vAlign w:val="center"/>
          </w:tcPr>
          <w:p>
            <w:pPr>
              <w:rPr>
                <w:rFonts w:ascii="宋体" w:hAnsi="宋体"/>
              </w:rPr>
            </w:pPr>
            <w:r>
              <w:rPr>
                <w:rFonts w:ascii="宋体" w:hAnsi="宋体"/>
              </w:rPr>
              <w:t>2、项目软件开发组成员（不含项目经理、机电工程建造师）具有</w:t>
            </w:r>
            <w:r>
              <w:rPr>
                <w:rFonts w:hint="eastAsia" w:ascii="宋体" w:hAnsi="宋体"/>
              </w:rPr>
              <w:t>高</w:t>
            </w:r>
            <w:r>
              <w:rPr>
                <w:rFonts w:ascii="宋体" w:hAnsi="宋体"/>
              </w:rPr>
              <w:t>级系统架构师、</w:t>
            </w:r>
            <w:r>
              <w:rPr>
                <w:rFonts w:hint="eastAsia" w:ascii="宋体" w:hAnsi="宋体"/>
              </w:rPr>
              <w:t>软件设计师</w:t>
            </w:r>
            <w:r>
              <w:rPr>
                <w:rFonts w:ascii="宋体" w:hAnsi="宋体"/>
              </w:rPr>
              <w:t>、</w:t>
            </w:r>
            <w:r>
              <w:rPr>
                <w:rFonts w:hint="eastAsia" w:ascii="宋体" w:hAnsi="宋体"/>
              </w:rPr>
              <w:t>系统分析师</w:t>
            </w:r>
            <w:r>
              <w:rPr>
                <w:rFonts w:ascii="宋体" w:hAnsi="宋体"/>
              </w:rPr>
              <w:t>、OCM数据库工程师</w:t>
            </w:r>
            <w:r>
              <w:rPr>
                <w:rFonts w:hint="eastAsia" w:ascii="宋体" w:hAnsi="宋体"/>
              </w:rPr>
              <w:t>、</w:t>
            </w:r>
            <w:r>
              <w:rPr>
                <w:rFonts w:ascii="宋体" w:hAnsi="宋体"/>
              </w:rPr>
              <w:t>IT服务工程师证书</w:t>
            </w:r>
            <w:r>
              <w:rPr>
                <w:rFonts w:hint="eastAsia" w:ascii="宋体" w:hAnsi="宋体"/>
              </w:rPr>
              <w:t>、高级工程师六</w:t>
            </w:r>
            <w:r>
              <w:rPr>
                <w:rFonts w:ascii="宋体" w:hAnsi="宋体"/>
              </w:rPr>
              <w:t>类人员，以上人员均配备得</w:t>
            </w:r>
            <w:r>
              <w:rPr>
                <w:rFonts w:hint="eastAsia" w:ascii="宋体" w:hAnsi="宋体"/>
              </w:rPr>
              <w:t>（</w:t>
            </w:r>
            <w:r>
              <w:rPr>
                <w:rFonts w:ascii="宋体" w:hAnsi="宋体"/>
              </w:rPr>
              <w:t>2分</w:t>
            </w:r>
            <w:r>
              <w:rPr>
                <w:rFonts w:hint="eastAsia" w:ascii="宋体" w:hAnsi="宋体"/>
              </w:rPr>
              <w:t>）</w:t>
            </w:r>
            <w:r>
              <w:rPr>
                <w:rFonts w:ascii="宋体" w:hAnsi="宋体"/>
              </w:rPr>
              <w:t>，少一人扣</w:t>
            </w:r>
            <w:r>
              <w:rPr>
                <w:rFonts w:hint="eastAsia" w:ascii="宋体" w:hAnsi="宋体"/>
              </w:rPr>
              <w:t>（</w:t>
            </w:r>
            <w:r>
              <w:rPr>
                <w:rFonts w:ascii="宋体" w:hAnsi="宋体"/>
              </w:rPr>
              <w:t>0.5分</w:t>
            </w:r>
            <w:r>
              <w:rPr>
                <w:rFonts w:hint="eastAsia" w:ascii="宋体" w:hAnsi="宋体"/>
              </w:rPr>
              <w:t>）</w:t>
            </w:r>
            <w:r>
              <w:rPr>
                <w:rFonts w:ascii="宋体" w:hAnsi="宋体"/>
              </w:rPr>
              <w:t>，扣完为止；</w:t>
            </w:r>
          </w:p>
          <w:p>
            <w:pPr>
              <w:rPr>
                <w:b/>
              </w:rPr>
            </w:pPr>
            <w:r>
              <w:rPr>
                <w:rFonts w:hint="eastAsia" w:ascii="宋体" w:hAnsi="宋体"/>
                <w:b/>
              </w:rPr>
              <w:t>提供人员证书原件扫描件和近三个月中任意一个月的社保缴纳证明并加盖电子签章，否则不得分。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0" w:hRule="atLeast"/>
        </w:trPr>
        <w:tc>
          <w:tcPr>
            <w:tcW w:w="1297" w:type="dxa"/>
            <w:vMerge w:val="continue"/>
            <w:tcBorders>
              <w:left w:val="single" w:color="auto" w:sz="4" w:space="0"/>
            </w:tcBorders>
            <w:vAlign w:val="center"/>
          </w:tcPr>
          <w:p>
            <w:pPr>
              <w:rPr>
                <w:rFonts w:ascii="宋体" w:hAnsi="宋体"/>
              </w:rPr>
            </w:pPr>
          </w:p>
        </w:tc>
        <w:tc>
          <w:tcPr>
            <w:tcW w:w="718" w:type="dxa"/>
            <w:tcBorders>
              <w:top w:val="single" w:color="auto" w:sz="4" w:space="0"/>
              <w:bottom w:val="single" w:color="auto" w:sz="4" w:space="0"/>
            </w:tcBorders>
            <w:vAlign w:val="center"/>
          </w:tcPr>
          <w:p>
            <w:pPr>
              <w:jc w:val="center"/>
              <w:rPr>
                <w:rFonts w:ascii="宋体" w:hAnsi="宋体"/>
              </w:rPr>
            </w:pPr>
            <w:r>
              <w:rPr>
                <w:rFonts w:hint="eastAsia" w:ascii="宋体" w:hAnsi="宋体"/>
                <w:lang w:val="en-US" w:eastAsia="zh-CN"/>
              </w:rPr>
              <w:t>1</w:t>
            </w:r>
            <w:r>
              <w:rPr>
                <w:rFonts w:hint="eastAsia" w:ascii="宋体" w:hAnsi="宋体"/>
              </w:rPr>
              <w:t>分</w:t>
            </w:r>
          </w:p>
        </w:tc>
        <w:tc>
          <w:tcPr>
            <w:tcW w:w="7068" w:type="dxa"/>
            <w:tcBorders>
              <w:top w:val="single" w:color="auto" w:sz="4" w:space="0"/>
              <w:bottom w:val="single" w:color="auto" w:sz="4" w:space="0"/>
              <w:right w:val="single" w:color="auto" w:sz="4" w:space="0"/>
            </w:tcBorders>
            <w:vAlign w:val="center"/>
          </w:tcPr>
          <w:p>
            <w:pPr>
              <w:rPr>
                <w:rFonts w:ascii="宋体" w:hAnsi="宋体"/>
              </w:rPr>
            </w:pPr>
            <w:r>
              <w:rPr>
                <w:rFonts w:ascii="宋体" w:hAnsi="宋体"/>
              </w:rPr>
              <w:t>3、项目施工组成员具有施工员、</w:t>
            </w:r>
            <w:r>
              <w:rPr>
                <w:rFonts w:hint="eastAsia" w:ascii="宋体" w:hAnsi="宋体"/>
              </w:rPr>
              <w:t>安全员、</w:t>
            </w:r>
            <w:r>
              <w:rPr>
                <w:rFonts w:ascii="宋体" w:hAnsi="宋体"/>
              </w:rPr>
              <w:t>质量员，</w:t>
            </w:r>
            <w:r>
              <w:rPr>
                <w:rFonts w:hint="eastAsia" w:ascii="宋体" w:hAnsi="宋体"/>
              </w:rPr>
              <w:t>全部提供的</w:t>
            </w:r>
            <w:r>
              <w:rPr>
                <w:rFonts w:ascii="宋体" w:hAnsi="宋体"/>
              </w:rPr>
              <w:t>得</w:t>
            </w:r>
            <w:r>
              <w:rPr>
                <w:rFonts w:hint="eastAsia" w:ascii="宋体" w:hAnsi="宋体"/>
              </w:rPr>
              <w:t>（</w:t>
            </w:r>
            <w:r>
              <w:rPr>
                <w:rFonts w:hint="eastAsia" w:ascii="宋体" w:hAnsi="宋体"/>
                <w:lang w:val="en-US" w:eastAsia="zh-CN"/>
              </w:rPr>
              <w:t>1</w:t>
            </w:r>
            <w:r>
              <w:rPr>
                <w:rFonts w:ascii="宋体" w:hAnsi="宋体"/>
              </w:rPr>
              <w:t>分</w:t>
            </w:r>
            <w:r>
              <w:rPr>
                <w:rFonts w:hint="eastAsia" w:ascii="宋体" w:hAnsi="宋体"/>
              </w:rPr>
              <w:t>）</w:t>
            </w:r>
            <w:r>
              <w:rPr>
                <w:rFonts w:ascii="宋体" w:hAnsi="宋体"/>
              </w:rPr>
              <w:t>，</w:t>
            </w:r>
            <w:r>
              <w:rPr>
                <w:rFonts w:hint="eastAsia" w:ascii="宋体" w:hAnsi="宋体"/>
              </w:rPr>
              <w:t>每缺一本证书的扣</w:t>
            </w:r>
            <w:r>
              <w:rPr>
                <w:rFonts w:ascii="宋体" w:hAnsi="宋体"/>
              </w:rPr>
              <w:t>0.5</w:t>
            </w:r>
            <w:r>
              <w:rPr>
                <w:rFonts w:hint="eastAsia" w:ascii="宋体" w:hAnsi="宋体"/>
              </w:rPr>
              <w:t>分，扣完为止</w:t>
            </w:r>
            <w:r>
              <w:rPr>
                <w:rFonts w:ascii="宋体" w:hAnsi="宋体"/>
              </w:rPr>
              <w:t>。</w:t>
            </w:r>
          </w:p>
          <w:p>
            <w:pPr>
              <w:rPr>
                <w:rFonts w:ascii="宋体" w:hAnsi="宋体"/>
                <w:b/>
              </w:rPr>
            </w:pPr>
            <w:r>
              <w:rPr>
                <w:rFonts w:hint="eastAsia" w:ascii="宋体" w:hAnsi="宋体"/>
                <w:b/>
                <w:bCs/>
              </w:rPr>
              <w:t>提供人员证书原件扫描件和近三个月中任意一个月的社保缴纳证明并加盖电子签章，否则不得分。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2" w:hRule="atLeast"/>
        </w:trPr>
        <w:tc>
          <w:tcPr>
            <w:tcW w:w="1297" w:type="dxa"/>
            <w:tcBorders>
              <w:left w:val="single" w:color="auto" w:sz="4" w:space="0"/>
              <w:bottom w:val="single" w:color="auto" w:sz="4" w:space="0"/>
            </w:tcBorders>
            <w:vAlign w:val="center"/>
          </w:tcPr>
          <w:p>
            <w:pPr>
              <w:jc w:val="center"/>
              <w:rPr>
                <w:rFonts w:ascii="宋体" w:hAnsi="宋体"/>
              </w:rPr>
            </w:pPr>
            <w:r>
              <w:rPr>
                <w:rFonts w:hint="eastAsia" w:ascii="宋体" w:hAnsi="宋体"/>
              </w:rPr>
              <w:t>质量保障措施</w:t>
            </w:r>
          </w:p>
        </w:tc>
        <w:tc>
          <w:tcPr>
            <w:tcW w:w="718" w:type="dxa"/>
            <w:tcBorders>
              <w:top w:val="single" w:color="auto" w:sz="4" w:space="0"/>
              <w:bottom w:val="single" w:color="auto" w:sz="4" w:space="0"/>
            </w:tcBorders>
            <w:vAlign w:val="center"/>
          </w:tcPr>
          <w:p>
            <w:pPr>
              <w:rPr>
                <w:rFonts w:ascii="宋体" w:hAnsi="宋体"/>
              </w:rPr>
            </w:pPr>
            <w:r>
              <w:rPr>
                <w:rFonts w:hint="eastAsia" w:ascii="宋体" w:hAnsi="宋体"/>
              </w:rPr>
              <w:t xml:space="preserve"> </w:t>
            </w:r>
            <w:r>
              <w:rPr>
                <w:rFonts w:ascii="宋体" w:hAnsi="宋体"/>
              </w:rPr>
              <w:t>4</w:t>
            </w:r>
            <w:r>
              <w:rPr>
                <w:rFonts w:hint="eastAsia" w:ascii="宋体" w:hAnsi="宋体"/>
              </w:rPr>
              <w:t>分</w:t>
            </w:r>
          </w:p>
        </w:tc>
        <w:tc>
          <w:tcPr>
            <w:tcW w:w="7068" w:type="dxa"/>
            <w:tcBorders>
              <w:top w:val="single" w:color="auto" w:sz="4" w:space="0"/>
              <w:bottom w:val="single" w:color="auto" w:sz="4" w:space="0"/>
              <w:right w:val="single" w:color="auto" w:sz="4" w:space="0"/>
            </w:tcBorders>
            <w:vAlign w:val="center"/>
          </w:tcPr>
          <w:p>
            <w:pPr>
              <w:rPr>
                <w:rFonts w:ascii="宋体" w:hAnsi="宋体"/>
              </w:rPr>
            </w:pPr>
            <w:r>
              <w:rPr>
                <w:rFonts w:hint="eastAsia" w:ascii="宋体" w:hAnsi="宋体"/>
              </w:rPr>
              <w:t>根据投标人提供的质量保障措施酌情给分，优秀得</w:t>
            </w:r>
            <w:r>
              <w:rPr>
                <w:rFonts w:ascii="宋体" w:hAnsi="宋体"/>
              </w:rPr>
              <w:t>4-3</w:t>
            </w:r>
            <w:r>
              <w:rPr>
                <w:rFonts w:hint="eastAsia" w:ascii="宋体" w:hAnsi="宋体"/>
              </w:rPr>
              <w:t>分，良好或一般得（</w:t>
            </w:r>
            <w:r>
              <w:rPr>
                <w:rFonts w:ascii="宋体" w:hAnsi="宋体"/>
              </w:rPr>
              <w:t>2.9-0</w:t>
            </w:r>
            <w:r>
              <w:rPr>
                <w:rFonts w:hint="eastAsia" w:ascii="宋体" w:hAnsi="宋体"/>
              </w:rPr>
              <w:t>分），未提供的不得分。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297" w:type="dxa"/>
            <w:tcBorders>
              <w:top w:val="single" w:color="auto" w:sz="4" w:space="0"/>
              <w:left w:val="single" w:color="auto" w:sz="4" w:space="0"/>
              <w:bottom w:val="single" w:color="auto" w:sz="4" w:space="0"/>
            </w:tcBorders>
            <w:vAlign w:val="center"/>
          </w:tcPr>
          <w:p>
            <w:pPr>
              <w:rPr>
                <w:rFonts w:ascii="宋体" w:hAnsi="宋体"/>
              </w:rPr>
            </w:pPr>
            <w:r>
              <w:rPr>
                <w:rFonts w:hint="eastAsia" w:ascii="宋体" w:hAnsi="宋体"/>
              </w:rPr>
              <w:t>优惠条件</w:t>
            </w:r>
          </w:p>
        </w:tc>
        <w:tc>
          <w:tcPr>
            <w:tcW w:w="718" w:type="dxa"/>
            <w:tcBorders>
              <w:top w:val="single" w:color="auto" w:sz="4" w:space="0"/>
              <w:bottom w:val="single" w:color="auto" w:sz="4" w:space="0"/>
            </w:tcBorders>
            <w:vAlign w:val="center"/>
          </w:tcPr>
          <w:p>
            <w:pPr>
              <w:rPr>
                <w:rFonts w:ascii="宋体" w:hAnsi="宋体"/>
              </w:rPr>
            </w:pPr>
            <w:r>
              <w:rPr>
                <w:rFonts w:hint="eastAsia" w:ascii="宋体" w:hAnsi="宋体"/>
              </w:rPr>
              <w:t xml:space="preserve"> </w:t>
            </w:r>
            <w:r>
              <w:rPr>
                <w:rFonts w:ascii="宋体" w:hAnsi="宋体"/>
              </w:rPr>
              <w:t>2</w:t>
            </w:r>
            <w:r>
              <w:rPr>
                <w:rFonts w:hint="eastAsia" w:ascii="宋体" w:hAnsi="宋体"/>
              </w:rPr>
              <w:t>分</w:t>
            </w:r>
          </w:p>
        </w:tc>
        <w:tc>
          <w:tcPr>
            <w:tcW w:w="7068" w:type="dxa"/>
            <w:tcBorders>
              <w:top w:val="single" w:color="auto" w:sz="4" w:space="0"/>
              <w:bottom w:val="single" w:color="auto" w:sz="4" w:space="0"/>
              <w:right w:val="single" w:color="auto" w:sz="4" w:space="0"/>
            </w:tcBorders>
            <w:vAlign w:val="center"/>
          </w:tcPr>
          <w:p>
            <w:pPr>
              <w:rPr>
                <w:rFonts w:ascii="宋体" w:hAnsi="宋体"/>
              </w:rPr>
            </w:pPr>
            <w:r>
              <w:rPr>
                <w:rFonts w:hint="eastAsia" w:ascii="宋体" w:hAnsi="宋体"/>
              </w:rPr>
              <w:t>根据投标人提出的优惠条件和承诺情况综合评分，优秀得</w:t>
            </w:r>
            <w:r>
              <w:rPr>
                <w:rFonts w:ascii="宋体" w:hAnsi="宋体"/>
              </w:rPr>
              <w:t>2-1</w:t>
            </w:r>
            <w:r>
              <w:rPr>
                <w:rFonts w:hint="eastAsia" w:ascii="宋体" w:hAnsi="宋体"/>
              </w:rPr>
              <w:t>分，良好或一般得（</w:t>
            </w:r>
            <w:r>
              <w:rPr>
                <w:rFonts w:ascii="宋体" w:hAnsi="宋体"/>
              </w:rPr>
              <w:t>0.9-0</w:t>
            </w:r>
            <w:r>
              <w:rPr>
                <w:rFonts w:hint="eastAsia" w:ascii="宋体" w:hAnsi="宋体"/>
              </w:rPr>
              <w:t>分），未提供的不得分。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297" w:type="dxa"/>
            <w:vMerge w:val="restart"/>
            <w:tcBorders>
              <w:top w:val="single" w:color="auto" w:sz="4" w:space="0"/>
              <w:left w:val="single" w:color="auto" w:sz="4" w:space="0"/>
              <w:bottom w:val="single" w:color="auto" w:sz="4" w:space="0"/>
            </w:tcBorders>
            <w:vAlign w:val="center"/>
          </w:tcPr>
          <w:p>
            <w:pPr>
              <w:rPr>
                <w:rFonts w:ascii="宋体" w:hAnsi="宋体"/>
              </w:rPr>
            </w:pPr>
            <w:r>
              <w:rPr>
                <w:rFonts w:hint="eastAsia" w:ascii="宋体" w:hAnsi="宋体"/>
              </w:rPr>
              <w:t>软件系统演示</w:t>
            </w:r>
          </w:p>
        </w:tc>
        <w:tc>
          <w:tcPr>
            <w:tcW w:w="718" w:type="dxa"/>
            <w:tcBorders>
              <w:top w:val="single" w:color="auto" w:sz="4" w:space="0"/>
              <w:bottom w:val="single" w:color="auto" w:sz="4" w:space="0"/>
            </w:tcBorders>
            <w:vAlign w:val="center"/>
          </w:tcPr>
          <w:p>
            <w:pPr>
              <w:rPr>
                <w:rFonts w:ascii="宋体" w:hAnsi="宋体"/>
              </w:rPr>
            </w:pPr>
          </w:p>
        </w:tc>
        <w:tc>
          <w:tcPr>
            <w:tcW w:w="7068" w:type="dxa"/>
            <w:tcBorders>
              <w:top w:val="single" w:color="auto" w:sz="4" w:space="0"/>
              <w:bottom w:val="single" w:color="auto" w:sz="4" w:space="0"/>
              <w:right w:val="single" w:color="auto" w:sz="4" w:space="0"/>
            </w:tcBorders>
            <w:vAlign w:val="center"/>
          </w:tcPr>
          <w:p>
            <w:pPr>
              <w:rPr>
                <w:rFonts w:ascii="宋体" w:hAnsi="宋体"/>
              </w:rPr>
            </w:pPr>
            <w:r>
              <w:rPr>
                <w:rFonts w:hint="eastAsia" w:ascii="宋体" w:hAnsi="宋体" w:cs="宋体"/>
                <w:b/>
                <w:bCs/>
              </w:rPr>
              <w:t>投标人需要提供以下演示内容视频（（刻录到光盘或U盘等）），视频时长不超过15分钟。根据提供的演示内容进行打分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1297" w:type="dxa"/>
            <w:vMerge w:val="continue"/>
            <w:tcBorders>
              <w:top w:val="single" w:color="auto" w:sz="4" w:space="0"/>
              <w:left w:val="single" w:color="auto" w:sz="4" w:space="0"/>
              <w:bottom w:val="nil"/>
            </w:tcBorders>
            <w:vAlign w:val="center"/>
          </w:tcPr>
          <w:p>
            <w:pPr>
              <w:rPr>
                <w:rFonts w:ascii="宋体" w:hAnsi="宋体"/>
              </w:rPr>
            </w:pPr>
          </w:p>
        </w:tc>
        <w:tc>
          <w:tcPr>
            <w:tcW w:w="718" w:type="dxa"/>
            <w:tcBorders>
              <w:top w:val="single" w:color="auto" w:sz="4" w:space="0"/>
              <w:bottom w:val="single" w:color="auto" w:sz="4" w:space="0"/>
            </w:tcBorders>
            <w:vAlign w:val="center"/>
          </w:tcPr>
          <w:p>
            <w:pPr>
              <w:rPr>
                <w:rFonts w:ascii="宋体" w:hAnsi="宋体"/>
              </w:rPr>
            </w:pPr>
            <w:r>
              <w:rPr>
                <w:rFonts w:hint="eastAsia" w:ascii="宋体" w:hAnsi="宋体"/>
                <w:lang w:val="en-US" w:eastAsia="zh-CN"/>
              </w:rPr>
              <w:t>7</w:t>
            </w:r>
            <w:r>
              <w:rPr>
                <w:rFonts w:hint="eastAsia" w:ascii="宋体" w:hAnsi="宋体"/>
              </w:rPr>
              <w:t>分</w:t>
            </w:r>
          </w:p>
        </w:tc>
        <w:tc>
          <w:tcPr>
            <w:tcW w:w="7068" w:type="dxa"/>
            <w:tcBorders>
              <w:top w:val="single" w:color="auto" w:sz="4" w:space="0"/>
              <w:bottom w:val="single" w:color="auto" w:sz="4" w:space="0"/>
              <w:right w:val="single" w:color="auto" w:sz="4" w:space="0"/>
            </w:tcBorders>
            <w:vAlign w:val="center"/>
          </w:tcPr>
          <w:p>
            <w:pPr>
              <w:rPr>
                <w:rFonts w:ascii="宋体" w:hAnsi="宋体" w:cs="宋体"/>
                <w:b/>
              </w:rPr>
            </w:pPr>
            <w:r>
              <w:rPr>
                <w:rFonts w:hint="eastAsia" w:ascii="宋体" w:hAnsi="宋体" w:cs="宋体"/>
                <w:b/>
              </w:rPr>
              <w:t>数字看板演示：</w:t>
            </w:r>
          </w:p>
          <w:p>
            <w:pPr>
              <w:rPr>
                <w:rFonts w:ascii="宋体" w:hAnsi="宋体" w:cs="宋体"/>
              </w:rPr>
            </w:pPr>
            <w:r>
              <w:rPr>
                <w:rFonts w:ascii="宋体" w:hAnsi="宋体" w:cs="宋体"/>
              </w:rPr>
              <w:t>（</w:t>
            </w:r>
            <w:r>
              <w:rPr>
                <w:rFonts w:hint="eastAsia" w:ascii="宋体" w:hAnsi="宋体" w:cs="宋体"/>
              </w:rPr>
              <w:t>1</w:t>
            </w:r>
            <w:r>
              <w:rPr>
                <w:rFonts w:ascii="宋体" w:hAnsi="宋体" w:cs="宋体"/>
              </w:rPr>
              <w:t>）</w:t>
            </w:r>
            <w:r>
              <w:rPr>
                <w:rFonts w:hint="eastAsia" w:ascii="宋体" w:hAnsi="宋体" w:cs="宋体"/>
              </w:rPr>
              <w:t>导航页：一屏展示各场景入口。全部</w:t>
            </w:r>
            <w:r>
              <w:rPr>
                <w:rFonts w:hint="eastAsia" w:ascii="宋体" w:hAnsi="宋体" w:cs="宋体"/>
                <w:bCs/>
              </w:rPr>
              <w:t>满足得</w:t>
            </w:r>
            <w:r>
              <w:rPr>
                <w:rFonts w:hint="eastAsia" w:ascii="宋体" w:hAnsi="宋体" w:cs="宋体"/>
                <w:bCs/>
                <w:lang w:val="en-US" w:eastAsia="zh-CN"/>
              </w:rPr>
              <w:t>1</w:t>
            </w:r>
            <w:r>
              <w:rPr>
                <w:rFonts w:hint="eastAsia" w:ascii="宋体" w:hAnsi="宋体" w:cs="宋体"/>
                <w:bCs/>
              </w:rPr>
              <w:t>分，部分满足得0-0.</w:t>
            </w:r>
            <w:r>
              <w:rPr>
                <w:rFonts w:hint="eastAsia" w:ascii="宋体" w:hAnsi="宋体" w:cs="宋体"/>
                <w:bCs/>
                <w:lang w:val="en-US" w:eastAsia="zh-CN"/>
              </w:rPr>
              <w:t>5</w:t>
            </w:r>
            <w:r>
              <w:rPr>
                <w:rFonts w:hint="eastAsia" w:ascii="宋体" w:hAnsi="宋体" w:cs="宋体"/>
                <w:bCs/>
              </w:rPr>
              <w:t>分，不满足不得分；</w:t>
            </w:r>
          </w:p>
          <w:p>
            <w:pPr>
              <w:rPr>
                <w:rFonts w:ascii="宋体" w:hAnsi="宋体" w:cs="宋体"/>
              </w:rPr>
            </w:pPr>
            <w:r>
              <w:rPr>
                <w:rFonts w:ascii="宋体" w:hAnsi="宋体" w:cs="宋体"/>
              </w:rPr>
              <w:t>（</w:t>
            </w:r>
            <w:r>
              <w:rPr>
                <w:rFonts w:hint="eastAsia" w:ascii="宋体" w:hAnsi="宋体" w:cs="宋体"/>
              </w:rPr>
              <w:t>2</w:t>
            </w:r>
            <w:r>
              <w:rPr>
                <w:rFonts w:ascii="宋体" w:hAnsi="宋体" w:cs="宋体"/>
              </w:rPr>
              <w:t>）</w:t>
            </w:r>
            <w:r>
              <w:rPr>
                <w:rFonts w:hint="eastAsia" w:ascii="宋体" w:hAnsi="宋体" w:cs="宋体"/>
              </w:rPr>
              <w:t>总舱：展示沙滩村实景地图、荣誉称号、村级项目概况、村级经济指标、资源概况。全部</w:t>
            </w:r>
            <w:r>
              <w:rPr>
                <w:rFonts w:hint="eastAsia" w:ascii="宋体" w:hAnsi="宋体" w:cs="宋体"/>
                <w:bCs/>
              </w:rPr>
              <w:t>满足得</w:t>
            </w:r>
            <w:r>
              <w:rPr>
                <w:rFonts w:hint="eastAsia" w:ascii="宋体" w:hAnsi="宋体" w:cs="宋体"/>
                <w:bCs/>
                <w:lang w:val="en-US" w:eastAsia="zh-CN"/>
              </w:rPr>
              <w:t>1</w:t>
            </w:r>
            <w:r>
              <w:rPr>
                <w:rFonts w:hint="eastAsia" w:ascii="宋体" w:hAnsi="宋体" w:cs="宋体"/>
                <w:bCs/>
              </w:rPr>
              <w:t>分，部分满足得0-0.</w:t>
            </w:r>
            <w:r>
              <w:rPr>
                <w:rFonts w:hint="eastAsia" w:ascii="宋体" w:hAnsi="宋体" w:cs="宋体"/>
                <w:bCs/>
                <w:lang w:val="en-US" w:eastAsia="zh-CN"/>
              </w:rPr>
              <w:t>5</w:t>
            </w:r>
            <w:r>
              <w:rPr>
                <w:rFonts w:hint="eastAsia" w:ascii="宋体" w:hAnsi="宋体" w:cs="宋体"/>
                <w:bCs/>
              </w:rPr>
              <w:t>分，不满足不得分；</w:t>
            </w:r>
          </w:p>
          <w:p>
            <w:pPr>
              <w:rPr>
                <w:rFonts w:ascii="宋体" w:hAnsi="宋体" w:cs="宋体"/>
              </w:rPr>
            </w:pPr>
            <w:r>
              <w:rPr>
                <w:rFonts w:ascii="宋体" w:hAnsi="宋体" w:cs="宋体"/>
              </w:rPr>
              <w:t>（</w:t>
            </w:r>
            <w:r>
              <w:rPr>
                <w:rFonts w:hint="eastAsia" w:ascii="宋体" w:hAnsi="宋体" w:cs="宋体"/>
              </w:rPr>
              <w:t>3</w:t>
            </w:r>
            <w:r>
              <w:rPr>
                <w:rFonts w:ascii="宋体" w:hAnsi="宋体" w:cs="宋体"/>
              </w:rPr>
              <w:t>）</w:t>
            </w:r>
            <w:r>
              <w:rPr>
                <w:rFonts w:hint="eastAsia" w:ascii="宋体" w:hAnsi="宋体" w:cs="宋体"/>
              </w:rPr>
              <w:t>未来产业：</w:t>
            </w:r>
            <w:r>
              <w:rPr>
                <w:rFonts w:hint="eastAsia" w:ascii="宋体" w:hAnsi="宋体" w:cs="宋体"/>
                <w:szCs w:val="24"/>
              </w:rPr>
              <w:t>展示旅游产业相关数据。包括酒店、民宿、美食信息、商家个数等、景区浏览量、预订量、村集体经济年经营性收入、居民人均收入、村民就业率、会议经济情况和产值分析等。</w:t>
            </w:r>
            <w:r>
              <w:rPr>
                <w:rFonts w:hint="eastAsia" w:ascii="宋体" w:hAnsi="宋体" w:cs="宋体"/>
              </w:rPr>
              <w:t>全部</w:t>
            </w:r>
            <w:r>
              <w:rPr>
                <w:rFonts w:hint="eastAsia" w:ascii="宋体" w:hAnsi="宋体" w:cs="宋体"/>
                <w:bCs/>
              </w:rPr>
              <w:t>满足得1分，部分满足得0-0.5分，不满足不得分；</w:t>
            </w:r>
          </w:p>
          <w:p>
            <w:pPr>
              <w:rPr>
                <w:rFonts w:ascii="宋体" w:hAnsi="宋体" w:cs="宋体"/>
              </w:rPr>
            </w:pPr>
            <w:r>
              <w:rPr>
                <w:rFonts w:ascii="宋体" w:hAnsi="宋体" w:cs="宋体"/>
              </w:rPr>
              <w:t>（</w:t>
            </w:r>
            <w:r>
              <w:rPr>
                <w:rFonts w:hint="eastAsia" w:ascii="宋体" w:hAnsi="宋体" w:cs="宋体"/>
              </w:rPr>
              <w:t>4</w:t>
            </w:r>
            <w:r>
              <w:rPr>
                <w:rFonts w:ascii="宋体" w:hAnsi="宋体" w:cs="宋体"/>
              </w:rPr>
              <w:t>）</w:t>
            </w:r>
            <w:r>
              <w:rPr>
                <w:rFonts w:hint="eastAsia" w:ascii="宋体" w:hAnsi="宋体" w:cs="宋体"/>
              </w:rPr>
              <w:t>未来邻里：</w:t>
            </w:r>
            <w:r>
              <w:rPr>
                <w:rFonts w:hint="eastAsia" w:ascii="宋体" w:hAnsi="宋体" w:cs="宋体"/>
                <w:szCs w:val="24"/>
              </w:rPr>
              <w:t>展示邻里互助、邻里活动、光荣榜、商圈资源、积分的使用以及兑换情况、积分排名、志愿活动情况、志愿者人数等；</w:t>
            </w:r>
            <w:r>
              <w:rPr>
                <w:rFonts w:hint="eastAsia" w:ascii="宋体" w:hAnsi="宋体" w:cs="宋体"/>
              </w:rPr>
              <w:t>全部</w:t>
            </w:r>
            <w:r>
              <w:rPr>
                <w:rFonts w:hint="eastAsia" w:ascii="宋体" w:hAnsi="宋体" w:cs="宋体"/>
                <w:bCs/>
              </w:rPr>
              <w:t>满足得</w:t>
            </w:r>
            <w:r>
              <w:rPr>
                <w:rFonts w:hint="eastAsia" w:ascii="宋体" w:hAnsi="宋体" w:cs="宋体"/>
                <w:bCs/>
                <w:lang w:val="en-US" w:eastAsia="zh-CN"/>
              </w:rPr>
              <w:t>1</w:t>
            </w:r>
            <w:r>
              <w:rPr>
                <w:rFonts w:hint="eastAsia" w:ascii="宋体" w:hAnsi="宋体" w:cs="宋体"/>
                <w:bCs/>
              </w:rPr>
              <w:t>分，部分满足得0-0.</w:t>
            </w:r>
            <w:r>
              <w:rPr>
                <w:rFonts w:hint="eastAsia" w:ascii="宋体" w:hAnsi="宋体" w:cs="宋体"/>
                <w:bCs/>
                <w:lang w:val="en-US" w:eastAsia="zh-CN"/>
              </w:rPr>
              <w:t>5</w:t>
            </w:r>
            <w:r>
              <w:rPr>
                <w:rFonts w:hint="eastAsia" w:ascii="宋体" w:hAnsi="宋体" w:cs="宋体"/>
                <w:bCs/>
              </w:rPr>
              <w:t>分，不满足不得分；</w:t>
            </w:r>
          </w:p>
          <w:p>
            <w:pPr>
              <w:rPr>
                <w:rFonts w:ascii="宋体" w:hAnsi="宋体" w:cs="宋体"/>
              </w:rPr>
            </w:pPr>
            <w:r>
              <w:rPr>
                <w:rFonts w:ascii="宋体" w:hAnsi="宋体" w:cs="宋体"/>
              </w:rPr>
              <w:t>（</w:t>
            </w:r>
            <w:r>
              <w:rPr>
                <w:rFonts w:hint="eastAsia" w:ascii="宋体" w:hAnsi="宋体" w:cs="宋体"/>
              </w:rPr>
              <w:t>5</w:t>
            </w:r>
            <w:r>
              <w:rPr>
                <w:rFonts w:ascii="宋体" w:hAnsi="宋体" w:cs="宋体"/>
              </w:rPr>
              <w:t>）</w:t>
            </w:r>
            <w:r>
              <w:rPr>
                <w:rFonts w:hint="eastAsia" w:ascii="宋体" w:hAnsi="宋体" w:cs="宋体"/>
              </w:rPr>
              <w:t>未来健康：</w:t>
            </w:r>
            <w:r>
              <w:rPr>
                <w:rFonts w:hint="eastAsia" w:ascii="宋体" w:hAnsi="宋体" w:cs="宋体"/>
                <w:szCs w:val="24"/>
              </w:rPr>
              <w:t>展示未来健康场景数据，如基础指标、全民健身情况、运动达人榜、老人补贴情况、村民健康指标、关键人群健康监测分析等。</w:t>
            </w:r>
            <w:r>
              <w:rPr>
                <w:rFonts w:hint="eastAsia" w:ascii="宋体" w:hAnsi="宋体" w:cs="宋体"/>
              </w:rPr>
              <w:t>全部</w:t>
            </w:r>
            <w:r>
              <w:rPr>
                <w:rFonts w:hint="eastAsia" w:ascii="宋体" w:hAnsi="宋体" w:cs="宋体"/>
                <w:bCs/>
              </w:rPr>
              <w:t>满足得</w:t>
            </w:r>
            <w:r>
              <w:rPr>
                <w:rFonts w:hint="eastAsia" w:ascii="宋体" w:hAnsi="宋体" w:cs="宋体"/>
                <w:bCs/>
                <w:lang w:val="en-US" w:eastAsia="zh-CN"/>
              </w:rPr>
              <w:t>1</w:t>
            </w:r>
            <w:r>
              <w:rPr>
                <w:rFonts w:hint="eastAsia" w:ascii="宋体" w:hAnsi="宋体" w:cs="宋体"/>
                <w:bCs/>
              </w:rPr>
              <w:t>分，部分满足得0-0.</w:t>
            </w:r>
            <w:r>
              <w:rPr>
                <w:rFonts w:hint="eastAsia" w:ascii="宋体" w:hAnsi="宋体" w:cs="宋体"/>
                <w:bCs/>
                <w:lang w:val="en-US" w:eastAsia="zh-CN"/>
              </w:rPr>
              <w:t>5</w:t>
            </w:r>
            <w:r>
              <w:rPr>
                <w:rFonts w:hint="eastAsia" w:ascii="宋体" w:hAnsi="宋体" w:cs="宋体"/>
                <w:bCs/>
              </w:rPr>
              <w:t>分，不满足不得分；</w:t>
            </w:r>
          </w:p>
          <w:p>
            <w:pPr>
              <w:rPr>
                <w:rFonts w:ascii="宋体" w:hAnsi="宋体" w:cs="宋体"/>
              </w:rPr>
            </w:pPr>
            <w:r>
              <w:rPr>
                <w:rFonts w:ascii="宋体" w:hAnsi="宋体" w:cs="宋体"/>
              </w:rPr>
              <w:t>（</w:t>
            </w:r>
            <w:r>
              <w:rPr>
                <w:rFonts w:hint="eastAsia" w:ascii="宋体" w:hAnsi="宋体" w:cs="宋体"/>
              </w:rPr>
              <w:t>6</w:t>
            </w:r>
            <w:r>
              <w:rPr>
                <w:rFonts w:ascii="宋体" w:hAnsi="宋体" w:cs="宋体"/>
              </w:rPr>
              <w:t>）</w:t>
            </w:r>
            <w:r>
              <w:rPr>
                <w:rFonts w:hint="eastAsia" w:ascii="宋体" w:hAnsi="宋体" w:cs="宋体"/>
              </w:rPr>
              <w:t>未来交通：</w:t>
            </w:r>
            <w:r>
              <w:rPr>
                <w:rFonts w:hint="eastAsia" w:ascii="宋体" w:hAnsi="宋体" w:cs="宋体"/>
                <w:szCs w:val="24"/>
              </w:rPr>
              <w:t>通过地图，展示停车场位置及视频监控分布情况以及村内交通建设情况；智能充电桩情况；道路结冰预警监测；展示村庄停车情况、车位情况；车流监测情况。</w:t>
            </w:r>
            <w:r>
              <w:rPr>
                <w:rFonts w:hint="eastAsia" w:ascii="宋体" w:hAnsi="宋体" w:cs="宋体"/>
              </w:rPr>
              <w:t>全部</w:t>
            </w:r>
            <w:r>
              <w:rPr>
                <w:rFonts w:hint="eastAsia" w:ascii="宋体" w:hAnsi="宋体" w:cs="宋体"/>
                <w:bCs/>
              </w:rPr>
              <w:t>满足得</w:t>
            </w:r>
            <w:r>
              <w:rPr>
                <w:rFonts w:hint="eastAsia" w:ascii="宋体" w:hAnsi="宋体" w:cs="宋体"/>
                <w:bCs/>
                <w:lang w:val="en-US" w:eastAsia="zh-CN"/>
              </w:rPr>
              <w:t>1</w:t>
            </w:r>
            <w:r>
              <w:rPr>
                <w:rFonts w:hint="eastAsia" w:ascii="宋体" w:hAnsi="宋体" w:cs="宋体"/>
                <w:bCs/>
              </w:rPr>
              <w:t>分，部分满足得0-0.</w:t>
            </w:r>
            <w:r>
              <w:rPr>
                <w:rFonts w:hint="eastAsia" w:ascii="宋体" w:hAnsi="宋体" w:cs="宋体"/>
                <w:bCs/>
                <w:lang w:val="en-US" w:eastAsia="zh-CN"/>
              </w:rPr>
              <w:t>5</w:t>
            </w:r>
            <w:r>
              <w:rPr>
                <w:rFonts w:hint="eastAsia" w:ascii="宋体" w:hAnsi="宋体" w:cs="宋体"/>
                <w:bCs/>
              </w:rPr>
              <w:t>分，不满足不得分；</w:t>
            </w:r>
          </w:p>
          <w:p>
            <w:pPr>
              <w:pStyle w:val="2"/>
              <w:ind w:left="0" w:leftChars="0" w:firstLine="0"/>
              <w:rPr>
                <w:rFonts w:ascii="宋体" w:hAnsi="宋体"/>
                <w:b/>
              </w:rPr>
            </w:pPr>
            <w:r>
              <w:rPr>
                <w:rFonts w:hint="eastAsia" w:ascii="宋体" w:hAnsi="宋体" w:cs="宋体"/>
              </w:rPr>
              <w:t>（7）未来治理：</w:t>
            </w:r>
            <w:r>
              <w:rPr>
                <w:rFonts w:hint="eastAsia" w:ascii="宋体" w:hAnsi="宋体" w:cs="宋体"/>
                <w:szCs w:val="24"/>
              </w:rPr>
              <w:t>展示沙滩村治理指数，包括事件类型、事件处理完成率、村民积分前10排行榜等；在地图上明确各网格员所管理网格的位置、范围、居住人口、人员构成等信息；智慧党建情况；平安沙滩情况、沙滩码情况。</w:t>
            </w:r>
            <w:r>
              <w:rPr>
                <w:rFonts w:hint="eastAsia" w:ascii="宋体" w:hAnsi="宋体" w:cs="宋体"/>
              </w:rPr>
              <w:t>全部</w:t>
            </w:r>
            <w:r>
              <w:rPr>
                <w:rFonts w:hint="eastAsia" w:ascii="宋体" w:hAnsi="宋体" w:cs="宋体"/>
                <w:bCs/>
              </w:rPr>
              <w:t>满足得1分，部分满足得0-0.5分，不满足不得分；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297" w:type="dxa"/>
            <w:vMerge w:val="continue"/>
            <w:tcBorders>
              <w:left w:val="single" w:color="auto" w:sz="4" w:space="0"/>
              <w:bottom w:val="nil"/>
            </w:tcBorders>
            <w:vAlign w:val="center"/>
          </w:tcPr>
          <w:p>
            <w:pPr>
              <w:rPr>
                <w:rFonts w:ascii="宋体" w:hAnsi="宋体"/>
              </w:rPr>
            </w:pPr>
          </w:p>
        </w:tc>
        <w:tc>
          <w:tcPr>
            <w:tcW w:w="718" w:type="dxa"/>
            <w:tcBorders>
              <w:top w:val="single" w:color="auto" w:sz="4" w:space="0"/>
              <w:bottom w:val="nil"/>
            </w:tcBorders>
            <w:vAlign w:val="center"/>
          </w:tcPr>
          <w:p>
            <w:pPr>
              <w:rPr>
                <w:rFonts w:ascii="宋体" w:hAnsi="宋体"/>
              </w:rPr>
            </w:pPr>
          </w:p>
        </w:tc>
        <w:tc>
          <w:tcPr>
            <w:tcW w:w="7068" w:type="dxa"/>
            <w:tcBorders>
              <w:top w:val="single" w:color="auto" w:sz="4" w:space="0"/>
              <w:bottom w:val="single" w:color="auto" w:sz="4" w:space="0"/>
              <w:right w:val="single" w:color="auto" w:sz="4" w:space="0"/>
            </w:tcBorders>
            <w:vAlign w:val="center"/>
          </w:tcPr>
          <w:p>
            <w:r>
              <w:rPr>
                <w:rFonts w:hint="eastAsia" w:ascii="宋体" w:hAnsi="宋体" w:cs="宋体"/>
                <w:b/>
                <w:szCs w:val="24"/>
              </w:rPr>
              <w:t>未来乡村特色应用演示：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1297" w:type="dxa"/>
            <w:vMerge w:val="continue"/>
            <w:tcBorders>
              <w:left w:val="single" w:color="auto" w:sz="4" w:space="0"/>
              <w:bottom w:val="nil"/>
            </w:tcBorders>
            <w:vAlign w:val="center"/>
          </w:tcPr>
          <w:p>
            <w:pPr>
              <w:rPr>
                <w:rFonts w:ascii="宋体" w:hAnsi="宋体"/>
              </w:rPr>
            </w:pPr>
          </w:p>
        </w:tc>
        <w:tc>
          <w:tcPr>
            <w:tcW w:w="718" w:type="dxa"/>
            <w:tcBorders>
              <w:top w:val="single" w:color="auto" w:sz="4" w:space="0"/>
              <w:bottom w:val="single" w:color="auto" w:sz="4" w:space="0"/>
            </w:tcBorders>
            <w:vAlign w:val="center"/>
          </w:tcPr>
          <w:p>
            <w:pPr>
              <w:jc w:val="center"/>
              <w:rPr>
                <w:rFonts w:ascii="宋体" w:hAnsi="宋体"/>
              </w:rPr>
            </w:pPr>
            <w:r>
              <w:rPr>
                <w:rFonts w:hint="eastAsia" w:ascii="宋体" w:hAnsi="宋体"/>
              </w:rPr>
              <w:t>3分</w:t>
            </w:r>
          </w:p>
        </w:tc>
        <w:tc>
          <w:tcPr>
            <w:tcW w:w="7068" w:type="dxa"/>
            <w:tcBorders>
              <w:top w:val="single" w:color="auto" w:sz="4" w:space="0"/>
              <w:bottom w:val="single" w:color="auto" w:sz="4" w:space="0"/>
              <w:right w:val="single" w:color="auto" w:sz="4" w:space="0"/>
            </w:tcBorders>
            <w:vAlign w:val="center"/>
          </w:tcPr>
          <w:p>
            <w:pPr>
              <w:rPr>
                <w:rFonts w:ascii="宋体" w:hAnsi="宋体" w:cs="宋体"/>
                <w:b/>
                <w:szCs w:val="24"/>
              </w:rPr>
            </w:pPr>
            <w:r>
              <w:rPr>
                <w:rFonts w:ascii="宋体" w:hAnsi="宋体" w:cs="宋体"/>
              </w:rPr>
              <w:t>（</w:t>
            </w:r>
            <w:r>
              <w:rPr>
                <w:rFonts w:hint="eastAsia" w:ascii="宋体" w:hAnsi="宋体" w:cs="宋体"/>
              </w:rPr>
              <w:t>1</w:t>
            </w:r>
            <w:r>
              <w:rPr>
                <w:rFonts w:ascii="宋体" w:hAnsi="宋体" w:cs="宋体"/>
              </w:rPr>
              <w:t>）</w:t>
            </w:r>
            <w:r>
              <w:rPr>
                <w:rFonts w:hint="eastAsia" w:ascii="宋体" w:hAnsi="宋体" w:cs="宋体"/>
              </w:rPr>
              <w:t>未来产业：</w:t>
            </w:r>
            <w:r>
              <w:rPr>
                <w:rFonts w:hint="eastAsia" w:ascii="宋体" w:hAnsi="宋体" w:cs="宋体"/>
                <w:szCs w:val="24"/>
              </w:rPr>
              <w:t>主要演示智游沙滩模块。具体需演示的内容包括景点导览、</w:t>
            </w:r>
            <w:r>
              <w:rPr>
                <w:rFonts w:hint="eastAsia" w:ascii="宋体" w:hAnsi="宋体" w:cs="宋体"/>
              </w:rPr>
              <w:t>电子讲解、旅游公厕、电子票务、资讯推送、网红打卡、一键投诉、特色路线、餐饮美食、放心购物、酒店民宿。全部</w:t>
            </w:r>
            <w:r>
              <w:rPr>
                <w:rFonts w:hint="eastAsia" w:ascii="宋体" w:hAnsi="宋体" w:cs="宋体"/>
                <w:bCs/>
              </w:rPr>
              <w:t>满足得3分，部分满足得0-1分，不满足不得分；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8" w:hRule="atLeast"/>
        </w:trPr>
        <w:tc>
          <w:tcPr>
            <w:tcW w:w="1297" w:type="dxa"/>
            <w:vMerge w:val="continue"/>
            <w:tcBorders>
              <w:left w:val="single" w:color="auto" w:sz="4" w:space="0"/>
              <w:bottom w:val="nil"/>
            </w:tcBorders>
            <w:vAlign w:val="center"/>
          </w:tcPr>
          <w:p>
            <w:pPr>
              <w:rPr>
                <w:rFonts w:ascii="宋体" w:hAnsi="宋体"/>
              </w:rPr>
            </w:pPr>
          </w:p>
        </w:tc>
        <w:tc>
          <w:tcPr>
            <w:tcW w:w="718" w:type="dxa"/>
            <w:tcBorders>
              <w:top w:val="single" w:color="auto" w:sz="4" w:space="0"/>
              <w:bottom w:val="single" w:color="auto" w:sz="4" w:space="0"/>
            </w:tcBorders>
            <w:vAlign w:val="center"/>
          </w:tcPr>
          <w:p>
            <w:pPr>
              <w:jc w:val="center"/>
              <w:rPr>
                <w:rFonts w:ascii="宋体" w:hAnsi="宋体"/>
              </w:rPr>
            </w:pPr>
            <w:r>
              <w:rPr>
                <w:rFonts w:hint="eastAsia" w:ascii="宋体" w:hAnsi="宋体"/>
              </w:rPr>
              <w:t>3分</w:t>
            </w:r>
          </w:p>
        </w:tc>
        <w:tc>
          <w:tcPr>
            <w:tcW w:w="7068" w:type="dxa"/>
            <w:tcBorders>
              <w:top w:val="single" w:color="auto" w:sz="4" w:space="0"/>
              <w:bottom w:val="single" w:color="auto" w:sz="4" w:space="0"/>
              <w:right w:val="single" w:color="auto" w:sz="4" w:space="0"/>
            </w:tcBorders>
            <w:vAlign w:val="center"/>
          </w:tcPr>
          <w:p>
            <w:pPr>
              <w:rPr>
                <w:rFonts w:ascii="宋体" w:hAnsi="宋体" w:cs="宋体"/>
              </w:rPr>
            </w:pPr>
            <w:r>
              <w:rPr>
                <w:rFonts w:ascii="宋体" w:hAnsi="宋体" w:cs="宋体"/>
              </w:rPr>
              <w:t>（</w:t>
            </w:r>
            <w:r>
              <w:rPr>
                <w:rFonts w:hint="eastAsia" w:ascii="宋体" w:hAnsi="宋体" w:cs="宋体"/>
              </w:rPr>
              <w:t>2</w:t>
            </w:r>
            <w:r>
              <w:rPr>
                <w:rFonts w:ascii="宋体" w:hAnsi="宋体" w:cs="宋体"/>
              </w:rPr>
              <w:t>）</w:t>
            </w:r>
            <w:r>
              <w:rPr>
                <w:rFonts w:hint="eastAsia" w:ascii="宋体" w:hAnsi="宋体" w:cs="宋体"/>
              </w:rPr>
              <w:t>未来邻里：主要演示场馆预约、邻里活动志愿互助、邻里共享、村规民约、乡村学院、文化档案、文化风采。全部</w:t>
            </w:r>
            <w:r>
              <w:rPr>
                <w:rFonts w:hint="eastAsia" w:ascii="宋体" w:hAnsi="宋体" w:cs="宋体"/>
                <w:bCs/>
              </w:rPr>
              <w:t>满足得3分，部分满足得0-1分，不满足不得分；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1297" w:type="dxa"/>
            <w:vMerge w:val="continue"/>
            <w:tcBorders>
              <w:left w:val="single" w:color="auto" w:sz="4" w:space="0"/>
              <w:bottom w:val="nil"/>
            </w:tcBorders>
            <w:vAlign w:val="center"/>
          </w:tcPr>
          <w:p>
            <w:pPr>
              <w:rPr>
                <w:rFonts w:ascii="宋体" w:hAnsi="宋体"/>
              </w:rPr>
            </w:pPr>
          </w:p>
        </w:tc>
        <w:tc>
          <w:tcPr>
            <w:tcW w:w="718" w:type="dxa"/>
            <w:tcBorders>
              <w:top w:val="single" w:color="auto" w:sz="4" w:space="0"/>
              <w:bottom w:val="single" w:color="auto" w:sz="4" w:space="0"/>
            </w:tcBorders>
            <w:vAlign w:val="center"/>
          </w:tcPr>
          <w:p>
            <w:pPr>
              <w:jc w:val="center"/>
              <w:rPr>
                <w:rFonts w:ascii="宋体" w:hAnsi="宋体"/>
              </w:rPr>
            </w:pPr>
            <w:r>
              <w:rPr>
                <w:rFonts w:hint="eastAsia" w:ascii="宋体" w:hAnsi="宋体"/>
              </w:rPr>
              <w:t>3分</w:t>
            </w:r>
          </w:p>
        </w:tc>
        <w:tc>
          <w:tcPr>
            <w:tcW w:w="7068" w:type="dxa"/>
            <w:tcBorders>
              <w:top w:val="single" w:color="auto" w:sz="4" w:space="0"/>
              <w:bottom w:val="single" w:color="auto" w:sz="4" w:space="0"/>
              <w:right w:val="single" w:color="auto" w:sz="4" w:space="0"/>
            </w:tcBorders>
            <w:vAlign w:val="center"/>
          </w:tcPr>
          <w:p>
            <w:pPr>
              <w:rPr>
                <w:rFonts w:ascii="宋体" w:hAnsi="宋体" w:cs="宋体"/>
              </w:rPr>
            </w:pPr>
            <w:r>
              <w:rPr>
                <w:rFonts w:ascii="宋体" w:hAnsi="宋体" w:cs="宋体"/>
              </w:rPr>
              <w:t>（</w:t>
            </w:r>
            <w:r>
              <w:rPr>
                <w:rFonts w:hint="eastAsia" w:ascii="宋体" w:hAnsi="宋体" w:cs="宋体"/>
              </w:rPr>
              <w:t>3</w:t>
            </w:r>
            <w:r>
              <w:rPr>
                <w:rFonts w:ascii="宋体" w:hAnsi="宋体" w:cs="宋体"/>
              </w:rPr>
              <w:t>）</w:t>
            </w:r>
            <w:r>
              <w:rPr>
                <w:rFonts w:hint="eastAsia" w:ascii="宋体" w:hAnsi="宋体" w:cs="宋体"/>
              </w:rPr>
              <w:t>未来健康：</w:t>
            </w:r>
            <w:r>
              <w:rPr>
                <w:rFonts w:hint="eastAsia" w:ascii="宋体" w:hAnsi="宋体" w:cs="宋体"/>
                <w:szCs w:val="24"/>
              </w:rPr>
              <w:t>主要演示育儿服务机构点位查询、</w:t>
            </w:r>
            <w:r>
              <w:rPr>
                <w:rFonts w:hint="eastAsia" w:ascii="宋体" w:hAnsi="宋体" w:cs="宋体"/>
              </w:rPr>
              <w:t>在线预约、育儿经验分享、儿童成长圈、育儿学堂、晚托中心、志愿任务领取、关爱走访。全部</w:t>
            </w:r>
            <w:r>
              <w:rPr>
                <w:rFonts w:hint="eastAsia" w:ascii="宋体" w:hAnsi="宋体" w:cs="宋体"/>
                <w:bCs/>
              </w:rPr>
              <w:t>满足得3分，部分满足得0-1分，不满足不得分；</w:t>
            </w:r>
          </w:p>
          <w:p>
            <w:pP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1297" w:type="dxa"/>
            <w:vMerge w:val="continue"/>
            <w:tcBorders>
              <w:left w:val="single" w:color="auto" w:sz="4" w:space="0"/>
              <w:bottom w:val="nil"/>
            </w:tcBorders>
            <w:vAlign w:val="center"/>
          </w:tcPr>
          <w:p>
            <w:pPr>
              <w:rPr>
                <w:rFonts w:ascii="宋体" w:hAnsi="宋体"/>
              </w:rPr>
            </w:pPr>
          </w:p>
        </w:tc>
        <w:tc>
          <w:tcPr>
            <w:tcW w:w="718" w:type="dxa"/>
            <w:tcBorders>
              <w:top w:val="single" w:color="auto" w:sz="4" w:space="0"/>
              <w:bottom w:val="single" w:color="auto" w:sz="4" w:space="0"/>
            </w:tcBorders>
            <w:vAlign w:val="center"/>
          </w:tcPr>
          <w:p>
            <w:pPr>
              <w:jc w:val="center"/>
              <w:rPr>
                <w:rFonts w:ascii="宋体" w:hAnsi="宋体"/>
              </w:rPr>
            </w:pPr>
            <w:r>
              <w:rPr>
                <w:rFonts w:hint="eastAsia" w:ascii="宋体" w:hAnsi="宋体"/>
              </w:rPr>
              <w:t>3分</w:t>
            </w:r>
          </w:p>
        </w:tc>
        <w:tc>
          <w:tcPr>
            <w:tcW w:w="7068" w:type="dxa"/>
            <w:tcBorders>
              <w:top w:val="single" w:color="auto" w:sz="4" w:space="0"/>
              <w:bottom w:val="single" w:color="auto" w:sz="4" w:space="0"/>
              <w:right w:val="single" w:color="auto" w:sz="4" w:space="0"/>
            </w:tcBorders>
            <w:vAlign w:val="center"/>
          </w:tcPr>
          <w:p>
            <w:pPr>
              <w:rPr>
                <w:rFonts w:ascii="宋体" w:hAnsi="宋体" w:cs="宋体"/>
              </w:rPr>
            </w:pPr>
            <w:r>
              <w:rPr>
                <w:rFonts w:ascii="宋体" w:hAnsi="宋体" w:cs="宋体"/>
              </w:rPr>
              <w:t>（</w:t>
            </w:r>
            <w:r>
              <w:rPr>
                <w:rFonts w:hint="eastAsia" w:ascii="宋体" w:hAnsi="宋体" w:cs="宋体"/>
              </w:rPr>
              <w:t>4</w:t>
            </w:r>
            <w:r>
              <w:rPr>
                <w:rFonts w:ascii="宋体" w:hAnsi="宋体" w:cs="宋体"/>
              </w:rPr>
              <w:t>）</w:t>
            </w:r>
            <w:r>
              <w:rPr>
                <w:rFonts w:hint="eastAsia" w:ascii="宋体" w:hAnsi="宋体" w:cs="宋体"/>
              </w:rPr>
              <w:t>未来治理：</w:t>
            </w:r>
            <w:r>
              <w:rPr>
                <w:rFonts w:hint="eastAsia" w:ascii="宋体" w:hAnsi="宋体" w:cs="宋体"/>
                <w:szCs w:val="24"/>
              </w:rPr>
              <w:t>主要演示沙滩码、工程举报（村民信箱）、咨询求助、线上议事、矛盾调解、报事求助、清廉沙滩、赚积分。沙滩码需演示游客端、村民端、网格员端。</w:t>
            </w:r>
            <w:r>
              <w:rPr>
                <w:rFonts w:hint="eastAsia" w:ascii="宋体" w:hAnsi="宋体" w:cs="宋体"/>
              </w:rPr>
              <w:t>全部</w:t>
            </w:r>
            <w:r>
              <w:rPr>
                <w:rFonts w:hint="eastAsia" w:ascii="宋体" w:hAnsi="宋体" w:cs="宋体"/>
                <w:bCs/>
              </w:rPr>
              <w:t>满足得3分，部分满足得0-1分，不满足不得分；</w:t>
            </w:r>
          </w:p>
          <w:p>
            <w:pP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1297" w:type="dxa"/>
            <w:vMerge w:val="continue"/>
            <w:tcBorders>
              <w:left w:val="single" w:color="auto" w:sz="4" w:space="0"/>
              <w:bottom w:val="nil"/>
            </w:tcBorders>
            <w:vAlign w:val="center"/>
          </w:tcPr>
          <w:p>
            <w:pPr>
              <w:rPr>
                <w:rFonts w:ascii="宋体" w:hAnsi="宋体"/>
              </w:rPr>
            </w:pPr>
          </w:p>
        </w:tc>
        <w:tc>
          <w:tcPr>
            <w:tcW w:w="718" w:type="dxa"/>
            <w:tcBorders>
              <w:top w:val="single" w:color="auto" w:sz="4" w:space="0"/>
              <w:bottom w:val="single" w:color="auto" w:sz="4" w:space="0"/>
            </w:tcBorders>
            <w:vAlign w:val="center"/>
          </w:tcPr>
          <w:p>
            <w:pPr>
              <w:jc w:val="center"/>
              <w:rPr>
                <w:rFonts w:ascii="宋体" w:hAnsi="宋体"/>
              </w:rPr>
            </w:pPr>
            <w:r>
              <w:rPr>
                <w:rFonts w:hint="eastAsia" w:ascii="宋体" w:hAnsi="宋体"/>
                <w:lang w:val="en-US" w:eastAsia="zh-CN"/>
              </w:rPr>
              <w:t>5</w:t>
            </w:r>
            <w:r>
              <w:rPr>
                <w:rFonts w:hint="eastAsia" w:ascii="宋体" w:hAnsi="宋体"/>
              </w:rPr>
              <w:t>分</w:t>
            </w:r>
          </w:p>
        </w:tc>
        <w:tc>
          <w:tcPr>
            <w:tcW w:w="7068" w:type="dxa"/>
            <w:tcBorders>
              <w:top w:val="single" w:color="auto" w:sz="4" w:space="0"/>
              <w:bottom w:val="single" w:color="auto" w:sz="4" w:space="0"/>
              <w:right w:val="single" w:color="auto" w:sz="4" w:space="0"/>
            </w:tcBorders>
            <w:vAlign w:val="center"/>
          </w:tcPr>
          <w:p>
            <w:pPr>
              <w:rPr>
                <w:rFonts w:ascii="宋体" w:hAnsi="宋体" w:cs="宋体"/>
                <w:b/>
              </w:rPr>
            </w:pPr>
            <w:r>
              <w:rPr>
                <w:rFonts w:hint="eastAsia" w:ascii="宋体" w:hAnsi="宋体" w:cs="宋体"/>
                <w:b/>
              </w:rPr>
              <w:t>未来乡村管理后台演示：</w:t>
            </w:r>
          </w:p>
          <w:p>
            <w:pPr>
              <w:rPr>
                <w:rFonts w:ascii="宋体" w:hAnsi="宋体" w:cs="宋体"/>
              </w:rPr>
            </w:pPr>
            <w:r>
              <w:rPr>
                <w:rFonts w:hint="eastAsia" w:ascii="宋体" w:hAnsi="宋体" w:cs="宋体"/>
                <w:szCs w:val="24"/>
              </w:rPr>
              <w:t>主要演示系统管理、信息发布管理、清廉乡村管理、幸福邻里管理、积分管理、关爱走访管理、舒心育儿管理、商品管理、巡查记录管理、报事求助管理。</w:t>
            </w:r>
            <w:r>
              <w:rPr>
                <w:rFonts w:hint="eastAsia" w:ascii="宋体" w:hAnsi="宋体" w:cs="宋体"/>
              </w:rPr>
              <w:t>全部</w:t>
            </w:r>
            <w:r>
              <w:rPr>
                <w:rFonts w:hint="eastAsia" w:ascii="宋体" w:hAnsi="宋体" w:cs="宋体"/>
                <w:bCs/>
              </w:rPr>
              <w:t>满足得</w:t>
            </w:r>
            <w:r>
              <w:rPr>
                <w:rFonts w:hint="eastAsia" w:ascii="宋体" w:hAnsi="宋体" w:cs="宋体"/>
                <w:bCs/>
                <w:lang w:val="en-US" w:eastAsia="zh-CN"/>
              </w:rPr>
              <w:t>5</w:t>
            </w:r>
            <w:r>
              <w:rPr>
                <w:rFonts w:hint="eastAsia" w:ascii="宋体" w:hAnsi="宋体" w:cs="宋体"/>
                <w:bCs/>
              </w:rPr>
              <w:t>分，部分满足得0-</w:t>
            </w:r>
            <w:r>
              <w:rPr>
                <w:rFonts w:hint="eastAsia" w:ascii="宋体" w:hAnsi="宋体" w:cs="宋体"/>
                <w:bCs/>
                <w:lang w:val="en-US" w:eastAsia="zh-CN"/>
              </w:rPr>
              <w:t>3</w:t>
            </w:r>
            <w:r>
              <w:rPr>
                <w:rFonts w:hint="eastAsia" w:ascii="宋体" w:hAnsi="宋体" w:cs="宋体"/>
                <w:bCs/>
              </w:rPr>
              <w:t>分，不满足不得分；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1297" w:type="dxa"/>
            <w:vMerge w:val="restart"/>
            <w:tcBorders>
              <w:left w:val="single" w:color="auto" w:sz="4" w:space="0"/>
              <w:bottom w:val="nil"/>
            </w:tcBorders>
            <w:vAlign w:val="center"/>
          </w:tcPr>
          <w:p>
            <w:pPr>
              <w:jc w:val="center"/>
              <w:rPr>
                <w:rFonts w:ascii="宋体" w:hAnsi="宋体"/>
              </w:rPr>
            </w:pPr>
            <w:r>
              <w:rPr>
                <w:rFonts w:hint="eastAsia" w:ascii="宋体" w:hAnsi="宋体"/>
              </w:rPr>
              <w:t>投标人综合实力</w:t>
            </w:r>
          </w:p>
        </w:tc>
        <w:tc>
          <w:tcPr>
            <w:tcW w:w="718" w:type="dxa"/>
            <w:tcBorders>
              <w:top w:val="single" w:color="auto" w:sz="4" w:space="0"/>
              <w:bottom w:val="single" w:color="auto" w:sz="4" w:space="0"/>
            </w:tcBorders>
            <w:vAlign w:val="center"/>
          </w:tcPr>
          <w:p>
            <w:pPr>
              <w:jc w:val="center"/>
              <w:rPr>
                <w:rFonts w:ascii="宋体" w:hAnsi="宋体"/>
              </w:rPr>
            </w:pPr>
            <w:r>
              <w:rPr>
                <w:rFonts w:hint="eastAsia" w:ascii="宋体" w:hAnsi="宋体"/>
                <w:lang w:val="en-US" w:eastAsia="zh-CN"/>
              </w:rPr>
              <w:t>4</w:t>
            </w:r>
            <w:r>
              <w:rPr>
                <w:rFonts w:ascii="宋体" w:hAnsi="宋体"/>
              </w:rPr>
              <w:t>分</w:t>
            </w:r>
          </w:p>
        </w:tc>
        <w:tc>
          <w:tcPr>
            <w:tcW w:w="7068" w:type="dxa"/>
            <w:tcBorders>
              <w:top w:val="single" w:color="auto" w:sz="4" w:space="0"/>
              <w:bottom w:val="single" w:color="auto" w:sz="4" w:space="0"/>
              <w:right w:val="single" w:color="auto" w:sz="4" w:space="0"/>
            </w:tcBorders>
            <w:vAlign w:val="center"/>
          </w:tcPr>
          <w:p>
            <w:pPr>
              <w:rPr>
                <w:rFonts w:ascii="宋体" w:hAnsi="宋体"/>
              </w:rPr>
            </w:pPr>
            <w:r>
              <w:rPr>
                <w:rFonts w:hint="eastAsia" w:ascii="宋体" w:hAnsi="宋体"/>
              </w:rPr>
              <w:t>根据投标人的综合实力、履约能力、资信及荣誉证书等情况综合比较评定，综合实力较强的得综合实力较强，信誉好，服务能力强的得</w:t>
            </w:r>
            <w:r>
              <w:rPr>
                <w:rFonts w:hint="eastAsia" w:ascii="宋体" w:hAnsi="宋体"/>
                <w:lang w:val="en-US" w:eastAsia="zh-CN"/>
              </w:rPr>
              <w:t>4</w:t>
            </w:r>
            <w:r>
              <w:rPr>
                <w:rFonts w:hint="eastAsia" w:ascii="宋体" w:hAnsi="宋体"/>
              </w:rPr>
              <w:t>-</w:t>
            </w:r>
            <w:r>
              <w:rPr>
                <w:rFonts w:hint="eastAsia" w:ascii="宋体" w:hAnsi="宋体"/>
                <w:lang w:val="en-US" w:eastAsia="zh-CN"/>
              </w:rPr>
              <w:t>3</w:t>
            </w:r>
            <w:r>
              <w:rPr>
                <w:rFonts w:hint="eastAsia" w:ascii="宋体" w:hAnsi="宋体"/>
              </w:rPr>
              <w:t>.1分；一般的得</w:t>
            </w:r>
            <w:r>
              <w:rPr>
                <w:rFonts w:hint="eastAsia" w:ascii="宋体" w:hAnsi="宋体"/>
                <w:lang w:val="en-US" w:eastAsia="zh-CN"/>
              </w:rPr>
              <w:t>3</w:t>
            </w:r>
            <w:r>
              <w:rPr>
                <w:rFonts w:hint="eastAsia" w:ascii="宋体" w:hAnsi="宋体"/>
              </w:rPr>
              <w:t>-</w:t>
            </w:r>
            <w:r>
              <w:rPr>
                <w:rFonts w:hint="eastAsia" w:ascii="宋体" w:hAnsi="宋体"/>
                <w:lang w:val="en-US" w:eastAsia="zh-CN"/>
              </w:rPr>
              <w:t>1</w:t>
            </w:r>
            <w:r>
              <w:rPr>
                <w:rFonts w:hint="eastAsia" w:ascii="宋体" w:hAnsi="宋体"/>
              </w:rPr>
              <w:t>.1分；相对较弱得</w:t>
            </w:r>
            <w:r>
              <w:rPr>
                <w:rFonts w:hint="eastAsia" w:ascii="宋体" w:hAnsi="宋体"/>
                <w:lang w:val="en-US" w:eastAsia="zh-CN"/>
              </w:rPr>
              <w:t>1</w:t>
            </w:r>
            <w:r>
              <w:rPr>
                <w:rFonts w:hint="eastAsia" w:ascii="宋体" w:hAnsi="宋体"/>
              </w:rPr>
              <w:t>分及以下。</w:t>
            </w:r>
          </w:p>
          <w:p>
            <w:pPr>
              <w:rPr>
                <w:rFonts w:ascii="宋体" w:hAnsi="宋体" w:cs="宋体"/>
              </w:rPr>
            </w:pPr>
            <w:r>
              <w:rPr>
                <w:rFonts w:hint="eastAsia" w:ascii="宋体" w:hAnsi="宋体"/>
              </w:rPr>
              <w:t>注：提供相关证明材料复印件加盖公章，未提供不得分。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1297" w:type="dxa"/>
            <w:vMerge w:val="continue"/>
            <w:tcBorders>
              <w:left w:val="single" w:color="auto" w:sz="4" w:space="0"/>
            </w:tcBorders>
            <w:vAlign w:val="center"/>
          </w:tcPr>
          <w:p>
            <w:pPr>
              <w:rPr>
                <w:rFonts w:ascii="宋体" w:hAnsi="宋体"/>
              </w:rPr>
            </w:pPr>
          </w:p>
        </w:tc>
        <w:tc>
          <w:tcPr>
            <w:tcW w:w="718" w:type="dxa"/>
            <w:tcBorders>
              <w:bottom w:val="single" w:color="auto" w:sz="4" w:space="0"/>
            </w:tcBorders>
            <w:vAlign w:val="center"/>
          </w:tcPr>
          <w:p>
            <w:pPr>
              <w:jc w:val="center"/>
              <w:rPr>
                <w:rFonts w:ascii="宋体" w:hAnsi="宋体"/>
              </w:rPr>
            </w:pPr>
            <w:r>
              <w:rPr>
                <w:rFonts w:hint="eastAsia" w:ascii="宋体" w:hAnsi="宋体"/>
              </w:rPr>
              <w:t>2分</w:t>
            </w:r>
          </w:p>
        </w:tc>
        <w:tc>
          <w:tcPr>
            <w:tcW w:w="7068" w:type="dxa"/>
            <w:tcBorders>
              <w:bottom w:val="single" w:color="auto" w:sz="4" w:space="0"/>
              <w:right w:val="single" w:color="auto" w:sz="4" w:space="0"/>
            </w:tcBorders>
            <w:vAlign w:val="center"/>
          </w:tcPr>
          <w:p>
            <w:pPr>
              <w:rPr>
                <w:rFonts w:ascii="宋体" w:hAnsi="宋体"/>
              </w:rPr>
            </w:pPr>
            <w:r>
              <w:rPr>
                <w:rFonts w:hint="eastAsia" w:ascii="宋体" w:hAnsi="宋体"/>
              </w:rPr>
              <w:t>投标人具备电子与智能化工程专业承包资质壹级资质得</w:t>
            </w:r>
            <w:r>
              <w:rPr>
                <w:rFonts w:ascii="宋体" w:hAnsi="宋体"/>
              </w:rPr>
              <w:t>2</w:t>
            </w:r>
            <w:r>
              <w:rPr>
                <w:rFonts w:hint="eastAsia" w:ascii="宋体" w:hAnsi="宋体"/>
              </w:rPr>
              <w:t>分，投标人具备电子与智能化工程专业承包资质贰级资质得</w:t>
            </w:r>
            <w:r>
              <w:rPr>
                <w:rFonts w:ascii="宋体" w:hAnsi="宋体"/>
              </w:rPr>
              <w:t>1</w:t>
            </w:r>
            <w:r>
              <w:rPr>
                <w:rFonts w:hint="eastAsia" w:ascii="宋体" w:hAnsi="宋体"/>
              </w:rPr>
              <w:t>分；</w:t>
            </w:r>
          </w:p>
          <w:p>
            <w:pPr>
              <w:rPr>
                <w:rFonts w:ascii="宋体" w:hAnsi="宋体"/>
                <w:b/>
                <w:bCs/>
              </w:rPr>
            </w:pPr>
            <w:r>
              <w:rPr>
                <w:rFonts w:hint="eastAsia" w:ascii="宋体" w:hAnsi="宋体"/>
                <w:b/>
                <w:bCs/>
              </w:rPr>
              <w:t>提供证书原件扫描件并加盖电子签章，</w:t>
            </w:r>
            <w:r>
              <w:rPr>
                <w:rFonts w:hint="eastAsia" w:ascii="宋体" w:hAnsi="宋体"/>
                <w:b/>
              </w:rPr>
              <w:t>未提供</w:t>
            </w:r>
            <w:r>
              <w:rPr>
                <w:rFonts w:ascii="宋体" w:hAnsi="宋体"/>
                <w:b/>
              </w:rPr>
              <w:t>不得分</w:t>
            </w:r>
            <w:r>
              <w:rPr>
                <w:rFonts w:hint="eastAsia" w:ascii="宋体" w:hAnsi="宋体"/>
                <w:b/>
                <w:bC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 w:hRule="atLeast"/>
        </w:trPr>
        <w:tc>
          <w:tcPr>
            <w:tcW w:w="1297" w:type="dxa"/>
            <w:tcBorders>
              <w:left w:val="single" w:color="auto" w:sz="4" w:space="0"/>
              <w:bottom w:val="single" w:color="auto" w:sz="4" w:space="0"/>
            </w:tcBorders>
            <w:vAlign w:val="center"/>
          </w:tcPr>
          <w:p>
            <w:pPr>
              <w:rPr>
                <w:rFonts w:ascii="宋体" w:hAnsi="宋体"/>
              </w:rPr>
            </w:pPr>
            <w:r>
              <w:rPr>
                <w:rFonts w:hint="eastAsia" w:ascii="宋体" w:hAnsi="宋体"/>
              </w:rPr>
              <w:t>类似成功案例</w:t>
            </w:r>
          </w:p>
        </w:tc>
        <w:tc>
          <w:tcPr>
            <w:tcW w:w="718" w:type="dxa"/>
            <w:tcBorders>
              <w:bottom w:val="single" w:color="auto" w:sz="4" w:space="0"/>
            </w:tcBorders>
            <w:vAlign w:val="center"/>
          </w:tcPr>
          <w:p>
            <w:pPr>
              <w:rPr>
                <w:rFonts w:ascii="宋体" w:hAnsi="宋体"/>
              </w:rPr>
            </w:pPr>
            <w:r>
              <w:rPr>
                <w:rFonts w:hint="eastAsia" w:ascii="宋体" w:hAnsi="宋体"/>
              </w:rPr>
              <w:t xml:space="preserve"> </w:t>
            </w:r>
            <w:r>
              <w:rPr>
                <w:rFonts w:ascii="宋体" w:hAnsi="宋体"/>
              </w:rPr>
              <w:t>2</w:t>
            </w:r>
            <w:r>
              <w:rPr>
                <w:rFonts w:hint="eastAsia" w:ascii="宋体" w:hAnsi="宋体"/>
              </w:rPr>
              <w:t>分</w:t>
            </w:r>
          </w:p>
        </w:tc>
        <w:tc>
          <w:tcPr>
            <w:tcW w:w="7068" w:type="dxa"/>
            <w:tcBorders>
              <w:top w:val="single" w:color="auto" w:sz="4" w:space="0"/>
              <w:bottom w:val="single" w:color="auto" w:sz="4" w:space="0"/>
              <w:right w:val="single" w:color="auto" w:sz="4" w:space="0"/>
            </w:tcBorders>
            <w:vAlign w:val="center"/>
          </w:tcPr>
          <w:p>
            <w:pPr>
              <w:rPr>
                <w:rFonts w:ascii="宋体" w:hAnsi="宋体"/>
                <w:bCs/>
              </w:rPr>
            </w:pPr>
            <w:r>
              <w:rPr>
                <w:rFonts w:hint="eastAsia" w:ascii="宋体" w:hAnsi="宋体"/>
                <w:bCs/>
              </w:rPr>
              <w:t>自201</w:t>
            </w:r>
            <w:r>
              <w:rPr>
                <w:rFonts w:ascii="宋体" w:hAnsi="宋体"/>
                <w:bCs/>
              </w:rPr>
              <w:t>8</w:t>
            </w:r>
            <w:r>
              <w:rPr>
                <w:rFonts w:hint="eastAsia" w:ascii="宋体" w:hAnsi="宋体"/>
                <w:bCs/>
              </w:rPr>
              <w:t>年1月1日以来，具有类似项目成功案例的每个得（</w:t>
            </w:r>
            <w:r>
              <w:rPr>
                <w:rFonts w:ascii="宋体" w:hAnsi="宋体"/>
                <w:bCs/>
              </w:rPr>
              <w:t>1</w:t>
            </w:r>
            <w:r>
              <w:rPr>
                <w:rFonts w:hint="eastAsia" w:ascii="宋体" w:hAnsi="宋体"/>
                <w:bCs/>
              </w:rPr>
              <w:t>分），最高得（</w:t>
            </w:r>
            <w:r>
              <w:rPr>
                <w:rFonts w:ascii="宋体" w:hAnsi="宋体"/>
                <w:bCs/>
              </w:rPr>
              <w:t>2</w:t>
            </w:r>
            <w:r>
              <w:rPr>
                <w:rFonts w:hint="eastAsia" w:ascii="宋体" w:hAnsi="宋体"/>
                <w:bCs/>
              </w:rPr>
              <w:t>分）。</w:t>
            </w:r>
          </w:p>
          <w:p>
            <w:pPr>
              <w:rPr>
                <w:rFonts w:hint="eastAsia" w:ascii="宋体" w:hAnsi="宋体" w:eastAsia="宋体"/>
                <w:lang w:eastAsia="zh-CN"/>
              </w:rPr>
            </w:pPr>
            <w:r>
              <w:rPr>
                <w:rFonts w:hint="eastAsia" w:ascii="宋体" w:hAnsi="宋体"/>
                <w:b/>
              </w:rPr>
              <w:t>投标文件中提供合同原件扫描件</w:t>
            </w:r>
            <w:r>
              <w:rPr>
                <w:rFonts w:hint="eastAsia" w:ascii="宋体" w:hAnsi="宋体"/>
                <w:b/>
                <w:bCs/>
              </w:rPr>
              <w:t>并加盖电子签章</w:t>
            </w:r>
            <w:r>
              <w:rPr>
                <w:rFonts w:hint="eastAsia" w:ascii="宋体" w:hAnsi="宋体"/>
                <w:b/>
              </w:rPr>
              <w:t>，未提供</w:t>
            </w:r>
            <w:r>
              <w:rPr>
                <w:rFonts w:ascii="宋体" w:hAnsi="宋体"/>
                <w:b/>
              </w:rPr>
              <w:t>不得分</w:t>
            </w:r>
            <w:r>
              <w:rPr>
                <w:rFonts w:hint="eastAsia" w:ascii="宋体" w:hAnsi="宋体"/>
                <w:b/>
              </w:rPr>
              <w:t>。时间以合同签订时间为准</w:t>
            </w:r>
            <w:r>
              <w:rPr>
                <w:rFonts w:hint="eastAsia" w:ascii="宋体" w:hAnsi="宋体"/>
                <w:b/>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1297" w:type="dxa"/>
            <w:tcBorders>
              <w:top w:val="single" w:color="auto" w:sz="4" w:space="0"/>
              <w:left w:val="single" w:color="auto" w:sz="4" w:space="0"/>
              <w:bottom w:val="single" w:color="auto" w:sz="4" w:space="0"/>
            </w:tcBorders>
            <w:vAlign w:val="center"/>
          </w:tcPr>
          <w:p>
            <w:pPr>
              <w:rPr>
                <w:rFonts w:ascii="宋体" w:hAnsi="宋体"/>
              </w:rPr>
            </w:pPr>
            <w:r>
              <w:rPr>
                <w:rFonts w:hint="eastAsia" w:ascii="宋体" w:hAnsi="宋体"/>
              </w:rPr>
              <w:t>售后服务情况</w:t>
            </w:r>
          </w:p>
        </w:tc>
        <w:tc>
          <w:tcPr>
            <w:tcW w:w="718" w:type="dxa"/>
            <w:tcBorders>
              <w:top w:val="single" w:color="auto" w:sz="4" w:space="0"/>
              <w:bottom w:val="single" w:color="auto" w:sz="4" w:space="0"/>
            </w:tcBorders>
            <w:vAlign w:val="center"/>
          </w:tcPr>
          <w:p>
            <w:pPr>
              <w:rPr>
                <w:rFonts w:ascii="宋体" w:hAnsi="宋体"/>
              </w:rPr>
            </w:pPr>
            <w:r>
              <w:rPr>
                <w:rFonts w:hint="eastAsia" w:ascii="宋体" w:hAnsi="宋体"/>
              </w:rPr>
              <w:t xml:space="preserve"> </w:t>
            </w:r>
            <w:r>
              <w:rPr>
                <w:rFonts w:ascii="宋体" w:hAnsi="宋体"/>
              </w:rPr>
              <w:t>4</w:t>
            </w:r>
            <w:r>
              <w:rPr>
                <w:rFonts w:hint="eastAsia" w:ascii="宋体" w:hAnsi="宋体"/>
              </w:rPr>
              <w:t>分</w:t>
            </w:r>
          </w:p>
        </w:tc>
        <w:tc>
          <w:tcPr>
            <w:tcW w:w="7068" w:type="dxa"/>
            <w:tcBorders>
              <w:top w:val="single" w:color="auto" w:sz="4" w:space="0"/>
              <w:bottom w:val="single" w:color="auto" w:sz="4" w:space="0"/>
              <w:right w:val="single" w:color="auto" w:sz="4" w:space="0"/>
            </w:tcBorders>
            <w:vAlign w:val="center"/>
          </w:tcPr>
          <w:p>
            <w:pPr>
              <w:rPr>
                <w:rFonts w:ascii="宋体" w:hAnsi="宋体"/>
                <w:b/>
              </w:rPr>
            </w:pPr>
            <w:r>
              <w:rPr>
                <w:rFonts w:hint="eastAsia" w:ascii="宋体" w:hAnsi="宋体"/>
              </w:rPr>
              <w:t>根据投标人承诺提供的售后服务方案（包括投标人本地化服务能力、服务措施、售后服务响应能力等方面）等进行打分。方案可行性强，内容合理,严谨全面的得</w:t>
            </w:r>
            <w:r>
              <w:rPr>
                <w:rFonts w:ascii="宋体" w:hAnsi="宋体"/>
              </w:rPr>
              <w:t>4</w:t>
            </w:r>
            <w:r>
              <w:rPr>
                <w:rFonts w:hint="eastAsia" w:ascii="宋体" w:hAnsi="宋体"/>
              </w:rPr>
              <w:t>-</w:t>
            </w:r>
            <w:r>
              <w:rPr>
                <w:rFonts w:ascii="宋体" w:hAnsi="宋体"/>
              </w:rPr>
              <w:t>3</w:t>
            </w:r>
            <w:r>
              <w:rPr>
                <w:rFonts w:hint="eastAsia" w:ascii="宋体" w:hAnsi="宋体"/>
              </w:rPr>
              <w:t>分，方案内容较全面，基本满足采购需求的得</w:t>
            </w:r>
            <w:r>
              <w:rPr>
                <w:rFonts w:ascii="宋体" w:hAnsi="宋体"/>
              </w:rPr>
              <w:t>2</w:t>
            </w:r>
            <w:r>
              <w:rPr>
                <w:rFonts w:hint="eastAsia" w:ascii="宋体" w:hAnsi="宋体"/>
              </w:rPr>
              <w:t>.9-2分；方案内容一般，实施性较差的得2分以下，不提供不得分。</w:t>
            </w:r>
          </w:p>
        </w:tc>
      </w:tr>
    </w:tbl>
    <w:p>
      <w:pPr>
        <w:rPr>
          <w:rFonts w:hint="eastAsia"/>
        </w:rPr>
      </w:pPr>
    </w:p>
    <w:p>
      <w:pPr>
        <w:numPr>
          <w:ilvl w:val="0"/>
          <w:numId w:val="9"/>
        </w:numPr>
        <w:spacing w:line="360" w:lineRule="auto"/>
        <w:jc w:val="center"/>
        <w:rPr>
          <w:rFonts w:ascii="宋体" w:hAnsi="宋体" w:cs="宋体"/>
          <w:b/>
          <w:bCs/>
          <w:sz w:val="36"/>
          <w:szCs w:val="36"/>
        </w:rPr>
      </w:pPr>
      <w:r>
        <w:rPr>
          <w:rFonts w:hint="eastAsia" w:ascii="宋体" w:hAnsi="宋体" w:cs="宋体"/>
          <w:b/>
          <w:bCs/>
          <w:sz w:val="36"/>
          <w:szCs w:val="36"/>
        </w:rPr>
        <w:t>公开招标需求</w:t>
      </w:r>
      <w:bookmarkStart w:id="0" w:name="_Toc51703651"/>
    </w:p>
    <w:bookmarkEnd w:id="0"/>
    <w:p>
      <w:pPr>
        <w:tabs>
          <w:tab w:val="left" w:pos="8280"/>
        </w:tabs>
        <w:autoSpaceDE w:val="0"/>
        <w:autoSpaceDN w:val="0"/>
        <w:adjustRightInd w:val="0"/>
        <w:spacing w:line="360" w:lineRule="auto"/>
        <w:ind w:right="25"/>
        <w:rPr>
          <w:rFonts w:ascii="宋体" w:hAnsi="宋体" w:cs="宋体"/>
          <w:sz w:val="24"/>
          <w:szCs w:val="24"/>
        </w:rPr>
      </w:pPr>
      <w:r>
        <w:rPr>
          <w:rFonts w:hint="eastAsia" w:ascii="宋体" w:hAnsi="宋体" w:cs="宋体"/>
          <w:b/>
          <w:sz w:val="24"/>
          <w:szCs w:val="24"/>
        </w:rPr>
        <w:t>一、招标项目一览表</w:t>
      </w:r>
    </w:p>
    <w:p>
      <w:pPr>
        <w:tabs>
          <w:tab w:val="left" w:pos="8280"/>
        </w:tabs>
        <w:autoSpaceDE w:val="0"/>
        <w:autoSpaceDN w:val="0"/>
        <w:adjustRightInd w:val="0"/>
        <w:spacing w:line="360" w:lineRule="auto"/>
        <w:ind w:right="25" w:firstLine="280"/>
        <w:rPr>
          <w:rFonts w:ascii="宋体" w:hAnsi="宋体" w:cs="宋体"/>
          <w:sz w:val="24"/>
          <w:szCs w:val="24"/>
        </w:rPr>
      </w:pPr>
      <w:r>
        <w:rPr>
          <w:rFonts w:hint="eastAsia" w:ascii="宋体" w:hAnsi="宋体" w:cs="宋体"/>
          <w:sz w:val="24"/>
          <w:szCs w:val="24"/>
        </w:rPr>
        <w:t>本次招标共</w:t>
      </w:r>
      <w:r>
        <w:rPr>
          <w:rFonts w:hint="eastAsia" w:ascii="宋体" w:hAnsi="宋体" w:cs="宋体"/>
          <w:sz w:val="24"/>
          <w:szCs w:val="24"/>
          <w:u w:val="single"/>
        </w:rPr>
        <w:t xml:space="preserve"> 1  </w:t>
      </w:r>
      <w:r>
        <w:rPr>
          <w:rFonts w:hint="eastAsia" w:ascii="宋体" w:hAnsi="宋体" w:cs="宋体"/>
          <w:sz w:val="24"/>
          <w:szCs w:val="24"/>
        </w:rPr>
        <w:t>个标项，主要内容如下表：</w:t>
      </w:r>
    </w:p>
    <w:tbl>
      <w:tblPr>
        <w:tblStyle w:val="27"/>
        <w:tblW w:w="907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37"/>
        <w:gridCol w:w="1346"/>
        <w:gridCol w:w="593"/>
        <w:gridCol w:w="617"/>
        <w:gridCol w:w="1712"/>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71" w:type="dxa"/>
            <w:vAlign w:val="center"/>
          </w:tcPr>
          <w:p>
            <w:pPr>
              <w:tabs>
                <w:tab w:val="left" w:pos="8280"/>
              </w:tabs>
              <w:autoSpaceDE w:val="0"/>
              <w:autoSpaceDN w:val="0"/>
              <w:adjustRightInd w:val="0"/>
              <w:spacing w:line="360" w:lineRule="auto"/>
              <w:ind w:left="27" w:leftChars="13"/>
              <w:jc w:val="center"/>
              <w:rPr>
                <w:rFonts w:ascii="宋体" w:hAnsi="宋体" w:cs="宋体"/>
                <w:b/>
                <w:sz w:val="24"/>
                <w:szCs w:val="24"/>
              </w:rPr>
            </w:pPr>
            <w:r>
              <w:rPr>
                <w:rFonts w:hint="eastAsia" w:ascii="宋体" w:hAnsi="宋体" w:cs="宋体"/>
                <w:b/>
                <w:sz w:val="24"/>
                <w:szCs w:val="24"/>
              </w:rPr>
              <w:t>标项号</w:t>
            </w:r>
          </w:p>
        </w:tc>
        <w:tc>
          <w:tcPr>
            <w:tcW w:w="2337" w:type="dxa"/>
            <w:vAlign w:val="center"/>
          </w:tcPr>
          <w:p>
            <w:pPr>
              <w:tabs>
                <w:tab w:val="left" w:pos="8280"/>
              </w:tabs>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项目名称</w:t>
            </w:r>
          </w:p>
        </w:tc>
        <w:tc>
          <w:tcPr>
            <w:tcW w:w="1346" w:type="dxa"/>
            <w:vAlign w:val="center"/>
          </w:tcPr>
          <w:p>
            <w:pPr>
              <w:tabs>
                <w:tab w:val="left" w:pos="8280"/>
              </w:tabs>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简要技术要求</w:t>
            </w:r>
          </w:p>
        </w:tc>
        <w:tc>
          <w:tcPr>
            <w:tcW w:w="593" w:type="dxa"/>
            <w:vAlign w:val="center"/>
          </w:tcPr>
          <w:p>
            <w:pPr>
              <w:tabs>
                <w:tab w:val="left" w:pos="8280"/>
              </w:tabs>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数量</w:t>
            </w:r>
          </w:p>
        </w:tc>
        <w:tc>
          <w:tcPr>
            <w:tcW w:w="617" w:type="dxa"/>
            <w:vAlign w:val="center"/>
          </w:tcPr>
          <w:p>
            <w:pPr>
              <w:tabs>
                <w:tab w:val="left" w:pos="8280"/>
              </w:tabs>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单位</w:t>
            </w:r>
          </w:p>
        </w:tc>
        <w:tc>
          <w:tcPr>
            <w:tcW w:w="1712" w:type="dxa"/>
            <w:vAlign w:val="center"/>
          </w:tcPr>
          <w:p>
            <w:pPr>
              <w:tabs>
                <w:tab w:val="left" w:pos="8280"/>
              </w:tabs>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服务期</w:t>
            </w:r>
          </w:p>
        </w:tc>
        <w:tc>
          <w:tcPr>
            <w:tcW w:w="1600" w:type="dxa"/>
            <w:vAlign w:val="center"/>
          </w:tcPr>
          <w:p>
            <w:pPr>
              <w:tabs>
                <w:tab w:val="left" w:pos="8280"/>
              </w:tabs>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预算价/最高限价（元）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71" w:type="dxa"/>
            <w:vAlign w:val="center"/>
          </w:tcPr>
          <w:p>
            <w:pPr>
              <w:tabs>
                <w:tab w:val="left" w:pos="8280"/>
              </w:tabs>
              <w:autoSpaceDE w:val="0"/>
              <w:autoSpaceDN w:val="0"/>
              <w:adjustRightInd w:val="0"/>
              <w:spacing w:line="360" w:lineRule="auto"/>
              <w:ind w:left="-164" w:leftChars="-78" w:firstLine="163" w:firstLineChars="68"/>
              <w:jc w:val="center"/>
              <w:rPr>
                <w:rFonts w:ascii="宋体" w:hAnsi="宋体" w:cs="宋体"/>
                <w:sz w:val="24"/>
                <w:szCs w:val="24"/>
              </w:rPr>
            </w:pPr>
            <w:r>
              <w:rPr>
                <w:rFonts w:hint="eastAsia" w:ascii="宋体" w:hAnsi="宋体" w:cs="宋体"/>
                <w:sz w:val="24"/>
                <w:szCs w:val="24"/>
              </w:rPr>
              <w:t>1</w:t>
            </w:r>
          </w:p>
        </w:tc>
        <w:tc>
          <w:tcPr>
            <w:tcW w:w="2337" w:type="dxa"/>
            <w:vAlign w:val="center"/>
          </w:tcPr>
          <w:p>
            <w:pPr>
              <w:tabs>
                <w:tab w:val="left" w:pos="8280"/>
              </w:tabs>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黄岩区屿头未来乡村及低碳适用技术集成化应用项目</w:t>
            </w:r>
          </w:p>
        </w:tc>
        <w:tc>
          <w:tcPr>
            <w:tcW w:w="1346" w:type="dxa"/>
            <w:vAlign w:val="center"/>
          </w:tcPr>
          <w:p>
            <w:pPr>
              <w:spacing w:line="360" w:lineRule="auto"/>
              <w:jc w:val="center"/>
              <w:rPr>
                <w:rFonts w:ascii="宋体" w:hAnsi="宋体" w:cs="宋体"/>
                <w:sz w:val="24"/>
                <w:szCs w:val="24"/>
              </w:rPr>
            </w:pPr>
            <w:r>
              <w:rPr>
                <w:rFonts w:hint="eastAsia" w:ascii="宋体" w:hAnsi="宋体" w:cs="宋体"/>
                <w:sz w:val="24"/>
                <w:szCs w:val="24"/>
              </w:rPr>
              <w:t>详见招标文件要求</w:t>
            </w:r>
          </w:p>
        </w:tc>
        <w:tc>
          <w:tcPr>
            <w:tcW w:w="593" w:type="dxa"/>
            <w:vAlign w:val="center"/>
          </w:tcPr>
          <w:p>
            <w:pPr>
              <w:tabs>
                <w:tab w:val="left" w:pos="8280"/>
              </w:tabs>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617" w:type="dxa"/>
            <w:vAlign w:val="center"/>
          </w:tcPr>
          <w:p>
            <w:pPr>
              <w:tabs>
                <w:tab w:val="left" w:pos="8280"/>
              </w:tabs>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项</w:t>
            </w:r>
          </w:p>
        </w:tc>
        <w:tc>
          <w:tcPr>
            <w:tcW w:w="1712" w:type="dxa"/>
            <w:vAlign w:val="center"/>
          </w:tcPr>
          <w:p>
            <w:pPr>
              <w:tabs>
                <w:tab w:val="left" w:pos="8280"/>
              </w:tabs>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合同签订以后90日历天内完成开发、系统部署和上线运行</w:t>
            </w:r>
            <w:r>
              <w:rPr>
                <w:rFonts w:hint="eastAsia" w:ascii="宋体" w:hAnsi="宋体" w:cs="宋体"/>
                <w:sz w:val="24"/>
                <w:szCs w:val="24"/>
                <w:lang w:eastAsia="zh-CN"/>
              </w:rPr>
              <w:t>（其中2022年10月30日前完成“未来乡村”部分建设工作并通过验收）</w:t>
            </w:r>
          </w:p>
        </w:tc>
        <w:tc>
          <w:tcPr>
            <w:tcW w:w="1600" w:type="dxa"/>
            <w:vAlign w:val="center"/>
          </w:tcPr>
          <w:p>
            <w:pPr>
              <w:tabs>
                <w:tab w:val="left" w:pos="8280"/>
              </w:tabs>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5650100</w:t>
            </w:r>
          </w:p>
        </w:tc>
      </w:tr>
    </w:tbl>
    <w:p>
      <w:pPr>
        <w:tabs>
          <w:tab w:val="left" w:pos="8280"/>
        </w:tabs>
        <w:autoSpaceDE w:val="0"/>
        <w:autoSpaceDN w:val="0"/>
        <w:adjustRightInd w:val="0"/>
        <w:spacing w:line="360" w:lineRule="auto"/>
        <w:rPr>
          <w:rFonts w:ascii="宋体" w:hAnsi="宋体" w:cs="宋体"/>
          <w:b/>
          <w:sz w:val="24"/>
          <w:szCs w:val="24"/>
        </w:rPr>
      </w:pPr>
      <w:r>
        <w:rPr>
          <w:rFonts w:hint="eastAsia" w:ascii="宋体" w:hAnsi="宋体" w:cs="宋体"/>
          <w:b/>
          <w:sz w:val="24"/>
          <w:szCs w:val="24"/>
        </w:rPr>
        <w:t>二、采购需求</w:t>
      </w:r>
    </w:p>
    <w:p>
      <w:pPr>
        <w:pStyle w:val="4"/>
        <w:spacing w:before="0" w:after="0" w:line="360" w:lineRule="auto"/>
        <w:jc w:val="center"/>
        <w:rPr>
          <w:rFonts w:ascii="宋体" w:hAnsi="宋体" w:cs="宋体"/>
          <w:b/>
          <w:bCs/>
          <w:sz w:val="24"/>
          <w:szCs w:val="24"/>
        </w:rPr>
      </w:pPr>
      <w:r>
        <w:rPr>
          <w:rFonts w:hint="eastAsia" w:ascii="宋体" w:hAnsi="宋体" w:cs="宋体"/>
          <w:b/>
          <w:bCs/>
          <w:sz w:val="24"/>
          <w:szCs w:val="24"/>
        </w:rPr>
        <w:t>建设内容</w:t>
      </w:r>
    </w:p>
    <w:p>
      <w:pPr>
        <w:rPr>
          <w:lang w:bidi="en-US"/>
        </w:rPr>
      </w:pPr>
      <w:r>
        <w:rPr>
          <w:rFonts w:hint="eastAsia"/>
        </w:rPr>
        <w:t>1、</w:t>
      </w:r>
      <w:r>
        <w:rPr>
          <w:rFonts w:hint="eastAsia"/>
          <w:lang w:bidi="en-US"/>
        </w:rPr>
        <w:t>未来乡村应用系统建设</w:t>
      </w:r>
    </w:p>
    <w:tbl>
      <w:tblPr>
        <w:tblStyle w:val="27"/>
        <w:tblW w:w="5393" w:type="pct"/>
        <w:tblInd w:w="-5" w:type="dxa"/>
        <w:tblLayout w:type="autofit"/>
        <w:tblCellMar>
          <w:top w:w="0" w:type="dxa"/>
          <w:left w:w="108" w:type="dxa"/>
          <w:bottom w:w="0" w:type="dxa"/>
          <w:right w:w="108" w:type="dxa"/>
        </w:tblCellMar>
      </w:tblPr>
      <w:tblGrid>
        <w:gridCol w:w="931"/>
        <w:gridCol w:w="1540"/>
        <w:gridCol w:w="1540"/>
        <w:gridCol w:w="1540"/>
        <w:gridCol w:w="4050"/>
      </w:tblGrid>
      <w:tr>
        <w:tblPrEx>
          <w:tblCellMar>
            <w:top w:w="0" w:type="dxa"/>
            <w:left w:w="108" w:type="dxa"/>
            <w:bottom w:w="0" w:type="dxa"/>
            <w:right w:w="108" w:type="dxa"/>
          </w:tblCellMar>
        </w:tblPrEx>
        <w:trPr>
          <w:trHeight w:val="467" w:hRule="atLeast"/>
        </w:trPr>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序号</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一级模块</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二级模块</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三级模块</w:t>
            </w:r>
          </w:p>
        </w:tc>
        <w:tc>
          <w:tcPr>
            <w:tcW w:w="2108" w:type="pct"/>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r>
              <w:rPr>
                <w:rFonts w:hint="eastAsia"/>
              </w:rPr>
              <w:t>功能描述</w:t>
            </w:r>
          </w:p>
        </w:tc>
      </w:tr>
      <w:tr>
        <w:tblPrEx>
          <w:tblCellMar>
            <w:top w:w="0" w:type="dxa"/>
            <w:left w:w="108" w:type="dxa"/>
            <w:bottom w:w="0" w:type="dxa"/>
            <w:right w:w="108" w:type="dxa"/>
          </w:tblCellMar>
        </w:tblPrEx>
        <w:trPr>
          <w:trHeight w:val="467"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2108" w:type="pct"/>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tc>
      </w:tr>
      <w:tr>
        <w:tblPrEx>
          <w:tblCellMar>
            <w:top w:w="0" w:type="dxa"/>
            <w:left w:w="108" w:type="dxa"/>
            <w:bottom w:w="0" w:type="dxa"/>
            <w:right w:w="108" w:type="dxa"/>
          </w:tblCellMar>
        </w:tblPrEx>
        <w:trPr>
          <w:trHeight w:val="345"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r>
              <w:t xml:space="preserve">1.2.1  </w:t>
            </w:r>
            <w:r>
              <w:rPr>
                <w:rFonts w:hint="eastAsia"/>
              </w:rPr>
              <w:t>未来乡村数字看板（补充和优化普惠性系统，资源端口打通，创新争优）</w:t>
            </w:r>
          </w:p>
        </w:tc>
      </w:tr>
      <w:tr>
        <w:tblPrEx>
          <w:tblCellMar>
            <w:top w:w="0" w:type="dxa"/>
            <w:left w:w="108" w:type="dxa"/>
            <w:bottom w:w="0" w:type="dxa"/>
            <w:right w:w="108" w:type="dxa"/>
          </w:tblCellMar>
        </w:tblPrEx>
        <w:trPr>
          <w:trHeight w:val="855" w:hRule="atLeast"/>
        </w:trPr>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r>
              <w:t>1</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数字看板</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未来产业</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auto" w:sz="4" w:space="0"/>
            </w:tcBorders>
            <w:shd w:val="clear" w:color="auto" w:fill="auto"/>
            <w:vAlign w:val="center"/>
          </w:tcPr>
          <w:p>
            <w:r>
              <w:rPr>
                <w:rFonts w:hint="eastAsia"/>
              </w:rPr>
              <w:t>展示旅游产业相关数据。包括酒店、民宿、美食信息、商家个数等、景区浏览量、预订量等。</w:t>
            </w:r>
          </w:p>
        </w:tc>
      </w:tr>
      <w:tr>
        <w:tblPrEx>
          <w:tblCellMar>
            <w:top w:w="0" w:type="dxa"/>
            <w:left w:w="108" w:type="dxa"/>
            <w:bottom w:w="0" w:type="dxa"/>
            <w:right w:w="108" w:type="dxa"/>
          </w:tblCellMar>
        </w:tblPrEx>
        <w:trPr>
          <w:trHeight w:val="171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未来邻里</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展示邻里互助、邻里活动、光荣榜、商圈资源、积分的使用以及兑换情况、积分排名、志愿活动数量、志愿者人数等，为向管理者，提供多维度的产业数据，供管理者进行预警、决策、部署等。</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未来健康</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对接健康监测设备，展示未来健康场景数据，如村民健康指标、关键人群健康监测分析等。</w:t>
            </w:r>
          </w:p>
        </w:tc>
      </w:tr>
      <w:tr>
        <w:tblPrEx>
          <w:tblCellMar>
            <w:top w:w="0" w:type="dxa"/>
            <w:left w:w="108" w:type="dxa"/>
            <w:bottom w:w="0" w:type="dxa"/>
            <w:right w:w="108" w:type="dxa"/>
          </w:tblCellMar>
        </w:tblPrEx>
        <w:trPr>
          <w:trHeight w:val="114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未来交通</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通过地图，展示停车场位置分布情况以及村内交通建设情况；展示村庄停车情况、车位情况；道路结冰预警监测。</w:t>
            </w:r>
          </w:p>
        </w:tc>
      </w:tr>
      <w:tr>
        <w:tblPrEx>
          <w:tblCellMar>
            <w:top w:w="0" w:type="dxa"/>
            <w:left w:w="108" w:type="dxa"/>
            <w:bottom w:w="0" w:type="dxa"/>
            <w:right w:w="108" w:type="dxa"/>
          </w:tblCellMar>
        </w:tblPrEx>
        <w:trPr>
          <w:trHeight w:val="202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未来治理</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展示沙滩村治理指数，包括事件类型、事件处理完成率、村民积分前</w:t>
            </w:r>
            <w:r>
              <w:t>10</w:t>
            </w:r>
            <w:r>
              <w:rPr>
                <w:rFonts w:hint="eastAsia"/>
              </w:rPr>
              <w:t>排行榜等；在地图上明确各网格员所管理网格的位置、范围、居住人口、人员构成等信息。能够在需要的时候通过一张图进行查询展示。</w:t>
            </w:r>
          </w:p>
        </w:tc>
      </w:tr>
      <w:tr>
        <w:tblPrEx>
          <w:tblCellMar>
            <w:top w:w="0" w:type="dxa"/>
            <w:left w:w="108" w:type="dxa"/>
            <w:bottom w:w="0" w:type="dxa"/>
            <w:right w:w="108" w:type="dxa"/>
          </w:tblCellMar>
        </w:tblPrEx>
        <w:trPr>
          <w:trHeight w:val="855" w:hRule="atLeast"/>
        </w:trPr>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r>
              <w:t>2</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未来乡村管理后台</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统一用户认证</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基于安全策略的统一用户管理、认证，支持钉钉扫码、手机验证码来两种认证方式。</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工作台</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工作台包括最近访问应用快捷入口、应用搜索、帮助文档及最新发布展示。</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应用中心</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各应用统一管理入口，可以自定义添加常用应用、图标及访问地址。</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用户中心</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包括新增、编辑、删除、查询用户，授权、角色管理、批量删除功能。</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消息中心</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相关用户的待办消息及消息记录展示及汇总。</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个人中心</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账号的基本信息及登录展示、账号的切换、退出管理。</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操作日志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登录记录的日志管理，包括账号、地点、时间的展示。</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村民管理</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对村民角色的此类人员进行数据管理，可进行增删改查操作。</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户管理</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对乡村的户、家庭信息的此类信息进行数据管理，可进行增删改查操作。</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组织管理</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对乡村中组织信息进行数据管理，可进行增删改查操作。</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其他设施管理</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对乡村中其他设施的数据进行维护管理。</w:t>
            </w:r>
          </w:p>
        </w:tc>
      </w:tr>
      <w:tr>
        <w:tblPrEx>
          <w:tblCellMar>
            <w:top w:w="0" w:type="dxa"/>
            <w:left w:w="108" w:type="dxa"/>
            <w:bottom w:w="0" w:type="dxa"/>
            <w:right w:w="108" w:type="dxa"/>
          </w:tblCellMar>
        </w:tblPrEx>
        <w:trPr>
          <w:trHeight w:val="114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t>3</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数据对接服务</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数据对接</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对接现有系统和物联设备；适老化改造设备、停车导览系统、垃圾分类智慧化设备、监控设备、应急广播、未来乡村一期内容。</w:t>
            </w:r>
          </w:p>
        </w:tc>
      </w:tr>
      <w:tr>
        <w:tblPrEx>
          <w:tblCellMar>
            <w:top w:w="0" w:type="dxa"/>
            <w:left w:w="108" w:type="dxa"/>
            <w:bottom w:w="0" w:type="dxa"/>
            <w:right w:w="108" w:type="dxa"/>
          </w:tblCellMar>
        </w:tblPrEx>
        <w:trPr>
          <w:trHeight w:val="345"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r>
              <w:t>1.2.2</w:t>
            </w:r>
            <w:r>
              <w:rPr>
                <w:rFonts w:hint="eastAsia"/>
              </w:rPr>
              <w:t>未来乡村应用</w:t>
            </w:r>
          </w:p>
        </w:tc>
      </w:tr>
      <w:tr>
        <w:tblPrEx>
          <w:tblCellMar>
            <w:top w:w="0" w:type="dxa"/>
            <w:left w:w="108" w:type="dxa"/>
            <w:bottom w:w="0" w:type="dxa"/>
            <w:right w:w="108" w:type="dxa"/>
          </w:tblCellMar>
        </w:tblPrEx>
        <w:trPr>
          <w:trHeight w:val="1160" w:hRule="atLeast"/>
        </w:trPr>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r>
              <w:t>1</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未来产业（创新特色应用）</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一机游应用端</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景点导览</w:t>
            </w:r>
          </w:p>
        </w:tc>
        <w:tc>
          <w:tcPr>
            <w:tcW w:w="2108" w:type="pct"/>
            <w:tcBorders>
              <w:top w:val="single" w:color="000000" w:sz="4" w:space="0"/>
              <w:left w:val="single" w:color="000000" w:sz="4" w:space="0"/>
              <w:bottom w:val="single" w:color="000000" w:sz="4" w:space="0"/>
              <w:right w:val="single" w:color="auto" w:sz="4" w:space="0"/>
            </w:tcBorders>
            <w:shd w:val="clear" w:color="auto" w:fill="auto"/>
            <w:vAlign w:val="center"/>
          </w:tcPr>
          <w:p>
            <w:r>
              <w:rPr>
                <w:rFonts w:hint="eastAsia"/>
              </w:rPr>
              <w:t>通过地图，将景点具象的呈现给用户，同时提供导览功能。</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电子讲解</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当游客置身景点的时候，除了用眼睛看以外，还可以享受到电子讲解的服务。</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旅游公厕</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地图显示公厕位置和底图导航功能。</w:t>
            </w:r>
          </w:p>
        </w:tc>
      </w:tr>
      <w:tr>
        <w:tblPrEx>
          <w:tblCellMar>
            <w:top w:w="0" w:type="dxa"/>
            <w:left w:w="108" w:type="dxa"/>
            <w:bottom w:w="0" w:type="dxa"/>
            <w:right w:w="108" w:type="dxa"/>
          </w:tblCellMar>
        </w:tblPrEx>
        <w:trPr>
          <w:trHeight w:val="31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特色路线</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特色游玩路线，旅游攻略推荐。</w:t>
            </w:r>
          </w:p>
        </w:tc>
      </w:tr>
      <w:tr>
        <w:tblPrEx>
          <w:tblCellMar>
            <w:top w:w="0" w:type="dxa"/>
            <w:left w:w="108" w:type="dxa"/>
            <w:bottom w:w="0" w:type="dxa"/>
            <w:right w:w="108" w:type="dxa"/>
          </w:tblCellMar>
        </w:tblPrEx>
        <w:trPr>
          <w:trHeight w:val="192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资讯推送</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旅游信息、服务信息、政策法规、促销活动、通知公告展示；景区活动、资讯等进行推送，如节日活动、素质拓展活动、文化活动、休闲采摘等。</w:t>
            </w:r>
          </w:p>
        </w:tc>
      </w:tr>
      <w:tr>
        <w:tblPrEx>
          <w:tblCellMar>
            <w:top w:w="0" w:type="dxa"/>
            <w:left w:w="108" w:type="dxa"/>
            <w:bottom w:w="0" w:type="dxa"/>
            <w:right w:w="108" w:type="dxa"/>
          </w:tblCellMar>
        </w:tblPrEx>
        <w:trPr>
          <w:trHeight w:val="31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一键投诉</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客诉通道，问题沟通及处理。</w:t>
            </w:r>
          </w:p>
        </w:tc>
      </w:tr>
      <w:tr>
        <w:tblPrEx>
          <w:tblCellMar>
            <w:top w:w="0" w:type="dxa"/>
            <w:left w:w="108" w:type="dxa"/>
            <w:bottom w:w="0" w:type="dxa"/>
            <w:right w:w="108" w:type="dxa"/>
          </w:tblCellMar>
        </w:tblPrEx>
        <w:trPr>
          <w:trHeight w:val="88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放心购物</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推荐购物</w:t>
            </w:r>
            <w:r>
              <w:t>/</w:t>
            </w:r>
            <w:r>
              <w:rPr>
                <w:rFonts w:hint="eastAsia"/>
              </w:rPr>
              <w:t>土产场所，展示所有符合条件的购物场所；推荐相关农副产品。</w:t>
            </w:r>
          </w:p>
        </w:tc>
      </w:tr>
      <w:tr>
        <w:tblPrEx>
          <w:tblCellMar>
            <w:top w:w="0" w:type="dxa"/>
            <w:left w:w="108" w:type="dxa"/>
            <w:bottom w:w="0" w:type="dxa"/>
            <w:right w:w="108" w:type="dxa"/>
          </w:tblCellMar>
        </w:tblPrEx>
        <w:trPr>
          <w:trHeight w:val="88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酒店民宿</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推荐特色</w:t>
            </w:r>
            <w:r>
              <w:t>/</w:t>
            </w:r>
            <w:r>
              <w:rPr>
                <w:rFonts w:hint="eastAsia"/>
              </w:rPr>
              <w:t>品牌住宿，展示所有符合条件的酒店民宿，支持线上预定。</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餐饮美食</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展示主要的餐饮美食信息，分餐饮饭店和特色美食列表。支持线上预定。</w:t>
            </w:r>
          </w:p>
        </w:tc>
      </w:tr>
      <w:tr>
        <w:tblPrEx>
          <w:tblCellMar>
            <w:top w:w="0" w:type="dxa"/>
            <w:left w:w="108" w:type="dxa"/>
            <w:bottom w:w="0" w:type="dxa"/>
            <w:right w:w="108" w:type="dxa"/>
          </w:tblCellMar>
        </w:tblPrEx>
        <w:trPr>
          <w:trHeight w:val="88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电子票务</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提供在线预约及一站式购票服务（与美团</w:t>
            </w:r>
            <w:r>
              <w:t>/</w:t>
            </w:r>
            <w:r>
              <w:rPr>
                <w:rFonts w:hint="eastAsia"/>
              </w:rPr>
              <w:t>携程等实现跳转对接）。</w:t>
            </w:r>
          </w:p>
        </w:tc>
      </w:tr>
      <w:tr>
        <w:tblPrEx>
          <w:tblCellMar>
            <w:top w:w="0" w:type="dxa"/>
            <w:left w:w="108" w:type="dxa"/>
            <w:bottom w:w="0" w:type="dxa"/>
            <w:right w:w="108" w:type="dxa"/>
          </w:tblCellMar>
        </w:tblPrEx>
        <w:trPr>
          <w:trHeight w:val="31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网红打卡</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开设线上景点打卡功能。</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一机游管理系统</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景点管理</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对景点的图片、名称、语音介绍、位置、详情介绍信息进行管理。</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停车场管理</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对停车场的名称、位置等信息进行管理。</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公厕管理</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对卫生间的名称、位置信息进行管理。</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餐饮店管理</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对餐饮店的图片、名称、联系电话、位置、详情介绍信息进行管理。</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美食管理</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对美食的图片、名称、详情介绍信息进行管理。</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酒店民宿管理</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对酒店民宿的图片、名称、联系电话、位置、详情介绍信息进行管理。</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购物场所管理</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对购物场所的图片、名称、位置、详情介绍信息进行管理。</w:t>
            </w:r>
          </w:p>
        </w:tc>
      </w:tr>
      <w:tr>
        <w:tblPrEx>
          <w:tblCellMar>
            <w:top w:w="0" w:type="dxa"/>
            <w:left w:w="108" w:type="dxa"/>
            <w:bottom w:w="0" w:type="dxa"/>
            <w:right w:w="108" w:type="dxa"/>
          </w:tblCellMar>
        </w:tblPrEx>
        <w:trPr>
          <w:trHeight w:val="31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留言评论</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用户评论信息删除管理功能。</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旅游线路管理</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对景区旅游线路的详情信息进行管理。</w:t>
            </w:r>
          </w:p>
        </w:tc>
      </w:tr>
      <w:tr>
        <w:tblPrEx>
          <w:tblCellMar>
            <w:top w:w="0" w:type="dxa"/>
            <w:left w:w="108" w:type="dxa"/>
            <w:bottom w:w="0" w:type="dxa"/>
            <w:right w:w="108" w:type="dxa"/>
          </w:tblCellMar>
        </w:tblPrEx>
        <w:trPr>
          <w:trHeight w:val="31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投诉管理</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回复、管理游客反馈意见。</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伴手礼管理</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对景区特色伴手礼图片、名称、价格、购买点、详情介绍信息进行管理。</w:t>
            </w:r>
          </w:p>
        </w:tc>
      </w:tr>
      <w:tr>
        <w:trPr>
          <w:trHeight w:val="31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资讯管理</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对资讯进行查看</w:t>
            </w:r>
            <w:r>
              <w:t>/</w:t>
            </w:r>
            <w:r>
              <w:rPr>
                <w:rFonts w:hint="eastAsia"/>
              </w:rPr>
              <w:t>编辑</w:t>
            </w:r>
            <w:r>
              <w:t>/</w:t>
            </w:r>
            <w:r>
              <w:rPr>
                <w:rFonts w:hint="eastAsia"/>
              </w:rPr>
              <w:t>删除管理</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轮播图管理</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小程序首页轮播图新增、编辑、发布。</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景区资讯电话管理</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景区资讯电话新增、修改、删除。</w:t>
            </w:r>
          </w:p>
        </w:tc>
      </w:tr>
      <w:tr>
        <w:tblPrEx>
          <w:tblCellMar>
            <w:top w:w="0" w:type="dxa"/>
            <w:left w:w="108" w:type="dxa"/>
            <w:bottom w:w="0" w:type="dxa"/>
            <w:right w:w="108" w:type="dxa"/>
          </w:tblCellMar>
        </w:tblPrEx>
        <w:trPr>
          <w:trHeight w:val="31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共富工坊</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共富工坊</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接入区级平台共富工坊。</w:t>
            </w:r>
          </w:p>
        </w:tc>
      </w:tr>
      <w:tr>
        <w:tblPrEx>
          <w:tblCellMar>
            <w:top w:w="0" w:type="dxa"/>
            <w:left w:w="108" w:type="dxa"/>
            <w:bottom w:w="0" w:type="dxa"/>
            <w:right w:w="108" w:type="dxa"/>
          </w:tblCellMar>
        </w:tblPrEx>
        <w:trPr>
          <w:trHeight w:val="114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手绘地图</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手绘地图</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展示景区手绘地图，地图展示景点位置分布和图文信息介绍与语音讲解、特色路线展示和介绍、基础设施点位介绍。</w:t>
            </w:r>
          </w:p>
        </w:tc>
      </w:tr>
      <w:tr>
        <w:tblPrEx>
          <w:tblCellMar>
            <w:top w:w="0" w:type="dxa"/>
            <w:left w:w="108" w:type="dxa"/>
            <w:bottom w:w="0" w:type="dxa"/>
            <w:right w:w="108" w:type="dxa"/>
          </w:tblCellMar>
        </w:tblPrEx>
        <w:trPr>
          <w:trHeight w:val="315" w:hRule="atLeast"/>
        </w:trPr>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r>
              <w:t>2</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未来邻里</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幸福邻里</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场地预约</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针对特定场合，村民可线上预约。</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邻里活动</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管理人员可线上发布邻里活动，村民可报名获得积分。</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志愿互助</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管理人员可线上发布志愿者活动，志愿者可报名获得积分。</w:t>
            </w:r>
          </w:p>
        </w:tc>
      </w:tr>
      <w:tr>
        <w:tblPrEx>
          <w:tblCellMar>
            <w:top w:w="0" w:type="dxa"/>
            <w:left w:w="108" w:type="dxa"/>
            <w:bottom w:w="0" w:type="dxa"/>
            <w:right w:w="108" w:type="dxa"/>
          </w:tblCellMar>
        </w:tblPrEx>
        <w:trPr>
          <w:trHeight w:val="114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邻里共享</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群众可以在论坛里面发布共享信息，闲置物品信息等，通过邻里互助模块，实现邻里关系增进、资源共享。共享可获得积分。</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村规民约</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可线上公布和查看最新的村民规约。</w:t>
            </w:r>
          </w:p>
        </w:tc>
      </w:tr>
      <w:tr>
        <w:tblPrEx>
          <w:tblCellMar>
            <w:top w:w="0" w:type="dxa"/>
            <w:left w:w="108" w:type="dxa"/>
            <w:bottom w:w="0" w:type="dxa"/>
            <w:right w:w="108" w:type="dxa"/>
          </w:tblCellMar>
        </w:tblPrEx>
        <w:trPr>
          <w:trHeight w:val="60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乡村振兴学院系统</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乡村振兴学院</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提供统一入口</w:t>
            </w:r>
            <w:r>
              <w:t>;</w:t>
            </w:r>
            <w:r>
              <w:rPr>
                <w:rFonts w:hint="eastAsia"/>
              </w:rPr>
              <w:t>支持场地预约、师资预约。</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文化窗口</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数字档案</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对村级文化进行建档，支持线上查看。</w:t>
            </w:r>
          </w:p>
        </w:tc>
      </w:tr>
      <w:tr>
        <w:tblPrEx>
          <w:tblCellMar>
            <w:top w:w="0" w:type="dxa"/>
            <w:left w:w="108" w:type="dxa"/>
            <w:bottom w:w="0" w:type="dxa"/>
            <w:right w:w="108" w:type="dxa"/>
          </w:tblCellMar>
        </w:tblPrEx>
        <w:trPr>
          <w:trHeight w:val="31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语音讲解</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支持对村级文化进行语音讲解。</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村级文化风采</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村社文化风采线上感受；包括村运、村歌、村晚、精彩文化活动瞬间。</w:t>
            </w:r>
          </w:p>
        </w:tc>
      </w:tr>
      <w:tr>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村级文化活动</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文化活动提前播报和推送。</w:t>
            </w:r>
          </w:p>
        </w:tc>
      </w:tr>
      <w:tr>
        <w:tblPrEx>
          <w:tblCellMar>
            <w:top w:w="0" w:type="dxa"/>
            <w:left w:w="108" w:type="dxa"/>
            <w:bottom w:w="0" w:type="dxa"/>
            <w:right w:w="108" w:type="dxa"/>
          </w:tblCellMar>
        </w:tblPrEx>
        <w:trPr>
          <w:trHeight w:val="720" w:hRule="atLeast"/>
        </w:trPr>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r>
              <w:t>3</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未来健康（创新特色应用）</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舒心养老</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健康驿站</w:t>
            </w:r>
          </w:p>
        </w:tc>
        <w:tc>
          <w:tcPr>
            <w:tcW w:w="21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对接村民自助体检设备，获取村民基本健康数据如年龄、心率、慢性病等信息，形成村民健康档案。</w:t>
            </w:r>
          </w:p>
        </w:tc>
      </w:tr>
      <w:tr>
        <w:tblPrEx>
          <w:tblCellMar>
            <w:top w:w="0" w:type="dxa"/>
            <w:left w:w="108" w:type="dxa"/>
            <w:bottom w:w="0" w:type="dxa"/>
            <w:right w:w="108" w:type="dxa"/>
          </w:tblCellMar>
        </w:tblPrEx>
        <w:trPr>
          <w:trHeight w:val="414"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关爱老人</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结合志愿者，对老人关爱走访，获得积分。</w:t>
            </w:r>
          </w:p>
        </w:tc>
      </w:tr>
      <w:tr>
        <w:tblPrEx>
          <w:tblCellMar>
            <w:top w:w="0" w:type="dxa"/>
            <w:left w:w="108" w:type="dxa"/>
            <w:bottom w:w="0" w:type="dxa"/>
            <w:right w:w="108" w:type="dxa"/>
          </w:tblCellMar>
        </w:tblPrEx>
        <w:trPr>
          <w:trHeight w:val="60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健康颐养</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对接</w:t>
            </w:r>
            <w:r>
              <w:t>SOS</w:t>
            </w:r>
            <w:r>
              <w:rPr>
                <w:rFonts w:hint="eastAsia"/>
              </w:rPr>
              <w:t>、烟感监测等设备，进行数据分析。</w:t>
            </w:r>
          </w:p>
        </w:tc>
      </w:tr>
      <w:tr>
        <w:tblPrEx>
          <w:tblCellMar>
            <w:top w:w="0" w:type="dxa"/>
            <w:left w:w="108" w:type="dxa"/>
            <w:bottom w:w="0" w:type="dxa"/>
            <w:right w:w="108" w:type="dxa"/>
          </w:tblCellMar>
        </w:tblPrEx>
        <w:trPr>
          <w:trHeight w:val="31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舒心育儿</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浙里善育</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借助浙里善育，完善育儿服务。</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育儿服务机构点位</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整合周边育儿机构，在地图显示其点位。</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育儿经验分享</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村民可线上分享育儿经验，获得积分。</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儿童成长圈</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村民可线上晒娃，形成儿童成长记录，获得积分。</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育儿学堂</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整合育儿学堂资料，包括图文、视频等，村民可线上学习，获得积分。</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在线预约</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在线预约晚托服务，选择预约时段并发布到晚托中心。</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晚托中心</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汇总所有预约，点击可以查看详情。</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志愿者领取</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志愿者申请成为志愿者并可以领取晚托预约并完成照看服务。</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积分兑换</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可以消耗积分发布预约，志愿者照看结束后可以自动获得积分。</w:t>
            </w:r>
          </w:p>
        </w:tc>
      </w:tr>
      <w:tr>
        <w:tblPrEx>
          <w:tblCellMar>
            <w:top w:w="0" w:type="dxa"/>
            <w:left w:w="108" w:type="dxa"/>
            <w:bottom w:w="0" w:type="dxa"/>
            <w:right w:w="108" w:type="dxa"/>
          </w:tblCellMar>
        </w:tblPrEx>
        <w:trPr>
          <w:trHeight w:val="855" w:hRule="atLeast"/>
        </w:trPr>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r>
              <w:t>4</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未来交通</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智慧停车</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充电地图</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整合沙滩村及周边新能源充电桩点位，给游客提供统一的查询和导航入口，提高游客出行便捷度。</w:t>
            </w:r>
          </w:p>
        </w:tc>
      </w:tr>
      <w:tr>
        <w:tblPrEx>
          <w:tblCellMar>
            <w:top w:w="0" w:type="dxa"/>
            <w:left w:w="108" w:type="dxa"/>
            <w:bottom w:w="0" w:type="dxa"/>
            <w:right w:w="108" w:type="dxa"/>
          </w:tblCellMar>
        </w:tblPrEx>
        <w:trPr>
          <w:trHeight w:val="114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车位预警</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系统会提示内部剩余车位，便于游客提前规划路线和停车点；同时工作人员可接收预警消息，提前分流。</w:t>
            </w:r>
          </w:p>
        </w:tc>
      </w:tr>
      <w:tr>
        <w:tblPrEx>
          <w:tblCellMar>
            <w:top w:w="0" w:type="dxa"/>
            <w:left w:w="108" w:type="dxa"/>
            <w:bottom w:w="0" w:type="dxa"/>
            <w:right w:w="108" w:type="dxa"/>
          </w:tblCellMar>
        </w:tblPrEx>
        <w:trPr>
          <w:trHeight w:val="720" w:hRule="atLeast"/>
        </w:trPr>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r>
              <w:t>5</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治理场景（创新特色应用）</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沙滩码</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一户一码</w:t>
            </w:r>
          </w:p>
        </w:tc>
        <w:tc>
          <w:tcPr>
            <w:tcW w:w="21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每户对应会生成相应的二维码，对码进行统一管理。</w:t>
            </w:r>
          </w:p>
        </w:tc>
      </w:tr>
      <w:tr>
        <w:tblPrEx>
          <w:tblCellMar>
            <w:top w:w="0" w:type="dxa"/>
            <w:left w:w="108" w:type="dxa"/>
            <w:bottom w:w="0" w:type="dxa"/>
            <w:right w:w="108" w:type="dxa"/>
          </w:tblCellMar>
        </w:tblPrEx>
        <w:trPr>
          <w:trHeight w:val="414"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户信息管理</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对户的信息包括门牌、户主、家庭成员、户标签等信息进行管理维护。</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我的网格员</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维护每户关联的网格员信息。</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党员联户</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展示党员与群众户的联户信息内容。</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户积分</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与积分体系关联，展示每户的积分、积分流水情况。</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家庭荣誉</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根据每户的积分排名，会自动生成相应的荣誉，展示在数字门牌上。</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巡查上报</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网格员扫码可对该户进行巡查报事，进行事件处理反馈。</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群众上报</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村民扫码进入后可进行事件上报，可支持图片、文字、视频等多种格式。</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咨询求助</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村民日常生活或办事遇到问题可随时进行求助。</w:t>
            </w:r>
          </w:p>
        </w:tc>
      </w:tr>
      <w:tr>
        <w:tblPrEx>
          <w:tblCellMar>
            <w:top w:w="0" w:type="dxa"/>
            <w:left w:w="108" w:type="dxa"/>
            <w:bottom w:w="0" w:type="dxa"/>
            <w:right w:w="108" w:type="dxa"/>
          </w:tblCellMar>
        </w:tblPrEx>
        <w:trPr>
          <w:trHeight w:val="114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农产品</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村民扫码进入后可对自家农产品信息进行维护管理，游客进入后可对农产品信息进行查看，可进行线下预定。</w:t>
            </w:r>
          </w:p>
        </w:tc>
      </w:tr>
      <w:tr>
        <w:trPr>
          <w:trHeight w:val="31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管理后台</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沙滩码管理后台。</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透明监管</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补贴全透明</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惠农补贴、低保补贴、失业保险等公开，支持发布、编辑、删除、查询等功能。</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务工全透明</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务工项目、务工工资透明公开，支持发布、编辑、删除、查询等功能。</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小微工程监管</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对村里的小微工程进行公开展示，支持发布、编辑、删除、查询等功能。</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土地流转监管</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对村集体土地的流转过程、结果进行公开展示，支持发布、编辑、删除、查询等功能。</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全民参与</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动态信息</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展示村、镇等相关动态、资讯，支持发布、编辑、删除、查询等功能。</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村民信箱</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村民可进行工程举报，相关负责人进行处理后，村民可对反馈结果进行评分。</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线上议事</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针对村级重大事项和会议，可做到线上查看会议主题、会议纪要等。</w:t>
            </w:r>
          </w:p>
        </w:tc>
      </w:tr>
      <w:tr>
        <w:tblPrEx>
          <w:tblCellMar>
            <w:top w:w="0" w:type="dxa"/>
            <w:left w:w="108" w:type="dxa"/>
            <w:bottom w:w="0" w:type="dxa"/>
            <w:right w:w="108" w:type="dxa"/>
          </w:tblCellMar>
        </w:tblPrEx>
        <w:trPr>
          <w:trHeight w:val="85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r>
              <w:rPr>
                <w:rFonts w:hint="eastAsia"/>
              </w:rPr>
              <w:t>矛盾调节</w:t>
            </w:r>
          </w:p>
        </w:tc>
        <w:tc>
          <w:tcPr>
            <w:tcW w:w="210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可线上发布矛盾调解需求，相关人员可进行处理，处理完成后村民可进行评价。</w:t>
            </w:r>
          </w:p>
        </w:tc>
      </w:tr>
      <w:tr>
        <w:tblPrEx>
          <w:tblCellMar>
            <w:top w:w="0" w:type="dxa"/>
            <w:left w:w="108" w:type="dxa"/>
            <w:bottom w:w="0" w:type="dxa"/>
            <w:right w:w="108" w:type="dxa"/>
          </w:tblCellMar>
        </w:tblPrEx>
        <w:trPr>
          <w:trHeight w:val="570" w:hRule="atLeast"/>
        </w:trPr>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r>
              <w:t>6</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积分银行</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积分对象</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村民、游客、家庭、商家、干部（网格员、党员、志愿者）。</w:t>
            </w:r>
          </w:p>
        </w:tc>
      </w:tr>
      <w:tr>
        <w:tblPrEx>
          <w:tblCellMar>
            <w:top w:w="0" w:type="dxa"/>
            <w:left w:w="108" w:type="dxa"/>
            <w:bottom w:w="0" w:type="dxa"/>
            <w:right w:w="108" w:type="dxa"/>
          </w:tblCellMar>
        </w:tblPrEx>
        <w:trPr>
          <w:trHeight w:val="62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积分规则配置</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加分、减分规则配置，包括类别、分值等。</w:t>
            </w:r>
          </w:p>
        </w:tc>
      </w:tr>
      <w:tr>
        <w:tblPrEx>
          <w:tblCellMar>
            <w:top w:w="0" w:type="dxa"/>
            <w:left w:w="108" w:type="dxa"/>
            <w:bottom w:w="0" w:type="dxa"/>
            <w:right w:w="108" w:type="dxa"/>
          </w:tblCellMar>
        </w:tblPrEx>
        <w:trPr>
          <w:trHeight w:val="31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积分中枢</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自动积分项设置、手动发放积分。</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线上发起</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对积分申请、积分发放的线上申请。</w:t>
            </w:r>
          </w:p>
        </w:tc>
      </w:tr>
      <w:tr>
        <w:tblPrEx>
          <w:tblCellMar>
            <w:top w:w="0" w:type="dxa"/>
            <w:left w:w="108" w:type="dxa"/>
            <w:bottom w:w="0" w:type="dxa"/>
            <w:right w:w="108" w:type="dxa"/>
          </w:tblCellMar>
        </w:tblPrEx>
        <w:trPr>
          <w:trHeight w:val="31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线上审核</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对积分申领、积分发放的审核</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积分兑换</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兑换商城。包括物品、荣誉称号、村级福利。</w:t>
            </w:r>
          </w:p>
        </w:tc>
      </w:tr>
      <w:tr>
        <w:tblPrEx>
          <w:tblCellMar>
            <w:top w:w="0" w:type="dxa"/>
            <w:left w:w="108" w:type="dxa"/>
            <w:bottom w:w="0" w:type="dxa"/>
            <w:right w:w="108" w:type="dxa"/>
          </w:tblCellMar>
        </w:tblPrEx>
        <w:trPr>
          <w:trHeight w:val="315"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兑换码生成、线下核销。</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积分运营</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积分发放量、兑换量、日活量统计。</w:t>
            </w:r>
          </w:p>
        </w:tc>
      </w:tr>
      <w:tr>
        <w:tblPrEx>
          <w:tblCellMar>
            <w:top w:w="0" w:type="dxa"/>
            <w:left w:w="108" w:type="dxa"/>
            <w:bottom w:w="0" w:type="dxa"/>
            <w:right w:w="108" w:type="dxa"/>
          </w:tblCellMar>
        </w:tblPrEx>
        <w:trPr>
          <w:trHeight w:val="57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商城维护。包括商城内容的上架、库存的更新</w:t>
            </w:r>
          </w:p>
        </w:tc>
      </w:tr>
      <w:tr>
        <w:tblPrEx>
          <w:tblCellMar>
            <w:top w:w="0" w:type="dxa"/>
            <w:left w:w="108" w:type="dxa"/>
            <w:bottom w:w="0" w:type="dxa"/>
            <w:right w:w="108" w:type="dxa"/>
          </w:tblCellMar>
        </w:tblPrEx>
        <w:trPr>
          <w:trHeight w:val="1140"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积分获取场景</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加分：老人关怀、志愿服务、文化活动参与、邻里活动参与、线上学习、运动健身、清廉监督、随手拍、矛盾调解等。</w:t>
            </w:r>
          </w:p>
        </w:tc>
      </w:tr>
      <w:tr>
        <w:tblPrEx>
          <w:tblCellMar>
            <w:top w:w="0" w:type="dxa"/>
            <w:left w:w="108" w:type="dxa"/>
            <w:bottom w:w="0" w:type="dxa"/>
            <w:right w:w="108" w:type="dxa"/>
          </w:tblCellMar>
        </w:tblPrEx>
        <w:trPr>
          <w:trHeight w:val="696"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减分：违法违规、乱堆乱放、环境卫生不整洁、垃圾分类异常、其他不文明行为等。</w:t>
            </w:r>
          </w:p>
        </w:tc>
      </w:tr>
    </w:tbl>
    <w:p>
      <w:r>
        <w:rPr>
          <w:rFonts w:hint="eastAsia"/>
        </w:rPr>
        <w:t>2、</w:t>
      </w:r>
      <w:r>
        <w:rPr>
          <w:rFonts w:hint="eastAsia"/>
          <w:lang w:bidi="en-US"/>
        </w:rPr>
        <w:t>未来乡村硬件建设</w:t>
      </w:r>
    </w:p>
    <w:tbl>
      <w:tblPr>
        <w:tblStyle w:val="27"/>
        <w:tblW w:w="5477" w:type="pct"/>
        <w:tblInd w:w="-5" w:type="dxa"/>
        <w:tblLayout w:type="autofit"/>
        <w:tblCellMar>
          <w:top w:w="0" w:type="dxa"/>
          <w:left w:w="108" w:type="dxa"/>
          <w:bottom w:w="0" w:type="dxa"/>
          <w:right w:w="108" w:type="dxa"/>
        </w:tblCellMar>
      </w:tblPr>
      <w:tblGrid>
        <w:gridCol w:w="436"/>
        <w:gridCol w:w="437"/>
        <w:gridCol w:w="437"/>
        <w:gridCol w:w="677"/>
        <w:gridCol w:w="6782"/>
        <w:gridCol w:w="437"/>
        <w:gridCol w:w="544"/>
      </w:tblGrid>
      <w:tr>
        <w:tblPrEx>
          <w:tblCellMar>
            <w:top w:w="0" w:type="dxa"/>
            <w:left w:w="108" w:type="dxa"/>
            <w:bottom w:w="0" w:type="dxa"/>
            <w:right w:w="108" w:type="dxa"/>
          </w:tblCellMar>
        </w:tblPrEx>
        <w:trPr>
          <w:trHeight w:val="72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序号</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场景</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应用名称</w:t>
            </w: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设备名称</w:t>
            </w: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规格配置详细说明</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单位</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数量</w:t>
            </w:r>
          </w:p>
        </w:tc>
      </w:tr>
      <w:tr>
        <w:tblPrEx>
          <w:tblCellMar>
            <w:top w:w="0" w:type="dxa"/>
            <w:left w:w="108" w:type="dxa"/>
            <w:bottom w:w="0" w:type="dxa"/>
            <w:right w:w="108" w:type="dxa"/>
          </w:tblCellMar>
        </w:tblPrEx>
        <w:trPr>
          <w:trHeight w:val="1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未来邻里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振兴学院云课堂</w:t>
            </w: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工作台</w:t>
            </w:r>
          </w:p>
        </w:tc>
        <w:tc>
          <w:tcPr>
            <w:tcW w:w="3477" w:type="pct"/>
            <w:tcBorders>
              <w:top w:val="single" w:color="000000" w:sz="4" w:space="0"/>
              <w:left w:val="single" w:color="000000" w:sz="4" w:space="0"/>
              <w:bottom w:val="nil"/>
              <w:right w:val="single" w:color="000000" w:sz="4" w:space="0"/>
            </w:tcBorders>
            <w:shd w:val="clear" w:color="auto" w:fill="FFFFFF"/>
            <w:vAlign w:val="center"/>
          </w:tcPr>
          <w:p>
            <w:r>
              <w:rPr>
                <w:rFonts w:hint="eastAsia"/>
              </w:rPr>
              <w:t>一体机工作台MateStation X 28.2英寸，要参数： 【CPU】AMD锐龙5 5600H</w:t>
            </w:r>
          </w:p>
          <w:p>
            <w:r>
              <w:rPr>
                <w:rFonts w:hint="eastAsia"/>
              </w:rPr>
              <w:t>显卡类型: AMD Radeon HD 6480G</w:t>
            </w:r>
          </w:p>
          <w:p>
            <w:r>
              <w:rPr>
                <w:rFonts w:hint="eastAsia"/>
              </w:rPr>
              <w:t>内存容量: 16GB，固态硬盘容量: 512GB</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315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摄像头</w:t>
            </w:r>
          </w:p>
        </w:tc>
        <w:tc>
          <w:tcPr>
            <w:tcW w:w="3477" w:type="pct"/>
            <w:tcBorders>
              <w:top w:val="single" w:color="000000" w:sz="4" w:space="0"/>
              <w:left w:val="single" w:color="000000" w:sz="4" w:space="0"/>
              <w:bottom w:val="single" w:color="000000" w:sz="4" w:space="0"/>
              <w:right w:val="single" w:color="000000" w:sz="4" w:space="0"/>
            </w:tcBorders>
            <w:shd w:val="clear" w:color="auto" w:fill="FFFFFF"/>
          </w:tcPr>
          <w:p>
            <w:r>
              <w:t>200</w:t>
            </w:r>
            <w:r>
              <w:rPr>
                <w:rFonts w:hint="eastAsia"/>
              </w:rPr>
              <w:t>万视频会议摄像机</w:t>
            </w:r>
            <w:r>
              <w:t>(</w:t>
            </w:r>
            <w:r>
              <w:rPr>
                <w:rFonts w:hint="eastAsia"/>
              </w:rPr>
              <w:t>含外置有线麦克风</w:t>
            </w:r>
            <w:r>
              <w:t>)</w:t>
            </w:r>
          </w:p>
          <w:p>
            <w:r>
              <w:rPr>
                <w:rFonts w:hint="eastAsia"/>
              </w:rPr>
              <w:t>支持自动电子增益功能，亮度自适应；支持红外遥控功能</w:t>
            </w:r>
          </w:p>
          <w:p>
            <w:r>
              <w:rPr>
                <w:rFonts w:hint="eastAsia"/>
              </w:rPr>
              <w:t>内置麦克风，并配备外置有线麦克风，拾音清晰</w:t>
            </w:r>
          </w:p>
          <w:p>
            <w:r>
              <w:rPr>
                <w:rFonts w:hint="eastAsia"/>
              </w:rPr>
              <w:t>传感器类型</w:t>
            </w:r>
            <w:r>
              <w:t>: 2 MP CMOS</w:t>
            </w:r>
            <w:r>
              <w:rPr>
                <w:rFonts w:hint="eastAsia"/>
              </w:rPr>
              <w:t>；最高分辨率</w:t>
            </w:r>
            <w:r>
              <w:t>: 1920</w:t>
            </w:r>
            <w:r>
              <w:rPr>
                <w:rFonts w:hint="eastAsia"/>
              </w:rPr>
              <w:t>（水平）</w:t>
            </w:r>
            <w:r>
              <w:t>× 1080</w:t>
            </w:r>
            <w:r>
              <w:rPr>
                <w:rFonts w:hint="eastAsia"/>
              </w:rPr>
              <w:t>（垂直）</w:t>
            </w:r>
          </w:p>
          <w:p>
            <w:r>
              <w:rPr>
                <w:rFonts w:hint="eastAsia"/>
              </w:rPr>
              <w:t>视频帧率</w:t>
            </w:r>
            <w:r>
              <w:t>: MJPEG</w:t>
            </w:r>
            <w:r>
              <w:rPr>
                <w:rFonts w:hint="eastAsia"/>
              </w:rPr>
              <w:t>：</w:t>
            </w:r>
            <w:r>
              <w:t>1920×1080 @ 30 fps/25 fps</w:t>
            </w:r>
          </w:p>
          <w:p>
            <w:r>
              <w:rPr>
                <w:rFonts w:hint="eastAsia"/>
              </w:rPr>
              <w:t>最低照度</w:t>
            </w:r>
            <w:r>
              <w:t>: 0.1 Lux  @ (F1.2, AGC ON)</w:t>
            </w:r>
            <w:r>
              <w:rPr>
                <w:rFonts w:hint="eastAsia"/>
              </w:rPr>
              <w:t>；镜头</w:t>
            </w:r>
            <w:r>
              <w:t xml:space="preserve">: </w:t>
            </w:r>
            <w:r>
              <w:rPr>
                <w:rFonts w:hint="eastAsia"/>
              </w:rPr>
              <w:t>变焦：</w:t>
            </w:r>
            <w:r>
              <w:t>3.1 mm~15.5 mm</w:t>
            </w:r>
          </w:p>
          <w:p>
            <w:r>
              <w:rPr>
                <w:rFonts w:hint="eastAsia"/>
              </w:rPr>
              <w:t>视场角</w:t>
            </w:r>
            <w:r>
              <w:t xml:space="preserve">: </w:t>
            </w:r>
            <w:r>
              <w:rPr>
                <w:rFonts w:hint="eastAsia"/>
              </w:rPr>
              <w:t>水平：</w:t>
            </w:r>
            <w:r>
              <w:t>84.9°~20.8°</w:t>
            </w:r>
            <w:r>
              <w:rPr>
                <w:rFonts w:hint="eastAsia"/>
              </w:rPr>
              <w:t>，垂直：</w:t>
            </w:r>
            <w:r>
              <w:t>92.8°~23.8°</w:t>
            </w:r>
            <w:r>
              <w:rPr>
                <w:rFonts w:hint="eastAsia"/>
              </w:rPr>
              <w:t>，对角：</w:t>
            </w:r>
            <w:r>
              <w:t>94°~23.8°</w:t>
            </w:r>
          </w:p>
          <w:p>
            <w:r>
              <w:rPr>
                <w:rFonts w:hint="eastAsia"/>
              </w:rPr>
              <w:t>宽动态范围</w:t>
            </w:r>
            <w:r>
              <w:t xml:space="preserve"> ≥120dB</w:t>
            </w:r>
            <w:r>
              <w:rPr>
                <w:rFonts w:hint="eastAsia"/>
              </w:rPr>
              <w:t>；拾音距离</w:t>
            </w:r>
            <w:r>
              <w:t xml:space="preserve">: </w:t>
            </w:r>
            <w:r>
              <w:rPr>
                <w:rFonts w:hint="eastAsia"/>
              </w:rPr>
              <w:t>内置麦克风：</w:t>
            </w:r>
            <w:r>
              <w:t>5 m</w:t>
            </w:r>
            <w:r>
              <w:rPr>
                <w:rFonts w:hint="eastAsia"/>
              </w:rPr>
              <w:t>；外置麦克风：</w:t>
            </w:r>
            <w:r>
              <w:t>5 m</w:t>
            </w:r>
          </w:p>
          <w:p>
            <w:r>
              <w:rPr>
                <w:rFonts w:hint="eastAsia"/>
              </w:rPr>
              <w:t>三轴或两轴调节角度</w:t>
            </w:r>
            <w:r>
              <w:t xml:space="preserve">: </w:t>
            </w:r>
            <w:r>
              <w:rPr>
                <w:rFonts w:hint="eastAsia"/>
              </w:rPr>
              <w:t>水平</w:t>
            </w:r>
            <w:r>
              <w:t>-170°~160°</w:t>
            </w:r>
            <w:r>
              <w:rPr>
                <w:rFonts w:hint="eastAsia"/>
              </w:rPr>
              <w:t>，垂直</w:t>
            </w:r>
            <w:r>
              <w:t>-28°~28°</w:t>
            </w:r>
          </w:p>
          <w:p>
            <w:r>
              <w:rPr>
                <w:rFonts w:hint="eastAsia"/>
              </w:rPr>
              <w:t>线缆长度</w:t>
            </w:r>
            <w:r>
              <w:t>: 4.5 m</w:t>
            </w:r>
            <w:r>
              <w:rPr>
                <w:rFonts w:hint="eastAsia"/>
              </w:rPr>
              <w:t>；视频输出</w:t>
            </w:r>
            <w:r>
              <w:t>: USB 2.0</w:t>
            </w:r>
            <w:r>
              <w:rPr>
                <w:rFonts w:hint="eastAsia"/>
              </w:rPr>
              <w:t>；音频输入</w:t>
            </w:r>
            <w:r>
              <w:t xml:space="preserve">: </w:t>
            </w:r>
            <w:r>
              <w:rPr>
                <w:rFonts w:hint="eastAsia"/>
              </w:rPr>
              <w:t>内置麦克风</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76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3</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补光灯</w:t>
            </w: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t>LED255w</w:t>
            </w:r>
            <w:r>
              <w:rPr>
                <w:rFonts w:hint="eastAsia"/>
              </w:rPr>
              <w:t>补光灯；色温：白光\暖光\混合光；灯箱尺寸：50*70cm²；功率：255w；控制方式：遥控开关</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3975"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4</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未来健康</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健康驿站</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健康体检一体机</w:t>
            </w:r>
          </w:p>
        </w:tc>
        <w:tc>
          <w:tcPr>
            <w:tcW w:w="347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健康体检一体机采用</w:t>
            </w:r>
            <w:r>
              <w:t>15</w:t>
            </w:r>
            <w:r>
              <w:rPr>
                <w:rFonts w:hint="eastAsia"/>
              </w:rPr>
              <w:t>寸触屏式液晶电脑，智能管理系统，人机互动，语音动画视频引导检测人员自主完成健康体检，</w:t>
            </w:r>
            <w:r>
              <w:t>1.</w:t>
            </w:r>
            <w:r>
              <w:rPr>
                <w:rFonts w:hint="eastAsia"/>
              </w:rPr>
              <w:t>主要体检项目：身高、体重、体型指数</w:t>
            </w:r>
            <w:r>
              <w:t>BMI</w:t>
            </w:r>
            <w:r>
              <w:rPr>
                <w:rFonts w:hint="eastAsia"/>
              </w:rPr>
              <w:t>、脂肪量和脂肪率、基础代谢、人体水分量、肌肉率和肌肉量、蛋白质量、骨盐、去脂体重、细胞内外液、高压、低压、心率、血氧饱和度、脉率、体温、</w:t>
            </w:r>
            <w:r>
              <w:t>12</w:t>
            </w:r>
            <w:r>
              <w:rPr>
                <w:rFonts w:hint="eastAsia"/>
              </w:rPr>
              <w:t>导联心电图</w:t>
            </w:r>
            <w:r>
              <w:t>(</w:t>
            </w:r>
            <w:r>
              <w:rPr>
                <w:rFonts w:hint="eastAsia"/>
              </w:rPr>
              <w:t>标配</w:t>
            </w:r>
            <w:r>
              <w:t>)</w:t>
            </w:r>
            <w:r>
              <w:rPr>
                <w:rFonts w:hint="eastAsia"/>
              </w:rPr>
              <w:t>或选快速心电、血糖、尿酸、血红蛋白、血脂四项、胆固醇、尿液分析</w:t>
            </w:r>
            <w:r>
              <w:t>(12</w:t>
            </w:r>
            <w:r>
              <w:rPr>
                <w:rFonts w:hint="eastAsia"/>
              </w:rPr>
              <w:t>项</w:t>
            </w:r>
            <w:r>
              <w:t>)</w:t>
            </w:r>
            <w:r>
              <w:rPr>
                <w:rFonts w:hint="eastAsia"/>
              </w:rPr>
              <w:t>、中医体质辨识等测量功能。</w:t>
            </w:r>
            <w:r>
              <w:t>2.</w:t>
            </w:r>
            <w:r>
              <w:rPr>
                <w:rFonts w:hint="eastAsia"/>
              </w:rPr>
              <w:t>整个流程以屏幕触摸方式或触摸式鼠标进行，支持多点触摸屏操作，实时语音播报，液晶显示，并提供现场打印体检结果服务。</w:t>
            </w:r>
            <w:r>
              <w:t>3.</w:t>
            </w:r>
            <w:r>
              <w:rPr>
                <w:rFonts w:hint="eastAsia"/>
              </w:rPr>
              <w:t>刷身份证或账户登陆进入系统体检，实时记录检测数据，通过网络一体化建立患者健康档案，实现健康数据云端存储，实时数据统计、筛查、分析，支持分区域查询。标准</w:t>
            </w:r>
            <w:r>
              <w:t>RJ45</w:t>
            </w:r>
            <w:r>
              <w:rPr>
                <w:rFonts w:hint="eastAsia"/>
              </w:rPr>
              <w:t>网线接口，方便对接医院系统。</w:t>
            </w:r>
            <w:r>
              <w:t>4.</w:t>
            </w:r>
            <w:r>
              <w:rPr>
                <w:rFonts w:hint="eastAsia"/>
              </w:rPr>
              <w:t>账户登陆进入系统体检，配套精密</w:t>
            </w:r>
            <w:r>
              <w:t>200w</w:t>
            </w:r>
            <w:r>
              <w:rPr>
                <w:rFonts w:hint="eastAsia"/>
              </w:rPr>
              <w:t>高清摄像头采集测试者人像信息。便携式设计，外观精致大气，整机</w:t>
            </w:r>
            <w:r>
              <w:t>ABS</w:t>
            </w:r>
            <w:r>
              <w:rPr>
                <w:rFonts w:hint="eastAsia"/>
              </w:rPr>
              <w:t>工程模具一次成型，底部四角自带刹车轮子，移动车载方便。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342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托育中心提升</w:t>
            </w: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半球机</w:t>
            </w: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具有400万像素 CMOS传感器。最大分辨率2560x1440。</w:t>
            </w:r>
          </w:p>
          <w:p>
            <w:r>
              <w:rPr>
                <w:rFonts w:hint="eastAsia"/>
              </w:rPr>
              <w:t>在白光灯关闭的情况下：0.0005lx（F=1.0,快门1s，AGC ON,彩色模式），能基本分辨被摄目标的轮廓特征和色彩。最大亮度鉴别等级不小于11级</w:t>
            </w:r>
          </w:p>
          <w:p>
            <w:r>
              <w:rPr>
                <w:rFonts w:ascii="宋体" w:hAnsi="宋体"/>
              </w:rPr>
              <w:sym w:font="Wingdings" w:char="F0AB"/>
            </w:r>
            <w:r>
              <w:rPr>
                <w:rFonts w:hint="eastAsia"/>
              </w:rPr>
              <w:t>白光摄像机在30米距离下应能探测到目标。（投标产品须提供具有相应资质的第三方检测机构出具的检测报告）</w:t>
            </w:r>
          </w:p>
          <w:p>
            <w:r>
              <w:rPr>
                <w:rFonts w:hint="eastAsia"/>
              </w:rPr>
              <w:t>彩色模式下，当环境照度低于一定值时，样机可自动开启白光灯补光，样机在白天、夜晚均可输出彩色视频图像。</w:t>
            </w:r>
          </w:p>
          <w:p>
            <w:r>
              <w:rPr>
                <w:rFonts w:hint="eastAsia"/>
              </w:rPr>
              <w:t>在2560x1440@25fps下，清晰度不小于1400TVL。</w:t>
            </w:r>
          </w:p>
          <w:p>
            <w:r>
              <w:rPr>
                <w:rFonts w:ascii="宋体" w:hAnsi="宋体"/>
              </w:rPr>
              <w:sym w:font="Wingdings" w:char="F0AB"/>
            </w:r>
            <w:r>
              <w:rPr>
                <w:rFonts w:hint="eastAsia"/>
              </w:rPr>
              <w:t>具有不小于1/1.8"靶面尺寸。（投标产品须提供具有相应资质的第三方检测机构出具的检测报告）</w:t>
            </w:r>
          </w:p>
          <w:p>
            <w:r>
              <w:rPr>
                <w:rFonts w:ascii="宋体" w:hAnsi="宋体"/>
              </w:rPr>
              <w:sym w:font="Wingdings" w:char="F0AB"/>
            </w:r>
            <w:r>
              <w:rPr>
                <w:rFonts w:hint="eastAsia"/>
              </w:rPr>
              <w:t>不低于IP66防尘防水等级。（投标产品须提供具有相应资质的第三方检测机构出具的检测报告）</w:t>
            </w:r>
          </w:p>
          <w:p>
            <w:r>
              <w:rPr>
                <w:rFonts w:ascii="宋体" w:hAnsi="宋体"/>
              </w:rPr>
              <w:sym w:font="Wingdings" w:char="F0AB"/>
            </w:r>
            <w:r>
              <w:rPr>
                <w:rFonts w:hint="eastAsia"/>
              </w:rPr>
              <w:t>摄像机应能在DC（12±25%）V范围内正常工作，支持POE供电。（投标产品须提供具有相应资质的第三方检测机构出具的检测报告）；射频电磁场辐射抗扰度限值应符合GB/T 17626.3-2006中试验等级3的规定。（投标产品须提供具有相应资质的第三方检测机构出具的检测报告）</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只</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72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摄像机支架</w:t>
            </w: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壁装支架</w:t>
            </w:r>
            <w:r>
              <w:t>/</w:t>
            </w:r>
            <w:r>
              <w:rPr>
                <w:rFonts w:hint="eastAsia"/>
              </w:rPr>
              <w:t>白</w:t>
            </w:r>
            <w:r>
              <w:t>/</w:t>
            </w:r>
            <w:r>
              <w:rPr>
                <w:rFonts w:hint="eastAsia"/>
              </w:rPr>
              <w:t>铝合金</w:t>
            </w:r>
            <w:r>
              <w:t>/</w:t>
            </w:r>
            <w:r>
              <w:rPr>
                <w:rFonts w:hint="eastAsia"/>
              </w:rPr>
              <w:t>尺寸</w:t>
            </w:r>
            <w:r>
              <w:t>70×97.1×173.4mm</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只</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315"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摄像机电源</w:t>
            </w: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t>12V/2A</w:t>
            </w:r>
            <w:r>
              <w:rPr>
                <w:rFonts w:hint="eastAsia"/>
              </w:rPr>
              <w:t>圆头、壁挂式，室外防水电源</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只</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841"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教学互动机</w:t>
            </w: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整机屏幕采用≥65英寸LED液晶屏，3840×2160@60Hz 超高清 4K 分辨率，显示比例支持 16：9 ，兼容 4：3、16：10；屏幕占比大于 90%，色深 10bit（核查规格书），可视角度≥178°，≥90%NTSC色域，≥380cd/m² 亮度，4K高清统一系统图标显示；</w:t>
            </w:r>
          </w:p>
          <w:p>
            <w:r>
              <w:rPr>
                <w:rFonts w:hint="eastAsia"/>
              </w:rPr>
              <w:t>产品应具备不低于4核处理器A72*2+A53*4，采用不低于安卓11.0操作系统和win 10及以上操作系统，最高主频1.8GHz，GPU不低于Mail 4*G51，运行内存≥4GB，存储空间≥64GB。</w:t>
            </w:r>
          </w:p>
          <w:p>
            <w:r>
              <w:rPr>
                <w:rFonts w:hint="eastAsia"/>
              </w:rPr>
              <w:t>产品内置不低于4800W像素高清摄像头和全指向 8 阵列麦，最高支持3840*2160@30fps分辨率；拾音距离不小于10m，支持回声消除智能降噪。</w:t>
            </w:r>
          </w:p>
          <w:p>
            <w:r>
              <w:rPr>
                <w:rFonts w:hint="eastAsia"/>
              </w:rPr>
              <w:t>产品应提供白板书写功能，书写笔画粗细支持1-30px之间调节，可通过色盘自定义选择笔迹颜色，支持双色笔书写，笔尖可单独设定一种颜色，笔尾可单独设定为另外一种颜色，快速实现内容讲解，差异化标注，支持不少于5种擦除方式，须满足≥50页书写版面，白板软件内支持浏览器搜索，长按网页中的图片插入白板，或截图插入。</w:t>
            </w:r>
          </w:p>
          <w:p>
            <w:r>
              <w:rPr>
                <w:rFonts w:ascii="宋体" w:hAnsi="宋体"/>
              </w:rPr>
              <w:sym w:font="Wingdings" w:char="F0AB"/>
            </w:r>
            <w:r>
              <w:rPr>
                <w:rFonts w:hint="eastAsia"/>
              </w:rPr>
              <w:t>内置 BLE 低功耗蓝牙模块，支持5.2协议,兼容 4.2、5.0协议，支持连接蓝牙音箱、耳机、鼠标等常见的无线蓝牙设备，也能接收外部手机通过蓝牙发送的文件 。（提供权威部门出具的检测报告）</w:t>
            </w:r>
          </w:p>
          <w:p>
            <w:r>
              <w:rPr>
                <w:rFonts w:ascii="宋体" w:hAnsi="宋体"/>
              </w:rPr>
              <w:sym w:font="Wingdings" w:char="F0AB"/>
            </w:r>
            <w:r>
              <w:rPr>
                <w:rFonts w:hint="eastAsia"/>
              </w:rPr>
              <w:t>前置Type-C * 1， USB type-A*2，后置USB*2，支持双系统切换，前置Type-C接口支持65W PD充电、投屏以及反向触控等功能，USB type-A接口支持 3.0、后置接口 /Android、OPS 上均支持 3.0；支持 USB 设备接入，具备USB3.0 接口，可以实现 USB 设备的高速读写和控制，支持 USB接口用户自定义系统是否跟随，自主设置跟随的系统，系统跟随状态下系统切换无需更换插入其他接口系统可自动读取；支持智能 U 盘锁功能，整机可设置触摸及按键自动锁定，保证无关人士无法自由操作。 （提供权威部门出具的检测报告）</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438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9</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未来交通</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人流量监测</w:t>
            </w: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t>AI</w:t>
            </w:r>
            <w:r>
              <w:rPr>
                <w:rFonts w:hint="eastAsia"/>
              </w:rPr>
              <w:t>枪机 人流量相机</w:t>
            </w: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r>
              <w:rPr>
                <w:rFonts w:hint="eastAsia"/>
              </w:rPr>
              <w:t>、具有</w:t>
            </w:r>
            <w:r>
              <w:t>400</w:t>
            </w:r>
            <w:r>
              <w:rPr>
                <w:rFonts w:hint="eastAsia"/>
              </w:rPr>
              <w:t>万像素</w:t>
            </w:r>
            <w:r>
              <w:t xml:space="preserve"> CMOS</w:t>
            </w:r>
            <w:r>
              <w:rPr>
                <w:rFonts w:hint="eastAsia"/>
              </w:rPr>
              <w:t>传感器，具有不小于</w:t>
            </w:r>
            <w:r>
              <w:t>1/1.8"</w:t>
            </w:r>
            <w:r>
              <w:rPr>
                <w:rFonts w:hint="eastAsia"/>
              </w:rPr>
              <w:t>靶面尺寸</w:t>
            </w:r>
            <w:r>
              <w:t xml:space="preserve"> </w:t>
            </w:r>
          </w:p>
          <w:p>
            <w:r>
              <w:t>2</w:t>
            </w:r>
            <w:r>
              <w:rPr>
                <w:rFonts w:hint="eastAsia"/>
              </w:rPr>
              <w:t>、内置</w:t>
            </w:r>
            <w:r>
              <w:t>GPU</w:t>
            </w:r>
            <w:r>
              <w:rPr>
                <w:rFonts w:hint="eastAsia"/>
              </w:rPr>
              <w:t>芯片。</w:t>
            </w:r>
            <w:r>
              <w:t xml:space="preserve">    </w:t>
            </w:r>
          </w:p>
          <w:p>
            <w:r>
              <w:t>3</w:t>
            </w:r>
            <w:r>
              <w:rPr>
                <w:rFonts w:hint="eastAsia"/>
              </w:rPr>
              <w:t>、最低照度彩色不大于</w:t>
            </w:r>
            <w:r>
              <w:t>0.0002 lx</w:t>
            </w:r>
            <w:r>
              <w:rPr>
                <w:rFonts w:hint="eastAsia"/>
              </w:rPr>
              <w:t>，黑白不大于</w:t>
            </w:r>
            <w:r>
              <w:t>0.0001 lx</w:t>
            </w:r>
            <w:r>
              <w:rPr>
                <w:rFonts w:hint="eastAsia"/>
              </w:rPr>
              <w:t>。</w:t>
            </w:r>
            <w:r>
              <w:t xml:space="preserve">   </w:t>
            </w:r>
          </w:p>
          <w:p>
            <w:r>
              <w:t>4</w:t>
            </w:r>
            <w:r>
              <w:rPr>
                <w:rFonts w:hint="eastAsia"/>
              </w:rPr>
              <w:t>、宽动态能力不小于</w:t>
            </w:r>
            <w:r>
              <w:t>120dB</w:t>
            </w:r>
            <w:r>
              <w:rPr>
                <w:rFonts w:hint="eastAsia"/>
              </w:rPr>
              <w:t>。</w:t>
            </w:r>
            <w:r>
              <w:t xml:space="preserve"> </w:t>
            </w:r>
          </w:p>
          <w:p>
            <w:r>
              <w:t>5</w:t>
            </w:r>
            <w:r>
              <w:rPr>
                <w:rFonts w:hint="eastAsia"/>
              </w:rPr>
              <w:t>、信噪比不小于</w:t>
            </w:r>
            <w:r>
              <w:t>58dB</w:t>
            </w:r>
            <w:r>
              <w:rPr>
                <w:rFonts w:hint="eastAsia"/>
              </w:rPr>
              <w:t>。</w:t>
            </w:r>
            <w:r>
              <w:t xml:space="preserve"> </w:t>
            </w:r>
          </w:p>
          <w:p>
            <w:r>
              <w:t>6</w:t>
            </w:r>
            <w:r>
              <w:rPr>
                <w:rFonts w:hint="eastAsia"/>
              </w:rPr>
              <w:t>、需支持四码流技术，主码流分辨率不小于</w:t>
            </w:r>
            <w:r>
              <w:t>2560x1440@25fps</w:t>
            </w:r>
            <w:r>
              <w:rPr>
                <w:rFonts w:hint="eastAsia"/>
              </w:rPr>
              <w:t>，子码流不小于</w:t>
            </w:r>
            <w:r>
              <w:t>704x576@25fps</w:t>
            </w:r>
            <w:r>
              <w:rPr>
                <w:rFonts w:hint="eastAsia"/>
              </w:rPr>
              <w:t>，第三码流不小于</w:t>
            </w:r>
            <w:r>
              <w:t>1920x1080@25fps</w:t>
            </w:r>
            <w:r>
              <w:rPr>
                <w:rFonts w:hint="eastAsia"/>
              </w:rPr>
              <w:t>，第四码流不小于</w:t>
            </w:r>
            <w:r>
              <w:t>704x576@25fps</w:t>
            </w:r>
            <w:r>
              <w:rPr>
                <w:rFonts w:hint="eastAsia"/>
              </w:rPr>
              <w:t>。</w:t>
            </w:r>
            <w:r>
              <w:t xml:space="preserve"> </w:t>
            </w:r>
          </w:p>
          <w:p>
            <w:r>
              <w:t>7</w:t>
            </w:r>
            <w:r>
              <w:rPr>
                <w:rFonts w:hint="eastAsia"/>
              </w:rPr>
              <w:t>、人脸检出率不小于</w:t>
            </w:r>
            <w:r>
              <w:t>99%</w:t>
            </w:r>
            <w:r>
              <w:rPr>
                <w:rFonts w:hint="eastAsia"/>
              </w:rPr>
              <w:t>。</w:t>
            </w:r>
            <w:r>
              <w:t xml:space="preserve"> </w:t>
            </w:r>
          </w:p>
          <w:p>
            <w:r>
              <w:t>8</w:t>
            </w:r>
            <w:r>
              <w:rPr>
                <w:rFonts w:hint="eastAsia"/>
              </w:rPr>
              <w:t>、内置混合补光灯，可对红外灯及白光灯功率进行调节</w:t>
            </w:r>
          </w:p>
          <w:p>
            <w:r>
              <w:t>9</w:t>
            </w:r>
            <w:r>
              <w:rPr>
                <w:rFonts w:hint="eastAsia"/>
              </w:rPr>
              <w:t>、在分辨率</w:t>
            </w:r>
            <w:r>
              <w:t>1920x1080 @ 25fps</w:t>
            </w:r>
            <w:r>
              <w:rPr>
                <w:rFonts w:hint="eastAsia"/>
              </w:rPr>
              <w:t>，延时不大于</w:t>
            </w:r>
            <w:r>
              <w:t>70ms</w:t>
            </w:r>
            <w:r>
              <w:rPr>
                <w:rFonts w:hint="eastAsia"/>
              </w:rPr>
              <w:t>。</w:t>
            </w:r>
          </w:p>
          <w:p>
            <w:r>
              <w:t>10</w:t>
            </w:r>
            <w:r>
              <w:rPr>
                <w:rFonts w:hint="eastAsia"/>
              </w:rPr>
              <w:t>、支持侧脸过滤功能，可过滤上下、左右角度达到预设值的人脸</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只</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108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10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立杆</w:t>
            </w: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r>
              <w:rPr>
                <w:rFonts w:hint="eastAsia"/>
              </w:rPr>
              <w:t>产品颜色：乳白</w:t>
            </w:r>
            <w:r>
              <w:t>/</w:t>
            </w:r>
            <w:r>
              <w:rPr>
                <w:rFonts w:hint="eastAsia"/>
              </w:rPr>
              <w:t>灰</w:t>
            </w:r>
            <w:r>
              <w:t>/</w:t>
            </w:r>
            <w:r>
              <w:rPr>
                <w:rFonts w:hint="eastAsia"/>
              </w:rPr>
              <w:t>黑</w:t>
            </w:r>
          </w:p>
          <w:p>
            <w:r>
              <w:t>2.</w:t>
            </w:r>
            <w:r>
              <w:rPr>
                <w:rFonts w:hint="eastAsia"/>
              </w:rPr>
              <w:t>产品材质：镀锌钢管</w:t>
            </w:r>
          </w:p>
          <w:p>
            <w:r>
              <w:t>3.</w:t>
            </w:r>
            <w:r>
              <w:rPr>
                <w:rFonts w:hint="eastAsia"/>
              </w:rPr>
              <w:t>产品厚度：不低于</w:t>
            </w:r>
            <w:r>
              <w:t>2.5MM</w:t>
            </w:r>
          </w:p>
          <w:p>
            <w:r>
              <w:t>4.</w:t>
            </w:r>
            <w:r>
              <w:rPr>
                <w:rFonts w:hint="eastAsia"/>
              </w:rPr>
              <w:t>产品规格：</w:t>
            </w:r>
            <w:r>
              <w:t>3M</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315"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11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电源</w:t>
            </w: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t>12V/2A</w:t>
            </w:r>
            <w:r>
              <w:rPr>
                <w:rFonts w:hint="eastAsia"/>
              </w:rPr>
              <w:t>圆头、壁挂式，室外防水电源</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只</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315"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12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支架</w:t>
            </w: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壁装支架</w:t>
            </w:r>
            <w:r>
              <w:t>/</w:t>
            </w:r>
            <w:r>
              <w:rPr>
                <w:rFonts w:hint="eastAsia"/>
              </w:rPr>
              <w:t>海康白</w:t>
            </w:r>
            <w:r>
              <w:t>/</w:t>
            </w:r>
            <w:r>
              <w:rPr>
                <w:rFonts w:hint="eastAsia"/>
              </w:rPr>
              <w:t>铝合金</w:t>
            </w:r>
            <w:r>
              <w:t>/</w:t>
            </w:r>
            <w:r>
              <w:rPr>
                <w:rFonts w:hint="eastAsia"/>
              </w:rPr>
              <w:t>尺寸</w:t>
            </w:r>
            <w:r>
              <w:t>70×97.1×173.4mm</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只</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rPr>
          <w:trHeight w:val="699"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13</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车流监测</w:t>
            </w: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车流量检测雷达视频一体机</w:t>
            </w: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设备采用视频和雷达一体化设计；融合高精度毫米波雷达与深度学习视频单元，从结构、场景、采集方式到数据信息等多维度深度融合；</w:t>
            </w:r>
          </w:p>
          <w:p>
            <w:r>
              <w:rPr>
                <w:rFonts w:hint="eastAsia"/>
              </w:rPr>
              <w:t>支持双向10车道的多个移动目标进行检测跟踪，最远可检测100米处的机动车</w:t>
            </w:r>
          </w:p>
          <w:p>
            <w:r>
              <w:rPr>
                <w:rFonts w:ascii="宋体" w:hAnsi="宋体"/>
              </w:rPr>
              <w:sym w:font="Wingdings" w:char="F0AB"/>
            </w:r>
            <w:r>
              <w:rPr>
                <w:rFonts w:hint="eastAsia"/>
              </w:rPr>
              <w:t>图像分辨率不小于2688×1520（不含OSD叠加），视频帧率1-50帧可设（投标产品须提供具有相应资质的第三方检测机构出具的检测报告）</w:t>
            </w:r>
          </w:p>
          <w:p>
            <w:r>
              <w:rPr>
                <w:rFonts w:hint="eastAsia"/>
              </w:rPr>
              <w:t>支持8个检测断面的交通信息（速度、流量、时间占有率等）进行检测并显示</w:t>
            </w:r>
          </w:p>
          <w:p>
            <w:r>
              <w:rPr>
                <w:rFonts w:hint="eastAsia"/>
              </w:rPr>
              <w:t>交通数据上传周期支持设置为1-15000s</w:t>
            </w:r>
          </w:p>
          <w:p>
            <w:r>
              <w:rPr>
                <w:rFonts w:ascii="宋体" w:hAnsi="宋体"/>
              </w:rPr>
              <w:sym w:font="Wingdings" w:char="F0AB"/>
            </w:r>
            <w:r>
              <w:rPr>
                <w:rFonts w:hint="eastAsia"/>
              </w:rPr>
              <w:t>雷达和视频可同时检测到目标，通过雷达坐标标定（标定方式可设置为自动/手动），实现雷达检测数据和视频检测数据的融合（投标产品须提供具有相应资质的第三方检测机构出具的检测报告）</w:t>
            </w:r>
          </w:p>
          <w:p>
            <w:r>
              <w:rPr>
                <w:rFonts w:hint="eastAsia"/>
              </w:rPr>
              <w:t>支持目标轨迹跟踪和显示，可在监控界面显示目标的实时轨迹</w:t>
            </w:r>
          </w:p>
          <w:p>
            <w:r>
              <w:rPr>
                <w:rFonts w:ascii="宋体" w:hAnsi="宋体"/>
              </w:rPr>
              <w:sym w:font="Wingdings" w:char="F0AB"/>
            </w:r>
            <w:r>
              <w:rPr>
                <w:rFonts w:hint="eastAsia"/>
              </w:rPr>
              <w:t>支持统计某一时刻监测区域内的车辆总数，检测区域可设置（投标产品须提供具有相应资质的第三方检测机构出具的检测报告）</w:t>
            </w:r>
          </w:p>
          <w:p>
            <w:r>
              <w:rPr>
                <w:rFonts w:hint="eastAsia"/>
              </w:rPr>
              <w:t>支持目标跟踪功能，视频预览画面内可叠加车辆跟踪框，实时显示每个目标的运行情况，包含车牌号码、速度、车型、位置坐标等</w:t>
            </w:r>
          </w:p>
          <w:p>
            <w:r>
              <w:rPr>
                <w:rFonts w:hint="eastAsia"/>
              </w:rPr>
              <w:t>支持按车道和车辆行驶方向进行车流量、平均速度、车辆类型、车道空间占有率、车道时间占有率、车头间距、平均排队长度、拥堵状态的交通数据的采集和统计，可生成EXCEL，车流量统计准确率不低于99%</w:t>
            </w:r>
          </w:p>
          <w:p>
            <w:r>
              <w:rPr>
                <w:rFonts w:hint="eastAsia"/>
              </w:rPr>
              <w:t>支持车牌捕获功能，触发方式可设置为视频、线圈或雷达，白天和晚上的捕获率均不低于99%</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14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抓拍机柱装法兰盘</w:t>
            </w: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钢带抱箍</w:t>
            </w:r>
            <w:r>
              <w:t xml:space="preserve">110/300 </w:t>
            </w:r>
            <w:r>
              <w:rPr>
                <w:rFonts w:hint="eastAsia"/>
              </w:rPr>
              <w:t>直径范围：</w:t>
            </w:r>
            <w:r>
              <w:t>60-300mm</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342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15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室外机柜</w:t>
            </w:r>
          </w:p>
        </w:tc>
        <w:tc>
          <w:tcPr>
            <w:tcW w:w="3477" w:type="pct"/>
            <w:tcBorders>
              <w:top w:val="nil"/>
              <w:left w:val="nil"/>
              <w:bottom w:val="nil"/>
              <w:right w:val="nil"/>
            </w:tcBorders>
            <w:shd w:val="clear" w:color="auto" w:fill="auto"/>
          </w:tcPr>
          <w:p>
            <w:r>
              <w:rPr>
                <w:rFonts w:hint="eastAsia"/>
              </w:rPr>
              <w:t>含双路220V防雷，双路空气开关1个，单路空气开关1个，三芯、二芯插座1个</w:t>
            </w:r>
          </w:p>
          <w:p>
            <w:r>
              <w:rPr>
                <w:rFonts w:hint="eastAsia"/>
              </w:rPr>
              <w:t>结构：整体结构采用拼焊结构，牢固、钢性好、牢固可靠</w:t>
            </w:r>
          </w:p>
          <w:p>
            <w:r>
              <w:rPr>
                <w:rFonts w:hint="eastAsia"/>
              </w:rPr>
              <w:t>防护等级IP55，保护内部设备不受外界恶劣环境的干扰</w:t>
            </w:r>
          </w:p>
          <w:p>
            <w:r>
              <w:rPr>
                <w:rFonts w:hint="eastAsia"/>
              </w:rPr>
              <w:t>机柜采用主体焊接、部分拼装的结构，保证了防护性</w:t>
            </w:r>
          </w:p>
          <w:p>
            <w:r>
              <w:rPr>
                <w:rFonts w:hint="eastAsia"/>
              </w:rPr>
              <w:t>采用的是专用户外柜锁，具有良好的防水、防盗性能</w:t>
            </w:r>
          </w:p>
          <w:p>
            <w:r>
              <w:rPr>
                <w:rFonts w:hint="eastAsia"/>
              </w:rPr>
              <w:t>环境适应性好，能最大限度地降低设备对环境的要求接地系统安全可靠</w:t>
            </w:r>
          </w:p>
          <w:p>
            <w:r>
              <w:rPr>
                <w:rFonts w:hint="eastAsia"/>
              </w:rPr>
              <w:t>机柜底部进出线缆，有效实现防水、防尘</w:t>
            </w:r>
          </w:p>
          <w:p>
            <w:r>
              <w:rPr>
                <w:rFonts w:hint="eastAsia"/>
              </w:rPr>
              <w:t>机柜采用抱杆安装方式，安装高度距离地面2.5m~3.5m（安装抱箍需定制），具有防虫、防鼠功效柜门采用防风结构（即门限位装置）</w:t>
            </w:r>
          </w:p>
          <w:p>
            <w:r>
              <w:rPr>
                <w:rFonts w:hint="eastAsia"/>
              </w:rPr>
              <w:t>一般规范</w:t>
            </w:r>
          </w:p>
          <w:p>
            <w:r>
              <w:rPr>
                <w:rFonts w:hint="eastAsia"/>
              </w:rPr>
              <w:t>工作湿度：湿度5%~95%@40℃，无凝结</w:t>
            </w:r>
          </w:p>
          <w:p>
            <w:r>
              <w:rPr>
                <w:rFonts w:hint="eastAsia"/>
              </w:rPr>
              <w:t>工作温度：温度-40℃~70℃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2565"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16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终端</w:t>
            </w: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嵌入式操作系统，内置1块2T硬盘；</w:t>
            </w:r>
          </w:p>
          <w:p>
            <w:r>
              <w:rPr>
                <w:rFonts w:hint="eastAsia"/>
              </w:rPr>
              <w:t>双网卡，具备4个100M以太网接口及2个1000M以太网接口、2个1000M SFP光纤接口；</w:t>
            </w:r>
          </w:p>
          <w:p>
            <w:r>
              <w:rPr>
                <w:rFonts w:hint="eastAsia"/>
              </w:rPr>
              <w:t>坚固紧凑无风扇设计，体积小巧，适合在路边机柜及抱杆机柜使用，单面接口设计，更便于施工操作；</w:t>
            </w:r>
          </w:p>
          <w:p>
            <w:r>
              <w:rPr>
                <w:rFonts w:hint="eastAsia"/>
              </w:rPr>
              <w:t>最大支持2TB硬盘存储，图片与录像可设置配额；</w:t>
            </w:r>
          </w:p>
          <w:p>
            <w:r>
              <w:rPr>
                <w:rFonts w:hint="eastAsia"/>
              </w:rPr>
              <w:t>支持对通行车辆的信息（记录和图片、录像）存储；</w:t>
            </w:r>
          </w:p>
          <w:p>
            <w:r>
              <w:rPr>
                <w:rFonts w:hint="eastAsia"/>
              </w:rPr>
              <w:t>可配置多种字符叠加、图片合成模式；</w:t>
            </w:r>
          </w:p>
          <w:p>
            <w:r>
              <w:rPr>
                <w:rFonts w:hint="eastAsia"/>
              </w:rPr>
              <w:t>支持区间测速功能；</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513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17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弯道雷达预警一体机</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雷视道路安全预警一体机</w:t>
            </w:r>
          </w:p>
        </w:tc>
        <w:tc>
          <w:tcPr>
            <w:tcW w:w="347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设备采用视频和雷达一体化设计</w:t>
            </w:r>
          </w:p>
          <w:p>
            <w:r>
              <w:rPr>
                <w:rFonts w:hint="eastAsia"/>
              </w:rPr>
              <w:t>融合高精度毫米波雷达与深度学习视频单元，从结构、场景、采集方式到数据信息等多维度深度融合；</w:t>
            </w:r>
          </w:p>
          <w:p>
            <w:r>
              <w:rPr>
                <w:rFonts w:ascii="宋体" w:hAnsi="宋体"/>
              </w:rPr>
              <w:sym w:font="Wingdings" w:char="F0AB"/>
            </w:r>
            <w:r>
              <w:rPr>
                <w:rFonts w:hint="eastAsia"/>
              </w:rPr>
              <w:t>图像分辨率不小于2688×1520（不含OSD叠加），视频帧率1-50帧可设（投标产品须提供具有相应资质的第三方检测机构出具的检测报告）</w:t>
            </w:r>
          </w:p>
          <w:p>
            <w:r>
              <w:rPr>
                <w:rFonts w:hint="eastAsia"/>
              </w:rPr>
              <w:t>雷达和视频可同时检测到目标，通过雷达坐标标定（标定方式可设置为自动/手动），实现雷达检测数据和视频检测数据的融合</w:t>
            </w:r>
          </w:p>
          <w:p>
            <w:r>
              <w:rPr>
                <w:rFonts w:ascii="宋体" w:hAnsi="宋体"/>
              </w:rPr>
              <w:sym w:font="Wingdings" w:char="F0AB"/>
            </w:r>
            <w:r>
              <w:rPr>
                <w:rFonts w:hint="eastAsia"/>
              </w:rPr>
              <w:t>支持配置4G网络，用户类型等（投标产品须提供具有相应资质的第三方检测机构出具的检测报告）</w:t>
            </w:r>
          </w:p>
          <w:p>
            <w:r>
              <w:rPr>
                <w:rFonts w:ascii="宋体" w:hAnsi="宋体"/>
              </w:rPr>
              <w:sym w:font="Wingdings" w:char="F0AB"/>
            </w:r>
            <w:r>
              <w:rPr>
                <w:rFonts w:hint="eastAsia"/>
              </w:rPr>
              <w:t>支持外接显示屏，可实现交通预警信息发布；支持配置显示模式、显示时间、刷新频率、显示内容和字体颜色大小，并支持无预警时显示信息的配置（投标产品须提供具有相应资质的第三方检测机构出具的检测报告）</w:t>
            </w:r>
          </w:p>
          <w:p>
            <w:r>
              <w:rPr>
                <w:rFonts w:hint="eastAsia"/>
              </w:rPr>
              <w:t>支持事故检测，根据两个以上目标相撞（车距＜0），或者单个目标停留指定时间来判定为事故</w:t>
            </w:r>
          </w:p>
          <w:p>
            <w:r>
              <w:rPr>
                <w:rFonts w:hint="eastAsia"/>
              </w:rPr>
              <w:t>支持目标轨迹跟踪和显示，可在监控界面显示目标的实时轨迹</w:t>
            </w:r>
          </w:p>
          <w:p>
            <w:r>
              <w:rPr>
                <w:rFonts w:hint="eastAsia"/>
              </w:rPr>
              <w:t>支持车牌捕获功能，触发方式可设置为视频、线圈或雷达，白天和晚上的捕获率均不低于99%</w:t>
            </w:r>
          </w:p>
          <w:p>
            <w:r>
              <w:rPr>
                <w:rFonts w:hint="eastAsia"/>
              </w:rPr>
              <w:t>支持车牌识别功能（含新能源车牌），白天和晚上的识别准确率均不低于99%</w:t>
            </w:r>
          </w:p>
          <w:p>
            <w:r>
              <w:rPr>
                <w:rFonts w:hint="eastAsia"/>
              </w:rPr>
              <w:t>防护等级：IP67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557"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18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r>
              <w:t>LED</w:t>
            </w:r>
            <w:r>
              <w:rPr>
                <w:rFonts w:hint="eastAsia"/>
              </w:rPr>
              <w:t>多功能多文字显示屏</w:t>
            </w:r>
          </w:p>
        </w:tc>
        <w:tc>
          <w:tcPr>
            <w:tcW w:w="347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【道路安全预警屏】【十字屏】【红蓝警示灯】</w:t>
            </w:r>
          </w:p>
          <w:p>
            <w:r>
              <w:rPr>
                <w:rFonts w:hint="eastAsia"/>
              </w:rPr>
              <w:t xml:space="preserve">包含：显示屏、抱箍（适用杆件直径160mm） </w:t>
            </w:r>
          </w:p>
          <w:p>
            <w:r>
              <w:rPr>
                <w:rFonts w:hint="eastAsia"/>
              </w:rPr>
              <w:t>外形尺寸：870mm×2320mm×150mm</w:t>
            </w:r>
          </w:p>
          <w:p>
            <w:r>
              <w:rPr>
                <w:rFonts w:hint="eastAsia"/>
              </w:rPr>
              <w:t xml:space="preserve">材质：铝板折边、表面喷塑哑光处理； </w:t>
            </w:r>
          </w:p>
          <w:p>
            <w:r>
              <w:rPr>
                <w:rFonts w:hint="eastAsia"/>
              </w:rPr>
              <w:t>文字内容：可输入红、黄、绿三种颜色的任意文字；</w:t>
            </w:r>
          </w:p>
          <w:p>
            <w:r>
              <w:rPr>
                <w:rFonts w:hint="eastAsia"/>
              </w:rPr>
              <w:t>整屏像素：64×224</w:t>
            </w:r>
          </w:p>
          <w:p>
            <w:r>
              <w:rPr>
                <w:rFonts w:hint="eastAsia"/>
              </w:rPr>
              <w:t>点间距：10mm</w:t>
            </w:r>
          </w:p>
          <w:p>
            <w:r>
              <w:rPr>
                <w:rFonts w:hint="eastAsia"/>
              </w:rPr>
              <w:t>像素组成：1R1G</w:t>
            </w:r>
          </w:p>
          <w:p>
            <w:r>
              <w:rPr>
                <w:rFonts w:hint="eastAsia"/>
              </w:rPr>
              <w:t>水平可视角度：110°±10°</w:t>
            </w:r>
          </w:p>
          <w:p>
            <w:r>
              <w:rPr>
                <w:rFonts w:hint="eastAsia"/>
              </w:rPr>
              <w:t>垂直可视角度：60°±10°</w:t>
            </w:r>
          </w:p>
          <w:p>
            <w:r>
              <w:rPr>
                <w:rFonts w:hint="eastAsia"/>
              </w:rPr>
              <w:t>最佳观看距离：10-100m</w:t>
            </w:r>
          </w:p>
          <w:p>
            <w:r>
              <w:rPr>
                <w:rFonts w:hint="eastAsia"/>
              </w:rPr>
              <w:t>平均无故障时间：≥10000小时</w:t>
            </w:r>
          </w:p>
          <w:p>
            <w:r>
              <w:rPr>
                <w:rFonts w:hint="eastAsia"/>
              </w:rPr>
              <w:t>使用寿命：100000小时</w:t>
            </w:r>
          </w:p>
          <w:p>
            <w:r>
              <w:rPr>
                <w:rFonts w:hint="eastAsia"/>
              </w:rPr>
              <w:t>显示内容设定：远程设定或内置存储</w:t>
            </w:r>
          </w:p>
          <w:p>
            <w:r>
              <w:rPr>
                <w:rFonts w:hint="eastAsia"/>
              </w:rPr>
              <w:t>显示文字内容：可显示红、黄、绿三种颜色的任意文字</w:t>
            </w:r>
          </w:p>
          <w:p>
            <w:r>
              <w:rPr>
                <w:rFonts w:hint="eastAsia"/>
              </w:rPr>
              <w:t>控制方式：10/100M以太网、自动定时控制；</w:t>
            </w:r>
          </w:p>
          <w:p>
            <w:r>
              <w:rPr>
                <w:rFonts w:hint="eastAsia"/>
              </w:rPr>
              <w:t>使用环境：户外，-20℃ ~ +85℃，湿度≤93%</w:t>
            </w:r>
          </w:p>
          <w:p>
            <w:r>
              <w:rPr>
                <w:rFonts w:hint="eastAsia"/>
              </w:rPr>
              <w:t>输入电压：AC 220V</w:t>
            </w:r>
          </w:p>
          <w:p>
            <w:r>
              <w:rPr>
                <w:rFonts w:hint="eastAsia"/>
              </w:rPr>
              <w:t>额定功率：≤60W</w:t>
            </w:r>
          </w:p>
          <w:p>
            <w:r>
              <w:rPr>
                <w:rFonts w:hint="eastAsia"/>
              </w:rPr>
              <w:t xml:space="preserve">重量：约70KG  </w:t>
            </w:r>
          </w:p>
          <w:p>
            <w:r>
              <w:rPr>
                <w:rFonts w:hint="eastAsia"/>
              </w:rPr>
              <w:t>安装模式：横杆/立杆【红蓝警示灯】</w:t>
            </w:r>
          </w:p>
          <w:p>
            <w:r>
              <w:rPr>
                <w:rFonts w:hint="eastAsia"/>
              </w:rPr>
              <w:t>LED数量：20*12片=240</w:t>
            </w:r>
          </w:p>
          <w:p>
            <w:r>
              <w:rPr>
                <w:rFonts w:hint="eastAsia"/>
              </w:rPr>
              <w:t>LED波长：蓝色460±5 nm ，红色625±5 nm</w:t>
            </w:r>
          </w:p>
          <w:p>
            <w:r>
              <w:rPr>
                <w:rFonts w:hint="eastAsia"/>
              </w:rPr>
              <w:t>工作方式：24小时全天工作、跟随节目可选</w:t>
            </w:r>
          </w:p>
          <w:p>
            <w:r>
              <w:rPr>
                <w:rFonts w:hint="eastAsia"/>
              </w:rPr>
              <w:t>闪烁方式：红蓝交替爆闪多种模式</w:t>
            </w:r>
          </w:p>
          <w:p>
            <w:r>
              <w:rPr>
                <w:rFonts w:hint="eastAsia"/>
              </w:rPr>
              <w:t>闪烁频率：2Hz，120次/分钟</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3705"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19</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室外机柜</w:t>
            </w:r>
          </w:p>
        </w:tc>
        <w:tc>
          <w:tcPr>
            <w:tcW w:w="347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含双路220V防雷，双路空气开关1个，单路空气开关1个，三芯、二芯插座1个</w:t>
            </w:r>
          </w:p>
          <w:p>
            <w:r>
              <w:rPr>
                <w:rFonts w:hint="eastAsia"/>
              </w:rPr>
              <w:t>结构：整体结构采用拼焊结构，牢固、钢性好、牢固可靠</w:t>
            </w:r>
          </w:p>
          <w:p>
            <w:r>
              <w:rPr>
                <w:rFonts w:hint="eastAsia"/>
              </w:rPr>
              <w:t>防护等级IP55，保护内部设备不受外界恶劣环境的干扰</w:t>
            </w:r>
          </w:p>
          <w:p>
            <w:r>
              <w:rPr>
                <w:rFonts w:hint="eastAsia"/>
              </w:rPr>
              <w:t>机柜采用主体焊接、部分拼装的结构，保证了防护性</w:t>
            </w:r>
          </w:p>
          <w:p>
            <w:r>
              <w:rPr>
                <w:rFonts w:hint="eastAsia"/>
              </w:rPr>
              <w:t>采用的是专用户外柜锁，具有良好的防水、防盗性能</w:t>
            </w:r>
          </w:p>
          <w:p>
            <w:r>
              <w:rPr>
                <w:rFonts w:hint="eastAsia"/>
              </w:rPr>
              <w:t>环境适应性好，能最大限度地降低设备对环境的要求接地系统安全可靠</w:t>
            </w:r>
          </w:p>
          <w:p>
            <w:r>
              <w:rPr>
                <w:rFonts w:hint="eastAsia"/>
              </w:rPr>
              <w:t>机柜底部进出线缆，有效实现防水、防尘</w:t>
            </w:r>
          </w:p>
          <w:p>
            <w:r>
              <w:rPr>
                <w:rFonts w:hint="eastAsia"/>
              </w:rPr>
              <w:t>机柜采用抱杆安装方式，安装高度距离地面2.5m~3.5m（安装抱箍需定制），具有防虫、防鼠功效</w:t>
            </w:r>
          </w:p>
          <w:p>
            <w:r>
              <w:rPr>
                <w:rFonts w:hint="eastAsia"/>
              </w:rPr>
              <w:t>柜门采用防风结构（即门限位装置）</w:t>
            </w:r>
          </w:p>
          <w:p>
            <w:r>
              <w:rPr>
                <w:rFonts w:hint="eastAsia"/>
              </w:rPr>
              <w:t>一般规范</w:t>
            </w:r>
          </w:p>
          <w:p>
            <w:r>
              <w:rPr>
                <w:rFonts w:hint="eastAsia"/>
              </w:rPr>
              <w:t>工作湿度：湿度5%~95%@40℃，无凝结</w:t>
            </w:r>
          </w:p>
          <w:p>
            <w:r>
              <w:rPr>
                <w:rFonts w:hint="eastAsia"/>
              </w:rPr>
              <w:t>工作温度：温度-40℃~70℃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20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横杆安装支架</w:t>
            </w:r>
          </w:p>
        </w:tc>
        <w:tc>
          <w:tcPr>
            <w:tcW w:w="347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钢带抱箍</w:t>
            </w:r>
            <w:r>
              <w:t xml:space="preserve">110/300 </w:t>
            </w:r>
            <w:r>
              <w:rPr>
                <w:rFonts w:hint="eastAsia"/>
              </w:rPr>
              <w:t>直径范围：</w:t>
            </w:r>
            <w:r>
              <w:t>60-300mm</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84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21</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未来治理</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沙滩门牌码</w:t>
            </w: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门牌码</w:t>
            </w:r>
            <w:r>
              <w:t>-</w:t>
            </w:r>
            <w:r>
              <w:rPr>
                <w:rFonts w:hint="eastAsia"/>
              </w:rPr>
              <w:t>专业定制</w:t>
            </w: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为每户村民定制对应的沙滩码，尺寸</w:t>
            </w:r>
            <w:r>
              <w:t>25</w:t>
            </w:r>
            <w:r>
              <w:rPr>
                <w:rFonts w:hint="eastAsia"/>
                <w:lang w:val="en-US" w:eastAsia="zh-CN"/>
              </w:rPr>
              <w:t>c</w:t>
            </w:r>
            <w:r>
              <w:t>m*15</w:t>
            </w:r>
            <w:r>
              <w:rPr>
                <w:rFonts w:hint="eastAsia"/>
                <w:lang w:val="en-US" w:eastAsia="zh-CN"/>
              </w:rPr>
              <w:t>c</w:t>
            </w:r>
            <w:r>
              <w:t>m</w:t>
            </w:r>
            <w:r>
              <w:rPr>
                <w:rFonts w:hint="eastAsia"/>
              </w:rPr>
              <w:t>，四个角开孔，满足不通场景的安装方式，可用钉子固定，也可以采用高强度防脱落背胶固定。</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310</w:t>
            </w:r>
          </w:p>
        </w:tc>
      </w:tr>
      <w:tr>
        <w:tblPrEx>
          <w:tblCellMar>
            <w:top w:w="0" w:type="dxa"/>
            <w:left w:w="108" w:type="dxa"/>
            <w:bottom w:w="0" w:type="dxa"/>
            <w:right w:w="108" w:type="dxa"/>
          </w:tblCellMar>
        </w:tblPrEx>
        <w:trPr>
          <w:trHeight w:val="416"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22</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后端设备及网络</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t>NVR</w:t>
            </w: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硬件规格：</w:t>
            </w:r>
          </w:p>
          <w:p>
            <w:r>
              <w:rPr>
                <w:rFonts w:hint="eastAsia"/>
              </w:rPr>
              <w:t>2U标准机架式</w:t>
            </w:r>
          </w:p>
          <w:p>
            <w:r>
              <w:rPr>
                <w:rFonts w:hint="eastAsia"/>
              </w:rPr>
              <w:t>2个HDMI，2个VGA,HDMI+VGA组内同源</w:t>
            </w:r>
          </w:p>
          <w:p>
            <w:r>
              <w:rPr>
                <w:rFonts w:hint="eastAsia"/>
              </w:rPr>
              <w:t>8盘位，可满配8T硬盘</w:t>
            </w:r>
          </w:p>
          <w:p>
            <w:r>
              <w:rPr>
                <w:rFonts w:hint="eastAsia"/>
              </w:rPr>
              <w:t>2个千兆网口</w:t>
            </w:r>
          </w:p>
          <w:p>
            <w:r>
              <w:rPr>
                <w:rFonts w:hint="eastAsia"/>
              </w:rPr>
              <w:t>2个USB2.0接口、1个USB3.0接口</w:t>
            </w:r>
          </w:p>
          <w:p>
            <w:r>
              <w:rPr>
                <w:rFonts w:hint="eastAsia"/>
              </w:rPr>
              <w:t>1个eSATA接口</w:t>
            </w:r>
          </w:p>
          <w:p>
            <w:r>
              <w:rPr>
                <w:rFonts w:hint="eastAsia"/>
              </w:rPr>
              <w:t>支持RAID0、1、5、10，支持全局热备盘</w:t>
            </w:r>
          </w:p>
          <w:p>
            <w:r>
              <w:rPr>
                <w:rFonts w:hint="eastAsia"/>
              </w:rPr>
              <w:t>报警IO：16进4出（可选配8出）</w:t>
            </w:r>
          </w:p>
          <w:p>
            <w:r>
              <w:rPr>
                <w:rFonts w:hint="eastAsia"/>
              </w:rPr>
              <w:t>软件性能：</w:t>
            </w:r>
          </w:p>
          <w:p>
            <w:r>
              <w:rPr>
                <w:rFonts w:hint="eastAsia"/>
              </w:rPr>
              <w:t>输入带宽：320M</w:t>
            </w:r>
          </w:p>
          <w:p>
            <w:r>
              <w:rPr>
                <w:rFonts w:hint="eastAsia"/>
              </w:rPr>
              <w:t>32路H.264、H.265混合接入</w:t>
            </w:r>
          </w:p>
          <w:p>
            <w:r>
              <w:rPr>
                <w:rFonts w:hint="eastAsia"/>
              </w:rPr>
              <w:t>最大支持16×1080P解码</w:t>
            </w:r>
          </w:p>
          <w:p>
            <w:r>
              <w:rPr>
                <w:rFonts w:hint="eastAsia"/>
              </w:rPr>
              <w:t>支持H.265、H.264解码</w:t>
            </w:r>
          </w:p>
          <w:p>
            <w:r>
              <w:rPr>
                <w:rFonts w:hint="eastAsia"/>
              </w:rPr>
              <w:t>Smart 2.0/整机热备/ANR/智能检索/智能回放/车牌检索/人脸检索/热度图/客流量统计/分时段回放/超高倍速回放/双系统备份</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1575"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23</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硬盘</w:t>
            </w: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r>
              <w:rPr>
                <w:rFonts w:hint="eastAsia"/>
              </w:rPr>
              <w:t>、尺寸：</w:t>
            </w:r>
            <w:r>
              <w:t>3.5</w:t>
            </w:r>
            <w:r>
              <w:rPr>
                <w:rFonts w:hint="eastAsia"/>
              </w:rPr>
              <w:t>英寸</w:t>
            </w:r>
          </w:p>
          <w:p>
            <w:r>
              <w:t>2</w:t>
            </w:r>
            <w:r>
              <w:rPr>
                <w:rFonts w:hint="eastAsia"/>
              </w:rPr>
              <w:t>、容量：</w:t>
            </w:r>
            <w:r>
              <w:t xml:space="preserve">8TB </w:t>
            </w:r>
          </w:p>
          <w:p>
            <w:r>
              <w:t>3</w:t>
            </w:r>
            <w:r>
              <w:rPr>
                <w:rFonts w:hint="eastAsia"/>
              </w:rPr>
              <w:t>、转速：</w:t>
            </w:r>
            <w:r>
              <w:t xml:space="preserve">5400RPM </w:t>
            </w:r>
          </w:p>
          <w:p>
            <w:r>
              <w:t>4</w:t>
            </w:r>
            <w:r>
              <w:rPr>
                <w:rFonts w:hint="eastAsia"/>
              </w:rPr>
              <w:t>、缓存：</w:t>
            </w:r>
            <w:r>
              <w:t xml:space="preserve">256M </w:t>
            </w:r>
          </w:p>
          <w:p>
            <w:r>
              <w:t>5</w:t>
            </w:r>
            <w:r>
              <w:rPr>
                <w:rFonts w:hint="eastAsia"/>
              </w:rPr>
              <w:t>、接口：</w:t>
            </w:r>
            <w:r>
              <w:t>SATA3</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1124"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24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监视器</w:t>
            </w: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监视器需提供CCC、节能证书、环境证书复印件。</w:t>
            </w:r>
          </w:p>
          <w:p>
            <w:r>
              <w:rPr>
                <w:rFonts w:hint="eastAsia"/>
              </w:rPr>
              <w:t>监视器需提供HDMI认证证书复印件。</w:t>
            </w:r>
          </w:p>
          <w:p>
            <w:r>
              <w:rPr>
                <w:rFonts w:hint="eastAsia"/>
              </w:rPr>
              <w:t>32寸液晶监视器，塑胶外观；显示：LED背光；物理分辨率1920×1080；亮度380cd/㎡；对比度1200:1，功耗：≤52W，</w:t>
            </w:r>
          </w:p>
          <w:p>
            <w:r>
              <w:rPr>
                <w:rFonts w:hint="eastAsia"/>
              </w:rPr>
              <w:t>为保证产品显示效果良好，监视器需满足灰度等级≥16级；在95K Lux亮度下能正常工作。</w:t>
            </w:r>
          </w:p>
          <w:p>
            <w:r>
              <w:rPr>
                <w:rFonts w:ascii="宋体" w:hAnsi="宋体"/>
              </w:rPr>
              <w:sym w:font="Wingdings" w:char="F0AB"/>
            </w:r>
            <w:r>
              <w:rPr>
                <w:rFonts w:hint="eastAsia"/>
              </w:rPr>
              <w:t xml:space="preserve">为保证产品具备良好的防护性和稳定性，监视器需通过抗强光干扰、漏光度、跌落和电磁抗扰度检测。提供权威部门出具检测报告复印件。  </w:t>
            </w:r>
          </w:p>
          <w:p>
            <w:r>
              <w:rPr>
                <w:rFonts w:hint="eastAsia"/>
              </w:rPr>
              <w:t>监视器待机功耗≤0.3W。。</w:t>
            </w:r>
          </w:p>
          <w:p>
            <w:r>
              <w:rPr>
                <w:rFonts w:hint="eastAsia"/>
              </w:rPr>
              <w:t>监视器内置黑白精显模式，可将彩色信号转换成黑白灰度模式并提高图像细节辨认能力。</w:t>
            </w:r>
          </w:p>
          <w:p>
            <w:r>
              <w:rPr>
                <w:rFonts w:ascii="宋体" w:hAnsi="宋体"/>
              </w:rPr>
              <w:sym w:font="Wingdings" w:char="F0AB"/>
            </w:r>
            <w:r>
              <w:rPr>
                <w:rFonts w:hint="eastAsia"/>
              </w:rPr>
              <w:t>可通过遥控器或自带控制软件，读取和调节显示菜单显示型号、单元位置码ID号、信号源类型、分辨率、系统运行时间、软件版本，光源温度等信息；支持拨码开关、遥控器、客户端控制软件多种方式修改屏幕ID号；显示单元具有智能工作计时引擎，可以对设备实际工作时间的计时。提供权威部门出具的第三方检测报告复印件。</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2</w:t>
            </w:r>
          </w:p>
        </w:tc>
      </w:tr>
      <w:tr>
        <w:tblPrEx>
          <w:tblCellMar>
            <w:top w:w="0" w:type="dxa"/>
            <w:left w:w="108" w:type="dxa"/>
            <w:bottom w:w="0" w:type="dxa"/>
            <w:right w:w="108" w:type="dxa"/>
          </w:tblCellMar>
        </w:tblPrEx>
        <w:trPr>
          <w:trHeight w:val="381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25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存储</w:t>
            </w:r>
          </w:p>
        </w:tc>
        <w:tc>
          <w:tcPr>
            <w:tcW w:w="3477" w:type="pct"/>
            <w:tcBorders>
              <w:top w:val="single" w:color="000000" w:sz="4" w:space="0"/>
              <w:left w:val="single" w:color="000000" w:sz="4" w:space="0"/>
              <w:bottom w:val="single" w:color="000000" w:sz="4" w:space="0"/>
              <w:right w:val="single" w:color="000000" w:sz="4" w:space="0"/>
            </w:tcBorders>
            <w:shd w:val="clear" w:color="auto" w:fill="auto"/>
            <w:vAlign w:val="center"/>
          </w:tcPr>
          <w:p>
            <w:r>
              <w:t>4210×2/64G DDR4/600G 10K  SAS×4(RAID_1)/SAS_HBA/1GbE×2+10GbE×2/550W(1+1)/2U/16DIMM</w:t>
            </w:r>
          </w:p>
          <w:p>
            <w:r>
              <w:t>2U</w:t>
            </w:r>
            <w:r>
              <w:rPr>
                <w:rFonts w:hint="eastAsia"/>
              </w:rPr>
              <w:t>双路标准机架式存储</w:t>
            </w:r>
          </w:p>
          <w:p>
            <w:r>
              <w:t>CPU</w:t>
            </w:r>
            <w:r>
              <w:rPr>
                <w:rFonts w:hint="eastAsia"/>
              </w:rPr>
              <w:t>：</w:t>
            </w:r>
            <w:r>
              <w:t>2</w:t>
            </w:r>
            <w:r>
              <w:rPr>
                <w:rFonts w:hint="eastAsia"/>
              </w:rPr>
              <w:t>颗</w:t>
            </w:r>
            <w:r>
              <w:t>intel</w:t>
            </w:r>
            <w:r>
              <w:rPr>
                <w:rFonts w:hint="eastAsia"/>
              </w:rPr>
              <w:t>至强系列处理器，核数</w:t>
            </w:r>
            <w:r>
              <w:t>≥10</w:t>
            </w:r>
            <w:r>
              <w:rPr>
                <w:rFonts w:hint="eastAsia"/>
              </w:rPr>
              <w:t>核，主频</w:t>
            </w:r>
            <w:r>
              <w:t>≥2.2GHz</w:t>
            </w:r>
          </w:p>
          <w:p>
            <w:r>
              <w:rPr>
                <w:rFonts w:hint="eastAsia"/>
              </w:rPr>
              <w:t>内存：</w:t>
            </w:r>
            <w:r>
              <w:t>64G DDR4</w:t>
            </w:r>
            <w:r>
              <w:rPr>
                <w:rFonts w:hint="eastAsia"/>
              </w:rPr>
              <w:t>，</w:t>
            </w:r>
            <w:r>
              <w:t>16</w:t>
            </w:r>
            <w:r>
              <w:rPr>
                <w:rFonts w:hint="eastAsia"/>
              </w:rPr>
              <w:t>根内存插槽，最大支持扩展至</w:t>
            </w:r>
            <w:r>
              <w:t>2TB</w:t>
            </w:r>
            <w:r>
              <w:rPr>
                <w:rFonts w:hint="eastAsia"/>
              </w:rPr>
              <w:t>内存</w:t>
            </w:r>
          </w:p>
          <w:p>
            <w:r>
              <w:rPr>
                <w:rFonts w:hint="eastAsia"/>
              </w:rPr>
              <w:t>硬盘：</w:t>
            </w:r>
            <w:r>
              <w:t>4</w:t>
            </w:r>
            <w:r>
              <w:rPr>
                <w:rFonts w:hint="eastAsia"/>
              </w:rPr>
              <w:t>块</w:t>
            </w:r>
            <w:r>
              <w:t>600G 10K 2.5</w:t>
            </w:r>
            <w:r>
              <w:rPr>
                <w:rFonts w:hint="eastAsia"/>
              </w:rPr>
              <w:t>寸</w:t>
            </w:r>
            <w:r>
              <w:t xml:space="preserve"> SAS</w:t>
            </w:r>
            <w:r>
              <w:rPr>
                <w:rFonts w:hint="eastAsia"/>
              </w:rPr>
              <w:t>硬盘</w:t>
            </w:r>
          </w:p>
          <w:p>
            <w:r>
              <w:rPr>
                <w:rFonts w:hint="eastAsia"/>
              </w:rPr>
              <w:t>阵列卡：</w:t>
            </w:r>
            <w:r>
              <w:t>SAS_HBA</w:t>
            </w:r>
            <w:r>
              <w:rPr>
                <w:rFonts w:hint="eastAsia"/>
              </w:rPr>
              <w:t>卡</w:t>
            </w:r>
            <w:r>
              <w:t xml:space="preserve">, </w:t>
            </w:r>
            <w:r>
              <w:rPr>
                <w:rFonts w:hint="eastAsia"/>
              </w:rPr>
              <w:t>支持</w:t>
            </w:r>
            <w:r>
              <w:t>RAID 0/1/10</w:t>
            </w:r>
          </w:p>
          <w:p>
            <w:r>
              <w:t>PCIE</w:t>
            </w:r>
            <w:r>
              <w:rPr>
                <w:rFonts w:hint="eastAsia"/>
              </w:rPr>
              <w:t>扩展：最大可支持</w:t>
            </w:r>
            <w:r>
              <w:t>6</w:t>
            </w:r>
            <w:r>
              <w:rPr>
                <w:rFonts w:hint="eastAsia"/>
              </w:rPr>
              <w:t>个</w:t>
            </w:r>
            <w:r>
              <w:t>PCIE</w:t>
            </w:r>
            <w:r>
              <w:rPr>
                <w:rFonts w:hint="eastAsia"/>
              </w:rPr>
              <w:t>扩展插槽</w:t>
            </w:r>
          </w:p>
          <w:p>
            <w:r>
              <w:rPr>
                <w:rFonts w:hint="eastAsia"/>
              </w:rPr>
              <w:t>网口：</w:t>
            </w:r>
            <w:r>
              <w:t>2</w:t>
            </w:r>
            <w:r>
              <w:rPr>
                <w:rFonts w:hint="eastAsia"/>
              </w:rPr>
              <w:t>个千兆电口，</w:t>
            </w:r>
            <w:r>
              <w:t>2</w:t>
            </w:r>
            <w:r>
              <w:rPr>
                <w:rFonts w:hint="eastAsia"/>
              </w:rPr>
              <w:t>个万兆光口</w:t>
            </w:r>
          </w:p>
          <w:p>
            <w:r>
              <w:rPr>
                <w:rFonts w:hint="eastAsia"/>
              </w:rPr>
              <w:t>其他接口：</w:t>
            </w:r>
            <w:r>
              <w:t>1</w:t>
            </w:r>
            <w:r>
              <w:rPr>
                <w:rFonts w:hint="eastAsia"/>
              </w:rPr>
              <w:t>个</w:t>
            </w:r>
            <w:r>
              <w:t>RJ45</w:t>
            </w:r>
            <w:r>
              <w:rPr>
                <w:rFonts w:hint="eastAsia"/>
              </w:rPr>
              <w:t>管理接口，后置</w:t>
            </w:r>
            <w:r>
              <w:t>2</w:t>
            </w:r>
            <w:r>
              <w:rPr>
                <w:rFonts w:hint="eastAsia"/>
              </w:rPr>
              <w:t>个</w:t>
            </w:r>
            <w:r>
              <w:t>USB 3.0</w:t>
            </w:r>
            <w:r>
              <w:rPr>
                <w:rFonts w:hint="eastAsia"/>
              </w:rPr>
              <w:t>接口，前置</w:t>
            </w:r>
            <w:r>
              <w:t>2</w:t>
            </w:r>
            <w:r>
              <w:rPr>
                <w:rFonts w:hint="eastAsia"/>
              </w:rPr>
              <w:t>个</w:t>
            </w:r>
            <w:r>
              <w:t>USB2.0</w:t>
            </w:r>
            <w:r>
              <w:rPr>
                <w:rFonts w:hint="eastAsia"/>
              </w:rPr>
              <w:t>接口，</w:t>
            </w:r>
            <w:r>
              <w:t>1</w:t>
            </w:r>
            <w:r>
              <w:rPr>
                <w:rFonts w:hint="eastAsia"/>
              </w:rPr>
              <w:t>个</w:t>
            </w:r>
            <w:r>
              <w:t>VGA</w:t>
            </w:r>
            <w:r>
              <w:rPr>
                <w:rFonts w:hint="eastAsia"/>
              </w:rPr>
              <w:t>接口</w:t>
            </w:r>
          </w:p>
          <w:p>
            <w:r>
              <w:rPr>
                <w:rFonts w:hint="eastAsia"/>
              </w:rPr>
              <w:t>电源：标配</w:t>
            </w:r>
            <w:r>
              <w:t>550W</w:t>
            </w:r>
            <w:r>
              <w:rPr>
                <w:rFonts w:hint="eastAsia"/>
              </w:rPr>
              <w:t>（</w:t>
            </w:r>
            <w:r>
              <w:t>1+1</w:t>
            </w:r>
            <w:r>
              <w:rPr>
                <w:rFonts w:hint="eastAsia"/>
              </w:rPr>
              <w:t>）高效铂金</w:t>
            </w:r>
            <w:r>
              <w:t>CRPS</w:t>
            </w:r>
            <w:r>
              <w:rPr>
                <w:rFonts w:hint="eastAsia"/>
              </w:rPr>
              <w:t>冗余电源</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26</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47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未来乡村物联网应用系统：系统管理、视频监控、结冰检测预警、道路安全预警、车流量检测模块、客流统计、老人关怀模块接入路数、老人关怀模块</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46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27</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辅材</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水泥、石子、地龙、国标网线、水晶头、电源线等</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46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28</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系统集成</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包含调试等满足系统正常运行完成的一切费用</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r>
        <w:tblPrEx>
          <w:tblCellMar>
            <w:top w:w="0" w:type="dxa"/>
            <w:left w:w="108" w:type="dxa"/>
            <w:bottom w:w="0" w:type="dxa"/>
            <w:right w:w="108" w:type="dxa"/>
          </w:tblCellMar>
        </w:tblPrEx>
        <w:trPr>
          <w:trHeight w:val="460" w:hRule="atLeast"/>
        </w:trPr>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t>29</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数字看板展示工作台</w:t>
            </w: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3477" w:type="pct"/>
            <w:tcBorders>
              <w:top w:val="single" w:color="000000" w:sz="4" w:space="0"/>
              <w:left w:val="single" w:color="000000" w:sz="4" w:space="0"/>
              <w:bottom w:val="single" w:color="000000" w:sz="4" w:space="0"/>
              <w:right w:val="single" w:color="000000" w:sz="4" w:space="0"/>
            </w:tcBorders>
            <w:shd w:val="clear" w:color="auto" w:fill="FFFFFF"/>
            <w:vAlign w:val="center"/>
          </w:tcPr>
          <w:p>
            <w:r>
              <w:t>8G×2/1TB/</w:t>
            </w:r>
            <w:r>
              <w:rPr>
                <w:rFonts w:hint="eastAsia"/>
              </w:rPr>
              <w:t>无光驱</w:t>
            </w:r>
            <w:r>
              <w:t>/</w:t>
            </w:r>
            <w:r>
              <w:rPr>
                <w:rFonts w:hint="eastAsia"/>
              </w:rPr>
              <w:t>键鼠</w:t>
            </w:r>
            <w:r>
              <w:t>/4G</w:t>
            </w:r>
            <w:r>
              <w:rPr>
                <w:rFonts w:hint="eastAsia"/>
              </w:rPr>
              <w:t>显卡</w:t>
            </w:r>
            <w:r>
              <w:t>/Win11-H/260W/</w:t>
            </w:r>
            <w:r>
              <w:rPr>
                <w:rFonts w:hint="eastAsia"/>
              </w:rPr>
              <w:t>含显示器</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r>
              <w:t>1</w:t>
            </w:r>
          </w:p>
        </w:tc>
      </w:tr>
    </w:tbl>
    <w:p>
      <w:pPr>
        <w:pStyle w:val="13"/>
        <w:ind w:firstLine="211"/>
        <w:rPr>
          <w:lang w:bidi="en-US"/>
        </w:rPr>
      </w:pPr>
      <w:r>
        <w:rPr>
          <w:rFonts w:hint="eastAsia"/>
          <w:lang w:bidi="en-US"/>
        </w:rPr>
        <w:t>3、十项低碳技术室外工程应用系统</w:t>
      </w:r>
    </w:p>
    <w:tbl>
      <w:tblPr>
        <w:tblStyle w:val="27"/>
        <w:tblW w:w="5474" w:type="pct"/>
        <w:tblInd w:w="-5" w:type="dxa"/>
        <w:tblLayout w:type="fixed"/>
        <w:tblCellMar>
          <w:top w:w="0" w:type="dxa"/>
          <w:left w:w="108" w:type="dxa"/>
          <w:bottom w:w="0" w:type="dxa"/>
          <w:right w:w="108" w:type="dxa"/>
        </w:tblCellMar>
      </w:tblPr>
      <w:tblGrid>
        <w:gridCol w:w="557"/>
        <w:gridCol w:w="1113"/>
        <w:gridCol w:w="1391"/>
        <w:gridCol w:w="6684"/>
      </w:tblGrid>
      <w:tr>
        <w:tblPrEx>
          <w:tblCellMar>
            <w:top w:w="0" w:type="dxa"/>
            <w:left w:w="108" w:type="dxa"/>
            <w:bottom w:w="0" w:type="dxa"/>
            <w:right w:w="108" w:type="dxa"/>
          </w:tblCellMar>
        </w:tblPrEx>
        <w:trPr>
          <w:trHeight w:val="7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6"/>
                <w:szCs w:val="26"/>
              </w:rPr>
            </w:pPr>
            <w:r>
              <w:rPr>
                <w:rFonts w:hint="eastAsia" w:ascii="宋体" w:hAnsi="宋体" w:cs="宋体"/>
                <w:color w:val="000000"/>
                <w:kern w:val="0"/>
                <w:sz w:val="26"/>
                <w:szCs w:val="26"/>
              </w:rPr>
              <w:t>序号</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6"/>
                <w:szCs w:val="26"/>
              </w:rPr>
            </w:pPr>
            <w:r>
              <w:rPr>
                <w:rFonts w:hint="eastAsia" w:ascii="宋体" w:hAnsi="宋体" w:cs="宋体"/>
                <w:color w:val="000000"/>
                <w:kern w:val="0"/>
                <w:sz w:val="26"/>
                <w:szCs w:val="26"/>
              </w:rPr>
              <w:t>一级功能模块</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6"/>
                <w:szCs w:val="26"/>
              </w:rPr>
            </w:pPr>
            <w:r>
              <w:rPr>
                <w:rFonts w:hint="eastAsia" w:ascii="宋体" w:hAnsi="宋体" w:cs="宋体"/>
                <w:color w:val="000000"/>
                <w:kern w:val="0"/>
                <w:sz w:val="26"/>
                <w:szCs w:val="26"/>
              </w:rPr>
              <w:t>二级功能模块</w:t>
            </w:r>
          </w:p>
        </w:tc>
        <w:tc>
          <w:tcPr>
            <w:tcW w:w="3429"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center"/>
              <w:rPr>
                <w:rFonts w:ascii="宋体" w:hAnsi="宋体" w:cs="宋体"/>
                <w:color w:val="000000"/>
                <w:sz w:val="26"/>
                <w:szCs w:val="26"/>
              </w:rPr>
            </w:pPr>
            <w:r>
              <w:rPr>
                <w:rFonts w:hint="eastAsia" w:ascii="宋体" w:hAnsi="宋体" w:cs="宋体"/>
                <w:color w:val="000000"/>
                <w:kern w:val="0"/>
                <w:sz w:val="26"/>
                <w:szCs w:val="26"/>
              </w:rPr>
              <w:t>功能概述</w:t>
            </w:r>
          </w:p>
        </w:tc>
      </w:tr>
      <w:tr>
        <w:tblPrEx>
          <w:tblCellMar>
            <w:top w:w="0" w:type="dxa"/>
            <w:left w:w="108" w:type="dxa"/>
            <w:bottom w:w="0" w:type="dxa"/>
            <w:right w:w="108" w:type="dxa"/>
          </w:tblCellMar>
        </w:tblPrEx>
        <w:trPr>
          <w:trHeight w:val="345" w:hRule="atLeast"/>
        </w:trPr>
        <w:tc>
          <w:tcPr>
            <w:tcW w:w="5000"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center"/>
              <w:rPr>
                <w:b/>
                <w:bCs/>
                <w:color w:val="000000"/>
                <w:szCs w:val="24"/>
              </w:rPr>
            </w:pPr>
            <w:r>
              <w:rPr>
                <w:b/>
                <w:bCs/>
                <w:color w:val="000000"/>
                <w:kern w:val="0"/>
                <w:sz w:val="24"/>
                <w:szCs w:val="24"/>
              </w:rPr>
              <w:t>3D</w:t>
            </w:r>
            <w:r>
              <w:rPr>
                <w:rFonts w:hint="eastAsia" w:ascii="宋体" w:hAnsi="宋体" w:cs="宋体"/>
                <w:b/>
                <w:bCs/>
                <w:color w:val="000000"/>
                <w:kern w:val="0"/>
                <w:sz w:val="24"/>
                <w:szCs w:val="24"/>
              </w:rPr>
              <w:t>建模</w:t>
            </w:r>
          </w:p>
        </w:tc>
      </w:tr>
      <w:tr>
        <w:tblPrEx>
          <w:tblCellMar>
            <w:top w:w="0" w:type="dxa"/>
            <w:left w:w="108" w:type="dxa"/>
            <w:bottom w:w="0" w:type="dxa"/>
            <w:right w:w="108" w:type="dxa"/>
          </w:tblCellMar>
        </w:tblPrEx>
        <w:trPr>
          <w:trHeight w:val="7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东坞低碳</w:t>
            </w:r>
            <w:r>
              <w:rPr>
                <w:color w:val="000000"/>
                <w:kern w:val="0"/>
                <w:sz w:val="24"/>
                <w:szCs w:val="24"/>
              </w:rPr>
              <w:t>3D</w:t>
            </w:r>
            <w:r>
              <w:rPr>
                <w:rFonts w:hint="eastAsia" w:ascii="宋体" w:hAnsi="宋体" w:cs="宋体"/>
                <w:color w:val="000000"/>
                <w:kern w:val="0"/>
                <w:sz w:val="24"/>
                <w:szCs w:val="24"/>
              </w:rPr>
              <w:t>建模</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东坞低碳大场景建模</w:t>
            </w:r>
          </w:p>
        </w:tc>
        <w:tc>
          <w:tcPr>
            <w:tcW w:w="3429" w:type="pct"/>
            <w:tcBorders>
              <w:top w:val="single" w:color="000000" w:sz="4" w:space="0"/>
              <w:left w:val="single" w:color="000000" w:sz="4" w:space="0"/>
              <w:bottom w:val="single" w:color="000000" w:sz="4" w:space="0"/>
              <w:right w:val="single" w:color="auto"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精细化</w:t>
            </w:r>
            <w:r>
              <w:rPr>
                <w:color w:val="000000"/>
                <w:kern w:val="0"/>
                <w:sz w:val="24"/>
                <w:szCs w:val="24"/>
              </w:rPr>
              <w:t>3D</w:t>
            </w:r>
            <w:r>
              <w:rPr>
                <w:rFonts w:hint="eastAsia" w:ascii="宋体" w:hAnsi="宋体" w:cs="宋体"/>
                <w:color w:val="000000"/>
                <w:kern w:val="0"/>
                <w:sz w:val="24"/>
                <w:szCs w:val="24"/>
              </w:rPr>
              <w:t>建模，道路、绿化、水系等建模，建模面积包含东坞村落全域行政区。</w:t>
            </w:r>
          </w:p>
        </w:tc>
      </w:tr>
      <w:tr>
        <w:tblPrEx>
          <w:tblCellMar>
            <w:top w:w="0" w:type="dxa"/>
            <w:left w:w="108" w:type="dxa"/>
            <w:bottom w:w="0" w:type="dxa"/>
            <w:right w:w="108" w:type="dxa"/>
          </w:tblCellMar>
        </w:tblPrEx>
        <w:trPr>
          <w:trHeight w:val="14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建筑建模</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通过三维激光扫描技术，对东坞的一号楼、二号楼、三号楼、露营基地、牌坊等精细化</w:t>
            </w:r>
            <w:r>
              <w:rPr>
                <w:color w:val="000000"/>
                <w:kern w:val="0"/>
                <w:sz w:val="24"/>
                <w:szCs w:val="24"/>
              </w:rPr>
              <w:t>3D</w:t>
            </w:r>
            <w:r>
              <w:rPr>
                <w:rFonts w:hint="eastAsia" w:ascii="宋体" w:hAnsi="宋体" w:cs="宋体"/>
                <w:color w:val="000000"/>
                <w:kern w:val="0"/>
                <w:sz w:val="24"/>
                <w:szCs w:val="24"/>
              </w:rPr>
              <w:t>建模，包含建筑的形状、结构、高度、外立面，以及房屋建筑每层高亮呈现。</w:t>
            </w:r>
          </w:p>
        </w:tc>
      </w:tr>
      <w:tr>
        <w:tblPrEx>
          <w:tblCellMar>
            <w:top w:w="0" w:type="dxa"/>
            <w:left w:w="108" w:type="dxa"/>
            <w:bottom w:w="0" w:type="dxa"/>
            <w:right w:w="108" w:type="dxa"/>
          </w:tblCellMar>
        </w:tblPrEx>
        <w:trPr>
          <w:trHeight w:val="8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室内建模</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通过三维激光扫描技术，对每层的室内布局进行自动建模，包含展厅、会议室、公厕、餐厅以及</w:t>
            </w:r>
            <w:r>
              <w:rPr>
                <w:color w:val="000000"/>
                <w:kern w:val="0"/>
                <w:sz w:val="24"/>
                <w:szCs w:val="24"/>
              </w:rPr>
              <w:t>VR</w:t>
            </w:r>
            <w:r>
              <w:rPr>
                <w:rFonts w:hint="eastAsia" w:ascii="宋体" w:hAnsi="宋体" w:cs="宋体"/>
                <w:color w:val="000000"/>
                <w:kern w:val="0"/>
                <w:sz w:val="24"/>
                <w:szCs w:val="24"/>
              </w:rPr>
              <w:t>、</w:t>
            </w:r>
            <w:r>
              <w:rPr>
                <w:color w:val="000000"/>
                <w:kern w:val="0"/>
                <w:sz w:val="24"/>
                <w:szCs w:val="24"/>
              </w:rPr>
              <w:t>AR</w:t>
            </w:r>
            <w:r>
              <w:rPr>
                <w:rFonts w:hint="eastAsia" w:ascii="宋体" w:hAnsi="宋体" w:cs="宋体"/>
                <w:color w:val="000000"/>
                <w:kern w:val="0"/>
                <w:sz w:val="24"/>
                <w:szCs w:val="24"/>
              </w:rPr>
              <w:t>内容的对接。</w:t>
            </w:r>
          </w:p>
        </w:tc>
      </w:tr>
      <w:tr>
        <w:tblPrEx>
          <w:tblCellMar>
            <w:top w:w="0" w:type="dxa"/>
            <w:left w:w="108" w:type="dxa"/>
            <w:bottom w:w="0" w:type="dxa"/>
            <w:right w:w="108" w:type="dxa"/>
          </w:tblCellMar>
        </w:tblPrEx>
        <w:trPr>
          <w:trHeight w:val="16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隐蔽工程部分建模</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隐蔽工程部分以及不方便通过三维激光扫描设备进行采集数据的部分，如：污水处理系统、垃圾处理系统、太阳能热水系统、雨水收集系统，采用精细化人工</w:t>
            </w:r>
            <w:r>
              <w:rPr>
                <w:color w:val="000000"/>
                <w:kern w:val="0"/>
                <w:sz w:val="24"/>
                <w:szCs w:val="24"/>
              </w:rPr>
              <w:t>3D</w:t>
            </w:r>
            <w:r>
              <w:rPr>
                <w:rFonts w:hint="eastAsia" w:ascii="宋体" w:hAnsi="宋体" w:cs="宋体"/>
                <w:color w:val="000000"/>
                <w:kern w:val="0"/>
                <w:sz w:val="24"/>
                <w:szCs w:val="24"/>
              </w:rPr>
              <w:t>建模，模拟污水处理、垃圾处理设备、雨水收集系统的工序；</w:t>
            </w:r>
          </w:p>
        </w:tc>
      </w:tr>
      <w:tr>
        <w:tblPrEx>
          <w:tblCellMar>
            <w:top w:w="0" w:type="dxa"/>
            <w:left w:w="108" w:type="dxa"/>
            <w:bottom w:w="0" w:type="dxa"/>
            <w:right w:w="108" w:type="dxa"/>
          </w:tblCellMar>
        </w:tblPrEx>
        <w:trPr>
          <w:trHeight w:val="4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3D</w:t>
            </w:r>
            <w:r>
              <w:rPr>
                <w:rFonts w:hint="eastAsia" w:ascii="宋体" w:hAnsi="宋体" w:cs="宋体"/>
                <w:color w:val="000000"/>
                <w:kern w:val="0"/>
                <w:sz w:val="24"/>
                <w:szCs w:val="24"/>
              </w:rPr>
              <w:t>引擎</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4"/>
              </w:rPr>
            </w:pPr>
          </w:p>
        </w:tc>
        <w:tc>
          <w:tcPr>
            <w:tcW w:w="3429" w:type="pct"/>
            <w:tcBorders>
              <w:top w:val="single" w:color="000000" w:sz="4" w:space="0"/>
              <w:left w:val="single" w:color="000000" w:sz="4" w:space="0"/>
              <w:bottom w:val="single" w:color="000000" w:sz="4" w:space="0"/>
              <w:right w:val="single" w:color="auto" w:sz="4" w:space="0"/>
            </w:tcBorders>
            <w:shd w:val="clear" w:color="auto" w:fill="auto"/>
            <w:vAlign w:val="center"/>
          </w:tcPr>
          <w:p>
            <w:pPr>
              <w:textAlignment w:val="center"/>
              <w:rPr>
                <w:color w:val="000000"/>
                <w:szCs w:val="24"/>
              </w:rPr>
            </w:pPr>
            <w:r>
              <w:rPr>
                <w:color w:val="000000"/>
                <w:kern w:val="0"/>
                <w:sz w:val="24"/>
                <w:szCs w:val="24"/>
              </w:rPr>
              <w:t>3D</w:t>
            </w:r>
            <w:r>
              <w:rPr>
                <w:rFonts w:hint="eastAsia" w:ascii="宋体" w:hAnsi="宋体" w:cs="宋体"/>
                <w:color w:val="000000"/>
                <w:kern w:val="0"/>
                <w:sz w:val="24"/>
                <w:szCs w:val="24"/>
              </w:rPr>
              <w:t>建模引擎平台，用于支撑建模服务。</w:t>
            </w:r>
          </w:p>
        </w:tc>
      </w:tr>
      <w:tr>
        <w:tblPrEx>
          <w:tblCellMar>
            <w:top w:w="0" w:type="dxa"/>
            <w:left w:w="108" w:type="dxa"/>
            <w:bottom w:w="0" w:type="dxa"/>
            <w:right w:w="108" w:type="dxa"/>
          </w:tblCellMar>
        </w:tblPrEx>
        <w:trPr>
          <w:trHeight w:val="345" w:hRule="atLeast"/>
        </w:trPr>
        <w:tc>
          <w:tcPr>
            <w:tcW w:w="5000"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center"/>
              <w:rPr>
                <w:b/>
                <w:bCs/>
                <w:color w:val="000000"/>
                <w:szCs w:val="24"/>
              </w:rPr>
            </w:pPr>
            <w:r>
              <w:rPr>
                <w:b/>
                <w:bCs/>
                <w:color w:val="000000"/>
                <w:kern w:val="0"/>
                <w:sz w:val="24"/>
                <w:szCs w:val="24"/>
              </w:rPr>
              <w:t xml:space="preserve">2.1.2  </w:t>
            </w:r>
            <w:r>
              <w:rPr>
                <w:rFonts w:hint="eastAsia" w:ascii="宋体" w:hAnsi="宋体" w:cs="宋体"/>
                <w:b/>
                <w:bCs/>
                <w:color w:val="000000"/>
                <w:kern w:val="0"/>
                <w:sz w:val="24"/>
                <w:szCs w:val="24"/>
              </w:rPr>
              <w:t>零碳屿头数字看板功能清单</w:t>
            </w:r>
          </w:p>
        </w:tc>
      </w:tr>
      <w:tr>
        <w:tblPrEx>
          <w:tblCellMar>
            <w:top w:w="0" w:type="dxa"/>
            <w:left w:w="108" w:type="dxa"/>
            <w:bottom w:w="0" w:type="dxa"/>
            <w:right w:w="108" w:type="dxa"/>
          </w:tblCellMar>
        </w:tblPrEx>
        <w:trPr>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序号</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一级功能模块</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二级功能模块</w:t>
            </w:r>
          </w:p>
        </w:tc>
        <w:tc>
          <w:tcPr>
            <w:tcW w:w="3429"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功能概述</w:t>
            </w:r>
          </w:p>
        </w:tc>
      </w:tr>
      <w:tr>
        <w:tblPrEx>
          <w:tblCellMar>
            <w:top w:w="0" w:type="dxa"/>
            <w:left w:w="108" w:type="dxa"/>
            <w:bottom w:w="0" w:type="dxa"/>
            <w:right w:w="108" w:type="dxa"/>
          </w:tblCellMar>
        </w:tblPrEx>
        <w:trPr>
          <w:trHeight w:val="9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1</w:t>
            </w:r>
          </w:p>
        </w:tc>
        <w:tc>
          <w:tcPr>
            <w:tcW w:w="571" w:type="pct"/>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零碳屿头全景</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透水地材</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直观展示透水量和地材铺设面积数据，点击跳转到透水地材子数字看板。</w:t>
            </w:r>
          </w:p>
        </w:tc>
      </w:tr>
      <w:tr>
        <w:tblPrEx>
          <w:tblCellMar>
            <w:top w:w="0" w:type="dxa"/>
            <w:left w:w="108" w:type="dxa"/>
            <w:bottom w:w="0" w:type="dxa"/>
            <w:right w:w="108" w:type="dxa"/>
          </w:tblCellMar>
        </w:tblPrEx>
        <w:trPr>
          <w:trHeight w:val="7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2</w:t>
            </w:r>
          </w:p>
        </w:tc>
        <w:tc>
          <w:tcPr>
            <w:tcW w:w="5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绿化固碳</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直观展示固碳量，绿化面积数量，点击跳转到绿化固碳子数字看板。</w:t>
            </w:r>
          </w:p>
        </w:tc>
      </w:tr>
      <w:tr>
        <w:tblPrEx>
          <w:tblCellMar>
            <w:top w:w="0" w:type="dxa"/>
            <w:left w:w="108" w:type="dxa"/>
            <w:bottom w:w="0" w:type="dxa"/>
            <w:right w:w="108" w:type="dxa"/>
          </w:tblCellMar>
        </w:tblPrEx>
        <w:trPr>
          <w:trHeight w:val="7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3</w:t>
            </w:r>
          </w:p>
        </w:tc>
        <w:tc>
          <w:tcPr>
            <w:tcW w:w="5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喷雾降温</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直观展示环境温度、湿度、喷雾降温覆盖面积点击跳转到喷雾降温子数字看板。</w:t>
            </w:r>
          </w:p>
        </w:tc>
      </w:tr>
      <w:tr>
        <w:tblPrEx>
          <w:tblCellMar>
            <w:top w:w="0" w:type="dxa"/>
            <w:left w:w="108" w:type="dxa"/>
            <w:bottom w:w="0" w:type="dxa"/>
            <w:right w:w="108" w:type="dxa"/>
          </w:tblCellMar>
        </w:tblPrEx>
        <w:trPr>
          <w:trHeight w:val="6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4</w:t>
            </w:r>
          </w:p>
        </w:tc>
        <w:tc>
          <w:tcPr>
            <w:tcW w:w="5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低碳公厕</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直观展示节水量、中水回用量、使用次数，点击跳转到低碳公厕子数字看板。</w:t>
            </w:r>
          </w:p>
        </w:tc>
      </w:tr>
      <w:tr>
        <w:tblPrEx>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eastAsia="宋体"/>
                <w:color w:val="000000"/>
                <w:szCs w:val="24"/>
                <w:lang w:eastAsia="zh-CN"/>
              </w:rPr>
            </w:pPr>
            <w:r>
              <w:rPr>
                <w:rFonts w:hint="eastAsia"/>
                <w:color w:val="000000"/>
                <w:kern w:val="0"/>
                <w:sz w:val="24"/>
                <w:szCs w:val="24"/>
                <w:lang w:val="en-US" w:eastAsia="zh-CN"/>
              </w:rPr>
              <w:t>5</w:t>
            </w:r>
          </w:p>
        </w:tc>
        <w:tc>
          <w:tcPr>
            <w:tcW w:w="5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照明广场</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直观展示太阳能覆盖数量、用电量。</w:t>
            </w:r>
          </w:p>
        </w:tc>
      </w:tr>
      <w:tr>
        <w:tblPrEx>
          <w:tblCellMar>
            <w:top w:w="0" w:type="dxa"/>
            <w:left w:w="108" w:type="dxa"/>
            <w:bottom w:w="0" w:type="dxa"/>
            <w:right w:w="108" w:type="dxa"/>
          </w:tblCellMar>
        </w:tblPrEx>
        <w:trPr>
          <w:trHeight w:val="7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eastAsia="宋体"/>
                <w:color w:val="000000"/>
                <w:szCs w:val="24"/>
                <w:lang w:eastAsia="zh-CN"/>
              </w:rPr>
            </w:pPr>
            <w:r>
              <w:rPr>
                <w:rFonts w:hint="eastAsia"/>
                <w:color w:val="000000"/>
                <w:kern w:val="0"/>
                <w:sz w:val="24"/>
                <w:szCs w:val="24"/>
                <w:lang w:val="en-US" w:eastAsia="zh-CN"/>
              </w:rPr>
              <w:t>6</w:t>
            </w:r>
          </w:p>
        </w:tc>
        <w:tc>
          <w:tcPr>
            <w:tcW w:w="5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污水净化</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直观展示污水处理量、中水量、河道水质点击跳转到污水净化子数字看板。</w:t>
            </w:r>
          </w:p>
        </w:tc>
      </w:tr>
      <w:tr>
        <w:tblPrEx>
          <w:tblCellMar>
            <w:top w:w="0" w:type="dxa"/>
            <w:left w:w="108" w:type="dxa"/>
            <w:bottom w:w="0" w:type="dxa"/>
            <w:right w:w="108" w:type="dxa"/>
          </w:tblCellMar>
        </w:tblPrEx>
        <w:trPr>
          <w:trHeight w:val="76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eastAsia="宋体"/>
                <w:color w:val="000000"/>
                <w:szCs w:val="24"/>
                <w:lang w:eastAsia="zh-CN"/>
              </w:rPr>
            </w:pPr>
            <w:r>
              <w:rPr>
                <w:rFonts w:hint="eastAsia"/>
                <w:color w:val="000000"/>
                <w:kern w:val="0"/>
                <w:sz w:val="24"/>
                <w:szCs w:val="24"/>
                <w:lang w:val="en-US" w:eastAsia="zh-CN"/>
              </w:rPr>
              <w:t>7</w:t>
            </w:r>
          </w:p>
        </w:tc>
        <w:tc>
          <w:tcPr>
            <w:tcW w:w="5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能源补充</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直观展示日均、月均补充量点击跳转到能源补充子数字看板。</w:t>
            </w:r>
          </w:p>
        </w:tc>
      </w:tr>
      <w:tr>
        <w:tblPrEx>
          <w:tblCellMar>
            <w:top w:w="0" w:type="dxa"/>
            <w:left w:w="108" w:type="dxa"/>
            <w:bottom w:w="0" w:type="dxa"/>
            <w:right w:w="108" w:type="dxa"/>
          </w:tblCellMar>
        </w:tblPrEx>
        <w:trPr>
          <w:trHeight w:val="7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8</w:t>
            </w:r>
          </w:p>
        </w:tc>
        <w:tc>
          <w:tcPr>
            <w:tcW w:w="5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雨水收集</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直观展示雨水收集量、水质数据点击跳转到雨水收集子数字看板。</w:t>
            </w:r>
          </w:p>
        </w:tc>
      </w:tr>
      <w:tr>
        <w:tblPrEx>
          <w:tblCellMar>
            <w:top w:w="0" w:type="dxa"/>
            <w:left w:w="108" w:type="dxa"/>
            <w:bottom w:w="0" w:type="dxa"/>
            <w:right w:w="108" w:type="dxa"/>
          </w:tblCellMar>
        </w:tblPrEx>
        <w:trPr>
          <w:trHeight w:val="9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9</w:t>
            </w:r>
          </w:p>
        </w:tc>
        <w:tc>
          <w:tcPr>
            <w:tcW w:w="5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建筑节能</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 w:val="24"/>
                <w:szCs w:val="24"/>
              </w:rPr>
            </w:pPr>
            <w:r>
              <w:rPr>
                <w:rFonts w:hint="eastAsia" w:ascii="宋体" w:hAnsi="宋体" w:cs="宋体"/>
                <w:color w:val="000000"/>
                <w:kern w:val="0"/>
                <w:sz w:val="24"/>
                <w:szCs w:val="24"/>
              </w:rPr>
              <w:t>通过传感器，监测房屋的湿度，对常规建筑进行对比；</w:t>
            </w:r>
          </w:p>
          <w:p>
            <w:pPr>
              <w:textAlignment w:val="center"/>
              <w:rPr>
                <w:rFonts w:ascii="宋体" w:hAnsi="宋体" w:cs="宋体"/>
                <w:color w:val="000000"/>
                <w:szCs w:val="24"/>
              </w:rPr>
            </w:pPr>
            <w:r>
              <w:rPr>
                <w:rFonts w:hint="eastAsia" w:ascii="宋体" w:hAnsi="宋体" w:cs="宋体"/>
                <w:color w:val="000000"/>
                <w:kern w:val="0"/>
                <w:sz w:val="24"/>
                <w:szCs w:val="24"/>
              </w:rPr>
              <w:t>统计太阳能转化成电能的电量。</w:t>
            </w:r>
          </w:p>
        </w:tc>
      </w:tr>
      <w:tr>
        <w:tblPrEx>
          <w:tblCellMar>
            <w:top w:w="0" w:type="dxa"/>
            <w:left w:w="108" w:type="dxa"/>
            <w:bottom w:w="0" w:type="dxa"/>
            <w:right w:w="108" w:type="dxa"/>
          </w:tblCellMar>
        </w:tblPrEx>
        <w:trPr>
          <w:trHeight w:val="5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10</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透水地材</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透水地材介绍</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透水地材技术介绍、应用原理、达到成效等。</w:t>
            </w:r>
          </w:p>
        </w:tc>
      </w:tr>
      <w:tr>
        <w:tblPrEx>
          <w:tblCellMar>
            <w:top w:w="0" w:type="dxa"/>
            <w:left w:w="108" w:type="dxa"/>
            <w:bottom w:w="0" w:type="dxa"/>
            <w:right w:w="108" w:type="dxa"/>
          </w:tblCellMar>
        </w:tblPrEx>
        <w:trPr>
          <w:trHeight w:val="10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11</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数据展示</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展示铺设面积、透水量、效益价值量化数据等。联动</w:t>
            </w:r>
            <w:r>
              <w:rPr>
                <w:color w:val="000000"/>
                <w:kern w:val="0"/>
                <w:sz w:val="24"/>
                <w:szCs w:val="24"/>
              </w:rPr>
              <w:t>3D</w:t>
            </w:r>
            <w:r>
              <w:rPr>
                <w:rFonts w:hint="eastAsia" w:ascii="宋体" w:hAnsi="宋体" w:cs="宋体"/>
                <w:color w:val="000000"/>
                <w:kern w:val="0"/>
                <w:sz w:val="24"/>
                <w:szCs w:val="24"/>
              </w:rPr>
              <w:t>建模，高亮展示模型中，透水地材铺设的实际点位。</w:t>
            </w:r>
          </w:p>
        </w:tc>
      </w:tr>
      <w:tr>
        <w:tblPrEx>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12</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绿化固碳</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绿化固碳介绍</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绿化固碳应用原理、预期成效等。</w:t>
            </w:r>
          </w:p>
        </w:tc>
      </w:tr>
      <w:tr>
        <w:tblPrEx>
          <w:tblCellMar>
            <w:top w:w="0" w:type="dxa"/>
            <w:left w:w="108" w:type="dxa"/>
            <w:bottom w:w="0" w:type="dxa"/>
            <w:right w:w="108" w:type="dxa"/>
          </w:tblCellMar>
        </w:tblPrEx>
        <w:trPr>
          <w:trHeight w:val="6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13</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数据展示</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绿化面积、棵树、固碳量等。</w:t>
            </w:r>
          </w:p>
        </w:tc>
      </w:tr>
      <w:tr>
        <w:tblPrEx>
          <w:tblCellMar>
            <w:top w:w="0" w:type="dxa"/>
            <w:left w:w="108" w:type="dxa"/>
            <w:bottom w:w="0" w:type="dxa"/>
            <w:right w:w="108" w:type="dxa"/>
          </w:tblCellMar>
        </w:tblPrEx>
        <w:trPr>
          <w:trHeight w:val="6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14</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喷雾降温</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喷雾降温介绍</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喷雾降温应用原理、预期成效等，并支持与</w:t>
            </w:r>
            <w:r>
              <w:rPr>
                <w:color w:val="000000"/>
                <w:kern w:val="0"/>
                <w:sz w:val="24"/>
                <w:szCs w:val="24"/>
              </w:rPr>
              <w:t>3D</w:t>
            </w:r>
            <w:r>
              <w:rPr>
                <w:rFonts w:hint="eastAsia" w:ascii="宋体" w:hAnsi="宋体" w:cs="宋体"/>
                <w:color w:val="000000"/>
                <w:kern w:val="0"/>
                <w:sz w:val="24"/>
                <w:szCs w:val="24"/>
              </w:rPr>
              <w:t>建模联动，展示智慧喷雾的效果。</w:t>
            </w:r>
          </w:p>
        </w:tc>
      </w:tr>
      <w:tr>
        <w:tblPrEx>
          <w:tblCellMar>
            <w:top w:w="0" w:type="dxa"/>
            <w:left w:w="108" w:type="dxa"/>
            <w:bottom w:w="0" w:type="dxa"/>
            <w:right w:w="108" w:type="dxa"/>
          </w:tblCellMar>
        </w:tblPrEx>
        <w:trPr>
          <w:trHeight w:val="7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15</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数据展示</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喷雾降温覆盖面积、环境温度，统计喷雾降温的用电、用水量。</w:t>
            </w:r>
          </w:p>
        </w:tc>
      </w:tr>
      <w:tr>
        <w:tblPrEx>
          <w:tblCellMar>
            <w:top w:w="0" w:type="dxa"/>
            <w:left w:w="108" w:type="dxa"/>
            <w:bottom w:w="0" w:type="dxa"/>
            <w:right w:w="108" w:type="dxa"/>
          </w:tblCellMar>
        </w:tblPrEx>
        <w:trPr>
          <w:trHeight w:val="5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16</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低碳公厕</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低碳公厕介绍</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低碳公厕应用原理、预期成效等。</w:t>
            </w:r>
          </w:p>
        </w:tc>
      </w:tr>
      <w:tr>
        <w:tblPrEx>
          <w:tblCellMar>
            <w:top w:w="0" w:type="dxa"/>
            <w:left w:w="108" w:type="dxa"/>
            <w:bottom w:w="0" w:type="dxa"/>
            <w:right w:w="108" w:type="dxa"/>
          </w:tblCellMar>
        </w:tblPrEx>
        <w:trPr>
          <w:trHeight w:val="10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17</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数据展示</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 w:val="24"/>
                <w:szCs w:val="24"/>
              </w:rPr>
            </w:pPr>
            <w:r>
              <w:rPr>
                <w:rFonts w:hint="eastAsia" w:ascii="宋体" w:hAnsi="宋体" w:cs="宋体"/>
                <w:color w:val="000000"/>
                <w:kern w:val="0"/>
                <w:sz w:val="24"/>
                <w:szCs w:val="24"/>
              </w:rPr>
              <w:t>展示节水量、中水回用量、使用次数；</w:t>
            </w:r>
          </w:p>
          <w:p>
            <w:pPr>
              <w:textAlignment w:val="center"/>
              <w:rPr>
                <w:rFonts w:ascii="宋体" w:hAnsi="宋体" w:cs="宋体"/>
                <w:color w:val="000000"/>
                <w:szCs w:val="24"/>
              </w:rPr>
            </w:pPr>
            <w:r>
              <w:rPr>
                <w:rFonts w:hint="eastAsia" w:ascii="宋体" w:hAnsi="宋体" w:cs="宋体"/>
                <w:color w:val="000000"/>
                <w:kern w:val="0"/>
                <w:sz w:val="24"/>
                <w:szCs w:val="24"/>
              </w:rPr>
              <w:t>通过人流检测，统计厕位使用情况，结合用水量，反馈厕 位釉面材料的环保性能。</w:t>
            </w:r>
          </w:p>
        </w:tc>
      </w:tr>
      <w:tr>
        <w:tblPrEx>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18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垃圾处理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垃圾</w:t>
            </w:r>
            <w:r>
              <w:rPr>
                <w:rFonts w:hint="eastAsia" w:ascii="宋体" w:hAnsi="宋体" w:cs="宋体"/>
                <w:color w:val="000000"/>
                <w:kern w:val="0"/>
                <w:sz w:val="24"/>
                <w:szCs w:val="24"/>
                <w:lang w:val="en-US" w:eastAsia="zh-CN"/>
              </w:rPr>
              <w:t>分类</w:t>
            </w:r>
            <w:r>
              <w:rPr>
                <w:rFonts w:hint="eastAsia" w:ascii="宋体" w:hAnsi="宋体" w:cs="宋体"/>
                <w:color w:val="000000"/>
                <w:kern w:val="0"/>
                <w:sz w:val="24"/>
                <w:szCs w:val="24"/>
              </w:rPr>
              <w:t>介绍</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宋体" w:hAnsi="宋体" w:eastAsia="宋体" w:cs="宋体"/>
                <w:color w:val="000000"/>
                <w:szCs w:val="24"/>
                <w:lang w:val="en-US" w:eastAsia="zh-CN"/>
              </w:rPr>
            </w:pPr>
            <w:r>
              <w:rPr>
                <w:rFonts w:hint="eastAsia" w:ascii="宋体" w:hAnsi="宋体" w:cs="宋体"/>
                <w:color w:val="000000"/>
                <w:kern w:val="0"/>
                <w:sz w:val="24"/>
                <w:szCs w:val="24"/>
              </w:rPr>
              <w:t>垃圾分类宣传</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介绍</w:t>
            </w:r>
          </w:p>
        </w:tc>
      </w:tr>
      <w:tr>
        <w:tblPrEx>
          <w:tblCellMar>
            <w:top w:w="0" w:type="dxa"/>
            <w:left w:w="108" w:type="dxa"/>
            <w:bottom w:w="0" w:type="dxa"/>
            <w:right w:w="108" w:type="dxa"/>
          </w:tblCellMar>
        </w:tblPrEx>
        <w:trPr>
          <w:trHeight w:val="5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19</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照明广场</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照明广场介绍</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太阳能路灯应用原理、预期成效等。</w:t>
            </w:r>
          </w:p>
        </w:tc>
      </w:tr>
      <w:tr>
        <w:tblPrEx>
          <w:tblCellMar>
            <w:top w:w="0" w:type="dxa"/>
            <w:left w:w="108" w:type="dxa"/>
            <w:bottom w:w="0" w:type="dxa"/>
            <w:right w:w="108" w:type="dxa"/>
          </w:tblCellMar>
        </w:tblPrEx>
        <w:trPr>
          <w:trHeight w:val="7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21</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数据展示</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对路灯的能耗进行监测，与传统路灯进行对比，分析节能效果。</w:t>
            </w:r>
          </w:p>
        </w:tc>
      </w:tr>
      <w:tr>
        <w:tblPrEx>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22</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污水净化</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污水净化介绍</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污水净化应用原理、污水处理的流程、预期成效等。</w:t>
            </w:r>
          </w:p>
        </w:tc>
      </w:tr>
      <w:tr>
        <w:tblPrEx>
          <w:tblCellMar>
            <w:top w:w="0" w:type="dxa"/>
            <w:left w:w="108" w:type="dxa"/>
            <w:bottom w:w="0" w:type="dxa"/>
            <w:right w:w="108" w:type="dxa"/>
          </w:tblCellMar>
        </w:tblPrEx>
        <w:trPr>
          <w:trHeight w:val="9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23</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数据展示</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对接污水处理设备，展示污水处理量、污水处理前后水质对比数据，以及污水处理后中水回用量。</w:t>
            </w:r>
          </w:p>
        </w:tc>
      </w:tr>
      <w:tr>
        <w:tblPrEx>
          <w:tblCellMar>
            <w:top w:w="0" w:type="dxa"/>
            <w:left w:w="108" w:type="dxa"/>
            <w:bottom w:w="0" w:type="dxa"/>
            <w:right w:w="108" w:type="dxa"/>
          </w:tblCellMar>
        </w:tblPrEx>
        <w:trPr>
          <w:trHeight w:val="6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24</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能源补充</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能源补充介绍</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太阳能系统应用原理、预期成效以及联动</w:t>
            </w:r>
            <w:r>
              <w:rPr>
                <w:color w:val="000000"/>
                <w:kern w:val="0"/>
                <w:sz w:val="24"/>
                <w:szCs w:val="24"/>
              </w:rPr>
              <w:t>3D</w:t>
            </w:r>
            <w:r>
              <w:rPr>
                <w:rFonts w:hint="eastAsia" w:ascii="宋体" w:hAnsi="宋体" w:cs="宋体"/>
                <w:color w:val="000000"/>
                <w:kern w:val="0"/>
                <w:sz w:val="24"/>
                <w:szCs w:val="24"/>
              </w:rPr>
              <w:t>建模展示太阳能系统具体安装位置、面积等。</w:t>
            </w:r>
          </w:p>
        </w:tc>
      </w:tr>
      <w:tr>
        <w:tblPrEx>
          <w:tblCellMar>
            <w:top w:w="0" w:type="dxa"/>
            <w:left w:w="108" w:type="dxa"/>
            <w:bottom w:w="0" w:type="dxa"/>
            <w:right w:w="108" w:type="dxa"/>
          </w:tblCellMar>
        </w:tblPrEx>
        <w:trPr>
          <w:trHeight w:val="9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25</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数据展示</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通过智能水表采集热水实际使用量，通过计算电能转化成热能所需要的用电量，来分析节能情况。</w:t>
            </w:r>
          </w:p>
        </w:tc>
      </w:tr>
      <w:tr>
        <w:tblPrEx>
          <w:tblCellMar>
            <w:top w:w="0" w:type="dxa"/>
            <w:left w:w="108" w:type="dxa"/>
            <w:bottom w:w="0" w:type="dxa"/>
            <w:right w:w="108" w:type="dxa"/>
          </w:tblCellMar>
        </w:tblPrEx>
        <w:trPr>
          <w:trHeight w:val="6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26</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雨水收集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雨水收集介绍</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雨水收集应用原理、预期成效等。</w:t>
            </w:r>
          </w:p>
        </w:tc>
      </w:tr>
      <w:tr>
        <w:tblPrEx>
          <w:tblCellMar>
            <w:top w:w="0" w:type="dxa"/>
            <w:left w:w="108" w:type="dxa"/>
            <w:bottom w:w="0" w:type="dxa"/>
            <w:right w:w="108" w:type="dxa"/>
          </w:tblCellMar>
        </w:tblPrEx>
        <w:trPr>
          <w:trHeight w:val="11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27</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数据展示</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 w:val="24"/>
                <w:szCs w:val="24"/>
              </w:rPr>
            </w:pPr>
            <w:r>
              <w:rPr>
                <w:rFonts w:hint="eastAsia" w:ascii="宋体" w:hAnsi="宋体" w:cs="宋体"/>
                <w:color w:val="000000"/>
                <w:kern w:val="0"/>
                <w:sz w:val="24"/>
                <w:szCs w:val="24"/>
              </w:rPr>
              <w:t>对接雨水收集系统，监测雨水收集量；</w:t>
            </w:r>
          </w:p>
          <w:p>
            <w:pPr>
              <w:textAlignment w:val="center"/>
              <w:rPr>
                <w:rFonts w:ascii="宋体" w:hAnsi="宋体" w:cs="宋体"/>
                <w:color w:val="000000"/>
                <w:kern w:val="0"/>
                <w:sz w:val="24"/>
                <w:szCs w:val="24"/>
              </w:rPr>
            </w:pPr>
            <w:r>
              <w:rPr>
                <w:rFonts w:hint="eastAsia" w:ascii="宋体" w:hAnsi="宋体" w:cs="宋体"/>
                <w:color w:val="000000"/>
                <w:kern w:val="0"/>
                <w:sz w:val="24"/>
                <w:szCs w:val="24"/>
              </w:rPr>
              <w:t>通过安装液位传感器，实时监测雨水收集池的水位情况；</w:t>
            </w:r>
          </w:p>
          <w:p>
            <w:pPr>
              <w:textAlignment w:val="center"/>
              <w:rPr>
                <w:rFonts w:ascii="宋体" w:hAnsi="宋体" w:cs="宋体"/>
                <w:color w:val="000000"/>
                <w:szCs w:val="24"/>
              </w:rPr>
            </w:pPr>
            <w:r>
              <w:rPr>
                <w:rFonts w:hint="eastAsia" w:ascii="宋体" w:hAnsi="宋体" w:cs="宋体"/>
                <w:color w:val="000000"/>
                <w:kern w:val="0"/>
                <w:sz w:val="24"/>
                <w:szCs w:val="24"/>
              </w:rPr>
              <w:t>监测雨水水质，并实现智能预警，展示历史预警的数据。</w:t>
            </w:r>
          </w:p>
        </w:tc>
      </w:tr>
      <w:tr>
        <w:tblPrEx>
          <w:tblCellMar>
            <w:top w:w="0" w:type="dxa"/>
            <w:left w:w="108" w:type="dxa"/>
            <w:bottom w:w="0" w:type="dxa"/>
            <w:right w:w="108" w:type="dxa"/>
          </w:tblCellMar>
        </w:tblPrEx>
        <w:trPr>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28</w:t>
            </w:r>
          </w:p>
        </w:tc>
        <w:tc>
          <w:tcPr>
            <w:tcW w:w="571" w:type="pct"/>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建筑节能</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建筑节能介绍</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建筑节能材料应用原理、预期成效等。</w:t>
            </w:r>
          </w:p>
        </w:tc>
      </w:tr>
      <w:tr>
        <w:tblPrEx>
          <w:tblCellMar>
            <w:top w:w="0" w:type="dxa"/>
            <w:left w:w="108" w:type="dxa"/>
            <w:bottom w:w="0" w:type="dxa"/>
            <w:right w:w="108" w:type="dxa"/>
          </w:tblCellMar>
        </w:tblPrEx>
        <w:trPr>
          <w:trHeight w:val="9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29</w:t>
            </w:r>
          </w:p>
        </w:tc>
        <w:tc>
          <w:tcPr>
            <w:tcW w:w="5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数据展示</w:t>
            </w:r>
          </w:p>
        </w:tc>
        <w:tc>
          <w:tcPr>
            <w:tcW w:w="3429" w:type="pct"/>
            <w:tcBorders>
              <w:top w:val="single" w:color="000000" w:sz="4" w:space="0"/>
              <w:left w:val="single" w:color="000000" w:sz="4" w:space="0"/>
              <w:bottom w:val="single" w:color="000000" w:sz="4" w:space="0"/>
              <w:right w:val="single" w:color="auto"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通过传感器，监测房屋的湿度，对常规建筑进行对比；</w:t>
            </w:r>
          </w:p>
        </w:tc>
      </w:tr>
      <w:tr>
        <w:tblPrEx>
          <w:tblCellMar>
            <w:top w:w="0" w:type="dxa"/>
            <w:left w:w="108" w:type="dxa"/>
            <w:bottom w:w="0" w:type="dxa"/>
            <w:right w:w="108" w:type="dxa"/>
          </w:tblCellMar>
        </w:tblPrEx>
        <w:trPr>
          <w:trHeight w:val="345" w:hRule="atLeast"/>
        </w:trPr>
        <w:tc>
          <w:tcPr>
            <w:tcW w:w="5000"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center"/>
              <w:rPr>
                <w:b/>
                <w:bCs/>
                <w:color w:val="000000"/>
                <w:szCs w:val="24"/>
              </w:rPr>
            </w:pPr>
            <w:r>
              <w:rPr>
                <w:b/>
                <w:bCs/>
                <w:color w:val="000000"/>
                <w:kern w:val="0"/>
                <w:sz w:val="24"/>
                <w:szCs w:val="24"/>
              </w:rPr>
              <w:t xml:space="preserve">2.1.3  </w:t>
            </w:r>
            <w:r>
              <w:rPr>
                <w:rFonts w:hint="eastAsia" w:ascii="宋体" w:hAnsi="宋体" w:cs="宋体"/>
                <w:b/>
                <w:bCs/>
                <w:color w:val="000000"/>
                <w:kern w:val="0"/>
                <w:sz w:val="24"/>
                <w:szCs w:val="24"/>
              </w:rPr>
              <w:t>智能硬件管理后台</w:t>
            </w:r>
          </w:p>
        </w:tc>
      </w:tr>
      <w:tr>
        <w:tblPrEx>
          <w:tblCellMar>
            <w:top w:w="0" w:type="dxa"/>
            <w:left w:w="108" w:type="dxa"/>
            <w:bottom w:w="0" w:type="dxa"/>
            <w:right w:w="108" w:type="dxa"/>
          </w:tblCellMar>
        </w:tblPrEx>
        <w:trPr>
          <w:trHeight w:val="7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可视化工作台</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可视化工作台</w:t>
            </w:r>
          </w:p>
        </w:tc>
        <w:tc>
          <w:tcPr>
            <w:tcW w:w="3429" w:type="pct"/>
            <w:tcBorders>
              <w:top w:val="single" w:color="000000" w:sz="4" w:space="0"/>
              <w:left w:val="single" w:color="000000" w:sz="4" w:space="0"/>
              <w:bottom w:val="single" w:color="000000" w:sz="4" w:space="0"/>
              <w:right w:val="single" w:color="auto"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通过设备类型，形成可视化操作工作台。</w:t>
            </w:r>
          </w:p>
        </w:tc>
      </w:tr>
      <w:tr>
        <w:tblPrEx>
          <w:tblCellMar>
            <w:top w:w="0" w:type="dxa"/>
            <w:left w:w="108" w:type="dxa"/>
            <w:bottom w:w="0" w:type="dxa"/>
            <w:right w:w="108" w:type="dxa"/>
          </w:tblCellMar>
        </w:tblPrEx>
        <w:trPr>
          <w:trHeight w:val="57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设备管理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设备管理</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提供对接入的设备进行配置功能，包括初始化、设置参数以及实时查看设备运行情况等操作。</w:t>
            </w:r>
          </w:p>
        </w:tc>
      </w:tr>
      <w:tr>
        <w:tblPrEx>
          <w:tblCellMar>
            <w:top w:w="0" w:type="dxa"/>
            <w:left w:w="108" w:type="dxa"/>
            <w:bottom w:w="0" w:type="dxa"/>
            <w:right w:w="108" w:type="dxa"/>
          </w:tblCellMar>
        </w:tblPrEx>
        <w:trPr>
          <w:trHeight w:val="57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告警设置</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告警设置</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可进行异常告警的配置，包括告警模板配置、告警人员以及告警阀值等操作。</w:t>
            </w:r>
          </w:p>
        </w:tc>
      </w:tr>
      <w:tr>
        <w:tblPrEx>
          <w:tblCellMar>
            <w:top w:w="0" w:type="dxa"/>
            <w:left w:w="108" w:type="dxa"/>
            <w:bottom w:w="0" w:type="dxa"/>
            <w:right w:w="108" w:type="dxa"/>
          </w:tblCellMar>
        </w:tblPrEx>
        <w:trPr>
          <w:trHeight w:val="117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设备运行监控</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设备运行监控</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可进行对设备监控以及运行任务等运行结果显示。可对监控结果的详情查看，前置服务的启停操作，总控的重启操作，设备的授权以及远程开</w:t>
            </w:r>
            <w:r>
              <w:rPr>
                <w:color w:val="000000"/>
                <w:kern w:val="0"/>
                <w:sz w:val="24"/>
                <w:szCs w:val="24"/>
              </w:rPr>
              <w:t>/</w:t>
            </w:r>
            <w:r>
              <w:rPr>
                <w:rFonts w:hint="eastAsia" w:ascii="宋体" w:hAnsi="宋体" w:cs="宋体"/>
                <w:color w:val="000000"/>
                <w:kern w:val="0"/>
                <w:sz w:val="24"/>
                <w:szCs w:val="24"/>
              </w:rPr>
              <w:t>关操作，异常告警记录的查看等操作。</w:t>
            </w:r>
          </w:p>
        </w:tc>
      </w:tr>
      <w:tr>
        <w:tblPrEx>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操作管理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操作管理</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可实现账户分层管理，提供绑定、解绑设备等操作</w:t>
            </w:r>
          </w:p>
        </w:tc>
      </w:tr>
      <w:tr>
        <w:tblPrEx>
          <w:tblCellMar>
            <w:top w:w="0" w:type="dxa"/>
            <w:left w:w="108" w:type="dxa"/>
            <w:bottom w:w="0" w:type="dxa"/>
            <w:right w:w="108" w:type="dxa"/>
          </w:tblCellMar>
        </w:tblPrEx>
        <w:trPr>
          <w:trHeight w:val="57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设备分析</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设备分析</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可查看硬件设备在线数量的统计报表，设备在线率走势图表。</w:t>
            </w:r>
          </w:p>
        </w:tc>
      </w:tr>
      <w:tr>
        <w:tblPrEx>
          <w:tblCellMar>
            <w:top w:w="0" w:type="dxa"/>
            <w:left w:w="108" w:type="dxa"/>
            <w:bottom w:w="0" w:type="dxa"/>
            <w:right w:w="108" w:type="dxa"/>
          </w:tblCellMar>
        </w:tblPrEx>
        <w:trPr>
          <w:trHeight w:val="57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7</w:t>
            </w:r>
          </w:p>
        </w:tc>
        <w:tc>
          <w:tcPr>
            <w:tcW w:w="571" w:type="pct"/>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系统集成</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智慧喷雾设备对接</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对接智慧喷雾系统，包含智慧喷雾设备的远程控制以及根据温度、人流量的联动喷雾系统。</w:t>
            </w:r>
          </w:p>
        </w:tc>
      </w:tr>
      <w:tr>
        <w:tblPrEx>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4"/>
                <w:lang w:val="en-US" w:eastAsia="zh-CN"/>
              </w:rPr>
            </w:pPr>
            <w:r>
              <w:rPr>
                <w:rFonts w:hint="eastAsia" w:ascii="宋体" w:hAnsi="宋体" w:cs="宋体"/>
                <w:color w:val="000000"/>
                <w:szCs w:val="24"/>
                <w:lang w:val="en-US" w:eastAsia="zh-CN"/>
              </w:rPr>
              <w:t>8</w:t>
            </w:r>
          </w:p>
        </w:tc>
        <w:tc>
          <w:tcPr>
            <w:tcW w:w="5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视频监控</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对接人流量视频监控系统</w:t>
            </w:r>
          </w:p>
        </w:tc>
      </w:tr>
      <w:tr>
        <w:tblPrEx>
          <w:tblCellMar>
            <w:top w:w="0" w:type="dxa"/>
            <w:left w:w="108" w:type="dxa"/>
            <w:bottom w:w="0" w:type="dxa"/>
            <w:right w:w="108" w:type="dxa"/>
          </w:tblCellMar>
        </w:tblPrEx>
        <w:trPr>
          <w:trHeight w:val="57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eastAsia="宋体"/>
                <w:color w:val="000000"/>
                <w:szCs w:val="24"/>
                <w:lang w:eastAsia="zh-CN"/>
              </w:rPr>
            </w:pPr>
            <w:r>
              <w:rPr>
                <w:rFonts w:hint="eastAsia"/>
                <w:color w:val="000000"/>
                <w:kern w:val="0"/>
                <w:sz w:val="24"/>
                <w:szCs w:val="24"/>
                <w:lang w:val="en-US" w:eastAsia="zh-CN"/>
              </w:rPr>
              <w:t>9</w:t>
            </w:r>
          </w:p>
        </w:tc>
        <w:tc>
          <w:tcPr>
            <w:tcW w:w="5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智能照明设备对接</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未来厅、共富厅使用智能照明，通过统一对接，实现对灯光的开关、定时、状态查看等功能。</w:t>
            </w:r>
          </w:p>
        </w:tc>
      </w:tr>
      <w:tr>
        <w:tblPrEx>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eastAsia="宋体"/>
                <w:color w:val="000000"/>
                <w:szCs w:val="24"/>
                <w:lang w:val="en-US" w:eastAsia="zh-CN"/>
              </w:rPr>
            </w:pPr>
            <w:r>
              <w:rPr>
                <w:rFonts w:hint="eastAsia"/>
                <w:color w:val="000000"/>
                <w:kern w:val="0"/>
                <w:sz w:val="24"/>
                <w:szCs w:val="24"/>
                <w:lang w:val="en-US" w:eastAsia="zh-CN"/>
              </w:rPr>
              <w:t>10</w:t>
            </w:r>
          </w:p>
        </w:tc>
        <w:tc>
          <w:tcPr>
            <w:tcW w:w="5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温度传感器设备对接</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对接</w:t>
            </w:r>
            <w:r>
              <w:rPr>
                <w:color w:val="000000"/>
                <w:kern w:val="0"/>
                <w:sz w:val="24"/>
                <w:szCs w:val="24"/>
              </w:rPr>
              <w:t>NB</w:t>
            </w:r>
            <w:r>
              <w:rPr>
                <w:rFonts w:hint="eastAsia" w:ascii="宋体" w:hAnsi="宋体" w:cs="宋体"/>
                <w:color w:val="000000"/>
                <w:kern w:val="0"/>
                <w:sz w:val="24"/>
                <w:szCs w:val="24"/>
              </w:rPr>
              <w:t>温度传感器，实现统一管理，设备统一上云。</w:t>
            </w:r>
          </w:p>
        </w:tc>
      </w:tr>
      <w:tr>
        <w:tblPrEx>
          <w:tblCellMar>
            <w:top w:w="0" w:type="dxa"/>
            <w:left w:w="108" w:type="dxa"/>
            <w:bottom w:w="0" w:type="dxa"/>
            <w:right w:w="108" w:type="dxa"/>
          </w:tblCellMar>
        </w:tblPrEx>
        <w:trPr>
          <w:trHeight w:val="5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11</w:t>
            </w:r>
          </w:p>
        </w:tc>
        <w:tc>
          <w:tcPr>
            <w:tcW w:w="5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水质监测</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对接水质监测设备，实现数据实时采集。</w:t>
            </w:r>
          </w:p>
        </w:tc>
      </w:tr>
      <w:tr>
        <w:tblPrEx>
          <w:tblCellMar>
            <w:top w:w="0" w:type="dxa"/>
            <w:left w:w="108" w:type="dxa"/>
            <w:bottom w:w="0" w:type="dxa"/>
            <w:right w:w="108" w:type="dxa"/>
          </w:tblCellMar>
        </w:tblPrEx>
        <w:trPr>
          <w:trHeight w:val="85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eastAsia="宋体"/>
                <w:color w:val="000000"/>
                <w:szCs w:val="24"/>
                <w:lang w:eastAsia="zh-CN"/>
              </w:rPr>
            </w:pPr>
            <w:r>
              <w:rPr>
                <w:color w:val="000000"/>
                <w:kern w:val="0"/>
                <w:sz w:val="24"/>
                <w:szCs w:val="24"/>
              </w:rPr>
              <w:t>1</w:t>
            </w:r>
            <w:r>
              <w:rPr>
                <w:rFonts w:hint="eastAsia"/>
                <w:color w:val="000000"/>
                <w:kern w:val="0"/>
                <w:sz w:val="24"/>
                <w:szCs w:val="24"/>
                <w:lang w:val="en-US" w:eastAsia="zh-CN"/>
              </w:rPr>
              <w:t>2</w:t>
            </w:r>
          </w:p>
        </w:tc>
        <w:tc>
          <w:tcPr>
            <w:tcW w:w="5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中水回用系统对接</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对接东坞低碳的中水回用系统的对接，包含设备状态、设备操作启停、运行时间、设备故障、报错、收集量等数据。</w:t>
            </w:r>
          </w:p>
        </w:tc>
      </w:tr>
      <w:tr>
        <w:tblPrEx>
          <w:tblCellMar>
            <w:top w:w="0" w:type="dxa"/>
            <w:left w:w="108" w:type="dxa"/>
            <w:bottom w:w="0" w:type="dxa"/>
            <w:right w:w="108" w:type="dxa"/>
          </w:tblCellMar>
        </w:tblPrEx>
        <w:trPr>
          <w:trHeight w:val="199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eastAsia="宋体"/>
                <w:color w:val="000000"/>
                <w:szCs w:val="24"/>
                <w:lang w:eastAsia="zh-CN"/>
              </w:rPr>
            </w:pPr>
            <w:r>
              <w:rPr>
                <w:color w:val="000000"/>
                <w:kern w:val="0"/>
                <w:sz w:val="24"/>
                <w:szCs w:val="24"/>
              </w:rPr>
              <w:t>1</w:t>
            </w:r>
            <w:r>
              <w:rPr>
                <w:rFonts w:hint="eastAsia"/>
                <w:color w:val="000000"/>
                <w:kern w:val="0"/>
                <w:sz w:val="24"/>
                <w:szCs w:val="24"/>
                <w:lang w:val="en-US" w:eastAsia="zh-CN"/>
              </w:rPr>
              <w:t>3</w:t>
            </w:r>
          </w:p>
        </w:tc>
        <w:tc>
          <w:tcPr>
            <w:tcW w:w="57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Cs w:val="24"/>
              </w:rPr>
            </w:pPr>
          </w:p>
        </w:tc>
        <w:tc>
          <w:tcPr>
            <w:tcW w:w="713"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污水净化设备对接</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 w:val="24"/>
                <w:szCs w:val="24"/>
              </w:rPr>
            </w:pPr>
            <w:r>
              <w:rPr>
                <w:rFonts w:hint="eastAsia" w:ascii="宋体" w:hAnsi="宋体" w:cs="宋体"/>
                <w:color w:val="000000"/>
                <w:kern w:val="0"/>
                <w:sz w:val="24"/>
                <w:szCs w:val="24"/>
              </w:rPr>
              <w:t>对接东坞低碳的污水处理设备，实现实时监测、数据采集与查询、自动检测、自动保护、自动控制、远程调控等功能，通过远程互联网信息收集、调控管理；</w:t>
            </w:r>
          </w:p>
          <w:p>
            <w:pPr>
              <w:textAlignment w:val="center"/>
              <w:rPr>
                <w:rFonts w:ascii="宋体" w:hAnsi="宋体" w:cs="宋体"/>
                <w:color w:val="000000"/>
                <w:szCs w:val="24"/>
              </w:rPr>
            </w:pPr>
            <w:r>
              <w:rPr>
                <w:rFonts w:hint="eastAsia" w:ascii="宋体" w:hAnsi="宋体" w:cs="宋体"/>
                <w:color w:val="000000"/>
                <w:kern w:val="0"/>
                <w:sz w:val="24"/>
                <w:szCs w:val="24"/>
              </w:rPr>
              <w:t>在线监测设备探头，实时传送各阶段数据，整合静态数据、动态数据和生产管理数据，以现实厂区的数字化镜像以三维虚拟模型为基本呈现形式，精准映射还原水厂全生命周期运行过程。</w:t>
            </w:r>
          </w:p>
        </w:tc>
      </w:tr>
    </w:tbl>
    <w:p>
      <w:r>
        <w:rPr>
          <w:rFonts w:hint="eastAsia"/>
        </w:rPr>
        <w:t>4、十项低碳技术室外工程硬件建设</w:t>
      </w:r>
    </w:p>
    <w:tbl>
      <w:tblPr>
        <w:tblStyle w:val="27"/>
        <w:tblW w:w="5474" w:type="pct"/>
        <w:tblInd w:w="-5" w:type="dxa"/>
        <w:tblLayout w:type="fixed"/>
        <w:tblCellMar>
          <w:top w:w="0" w:type="dxa"/>
          <w:left w:w="108" w:type="dxa"/>
          <w:bottom w:w="0" w:type="dxa"/>
          <w:right w:w="108" w:type="dxa"/>
        </w:tblCellMar>
      </w:tblPr>
      <w:tblGrid>
        <w:gridCol w:w="501"/>
        <w:gridCol w:w="801"/>
        <w:gridCol w:w="1469"/>
        <w:gridCol w:w="5374"/>
        <w:gridCol w:w="726"/>
        <w:gridCol w:w="874"/>
      </w:tblGrid>
      <w:tr>
        <w:tblPrEx>
          <w:tblCellMar>
            <w:top w:w="0" w:type="dxa"/>
            <w:left w:w="108" w:type="dxa"/>
            <w:bottom w:w="0" w:type="dxa"/>
            <w:right w:w="108" w:type="dxa"/>
          </w:tblCellMar>
        </w:tblPrEx>
        <w:trPr>
          <w:trHeight w:val="58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序号</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应用名称</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设备名称</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规格配置详细说明</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单位</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数量</w:t>
            </w:r>
          </w:p>
        </w:tc>
      </w:tr>
      <w:tr>
        <w:tblPrEx>
          <w:tblCellMar>
            <w:top w:w="0" w:type="dxa"/>
            <w:left w:w="108" w:type="dxa"/>
            <w:bottom w:w="0" w:type="dxa"/>
            <w:right w:w="108" w:type="dxa"/>
          </w:tblCellMar>
        </w:tblPrEx>
        <w:trPr>
          <w:trHeight w:val="142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喷雾降温</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人造雾机组（</w:t>
            </w:r>
            <w:r>
              <w:t>750w</w:t>
            </w:r>
            <w:r>
              <w:rPr>
                <w:rFonts w:hint="eastAsia"/>
              </w:rPr>
              <w:t>）</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内部系统构成：（国产电机+意大利AR高压泵、水过滤系统、无水保护装置、手动动压力调整装置、水箱）</w:t>
            </w:r>
          </w:p>
          <w:p>
            <w:r>
              <w:rPr>
                <w:rFonts w:hint="eastAsia"/>
              </w:rPr>
              <w:t>控制系统：小液晶时间控制系统</w:t>
            </w:r>
          </w:p>
          <w:p>
            <w:r>
              <w:rPr>
                <w:rFonts w:hint="eastAsia"/>
              </w:rPr>
              <w:t>隔音机柜：镀锌板表面吸附隔音棉，并采用减震垫，减震棉及减震胶，有效的为防止泵，电机与机柜表面产生共振。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11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人造雾不锈钢专用管</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材质：304不锈钢</w:t>
            </w:r>
          </w:p>
          <w:p>
            <w:r>
              <w:rPr>
                <w:rFonts w:hint="eastAsia"/>
              </w:rPr>
              <w:t>运行工作压力（psi）：1000</w:t>
            </w:r>
          </w:p>
          <w:p>
            <w:r>
              <w:rPr>
                <w:rFonts w:hint="eastAsia"/>
              </w:rPr>
              <w:t>最大耐受压力（psi）：3000</w:t>
            </w:r>
          </w:p>
          <w:p>
            <w:r>
              <w:rPr>
                <w:rFonts w:hint="eastAsia"/>
              </w:rPr>
              <w:t>规格：Ø10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米</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50</w:t>
            </w:r>
          </w:p>
        </w:tc>
      </w:tr>
      <w:tr>
        <w:tblPrEx>
          <w:tblCellMar>
            <w:top w:w="0" w:type="dxa"/>
            <w:left w:w="108" w:type="dxa"/>
            <w:bottom w:w="0" w:type="dxa"/>
            <w:right w:w="108" w:type="dxa"/>
          </w:tblCellMar>
        </w:tblPrEx>
        <w:trPr>
          <w:trHeight w:val="142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lang w:val="en-US" w:eastAsia="zh-CN"/>
              </w:rPr>
            </w:pPr>
            <w:r>
              <w:rPr>
                <w:rFonts w:hint="eastAsia"/>
                <w:lang w:val="en-US" w:eastAsia="zh-CN"/>
              </w:rPr>
              <w:t>3</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人造雾弯头</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 xml:space="preserve">材质：304不锈钢                </w:t>
            </w:r>
          </w:p>
          <w:p>
            <w:r>
              <w:rPr>
                <w:rFonts w:hint="eastAsia"/>
              </w:rPr>
              <w:t>运行工作压力（psi）：1000</w:t>
            </w:r>
          </w:p>
          <w:p>
            <w:r>
              <w:rPr>
                <w:rFonts w:hint="eastAsia"/>
              </w:rPr>
              <w:t>最大耐受压力（psi）：3000</w:t>
            </w:r>
          </w:p>
          <w:p>
            <w:r>
              <w:rPr>
                <w:rFonts w:hint="eastAsia"/>
              </w:rPr>
              <w:t>规格：Ø10* Ø10</w:t>
            </w:r>
          </w:p>
          <w:p>
            <w:r>
              <w:rPr>
                <w:rFonts w:hint="eastAsia"/>
              </w:rPr>
              <w:t>角度：90°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6</w:t>
            </w:r>
          </w:p>
        </w:tc>
      </w:tr>
      <w:tr>
        <w:tblPrEx>
          <w:tblCellMar>
            <w:top w:w="0" w:type="dxa"/>
            <w:left w:w="108" w:type="dxa"/>
            <w:bottom w:w="0" w:type="dxa"/>
            <w:right w:w="108" w:type="dxa"/>
          </w:tblCellMar>
        </w:tblPrEx>
        <w:trPr>
          <w:trHeight w:val="11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4</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人造雾三通</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材质：304不锈钢</w:t>
            </w:r>
          </w:p>
          <w:p>
            <w:r>
              <w:rPr>
                <w:rFonts w:hint="eastAsia"/>
              </w:rPr>
              <w:t>运行工作压力（psi）：1000</w:t>
            </w:r>
          </w:p>
          <w:p>
            <w:r>
              <w:rPr>
                <w:rFonts w:hint="eastAsia"/>
              </w:rPr>
              <w:t>最大耐受压力（psi）：3000</w:t>
            </w:r>
          </w:p>
          <w:p>
            <w:r>
              <w:rPr>
                <w:rFonts w:hint="eastAsia"/>
              </w:rPr>
              <w:t>规格：Ø10× Ø10× Ø10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11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人造雾接头</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材质：304不锈钢</w:t>
            </w:r>
          </w:p>
          <w:p>
            <w:r>
              <w:rPr>
                <w:rFonts w:hint="eastAsia"/>
              </w:rPr>
              <w:t>运行工作压力（psi）：1000</w:t>
            </w:r>
          </w:p>
          <w:p>
            <w:r>
              <w:rPr>
                <w:rFonts w:hint="eastAsia"/>
              </w:rPr>
              <w:t>最大耐受压力（psi）：3000</w:t>
            </w:r>
          </w:p>
          <w:p>
            <w:r>
              <w:rPr>
                <w:rFonts w:hint="eastAsia"/>
              </w:rPr>
              <w:t>规格：Ø10× Ø10× Ø10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6</w:t>
            </w:r>
          </w:p>
        </w:tc>
      </w:tr>
      <w:tr>
        <w:tblPrEx>
          <w:tblCellMar>
            <w:top w:w="0" w:type="dxa"/>
            <w:left w:w="108" w:type="dxa"/>
            <w:bottom w:w="0" w:type="dxa"/>
            <w:right w:w="108" w:type="dxa"/>
          </w:tblCellMar>
        </w:tblPrEx>
        <w:trPr>
          <w:trHeight w:val="11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6</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人造雾单侧喷座</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材质：304不锈钢</w:t>
            </w:r>
          </w:p>
          <w:p>
            <w:r>
              <w:rPr>
                <w:rFonts w:hint="eastAsia"/>
              </w:rPr>
              <w:t>运行工作压力（psi）：1000</w:t>
            </w:r>
          </w:p>
          <w:p>
            <w:r>
              <w:rPr>
                <w:rFonts w:hint="eastAsia"/>
              </w:rPr>
              <w:t>最大耐受压力（psi）：3000</w:t>
            </w:r>
          </w:p>
          <w:p>
            <w:r>
              <w:rPr>
                <w:rFonts w:hint="eastAsia"/>
              </w:rPr>
              <w:t>规格：Ø10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20</w:t>
            </w:r>
          </w:p>
        </w:tc>
      </w:tr>
      <w:tr>
        <w:tblPrEx>
          <w:tblCellMar>
            <w:top w:w="0" w:type="dxa"/>
            <w:left w:w="108" w:type="dxa"/>
            <w:bottom w:w="0" w:type="dxa"/>
            <w:right w:w="108" w:type="dxa"/>
          </w:tblCellMar>
        </w:tblPrEx>
        <w:trPr>
          <w:trHeight w:val="142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7</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人造雾红宝石喷头</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喷嘴规格：(1/8接口)</w:t>
            </w:r>
          </w:p>
          <w:p>
            <w:r>
              <w:rPr>
                <w:rFonts w:hint="eastAsia"/>
              </w:rPr>
              <w:t>运行工作压力（psi）：1000</w:t>
            </w:r>
          </w:p>
          <w:p>
            <w:r>
              <w:rPr>
                <w:rFonts w:hint="eastAsia"/>
              </w:rPr>
              <w:t>最大耐受压力（psi）：5000</w:t>
            </w:r>
          </w:p>
          <w:p>
            <w:r>
              <w:rPr>
                <w:rFonts w:hint="eastAsia"/>
              </w:rPr>
              <w:t>内置：过滤器</w:t>
            </w:r>
          </w:p>
          <w:p>
            <w:r>
              <w:rPr>
                <w:rFonts w:hint="eastAsia"/>
              </w:rPr>
              <w:t>材质：304不锈钢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20</w:t>
            </w:r>
          </w:p>
        </w:tc>
      </w:tr>
      <w:tr>
        <w:tblPrEx>
          <w:tblCellMar>
            <w:top w:w="0" w:type="dxa"/>
            <w:left w:w="108" w:type="dxa"/>
            <w:bottom w:w="0" w:type="dxa"/>
            <w:right w:w="108" w:type="dxa"/>
          </w:tblCellMar>
        </w:tblPrEx>
        <w:trPr>
          <w:trHeight w:val="456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8</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温湿度变送器（</w:t>
            </w:r>
            <w:r>
              <w:t>4-20mA)</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【室内温湿度变送器 NP-GHW100-A】</w:t>
            </w:r>
          </w:p>
          <w:p>
            <w:r>
              <w:rPr>
                <w:rFonts w:hint="eastAsia"/>
              </w:rPr>
              <w:t>直流供电：DC24V(±10%)</w:t>
            </w:r>
          </w:p>
          <w:p>
            <w:r>
              <w:rPr>
                <w:rFonts w:hint="eastAsia"/>
              </w:rPr>
              <w:t>功耗：1.2W</w:t>
            </w:r>
          </w:p>
          <w:p>
            <w:r>
              <w:rPr>
                <w:rFonts w:hint="eastAsia"/>
              </w:rPr>
              <w:t>准确度：温度：±0.5℃(25℃) ；湿度：±3%RH(25℃)</w:t>
            </w:r>
          </w:p>
          <w:p>
            <w:r>
              <w:rPr>
                <w:rFonts w:hint="eastAsia"/>
              </w:rPr>
              <w:t>工作温度：-10～60℃</w:t>
            </w:r>
          </w:p>
          <w:p>
            <w:r>
              <w:rPr>
                <w:rFonts w:hint="eastAsia"/>
              </w:rPr>
              <w:t>长期稳定性：温度：≤0.1℃/年 ；湿度：≤0.5%RH/年</w:t>
            </w:r>
          </w:p>
          <w:p>
            <w:r>
              <w:rPr>
                <w:rFonts w:hint="eastAsia"/>
              </w:rPr>
              <w:t>响应时间：温度：≤15S（1m/s风速）；湿度≤4S（1m/s风速）</w:t>
            </w:r>
          </w:p>
          <w:p>
            <w:r>
              <w:rPr>
                <w:rFonts w:hint="eastAsia"/>
              </w:rPr>
              <w:t>量程：-10℃～60℃</w:t>
            </w:r>
          </w:p>
          <w:p>
            <w:r>
              <w:rPr>
                <w:rFonts w:hint="eastAsia"/>
              </w:rPr>
              <w:t>输出信号：4～20mA</w:t>
            </w:r>
          </w:p>
          <w:p>
            <w:r>
              <w:rPr>
                <w:rFonts w:hint="eastAsia"/>
              </w:rPr>
              <w:t>安装方式：壁挂式/螺丝固定前面</w:t>
            </w:r>
          </w:p>
          <w:p>
            <w:r>
              <w:rPr>
                <w:rFonts w:hint="eastAsia"/>
              </w:rPr>
              <w:t>外壳：ABS 白色塑料</w:t>
            </w:r>
          </w:p>
          <w:p>
            <w:r>
              <w:rPr>
                <w:rFonts w:hint="eastAsia"/>
              </w:rPr>
              <w:t>尺寸：104×87×31mm</w:t>
            </w:r>
          </w:p>
          <w:p>
            <w:r>
              <w:rPr>
                <w:rFonts w:hint="eastAsia"/>
              </w:rPr>
              <w:t>有效工作面积：10～20m²/只</w:t>
            </w:r>
          </w:p>
          <w:p>
            <w:r>
              <w:rPr>
                <w:rFonts w:hint="eastAsia"/>
              </w:rPr>
              <w:t>本探测器出厂不带电源适配器，需要现场自配或从其他设备上接入电源</w:t>
            </w:r>
          </w:p>
          <w:p>
            <w:r>
              <w:rPr>
                <w:rFonts w:hint="eastAsia"/>
              </w:rPr>
              <w:t>推荐电源大小：12V 1A</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416"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9</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塑壳断路器</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额定电流：250A</w:t>
            </w:r>
          </w:p>
          <w:p>
            <w:r>
              <w:rPr>
                <w:rFonts w:hint="eastAsia"/>
              </w:rPr>
              <w:t xml:space="preserve"> 整定电流可调范围：100A~250A</w:t>
            </w:r>
          </w:p>
          <w:p>
            <w:r>
              <w:rPr>
                <w:rFonts w:hint="eastAsia"/>
              </w:rPr>
              <w:t xml:space="preserve"> 极数：3P+N、4P</w:t>
            </w:r>
          </w:p>
          <w:p>
            <w:r>
              <w:rPr>
                <w:rFonts w:hint="eastAsia"/>
              </w:rPr>
              <w:t xml:space="preserve"> 频率：50Hz</w:t>
            </w:r>
          </w:p>
          <w:p>
            <w:r>
              <w:rPr>
                <w:rFonts w:hint="eastAsia"/>
              </w:rPr>
              <w:t xml:space="preserve"> 额定工作电Ue ：AC 400V</w:t>
            </w:r>
          </w:p>
          <w:p>
            <w:r>
              <w:rPr>
                <w:rFonts w:hint="eastAsia"/>
              </w:rPr>
              <w:t xml:space="preserve"> 额定辅助电压Us ：AC 230V</w:t>
            </w:r>
          </w:p>
          <w:p>
            <w:r>
              <w:rPr>
                <w:rFonts w:hint="eastAsia"/>
              </w:rPr>
              <w:t xml:space="preserve"> 额定绝缘电压Ui：AC 1000V</w:t>
            </w:r>
          </w:p>
          <w:p>
            <w:r>
              <w:rPr>
                <w:rFonts w:hint="eastAsia"/>
              </w:rPr>
              <w:t xml:space="preserve"> 额定冲击耐受电Uimp ：8kV</w:t>
            </w:r>
          </w:p>
          <w:p>
            <w:r>
              <w:rPr>
                <w:rFonts w:hint="eastAsia"/>
              </w:rPr>
              <w:t xml:space="preserve"> 飞弧距离(mm) ：≤50</w:t>
            </w:r>
          </w:p>
          <w:p>
            <w:r>
              <w:rPr>
                <w:rFonts w:hint="eastAsia"/>
              </w:rPr>
              <w:t xml:space="preserve"> 额定极限短路分断能力Icu ：50kA</w:t>
            </w:r>
          </w:p>
          <w:p>
            <w:r>
              <w:rPr>
                <w:rFonts w:hint="eastAsia"/>
              </w:rPr>
              <w:t xml:space="preserve"> 额定运行短路分断能力Ics ：35kA</w:t>
            </w:r>
          </w:p>
          <w:p>
            <w:r>
              <w:rPr>
                <w:rFonts w:hint="eastAsia"/>
              </w:rPr>
              <w:t xml:space="preserve"> 额定剩余短路接通和分断能力Im: 12.5kA</w:t>
            </w:r>
          </w:p>
          <w:p>
            <w:r>
              <w:rPr>
                <w:rFonts w:hint="eastAsia"/>
              </w:rPr>
              <w:t xml:space="preserve"> 额定短时耐受电流Icw :5kA/1s</w:t>
            </w:r>
          </w:p>
          <w:p>
            <w:r>
              <w:rPr>
                <w:rFonts w:hint="eastAsia"/>
              </w:rPr>
              <w:t xml:space="preserve"> 剩余电流动作特性:AC型</w:t>
            </w:r>
          </w:p>
          <w:p>
            <w:r>
              <w:rPr>
                <w:rFonts w:hint="eastAsia"/>
              </w:rPr>
              <w:t xml:space="preserve"> 延时型极限不驱动时间: At:0.06s</w:t>
            </w:r>
          </w:p>
          <w:p>
            <w:r>
              <w:rPr>
                <w:rFonts w:hint="eastAsia"/>
              </w:rPr>
              <w:t xml:space="preserve"> 突变剩余电流: 30mA~99mA可调</w:t>
            </w:r>
          </w:p>
          <w:p>
            <w:r>
              <w:rPr>
                <w:rFonts w:hint="eastAsia"/>
              </w:rPr>
              <w:t xml:space="preserve"> 自动重合闸时间 :20s~60s</w:t>
            </w:r>
          </w:p>
          <w:p>
            <w:r>
              <w:rPr>
                <w:rFonts w:hint="eastAsia"/>
              </w:rPr>
              <w:t xml:space="preserve"> 短路、过载特性 :三段保护，电子可调，详见“保护特性说明”</w:t>
            </w:r>
          </w:p>
          <w:p>
            <w:r>
              <w:rPr>
                <w:rFonts w:hint="eastAsia"/>
              </w:rPr>
              <w:t xml:space="preserve"> 额定欠电压动作值:150V~200V</w:t>
            </w:r>
          </w:p>
          <w:p>
            <w:r>
              <w:rPr>
                <w:rFonts w:hint="eastAsia"/>
              </w:rPr>
              <w:t xml:space="preserve"> 额定过电压动作值 :250V~300V</w:t>
            </w:r>
          </w:p>
          <w:p>
            <w:r>
              <w:rPr>
                <w:rFonts w:hint="eastAsia"/>
              </w:rPr>
              <w:t xml:space="preserve"> 额定断相动作值 :10V~120V</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370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10</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t>NB</w:t>
            </w:r>
            <w:r>
              <w:rPr>
                <w:rFonts w:hint="eastAsia"/>
              </w:rPr>
              <w:t>三相互感器电表</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正向有功、反向有功电能、四象限无功电能计量功能，可设置组合有功和组合无功功能</w:t>
            </w:r>
          </w:p>
          <w:p>
            <w:r>
              <w:rPr>
                <w:rFonts w:hint="eastAsia"/>
              </w:rPr>
              <w:t>分时计量功能，即按相应时段分别累计存储总、尖、峰、平、谷有功及无功电能</w:t>
            </w:r>
          </w:p>
          <w:p>
            <w:r>
              <w:rPr>
                <w:rFonts w:hint="eastAsia"/>
              </w:rPr>
              <w:t>两套费率时段、2个时区、8个时段，时段最小间隔为15分钟，时段可跨零点设置</w:t>
            </w:r>
          </w:p>
          <w:p>
            <w:r>
              <w:rPr>
                <w:rFonts w:hint="eastAsia"/>
              </w:rPr>
              <w:t>失压、断相、失流、电流不平衡、电流反极性、开盖、停电跳闸等多种事件记录</w:t>
            </w:r>
          </w:p>
          <w:p>
            <w:r>
              <w:rPr>
                <w:rFonts w:hint="eastAsia"/>
              </w:rPr>
              <w:t>功率、功率因数、电压、电流瞬时量数据测量</w:t>
            </w:r>
          </w:p>
          <w:p>
            <w:r>
              <w:rPr>
                <w:rFonts w:hint="eastAsia"/>
              </w:rPr>
              <w:t>独立RS485，远红外通讯口，校表脉冲、多功能校表口</w:t>
            </w:r>
          </w:p>
          <w:p>
            <w:r>
              <w:rPr>
                <w:rFonts w:hint="eastAsia"/>
              </w:rPr>
              <w:t>欠费远程遥控跳闸停电</w:t>
            </w:r>
          </w:p>
          <w:p>
            <w:r>
              <w:rPr>
                <w:rFonts w:hint="eastAsia"/>
              </w:rPr>
              <w:t>支持保电与远程拉合闸功能</w:t>
            </w:r>
          </w:p>
          <w:p>
            <w:r>
              <w:rPr>
                <w:rFonts w:hint="eastAsia"/>
              </w:rPr>
              <w:t>适配三种运营商NB卡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484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11</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t>NB</w:t>
            </w:r>
            <w:r>
              <w:rPr>
                <w:rFonts w:hint="eastAsia"/>
              </w:rPr>
              <w:t>温湿度传感器</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供电方式 ：内置 3.6V 锂亚电池（默认 8500mAh）</w:t>
            </w:r>
          </w:p>
          <w:p>
            <w:r>
              <w:rPr>
                <w:rFonts w:hint="eastAsia"/>
              </w:rPr>
              <w:t>待机电流 ：≤10uA</w:t>
            </w:r>
          </w:p>
          <w:p>
            <w:r>
              <w:rPr>
                <w:rFonts w:hint="eastAsia"/>
              </w:rPr>
              <w:t>工作时长 ：≥3 年</w:t>
            </w:r>
          </w:p>
          <w:p>
            <w:r>
              <w:rPr>
                <w:rFonts w:hint="eastAsia"/>
              </w:rPr>
              <w:t>发送方式 ：每 10 秒检测一次，温差波动≥2℃或湿差波动≥3%时发送； 间隔 4h 强制发送当前值</w:t>
            </w:r>
          </w:p>
          <w:p>
            <w:r>
              <w:rPr>
                <w:rFonts w:hint="eastAsia"/>
              </w:rPr>
              <w:t>测量分辨力 ：温度：0.1℃ 湿度：1% 光照度：1LX</w:t>
            </w:r>
          </w:p>
          <w:p>
            <w:r>
              <w:rPr>
                <w:rFonts w:hint="eastAsia"/>
              </w:rPr>
              <w:t>测量物理量 ：温度：-40～180℃  湿度：0~99% 光照：1-65535LX  水浸：漏水或浸水</w:t>
            </w:r>
          </w:p>
          <w:p>
            <w:r>
              <w:rPr>
                <w:rFonts w:hint="eastAsia"/>
              </w:rPr>
              <w:t>壳体材料 ：ABS 防水阻燃 （IP67）</w:t>
            </w:r>
          </w:p>
          <w:p>
            <w:r>
              <w:rPr>
                <w:rFonts w:hint="eastAsia"/>
              </w:rPr>
              <w:t>壳体尺寸 ：90×50×42mm</w:t>
            </w:r>
          </w:p>
          <w:p>
            <w:r>
              <w:rPr>
                <w:rFonts w:hint="eastAsia"/>
              </w:rPr>
              <w:t>安装方式 ：螺丝固定（可定制磁吸式安装）</w:t>
            </w:r>
          </w:p>
          <w:p>
            <w:r>
              <w:rPr>
                <w:rFonts w:hint="eastAsia"/>
              </w:rPr>
              <w:t>网络 ：中国电信 NB-IOT 专用网络/LoRa 私有网络</w:t>
            </w:r>
          </w:p>
          <w:p>
            <w:r>
              <w:rPr>
                <w:rFonts w:hint="eastAsia"/>
              </w:rPr>
              <w:t>传输速率 ：100bps &lt; bit rate &lt; 100kbps</w:t>
            </w:r>
          </w:p>
          <w:p>
            <w:r>
              <w:rPr>
                <w:rFonts w:hint="eastAsia"/>
              </w:rPr>
              <w:t>发射功率 ：23 dBm</w:t>
            </w:r>
          </w:p>
          <w:p>
            <w:r>
              <w:rPr>
                <w:rFonts w:hint="eastAsia"/>
              </w:rPr>
              <w:t>接收灵敏度 ：-129 dBm</w:t>
            </w:r>
          </w:p>
          <w:p>
            <w:r>
              <w:rPr>
                <w:rFonts w:hint="eastAsia"/>
              </w:rPr>
              <w:t>协议栈 ：UDP/CoAP</w:t>
            </w:r>
          </w:p>
          <w:p>
            <w:r>
              <w:rPr>
                <w:rFonts w:hint="eastAsia"/>
              </w:rPr>
              <w:t>天线阻抗 ：50 Ohm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63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12</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配电柜</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r>
              <w:rPr>
                <w:rFonts w:hint="eastAsia"/>
              </w:rPr>
              <w:t>、配电柜含总闸等设备</w:t>
            </w:r>
          </w:p>
          <w:p>
            <w:r>
              <w:t>2</w:t>
            </w:r>
            <w:r>
              <w:rPr>
                <w:rFonts w:hint="eastAsia"/>
              </w:rPr>
              <w:t>、尺寸：</w:t>
            </w:r>
            <w:r>
              <w:t>400×300×600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819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13</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t>AI</w:t>
            </w:r>
            <w:r>
              <w:rPr>
                <w:rFonts w:hint="eastAsia"/>
              </w:rPr>
              <w:t>人流量摄像头（枪机）前端处理信息</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t>400</w:t>
            </w:r>
            <w:r>
              <w:rPr>
                <w:rFonts w:hint="eastAsia"/>
              </w:rPr>
              <w:t>万</w:t>
            </w:r>
            <w:r>
              <w:t xml:space="preserve"> </w:t>
            </w:r>
            <w:r>
              <w:rPr>
                <w:rFonts w:hint="eastAsia"/>
              </w:rPr>
              <w:t>星光级</w:t>
            </w:r>
            <w:r>
              <w:t xml:space="preserve"> 1/1.8"CMOS </w:t>
            </w:r>
            <w:r>
              <w:rPr>
                <w:rFonts w:hint="eastAsia"/>
              </w:rPr>
              <w:t>多维客流筒型网络摄像机</w:t>
            </w:r>
          </w:p>
          <w:p>
            <w:r>
              <w:rPr>
                <w:rFonts w:hint="eastAsia"/>
              </w:rPr>
              <w:t>采用深度学习算法，以海量图片及视频资源为路基，通过机器自身提取目标特征，形成深层可供学习的人体服装图像，并进行识别</w:t>
            </w:r>
          </w:p>
          <w:p>
            <w:r>
              <w:rPr>
                <w:rFonts w:hint="eastAsia"/>
              </w:rPr>
              <w:t>基于行人轨迹分析，统计指定场景内目标人员进入和离开的情况</w:t>
            </w:r>
          </w:p>
          <w:p>
            <w:r>
              <w:rPr>
                <w:rFonts w:hint="eastAsia"/>
              </w:rPr>
              <w:t>支持基于人体的比对和属性的去重，过滤自定义服装及属性的客流计数</w:t>
            </w:r>
          </w:p>
          <w:p>
            <w:r>
              <w:rPr>
                <w:rFonts w:hint="eastAsia"/>
              </w:rPr>
              <w:t>支持人体属性分类，包含：性别、年龄段、拎东西、帽子</w:t>
            </w:r>
            <w:r>
              <w:t>(</w:t>
            </w:r>
            <w:r>
              <w:rPr>
                <w:rFonts w:hint="eastAsia"/>
              </w:rPr>
              <w:t>头盔）、口罩</w:t>
            </w:r>
          </w:p>
          <w:p>
            <w:r>
              <w:rPr>
                <w:rFonts w:hint="eastAsia"/>
              </w:rPr>
              <w:t>事件报警功能：支持移动侦测，遮挡报警，硬盘满，硬盘错误，网络断开，</w:t>
            </w:r>
            <w:r>
              <w:t>IP</w:t>
            </w:r>
            <w:r>
              <w:rPr>
                <w:rFonts w:hint="eastAsia"/>
              </w:rPr>
              <w:t>地址冲突，非法访问，异常重启</w:t>
            </w:r>
          </w:p>
          <w:p>
            <w:r>
              <w:rPr>
                <w:rFonts w:hint="eastAsia"/>
              </w:rPr>
              <w:t>最低照度</w:t>
            </w:r>
            <w:r>
              <w:t xml:space="preserve">: </w:t>
            </w:r>
            <w:r>
              <w:rPr>
                <w:rFonts w:hint="eastAsia"/>
              </w:rPr>
              <w:t>彩色：</w:t>
            </w:r>
            <w:r>
              <w:t>0.0005 Lux @</w:t>
            </w:r>
            <w:r>
              <w:rPr>
                <w:rFonts w:hint="eastAsia"/>
              </w:rPr>
              <w:t>（</w:t>
            </w:r>
            <w:r>
              <w:t>F1.2</w:t>
            </w:r>
            <w:r>
              <w:rPr>
                <w:rFonts w:hint="eastAsia"/>
              </w:rPr>
              <w:t>，</w:t>
            </w:r>
            <w:r>
              <w:t>AGC ON</w:t>
            </w:r>
            <w:r>
              <w:rPr>
                <w:rFonts w:hint="eastAsia"/>
              </w:rPr>
              <w:t>），</w:t>
            </w:r>
            <w:r>
              <w:t>0 Lux with Light</w:t>
            </w:r>
            <w:r>
              <w:rPr>
                <w:rFonts w:hint="eastAsia"/>
              </w:rPr>
              <w:t>；黑白：</w:t>
            </w:r>
            <w:r>
              <w:t>0.0001 Lux @</w:t>
            </w:r>
            <w:r>
              <w:rPr>
                <w:rFonts w:hint="eastAsia"/>
              </w:rPr>
              <w:t>（</w:t>
            </w:r>
            <w:r>
              <w:t>F1.2</w:t>
            </w:r>
            <w:r>
              <w:rPr>
                <w:rFonts w:hint="eastAsia"/>
              </w:rPr>
              <w:t>，</w:t>
            </w:r>
            <w:r>
              <w:t>AGC ON</w:t>
            </w:r>
            <w:r>
              <w:rPr>
                <w:rFonts w:hint="eastAsia"/>
              </w:rPr>
              <w:t>），</w:t>
            </w:r>
            <w:r>
              <w:t>0 Lux with IR</w:t>
            </w:r>
          </w:p>
          <w:p>
            <w:r>
              <w:rPr>
                <w:rFonts w:hint="eastAsia"/>
              </w:rPr>
              <w:t>宽动态</w:t>
            </w:r>
            <w:r>
              <w:t>: 120 dB</w:t>
            </w:r>
          </w:p>
          <w:p>
            <w:r>
              <w:rPr>
                <w:rFonts w:hint="eastAsia"/>
              </w:rPr>
              <w:t>焦距＆视场角</w:t>
            </w:r>
            <w:r>
              <w:t>: 2.8~12 mm</w:t>
            </w:r>
            <w:r>
              <w:rPr>
                <w:rFonts w:hint="eastAsia"/>
              </w:rPr>
              <w:t>：水平视场角：</w:t>
            </w:r>
            <w:r>
              <w:t>99.6°~39.8°</w:t>
            </w:r>
            <w:r>
              <w:rPr>
                <w:rFonts w:hint="eastAsia"/>
              </w:rPr>
              <w:t>，垂直视场角：</w:t>
            </w:r>
            <w:r>
              <w:t>52.3°~22.4°</w:t>
            </w:r>
            <w:r>
              <w:rPr>
                <w:rFonts w:hint="eastAsia"/>
              </w:rPr>
              <w:t>，对角视场角：</w:t>
            </w:r>
            <w:r>
              <w:t>119.9°~45.7°</w:t>
            </w:r>
          </w:p>
          <w:p>
            <w:r>
              <w:rPr>
                <w:rFonts w:hint="eastAsia"/>
              </w:rPr>
              <w:t>补光灯类型</w:t>
            </w:r>
            <w:r>
              <w:t xml:space="preserve">: </w:t>
            </w:r>
            <w:r>
              <w:rPr>
                <w:rFonts w:hint="eastAsia"/>
              </w:rPr>
              <w:t>混合补光（支持白光模式和混光模式），</w:t>
            </w:r>
            <w:r>
              <w:t>850nm+</w:t>
            </w:r>
            <w:r>
              <w:rPr>
                <w:rFonts w:hint="eastAsia"/>
              </w:rPr>
              <w:t>暖白光</w:t>
            </w:r>
          </w:p>
          <w:p>
            <w:r>
              <w:rPr>
                <w:rFonts w:hint="eastAsia"/>
              </w:rPr>
              <w:t>补光距离</w:t>
            </w:r>
            <w:r>
              <w:t xml:space="preserve">: </w:t>
            </w:r>
            <w:r>
              <w:rPr>
                <w:rFonts w:hint="eastAsia"/>
              </w:rPr>
              <w:t>最远可达</w:t>
            </w:r>
            <w:r>
              <w:t>50 m</w:t>
            </w:r>
          </w:p>
          <w:p>
            <w:r>
              <w:rPr>
                <w:rFonts w:hint="eastAsia"/>
              </w:rPr>
              <w:t>防补光过曝</w:t>
            </w:r>
            <w:r>
              <w:t xml:space="preserve">: </w:t>
            </w:r>
            <w:r>
              <w:rPr>
                <w:rFonts w:hint="eastAsia"/>
              </w:rPr>
              <w:t>支持</w:t>
            </w:r>
          </w:p>
          <w:p>
            <w:r>
              <w:rPr>
                <w:rFonts w:hint="eastAsia"/>
              </w:rPr>
              <w:t>最大图像尺寸</w:t>
            </w:r>
            <w:r>
              <w:t>: 2560 × 1440</w:t>
            </w:r>
          </w:p>
          <w:p>
            <w:r>
              <w:rPr>
                <w:rFonts w:hint="eastAsia"/>
              </w:rPr>
              <w:t>视频压缩标准</w:t>
            </w:r>
            <w:r>
              <w:t xml:space="preserve">: </w:t>
            </w:r>
            <w:r>
              <w:rPr>
                <w:rFonts w:hint="eastAsia"/>
              </w:rPr>
              <w:t>主码流：</w:t>
            </w:r>
            <w:r>
              <w:t>H.265/H.264</w:t>
            </w:r>
          </w:p>
          <w:p>
            <w:r>
              <w:rPr>
                <w:rFonts w:hint="eastAsia"/>
              </w:rPr>
              <w:t>网络存储</w:t>
            </w:r>
            <w:r>
              <w:t xml:space="preserve">: </w:t>
            </w:r>
            <w:r>
              <w:rPr>
                <w:rFonts w:hint="eastAsia"/>
              </w:rPr>
              <w:t>支持</w:t>
            </w:r>
            <w:r>
              <w:t>MicroSD(</w:t>
            </w:r>
            <w:r>
              <w:rPr>
                <w:rFonts w:hint="eastAsia"/>
              </w:rPr>
              <w:t>即</w:t>
            </w:r>
            <w:r>
              <w:t>TF</w:t>
            </w:r>
            <w:r>
              <w:rPr>
                <w:rFonts w:hint="eastAsia"/>
              </w:rPr>
              <w:t>卡</w:t>
            </w:r>
            <w:r>
              <w:t>)/MicroSDHC/MicroSDXC</w:t>
            </w:r>
            <w:r>
              <w:rPr>
                <w:rFonts w:hint="eastAsia"/>
              </w:rPr>
              <w:t>卡（最大</w:t>
            </w:r>
            <w:r>
              <w:t>256 GB</w:t>
            </w:r>
            <w:r>
              <w:rPr>
                <w:rFonts w:hint="eastAsia"/>
              </w:rPr>
              <w:t>）断网本地存储及断网续传，</w:t>
            </w:r>
            <w:r>
              <w:t>NAS</w:t>
            </w:r>
            <w:r>
              <w:rPr>
                <w:rFonts w:hint="eastAsia"/>
              </w:rPr>
              <w:t>（</w:t>
            </w:r>
            <w:r>
              <w:t>NFS</w:t>
            </w:r>
            <w:r>
              <w:rPr>
                <w:rFonts w:hint="eastAsia"/>
              </w:rPr>
              <w:t>，</w:t>
            </w:r>
            <w:r>
              <w:t>SMB/CIFS</w:t>
            </w:r>
            <w:r>
              <w:rPr>
                <w:rFonts w:hint="eastAsia"/>
              </w:rPr>
              <w:t>均支持），配合海康黑卡支持</w:t>
            </w:r>
            <w:r>
              <w:t>SD</w:t>
            </w:r>
            <w:r>
              <w:rPr>
                <w:rFonts w:hint="eastAsia"/>
              </w:rPr>
              <w:t>卡加密及</w:t>
            </w:r>
            <w:r>
              <w:t>SD</w:t>
            </w:r>
            <w:r>
              <w:rPr>
                <w:rFonts w:hint="eastAsia"/>
              </w:rPr>
              <w:t>卡状态检测</w:t>
            </w:r>
          </w:p>
          <w:p>
            <w:r>
              <w:rPr>
                <w:rFonts w:hint="eastAsia"/>
              </w:rPr>
              <w:t>视频输出</w:t>
            </w:r>
            <w:r>
              <w:t>: 1 Vp-p Composite Output(75 Ω/CVBS)</w:t>
            </w:r>
          </w:p>
          <w:p>
            <w:r>
              <w:rPr>
                <w:rFonts w:hint="eastAsia"/>
              </w:rPr>
              <w:t>网络</w:t>
            </w:r>
            <w:r>
              <w:t>: 1</w:t>
            </w:r>
            <w:r>
              <w:rPr>
                <w:rFonts w:hint="eastAsia"/>
              </w:rPr>
              <w:t>个</w:t>
            </w:r>
            <w:r>
              <w:t>RJ45 10 M/100 M/1000 M</w:t>
            </w:r>
            <w:r>
              <w:rPr>
                <w:rFonts w:hint="eastAsia"/>
              </w:rPr>
              <w:t>自适应以太网口</w:t>
            </w:r>
          </w:p>
          <w:p>
            <w:r>
              <w:rPr>
                <w:rFonts w:hint="eastAsia"/>
              </w:rPr>
              <w:t>音频</w:t>
            </w:r>
            <w:r>
              <w:t xml:space="preserve"> : 2 </w:t>
            </w:r>
            <w:r>
              <w:rPr>
                <w:rFonts w:hint="eastAsia"/>
              </w:rPr>
              <w:t>路输入（</w:t>
            </w:r>
            <w:r>
              <w:t>Line in</w:t>
            </w:r>
            <w:r>
              <w:rPr>
                <w:rFonts w:hint="eastAsia"/>
              </w:rPr>
              <w:t>），</w:t>
            </w:r>
            <w:r>
              <w:t>1</w:t>
            </w:r>
            <w:r>
              <w:rPr>
                <w:rFonts w:hint="eastAsia"/>
              </w:rPr>
              <w:t>路输出（</w:t>
            </w:r>
            <w:r>
              <w:t>Line out</w:t>
            </w:r>
            <w:r>
              <w:rPr>
                <w:rFonts w:hint="eastAsia"/>
              </w:rPr>
              <w:t>）</w:t>
            </w:r>
          </w:p>
          <w:p>
            <w:r>
              <w:rPr>
                <w:rFonts w:hint="eastAsia"/>
              </w:rPr>
              <w:t>报警</w:t>
            </w:r>
            <w:r>
              <w:t xml:space="preserve"> : 3</w:t>
            </w:r>
            <w:r>
              <w:rPr>
                <w:rFonts w:hint="eastAsia"/>
              </w:rPr>
              <w:t>路输入，湿接点，支持</w:t>
            </w:r>
            <w:r>
              <w:t>3.3 V~5 V</w:t>
            </w:r>
            <w:r>
              <w:rPr>
                <w:rFonts w:hint="eastAsia"/>
              </w:rPr>
              <w:t>范围电位</w:t>
            </w:r>
            <w:r>
              <w:t xml:space="preserve"> </w:t>
            </w:r>
            <w:r>
              <w:rPr>
                <w:rFonts w:hint="eastAsia"/>
              </w:rPr>
              <w:t>；</w:t>
            </w:r>
            <w:r>
              <w:t>2</w:t>
            </w:r>
            <w:r>
              <w:rPr>
                <w:rFonts w:hint="eastAsia"/>
              </w:rPr>
              <w:t>路输出，湿接点，电平量，支持最大</w:t>
            </w:r>
            <w:r>
              <w:t>DC12 V</w:t>
            </w:r>
            <w:r>
              <w:rPr>
                <w:rFonts w:hint="eastAsia"/>
              </w:rPr>
              <w:t>，</w:t>
            </w:r>
            <w:r>
              <w:t xml:space="preserve">30 mA  </w:t>
            </w:r>
          </w:p>
          <w:p>
            <w:r>
              <w:t xml:space="preserve">RS-485: </w:t>
            </w:r>
            <w:r>
              <w:rPr>
                <w:rFonts w:hint="eastAsia"/>
              </w:rPr>
              <w:t>采用半双工模式，支持自适应</w:t>
            </w:r>
            <w:r>
              <w:t>HIKVISION</w:t>
            </w:r>
            <w:r>
              <w:rPr>
                <w:rFonts w:hint="eastAsia"/>
              </w:rPr>
              <w:t>，</w:t>
            </w:r>
            <w:r>
              <w:t>PELCO-P</w:t>
            </w:r>
            <w:r>
              <w:rPr>
                <w:rFonts w:hint="eastAsia"/>
              </w:rPr>
              <w:t>和</w:t>
            </w:r>
            <w:r>
              <w:t>PELCO-D</w:t>
            </w:r>
            <w:r>
              <w:rPr>
                <w:rFonts w:hint="eastAsia"/>
              </w:rPr>
              <w:t>协议</w:t>
            </w:r>
          </w:p>
          <w:p>
            <w:r>
              <w:rPr>
                <w:rFonts w:hint="eastAsia"/>
              </w:rPr>
              <w:t>复位</w:t>
            </w:r>
            <w:r>
              <w:t xml:space="preserve">: </w:t>
            </w:r>
            <w:r>
              <w:rPr>
                <w:rFonts w:hint="eastAsia"/>
              </w:rPr>
              <w:t>支持</w:t>
            </w:r>
          </w:p>
          <w:p>
            <w:r>
              <w:rPr>
                <w:rFonts w:hint="eastAsia"/>
              </w:rPr>
              <w:t>电源输出</w:t>
            </w:r>
            <w:r>
              <w:t>: DC12 V</w:t>
            </w:r>
            <w:r>
              <w:rPr>
                <w:rFonts w:hint="eastAsia"/>
              </w:rPr>
              <w:t>，</w:t>
            </w:r>
            <w:r>
              <w:t>100 mA</w:t>
            </w:r>
          </w:p>
          <w:p>
            <w:r>
              <w:rPr>
                <w:rFonts w:hint="eastAsia"/>
              </w:rPr>
              <w:t>接口类型</w:t>
            </w:r>
            <w:r>
              <w:t xml:space="preserve">: </w:t>
            </w:r>
            <w:r>
              <w:rPr>
                <w:rFonts w:hint="eastAsia"/>
              </w:rPr>
              <w:t>外甩线</w:t>
            </w:r>
          </w:p>
          <w:p>
            <w:r>
              <w:rPr>
                <w:rFonts w:hint="eastAsia"/>
              </w:rPr>
              <w:t>产品尺寸</w:t>
            </w:r>
            <w:r>
              <w:t>: 206.5 × 103.9 × 100 mm</w:t>
            </w:r>
          </w:p>
          <w:p>
            <w:r>
              <w:rPr>
                <w:rFonts w:hint="eastAsia"/>
              </w:rPr>
              <w:t>包装尺寸</w:t>
            </w:r>
            <w:r>
              <w:t>: 385 × 158 × 155 mm</w:t>
            </w:r>
          </w:p>
          <w:p>
            <w:r>
              <w:rPr>
                <w:rFonts w:hint="eastAsia"/>
              </w:rPr>
              <w:t>设备重量</w:t>
            </w:r>
            <w:r>
              <w:t>: 1350 g</w:t>
            </w:r>
          </w:p>
          <w:p>
            <w:r>
              <w:rPr>
                <w:rFonts w:hint="eastAsia"/>
              </w:rPr>
              <w:t>带包装重量</w:t>
            </w:r>
            <w:r>
              <w:t>: 2010 g</w:t>
            </w:r>
          </w:p>
          <w:p>
            <w:r>
              <w:rPr>
                <w:rFonts w:hint="eastAsia"/>
              </w:rPr>
              <w:t>存储温湿度</w:t>
            </w:r>
            <w:r>
              <w:t>: -30 ℃~60 ℃</w:t>
            </w:r>
            <w:r>
              <w:rPr>
                <w:rFonts w:hint="eastAsia"/>
              </w:rPr>
              <w:t>，湿度小于</w:t>
            </w:r>
            <w:r>
              <w:t>95%</w:t>
            </w:r>
            <w:r>
              <w:rPr>
                <w:rFonts w:hint="eastAsia"/>
              </w:rPr>
              <w:t>（无凝结）</w:t>
            </w:r>
          </w:p>
          <w:p>
            <w:r>
              <w:rPr>
                <w:rFonts w:hint="eastAsia"/>
              </w:rPr>
              <w:t>启动和工作温湿度</w:t>
            </w:r>
            <w:r>
              <w:t>: -30 ℃~60 ℃</w:t>
            </w:r>
            <w:r>
              <w:rPr>
                <w:rFonts w:hint="eastAsia"/>
              </w:rPr>
              <w:t>，湿度小于</w:t>
            </w:r>
            <w:r>
              <w:t>95%</w:t>
            </w:r>
            <w:r>
              <w:rPr>
                <w:rFonts w:hint="eastAsia"/>
              </w:rPr>
              <w:t>（无凝结）</w:t>
            </w:r>
          </w:p>
          <w:p>
            <w:r>
              <w:rPr>
                <w:rFonts w:hint="eastAsia"/>
              </w:rPr>
              <w:t>电流及功耗</w:t>
            </w:r>
            <w:r>
              <w:t>: DC</w:t>
            </w:r>
            <w:r>
              <w:rPr>
                <w:rFonts w:hint="eastAsia"/>
              </w:rPr>
              <w:t>：</w:t>
            </w:r>
            <w:r>
              <w:t>12 V</w:t>
            </w:r>
            <w:r>
              <w:rPr>
                <w:rFonts w:hint="eastAsia"/>
              </w:rPr>
              <w:t>，</w:t>
            </w:r>
            <w:r>
              <w:t>2.06 A</w:t>
            </w:r>
            <w:r>
              <w:rPr>
                <w:rFonts w:hint="eastAsia"/>
              </w:rPr>
              <w:t>，最大功耗：</w:t>
            </w:r>
            <w:r>
              <w:t>24.6 W</w:t>
            </w:r>
            <w:r>
              <w:rPr>
                <w:rFonts w:hint="eastAsia"/>
              </w:rPr>
              <w:t>；</w:t>
            </w:r>
            <w:r>
              <w:t>PoE</w:t>
            </w:r>
            <w:r>
              <w:rPr>
                <w:rFonts w:hint="eastAsia"/>
              </w:rPr>
              <w:t>：</w:t>
            </w:r>
            <w:r>
              <w:t>802.3at</w:t>
            </w:r>
            <w:r>
              <w:rPr>
                <w:rFonts w:hint="eastAsia"/>
              </w:rPr>
              <w:t>，</w:t>
            </w:r>
            <w:r>
              <w:t>42.5 V~57 V</w:t>
            </w:r>
            <w:r>
              <w:rPr>
                <w:rFonts w:hint="eastAsia"/>
              </w:rPr>
              <w:t>，</w:t>
            </w:r>
            <w:r>
              <w:t>0.59 A~0.44 A</w:t>
            </w:r>
            <w:r>
              <w:rPr>
                <w:rFonts w:hint="eastAsia"/>
              </w:rPr>
              <w:t>，最大功耗：</w:t>
            </w:r>
            <w:r>
              <w:t>25 W</w:t>
            </w:r>
          </w:p>
          <w:p>
            <w:r>
              <w:rPr>
                <w:rFonts w:hint="eastAsia"/>
              </w:rPr>
              <w:t>供电方式</w:t>
            </w:r>
            <w:r>
              <w:t>: DC</w:t>
            </w:r>
            <w:r>
              <w:rPr>
                <w:rFonts w:hint="eastAsia"/>
              </w:rPr>
              <w:t>：</w:t>
            </w:r>
            <w:r>
              <w:t>12 V ± 20%</w:t>
            </w:r>
            <w:r>
              <w:rPr>
                <w:rFonts w:hint="eastAsia"/>
              </w:rPr>
              <w:t>，支持防反接保护；</w:t>
            </w:r>
            <w:r>
              <w:t>PoE</w:t>
            </w:r>
            <w:r>
              <w:rPr>
                <w:rFonts w:hint="eastAsia"/>
              </w:rPr>
              <w:t>：</w:t>
            </w:r>
            <w:r>
              <w:t>802.3at</w:t>
            </w:r>
            <w:r>
              <w:rPr>
                <w:rFonts w:hint="eastAsia"/>
              </w:rPr>
              <w:t>，</w:t>
            </w:r>
            <w:r>
              <w:t>Type 2</w:t>
            </w:r>
            <w:r>
              <w:rPr>
                <w:rFonts w:hint="eastAsia"/>
              </w:rPr>
              <w:t>，</w:t>
            </w:r>
            <w:r>
              <w:t>Class 4</w:t>
            </w:r>
          </w:p>
          <w:p>
            <w:r>
              <w:rPr>
                <w:rFonts w:hint="eastAsia"/>
              </w:rPr>
              <w:t>电源接口类型</w:t>
            </w:r>
            <w:r>
              <w:t>: 3</w:t>
            </w:r>
            <w:r>
              <w:rPr>
                <w:rFonts w:hint="eastAsia"/>
              </w:rPr>
              <w:t>芯电源接口</w:t>
            </w:r>
          </w:p>
          <w:p>
            <w:r>
              <w:rPr>
                <w:rFonts w:hint="eastAsia"/>
              </w:rPr>
              <w:t>线缆长度</w:t>
            </w:r>
            <w:r>
              <w:t>: 35 cm</w:t>
            </w:r>
          </w:p>
          <w:p>
            <w:r>
              <w:rPr>
                <w:rFonts w:hint="eastAsia"/>
              </w:rPr>
              <w:t>防护</w:t>
            </w:r>
            <w:r>
              <w:t>: IP67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818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14</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t>AI</w:t>
            </w:r>
            <w:r>
              <w:rPr>
                <w:rFonts w:hint="eastAsia"/>
              </w:rPr>
              <w:t>人流量摄像头（半球机机）前端处理信息</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t>400</w:t>
            </w:r>
            <w:r>
              <w:rPr>
                <w:rFonts w:hint="eastAsia"/>
              </w:rPr>
              <w:t>万</w:t>
            </w:r>
            <w:r>
              <w:t xml:space="preserve"> </w:t>
            </w:r>
            <w:r>
              <w:rPr>
                <w:rFonts w:hint="eastAsia"/>
              </w:rPr>
              <w:t>星光级</w:t>
            </w:r>
            <w:r>
              <w:t xml:space="preserve"> 1/1.8"CMOS </w:t>
            </w:r>
            <w:r>
              <w:rPr>
                <w:rFonts w:hint="eastAsia"/>
              </w:rPr>
              <w:t>多维客流半球型网络摄像机</w:t>
            </w:r>
          </w:p>
          <w:p>
            <w:r>
              <w:rPr>
                <w:rFonts w:hint="eastAsia"/>
              </w:rPr>
              <w:t>采用深度学习算法，以海量图片及视频资源为路基，通过机器自身提取目标特征，形成深层可供学习的人体服装图像，并进行识别</w:t>
            </w:r>
          </w:p>
          <w:p>
            <w:r>
              <w:rPr>
                <w:rFonts w:hint="eastAsia"/>
              </w:rPr>
              <w:t>基于行人轨迹分析，统计指定场景内目标人员进入和离开的情况</w:t>
            </w:r>
          </w:p>
          <w:p>
            <w:r>
              <w:rPr>
                <w:rFonts w:hint="eastAsia"/>
              </w:rPr>
              <w:t>支持基于人体的比对和属性的去重，过滤自定义服装及属性的客流计数</w:t>
            </w:r>
          </w:p>
          <w:p>
            <w:r>
              <w:rPr>
                <w:rFonts w:hint="eastAsia"/>
              </w:rPr>
              <w:t>支持人体属性分类，包含：性别、年龄段、拎东西、帽子</w:t>
            </w:r>
            <w:r>
              <w:t>(</w:t>
            </w:r>
            <w:r>
              <w:rPr>
                <w:rFonts w:hint="eastAsia"/>
              </w:rPr>
              <w:t>头盔）、口罩</w:t>
            </w:r>
          </w:p>
          <w:p>
            <w:r>
              <w:rPr>
                <w:rFonts w:hint="eastAsia"/>
              </w:rPr>
              <w:t>事件报警功能：支持移动侦测，遮挡报警，硬盘满，硬盘错误，网络断开，</w:t>
            </w:r>
            <w:r>
              <w:t>IP</w:t>
            </w:r>
            <w:r>
              <w:rPr>
                <w:rFonts w:hint="eastAsia"/>
              </w:rPr>
              <w:t>地址冲突，非法访问，异常重启</w:t>
            </w:r>
          </w:p>
          <w:p>
            <w:r>
              <w:rPr>
                <w:rFonts w:hint="eastAsia"/>
              </w:rPr>
              <w:t>最低照度</w:t>
            </w:r>
            <w:r>
              <w:t xml:space="preserve">: </w:t>
            </w:r>
            <w:r>
              <w:rPr>
                <w:rFonts w:hint="eastAsia"/>
              </w:rPr>
              <w:t>彩色：</w:t>
            </w:r>
            <w:r>
              <w:t>0.0005 Lux @</w:t>
            </w:r>
            <w:r>
              <w:rPr>
                <w:rFonts w:hint="eastAsia"/>
              </w:rPr>
              <w:t>（</w:t>
            </w:r>
            <w:r>
              <w:t>F1.2</w:t>
            </w:r>
            <w:r>
              <w:rPr>
                <w:rFonts w:hint="eastAsia"/>
              </w:rPr>
              <w:t>，</w:t>
            </w:r>
            <w:r>
              <w:t>AGC ON</w:t>
            </w:r>
            <w:r>
              <w:rPr>
                <w:rFonts w:hint="eastAsia"/>
              </w:rPr>
              <w:t>）；黑白：</w:t>
            </w:r>
            <w:r>
              <w:t>0.0001 Lux @</w:t>
            </w:r>
            <w:r>
              <w:rPr>
                <w:rFonts w:hint="eastAsia"/>
              </w:rPr>
              <w:t>（</w:t>
            </w:r>
            <w:r>
              <w:t>F1.2</w:t>
            </w:r>
            <w:r>
              <w:rPr>
                <w:rFonts w:hint="eastAsia"/>
              </w:rPr>
              <w:t>，</w:t>
            </w:r>
            <w:r>
              <w:t>AGC ON</w:t>
            </w:r>
            <w:r>
              <w:rPr>
                <w:rFonts w:hint="eastAsia"/>
              </w:rPr>
              <w:t>），</w:t>
            </w:r>
            <w:r>
              <w:t>0 Lux with IR</w:t>
            </w:r>
          </w:p>
          <w:p>
            <w:r>
              <w:rPr>
                <w:rFonts w:hint="eastAsia"/>
              </w:rPr>
              <w:t>调节角度</w:t>
            </w:r>
            <w:r>
              <w:t xml:space="preserve">: </w:t>
            </w:r>
            <w:r>
              <w:rPr>
                <w:rFonts w:hint="eastAsia"/>
              </w:rPr>
              <w:t>水平：</w:t>
            </w:r>
            <w:r>
              <w:t>0~355°</w:t>
            </w:r>
            <w:r>
              <w:rPr>
                <w:rFonts w:hint="eastAsia"/>
              </w:rPr>
              <w:t>，垂直：</w:t>
            </w:r>
            <w:r>
              <w:t>0~75°</w:t>
            </w:r>
            <w:r>
              <w:rPr>
                <w:rFonts w:hint="eastAsia"/>
              </w:rPr>
              <w:t>，旋转：</w:t>
            </w:r>
            <w:r>
              <w:t>0~355°</w:t>
            </w:r>
          </w:p>
          <w:p>
            <w:r>
              <w:rPr>
                <w:rFonts w:hint="eastAsia"/>
              </w:rPr>
              <w:t>宽动态</w:t>
            </w:r>
            <w:r>
              <w:t>: 120 dB</w:t>
            </w:r>
          </w:p>
          <w:p>
            <w:r>
              <w:rPr>
                <w:rFonts w:hint="eastAsia"/>
              </w:rPr>
              <w:t>焦距＆视场角</w:t>
            </w:r>
            <w:r>
              <w:t>: 8~32 mm</w:t>
            </w:r>
            <w:r>
              <w:rPr>
                <w:rFonts w:hint="eastAsia"/>
              </w:rPr>
              <w:t>：水平视场角：</w:t>
            </w:r>
            <w:r>
              <w:t>40.3°~14.5°</w:t>
            </w:r>
            <w:r>
              <w:rPr>
                <w:rFonts w:hint="eastAsia"/>
              </w:rPr>
              <w:t>，垂直视场角：</w:t>
            </w:r>
            <w:r>
              <w:t>22.1°~8.2°</w:t>
            </w:r>
            <w:r>
              <w:rPr>
                <w:rFonts w:hint="eastAsia"/>
              </w:rPr>
              <w:t>，对角视场角：</w:t>
            </w:r>
            <w:r>
              <w:t>46.9°~16.5°</w:t>
            </w:r>
          </w:p>
          <w:p>
            <w:r>
              <w:rPr>
                <w:rFonts w:hint="eastAsia"/>
              </w:rPr>
              <w:t>补光灯类型</w:t>
            </w:r>
            <w:r>
              <w:t xml:space="preserve">: </w:t>
            </w:r>
            <w:r>
              <w:rPr>
                <w:rFonts w:hint="eastAsia"/>
              </w:rPr>
              <w:t>红外灯</w:t>
            </w:r>
          </w:p>
          <w:p>
            <w:r>
              <w:rPr>
                <w:rFonts w:hint="eastAsia"/>
              </w:rPr>
              <w:t>补光距离</w:t>
            </w:r>
            <w:r>
              <w:t xml:space="preserve">: </w:t>
            </w:r>
            <w:r>
              <w:rPr>
                <w:rFonts w:hint="eastAsia"/>
              </w:rPr>
              <w:t>最远可达</w:t>
            </w:r>
            <w:r>
              <w:t>50 m</w:t>
            </w:r>
          </w:p>
          <w:p>
            <w:r>
              <w:rPr>
                <w:rFonts w:hint="eastAsia"/>
              </w:rPr>
              <w:t>防补光过曝</w:t>
            </w:r>
            <w:r>
              <w:t xml:space="preserve">: </w:t>
            </w:r>
            <w:r>
              <w:rPr>
                <w:rFonts w:hint="eastAsia"/>
              </w:rPr>
              <w:t>支持</w:t>
            </w:r>
          </w:p>
          <w:p>
            <w:r>
              <w:rPr>
                <w:rFonts w:hint="eastAsia"/>
              </w:rPr>
              <w:t>红外波长范围</w:t>
            </w:r>
            <w:r>
              <w:t>: 850 nm</w:t>
            </w:r>
          </w:p>
          <w:p>
            <w:r>
              <w:rPr>
                <w:rFonts w:hint="eastAsia"/>
              </w:rPr>
              <w:t>最大图像尺寸</w:t>
            </w:r>
            <w:r>
              <w:t>: 2560 × 1440</w:t>
            </w:r>
          </w:p>
          <w:p>
            <w:r>
              <w:rPr>
                <w:rFonts w:hint="eastAsia"/>
              </w:rPr>
              <w:t>视频压缩标准</w:t>
            </w:r>
            <w:r>
              <w:t xml:space="preserve">: </w:t>
            </w:r>
            <w:r>
              <w:rPr>
                <w:rFonts w:hint="eastAsia"/>
              </w:rPr>
              <w:t>主码流：</w:t>
            </w:r>
            <w:r>
              <w:t>H.265/H.264</w:t>
            </w:r>
          </w:p>
          <w:p>
            <w:r>
              <w:rPr>
                <w:rFonts w:hint="eastAsia"/>
              </w:rPr>
              <w:t>网络存储</w:t>
            </w:r>
            <w:r>
              <w:t xml:space="preserve">: </w:t>
            </w:r>
            <w:r>
              <w:rPr>
                <w:rFonts w:hint="eastAsia"/>
              </w:rPr>
              <w:t>支持</w:t>
            </w:r>
            <w:r>
              <w:t>MicroSD(</w:t>
            </w:r>
            <w:r>
              <w:rPr>
                <w:rFonts w:hint="eastAsia"/>
              </w:rPr>
              <w:t>即</w:t>
            </w:r>
            <w:r>
              <w:t>TF</w:t>
            </w:r>
            <w:r>
              <w:rPr>
                <w:rFonts w:hint="eastAsia"/>
              </w:rPr>
              <w:t>卡</w:t>
            </w:r>
            <w:r>
              <w:t>)/MicroSDHC/MicroSDXC</w:t>
            </w:r>
            <w:r>
              <w:rPr>
                <w:rFonts w:hint="eastAsia"/>
              </w:rPr>
              <w:t>卡（最大</w:t>
            </w:r>
            <w:r>
              <w:t>256 GB</w:t>
            </w:r>
            <w:r>
              <w:rPr>
                <w:rFonts w:hint="eastAsia"/>
              </w:rPr>
              <w:t>）断网本地存储及断网续传，</w:t>
            </w:r>
            <w:r>
              <w:t>NAS</w:t>
            </w:r>
            <w:r>
              <w:rPr>
                <w:rFonts w:hint="eastAsia"/>
              </w:rPr>
              <w:t>（</w:t>
            </w:r>
            <w:r>
              <w:t>NFS</w:t>
            </w:r>
            <w:r>
              <w:rPr>
                <w:rFonts w:hint="eastAsia"/>
              </w:rPr>
              <w:t>，</w:t>
            </w:r>
            <w:r>
              <w:t>SMB/CIFS</w:t>
            </w:r>
            <w:r>
              <w:rPr>
                <w:rFonts w:hint="eastAsia"/>
              </w:rPr>
              <w:t>均支持），配合海康黑卡支持</w:t>
            </w:r>
            <w:r>
              <w:t>SD</w:t>
            </w:r>
            <w:r>
              <w:rPr>
                <w:rFonts w:hint="eastAsia"/>
              </w:rPr>
              <w:t>卡加密及</w:t>
            </w:r>
            <w:r>
              <w:t>SD</w:t>
            </w:r>
            <w:r>
              <w:rPr>
                <w:rFonts w:hint="eastAsia"/>
              </w:rPr>
              <w:t>卡状态检测</w:t>
            </w:r>
          </w:p>
          <w:p>
            <w:r>
              <w:rPr>
                <w:rFonts w:hint="eastAsia"/>
              </w:rPr>
              <w:t>视频输出</w:t>
            </w:r>
            <w:r>
              <w:t>: 1 Vp-p Composite Output(75 Ω/CVBS)</w:t>
            </w:r>
          </w:p>
          <w:p>
            <w:r>
              <w:rPr>
                <w:rFonts w:hint="eastAsia"/>
              </w:rPr>
              <w:t>网络</w:t>
            </w:r>
            <w:r>
              <w:t>: 1</w:t>
            </w:r>
            <w:r>
              <w:rPr>
                <w:rFonts w:hint="eastAsia"/>
              </w:rPr>
              <w:t>个</w:t>
            </w:r>
            <w:r>
              <w:t>RJ45 10 M/100 M/1000 M</w:t>
            </w:r>
            <w:r>
              <w:rPr>
                <w:rFonts w:hint="eastAsia"/>
              </w:rPr>
              <w:t>自适应以太网口</w:t>
            </w:r>
          </w:p>
          <w:p>
            <w:r>
              <w:rPr>
                <w:rFonts w:hint="eastAsia"/>
              </w:rPr>
              <w:t>音频</w:t>
            </w:r>
            <w:r>
              <w:t xml:space="preserve">: 2 </w:t>
            </w:r>
            <w:r>
              <w:rPr>
                <w:rFonts w:hint="eastAsia"/>
              </w:rPr>
              <w:t>路输入（</w:t>
            </w:r>
            <w:r>
              <w:t>Line in</w:t>
            </w:r>
            <w:r>
              <w:rPr>
                <w:rFonts w:hint="eastAsia"/>
              </w:rPr>
              <w:t>），</w:t>
            </w:r>
            <w:r>
              <w:t>1</w:t>
            </w:r>
            <w:r>
              <w:rPr>
                <w:rFonts w:hint="eastAsia"/>
              </w:rPr>
              <w:t>路输出（</w:t>
            </w:r>
            <w:r>
              <w:t>Line out</w:t>
            </w:r>
            <w:r>
              <w:rPr>
                <w:rFonts w:hint="eastAsia"/>
              </w:rPr>
              <w:t>），</w:t>
            </w:r>
            <w:r>
              <w:t>2</w:t>
            </w:r>
            <w:r>
              <w:rPr>
                <w:rFonts w:hint="eastAsia"/>
              </w:rPr>
              <w:t>个内置麦克风，</w:t>
            </w:r>
            <w:r>
              <w:t>1</w:t>
            </w:r>
            <w:r>
              <w:rPr>
                <w:rFonts w:hint="eastAsia"/>
              </w:rPr>
              <w:t>个内置扬声器</w:t>
            </w:r>
          </w:p>
          <w:p>
            <w:r>
              <w:rPr>
                <w:rFonts w:hint="eastAsia"/>
              </w:rPr>
              <w:t>报警</w:t>
            </w:r>
            <w:r>
              <w:t>: 3</w:t>
            </w:r>
            <w:r>
              <w:rPr>
                <w:rFonts w:hint="eastAsia"/>
              </w:rPr>
              <w:t>路输入，湿接点，支持</w:t>
            </w:r>
            <w:r>
              <w:t>3.3 V~5 V</w:t>
            </w:r>
            <w:r>
              <w:rPr>
                <w:rFonts w:hint="eastAsia"/>
              </w:rPr>
              <w:t>范围电位</w:t>
            </w:r>
            <w:r>
              <w:t xml:space="preserve"> </w:t>
            </w:r>
            <w:r>
              <w:rPr>
                <w:rFonts w:hint="eastAsia"/>
              </w:rPr>
              <w:t>；</w:t>
            </w:r>
            <w:r>
              <w:t>2</w:t>
            </w:r>
            <w:r>
              <w:rPr>
                <w:rFonts w:hint="eastAsia"/>
              </w:rPr>
              <w:t>路输出，湿接点，电平量，支持最大</w:t>
            </w:r>
            <w:r>
              <w:t>DC12 V</w:t>
            </w:r>
            <w:r>
              <w:rPr>
                <w:rFonts w:hint="eastAsia"/>
              </w:rPr>
              <w:t>，</w:t>
            </w:r>
            <w:r>
              <w:t xml:space="preserve">30 mA  </w:t>
            </w:r>
          </w:p>
          <w:p>
            <w:r>
              <w:t>RS-485: 1</w:t>
            </w:r>
            <w:r>
              <w:rPr>
                <w:rFonts w:hint="eastAsia"/>
              </w:rPr>
              <w:t>路</w:t>
            </w:r>
            <w:r>
              <w:t>RS-485</w:t>
            </w:r>
            <w:r>
              <w:rPr>
                <w:rFonts w:hint="eastAsia"/>
              </w:rPr>
              <w:t>接口，半双工模式，支持自适应</w:t>
            </w:r>
            <w:r>
              <w:t>HIKVISION</w:t>
            </w:r>
            <w:r>
              <w:rPr>
                <w:rFonts w:hint="eastAsia"/>
              </w:rPr>
              <w:t>，</w:t>
            </w:r>
            <w:r>
              <w:t>PELCO-P</w:t>
            </w:r>
            <w:r>
              <w:rPr>
                <w:rFonts w:hint="eastAsia"/>
              </w:rPr>
              <w:t>和</w:t>
            </w:r>
            <w:r>
              <w:t>PELCO-D</w:t>
            </w:r>
            <w:r>
              <w:rPr>
                <w:rFonts w:hint="eastAsia"/>
              </w:rPr>
              <w:t>协议</w:t>
            </w:r>
          </w:p>
          <w:p>
            <w:r>
              <w:rPr>
                <w:rFonts w:hint="eastAsia"/>
              </w:rPr>
              <w:t>复位</w:t>
            </w:r>
            <w:r>
              <w:t xml:space="preserve">: </w:t>
            </w:r>
            <w:r>
              <w:rPr>
                <w:rFonts w:hint="eastAsia"/>
              </w:rPr>
              <w:t>支持</w:t>
            </w:r>
          </w:p>
          <w:p>
            <w:r>
              <w:rPr>
                <w:rFonts w:hint="eastAsia"/>
              </w:rPr>
              <w:t>电源输出</w:t>
            </w:r>
            <w:r>
              <w:t xml:space="preserve">: </w:t>
            </w:r>
            <w:r>
              <w:rPr>
                <w:rFonts w:hint="eastAsia"/>
              </w:rPr>
              <w:t>支持</w:t>
            </w:r>
            <w:r>
              <w:t>DC12 V</w:t>
            </w:r>
            <w:r>
              <w:rPr>
                <w:rFonts w:hint="eastAsia"/>
              </w:rPr>
              <w:t>，</w:t>
            </w:r>
            <w:r>
              <w:t>100 mA</w:t>
            </w:r>
          </w:p>
          <w:p>
            <w:r>
              <w:rPr>
                <w:rFonts w:hint="eastAsia"/>
              </w:rPr>
              <w:t>接口类型</w:t>
            </w:r>
            <w:r>
              <w:t xml:space="preserve">: </w:t>
            </w:r>
            <w:r>
              <w:rPr>
                <w:rFonts w:hint="eastAsia"/>
              </w:rPr>
              <w:t>外甩线</w:t>
            </w:r>
          </w:p>
          <w:p>
            <w:r>
              <w:rPr>
                <w:rFonts w:hint="eastAsia"/>
              </w:rPr>
              <w:t>产品尺寸</w:t>
            </w:r>
            <w:r>
              <w:t>: Ø144.3 × 114.1 mm</w:t>
            </w:r>
          </w:p>
          <w:p>
            <w:r>
              <w:rPr>
                <w:rFonts w:hint="eastAsia"/>
              </w:rPr>
              <w:t>包装尺寸</w:t>
            </w:r>
            <w:r>
              <w:t>: 244 × 174 × 173 mm</w:t>
            </w:r>
          </w:p>
          <w:p>
            <w:r>
              <w:rPr>
                <w:rFonts w:hint="eastAsia"/>
              </w:rPr>
              <w:t>设备重量</w:t>
            </w:r>
            <w:r>
              <w:t>: 910 g</w:t>
            </w:r>
          </w:p>
          <w:p>
            <w:r>
              <w:rPr>
                <w:rFonts w:hint="eastAsia"/>
              </w:rPr>
              <w:t>带包装重量</w:t>
            </w:r>
            <w:r>
              <w:t>: 1320 g</w:t>
            </w:r>
          </w:p>
          <w:p>
            <w:r>
              <w:rPr>
                <w:rFonts w:hint="eastAsia"/>
              </w:rPr>
              <w:t>存储温湿度</w:t>
            </w:r>
            <w:r>
              <w:t>: -30 ℃~60 ℃</w:t>
            </w:r>
            <w:r>
              <w:rPr>
                <w:rFonts w:hint="eastAsia"/>
              </w:rPr>
              <w:t>，湿度小于</w:t>
            </w:r>
            <w:r>
              <w:t>95%</w:t>
            </w:r>
            <w:r>
              <w:rPr>
                <w:rFonts w:hint="eastAsia"/>
              </w:rPr>
              <w:t>（无凝结）</w:t>
            </w:r>
          </w:p>
          <w:p>
            <w:r>
              <w:rPr>
                <w:rFonts w:hint="eastAsia"/>
              </w:rPr>
              <w:t>启动和工作温湿度</w:t>
            </w:r>
            <w:r>
              <w:t>: -30 ℃~60 ℃</w:t>
            </w:r>
            <w:r>
              <w:rPr>
                <w:rFonts w:hint="eastAsia"/>
              </w:rPr>
              <w:t>，湿度小于</w:t>
            </w:r>
            <w:r>
              <w:t>95%</w:t>
            </w:r>
            <w:r>
              <w:rPr>
                <w:rFonts w:hint="eastAsia"/>
              </w:rPr>
              <w:t>（无凝结）</w:t>
            </w:r>
          </w:p>
          <w:p>
            <w:r>
              <w:rPr>
                <w:rFonts w:hint="eastAsia"/>
              </w:rPr>
              <w:t>电流及功耗</w:t>
            </w:r>
            <w:r>
              <w:t>: DC</w:t>
            </w:r>
            <w:r>
              <w:rPr>
                <w:rFonts w:hint="eastAsia"/>
              </w:rPr>
              <w:t>：</w:t>
            </w:r>
            <w:r>
              <w:t>12 V</w:t>
            </w:r>
            <w:r>
              <w:rPr>
                <w:rFonts w:hint="eastAsia"/>
              </w:rPr>
              <w:t>，</w:t>
            </w:r>
            <w:r>
              <w:t>1.02 A</w:t>
            </w:r>
            <w:r>
              <w:rPr>
                <w:rFonts w:hint="eastAsia"/>
              </w:rPr>
              <w:t>，最大功耗：</w:t>
            </w:r>
            <w:r>
              <w:t>12.4 W</w:t>
            </w:r>
            <w:r>
              <w:rPr>
                <w:rFonts w:hint="eastAsia"/>
              </w:rPr>
              <w:t>；</w:t>
            </w:r>
            <w:r>
              <w:t>AC</w:t>
            </w:r>
            <w:r>
              <w:rPr>
                <w:rFonts w:hint="eastAsia"/>
              </w:rPr>
              <w:t>：</w:t>
            </w:r>
            <w:r>
              <w:t>24 V</w:t>
            </w:r>
            <w:r>
              <w:rPr>
                <w:rFonts w:hint="eastAsia"/>
              </w:rPr>
              <w:t>，</w:t>
            </w:r>
            <w:r>
              <w:t>0.82 A</w:t>
            </w:r>
            <w:r>
              <w:rPr>
                <w:rFonts w:hint="eastAsia"/>
              </w:rPr>
              <w:t>，最大功耗：</w:t>
            </w:r>
            <w:r>
              <w:t>11.8 W</w:t>
            </w:r>
            <w:r>
              <w:rPr>
                <w:rFonts w:hint="eastAsia"/>
              </w:rPr>
              <w:t>；</w:t>
            </w:r>
            <w:r>
              <w:t>PoE</w:t>
            </w:r>
            <w:r>
              <w:rPr>
                <w:rFonts w:hint="eastAsia"/>
              </w:rPr>
              <w:t>：</w:t>
            </w:r>
            <w:r>
              <w:t>802.3at</w:t>
            </w:r>
            <w:r>
              <w:rPr>
                <w:rFonts w:hint="eastAsia"/>
              </w:rPr>
              <w:t>，</w:t>
            </w:r>
            <w:r>
              <w:t>42.5 V~57 V</w:t>
            </w:r>
            <w:r>
              <w:rPr>
                <w:rFonts w:hint="eastAsia"/>
              </w:rPr>
              <w:t>，</w:t>
            </w:r>
            <w:r>
              <w:t>0.29 A~0.22 A</w:t>
            </w:r>
            <w:r>
              <w:rPr>
                <w:rFonts w:hint="eastAsia"/>
              </w:rPr>
              <w:t>，最大功耗：</w:t>
            </w:r>
            <w:r>
              <w:t>12.5 W</w:t>
            </w:r>
          </w:p>
          <w:p>
            <w:r>
              <w:rPr>
                <w:rFonts w:hint="eastAsia"/>
              </w:rPr>
              <w:t>供电方式</w:t>
            </w:r>
            <w:r>
              <w:t>: DC</w:t>
            </w:r>
            <w:r>
              <w:rPr>
                <w:rFonts w:hint="eastAsia"/>
              </w:rPr>
              <w:t>：</w:t>
            </w:r>
            <w:r>
              <w:t>12 V ± 20%</w:t>
            </w:r>
            <w:r>
              <w:rPr>
                <w:rFonts w:hint="eastAsia"/>
              </w:rPr>
              <w:t>，支持防反接保护；</w:t>
            </w:r>
            <w:r>
              <w:t>AC</w:t>
            </w:r>
            <w:r>
              <w:rPr>
                <w:rFonts w:hint="eastAsia"/>
              </w:rPr>
              <w:t>：</w:t>
            </w:r>
            <w:r>
              <w:t>24 V ± 20%</w:t>
            </w:r>
            <w:r>
              <w:rPr>
                <w:rFonts w:hint="eastAsia"/>
              </w:rPr>
              <w:t>；</w:t>
            </w:r>
            <w:r>
              <w:t>PoE</w:t>
            </w:r>
            <w:r>
              <w:rPr>
                <w:rFonts w:hint="eastAsia"/>
              </w:rPr>
              <w:t>：</w:t>
            </w:r>
            <w:r>
              <w:t>802.3at</w:t>
            </w:r>
            <w:r>
              <w:rPr>
                <w:rFonts w:hint="eastAsia"/>
              </w:rPr>
              <w:t>，</w:t>
            </w:r>
            <w:r>
              <w:t>Type 2</w:t>
            </w:r>
            <w:r>
              <w:rPr>
                <w:rFonts w:hint="eastAsia"/>
              </w:rPr>
              <w:t>，</w:t>
            </w:r>
            <w:r>
              <w:t>Class 4</w:t>
            </w:r>
          </w:p>
          <w:p>
            <w:r>
              <w:rPr>
                <w:rFonts w:hint="eastAsia"/>
              </w:rPr>
              <w:t>电源接口类型</w:t>
            </w:r>
            <w:r>
              <w:t>: 3</w:t>
            </w:r>
            <w:r>
              <w:rPr>
                <w:rFonts w:hint="eastAsia"/>
              </w:rPr>
              <w:t>芯电源接口</w:t>
            </w:r>
          </w:p>
          <w:p>
            <w:r>
              <w:rPr>
                <w:rFonts w:hint="eastAsia"/>
              </w:rPr>
              <w:t>线缆长度</w:t>
            </w:r>
            <w:r>
              <w:t>: 2 cm</w:t>
            </w:r>
          </w:p>
          <w:p>
            <w:r>
              <w:rPr>
                <w:rFonts w:hint="eastAsia"/>
              </w:rPr>
              <w:t>防护</w:t>
            </w:r>
            <w:r>
              <w:t>: IP67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819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15</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硬盘录像机</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视频接入路数 4</w:t>
            </w:r>
          </w:p>
          <w:p>
            <w:r>
              <w:rPr>
                <w:rFonts w:hint="eastAsia"/>
              </w:rPr>
              <w:t>网络输入带宽 40Mbps</w:t>
            </w:r>
          </w:p>
          <w:p>
            <w:r>
              <w:rPr>
                <w:rFonts w:hint="eastAsia"/>
              </w:rPr>
              <w:t>网络输出带宽 80Mps</w:t>
            </w:r>
          </w:p>
          <w:p>
            <w:r>
              <w:rPr>
                <w:rFonts w:hint="eastAsia"/>
              </w:rPr>
              <w:t>录像分辨率 8MP/7MP/6MP/5MP/4MP/3MP/1080p/UXGA/720p/VGA/4CIF/DCIF/2CIF/CIF/QCIF</w:t>
            </w:r>
          </w:p>
          <w:p>
            <w:r>
              <w:rPr>
                <w:rFonts w:hint="eastAsia"/>
              </w:rPr>
              <w:t>视频输出 1路HDMI，1路VGA</w:t>
            </w:r>
          </w:p>
          <w:p>
            <w:r>
              <w:rPr>
                <w:rFonts w:hint="eastAsia"/>
              </w:rPr>
              <w:t>HDMI输出 4K（4096x2160）/30Hz，4K (3840×2160) /30Hz, 2K（2560×1440）/60Hz，1920×1080/60Hz，1600×1200/60Hz，1280×1024/60Hz，1280×720/60Hz</w:t>
            </w:r>
          </w:p>
          <w:p>
            <w:r>
              <w:rPr>
                <w:rFonts w:hint="eastAsia"/>
              </w:rPr>
              <w:t>VGA输出 与HDMI同源，1920*1080/60Hz，1280*1024/60Hz，1280*720/60Hz</w:t>
            </w:r>
          </w:p>
          <w:p>
            <w:r>
              <w:rPr>
                <w:rFonts w:hint="eastAsia"/>
              </w:rPr>
              <w:t>CVBS输出 不支持</w:t>
            </w:r>
          </w:p>
          <w:p>
            <w:r>
              <w:rPr>
                <w:rFonts w:hint="eastAsia"/>
              </w:rPr>
              <w:t>视频解码格式 H.265,Smart265,H.264,Smart264</w:t>
            </w:r>
          </w:p>
          <w:p>
            <w:r>
              <w:rPr>
                <w:rFonts w:hint="eastAsia"/>
              </w:rPr>
              <w:t>解码能力 6×1080P</w:t>
            </w:r>
          </w:p>
          <w:p>
            <w:r>
              <w:rPr>
                <w:rFonts w:hint="eastAsia"/>
              </w:rPr>
              <w:t>同步回放 4</w:t>
            </w:r>
          </w:p>
          <w:p>
            <w:r>
              <w:rPr>
                <w:rFonts w:hint="eastAsia"/>
              </w:rPr>
              <w:t>音频输出 1路，RCA接口（线性电平，阻抗：1KΩ）</w:t>
            </w:r>
          </w:p>
          <w:p>
            <w:r>
              <w:rPr>
                <w:rFonts w:hint="eastAsia"/>
              </w:rPr>
              <w:t>语音对讲输入 1个，RCA接口（电平：2.0Vp-p，阻抗：1KΩ）</w:t>
            </w:r>
          </w:p>
          <w:p>
            <w:r>
              <w:rPr>
                <w:rFonts w:hint="eastAsia"/>
              </w:rPr>
              <w:t>盘位 1个SATA接口</w:t>
            </w:r>
          </w:p>
          <w:p>
            <w:r>
              <w:rPr>
                <w:rFonts w:hint="eastAsia"/>
              </w:rPr>
              <w:t>单盘容量 最大支持8TB</w:t>
            </w:r>
          </w:p>
          <w:p>
            <w:r>
              <w:rPr>
                <w:rFonts w:hint="eastAsia"/>
              </w:rPr>
              <w:t>阵列类型 不支持</w:t>
            </w:r>
          </w:p>
          <w:p>
            <w:r>
              <w:rPr>
                <w:rFonts w:hint="eastAsia"/>
              </w:rPr>
              <w:t>扩展存储 不支持</w:t>
            </w:r>
          </w:p>
          <w:p>
            <w:r>
              <w:rPr>
                <w:rFonts w:hint="eastAsia"/>
              </w:rPr>
              <w:t>网络接口 1个，RJ45 10M/100M自适应以太网口</w:t>
            </w:r>
          </w:p>
          <w:p>
            <w:r>
              <w:rPr>
                <w:rFonts w:hint="eastAsia"/>
              </w:rPr>
              <w:t>USB接口 1个USB2.0（前置），1个USB2.0 （后置）</w:t>
            </w:r>
          </w:p>
          <w:p>
            <w:r>
              <w:rPr>
                <w:rFonts w:hint="eastAsia"/>
              </w:rPr>
              <w:t>报警输入输出 4进1出</w:t>
            </w:r>
          </w:p>
          <w:p>
            <w:r>
              <w:rPr>
                <w:rFonts w:hint="eastAsia"/>
              </w:rPr>
              <w:t>POE接口 4个</w:t>
            </w:r>
          </w:p>
          <w:p>
            <w:r>
              <w:rPr>
                <w:rFonts w:hint="eastAsia"/>
              </w:rPr>
              <w:t>电源规格 DC 48V 65W</w:t>
            </w:r>
          </w:p>
          <w:p>
            <w:r>
              <w:rPr>
                <w:rFonts w:hint="eastAsia"/>
              </w:rPr>
              <w:t>功耗（不含硬盘） ≤10W</w:t>
            </w:r>
          </w:p>
          <w:p>
            <w:r>
              <w:rPr>
                <w:rFonts w:hint="eastAsia"/>
              </w:rPr>
              <w:t>工作温度 -10℃ ～＋55℃</w:t>
            </w:r>
          </w:p>
          <w:p>
            <w:r>
              <w:rPr>
                <w:rFonts w:hint="eastAsia"/>
              </w:rPr>
              <w:t>工作湿度 10％～90％</w:t>
            </w:r>
          </w:p>
          <w:p>
            <w:r>
              <w:rPr>
                <w:rFonts w:hint="eastAsia"/>
              </w:rPr>
              <w:t>机箱 1U 315机箱</w:t>
            </w:r>
          </w:p>
          <w:p>
            <w:r>
              <w:rPr>
                <w:rFonts w:hint="eastAsia"/>
              </w:rPr>
              <w:t>尺寸 315mm（宽）×240mm（深）×48mm（高）</w:t>
            </w:r>
          </w:p>
          <w:p>
            <w:r>
              <w:rPr>
                <w:rFonts w:hint="eastAsia"/>
              </w:rPr>
              <w:t>红外遥控 不支持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171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16</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t>TF</w:t>
            </w:r>
            <w:r>
              <w:rPr>
                <w:rFonts w:hint="eastAsia"/>
              </w:rPr>
              <w:t xml:space="preserve">卡 </w:t>
            </w:r>
            <w:r>
              <w:t>128G</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性能/速度：32GB*-1TB*:读取速度高达120MB/秒**</w:t>
            </w:r>
          </w:p>
          <w:p>
            <w:r>
              <w:rPr>
                <w:rFonts w:hint="eastAsia"/>
              </w:rPr>
              <w:t>写入速度略低</w:t>
            </w:r>
          </w:p>
          <w:p>
            <w:r>
              <w:rPr>
                <w:rFonts w:hint="eastAsia"/>
              </w:rPr>
              <w:t>尺寸：10.92mmx14.99mmx1.00mm</w:t>
            </w:r>
          </w:p>
          <w:p>
            <w:r>
              <w:rPr>
                <w:rFonts w:hint="eastAsia"/>
              </w:rPr>
              <w:t>工作温度：-25°c至85°C</w:t>
            </w:r>
          </w:p>
          <w:p>
            <w:r>
              <w:rPr>
                <w:rFonts w:hint="eastAsia"/>
              </w:rPr>
              <w:t>存储温度：-40°C至85°C</w:t>
            </w:r>
          </w:p>
          <w:p>
            <w:r>
              <w:rPr>
                <w:rFonts w:hint="eastAsia"/>
              </w:rPr>
              <w:t>耐用性：防水、耐冷、耐热、抗冲击、防磁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655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17</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千兆交换机</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千兆以太网交换机</w:t>
            </w:r>
          </w:p>
          <w:p>
            <w:r>
              <w:rPr>
                <w:rFonts w:hint="eastAsia"/>
              </w:rPr>
              <w:t>传输速率 10/100/1000Mbps</w:t>
            </w:r>
          </w:p>
          <w:p>
            <w:r>
              <w:rPr>
                <w:rFonts w:hint="eastAsia"/>
              </w:rPr>
              <w:t>交换方式 存储-转发</w:t>
            </w:r>
          </w:p>
          <w:p>
            <w:r>
              <w:rPr>
                <w:rFonts w:hint="eastAsia"/>
              </w:rPr>
              <w:t>背板带宽 18Gbps</w:t>
            </w:r>
          </w:p>
          <w:p>
            <w:r>
              <w:rPr>
                <w:rFonts w:hint="eastAsia"/>
              </w:rPr>
              <w:t>包转发率 13.4Mpps</w:t>
            </w:r>
          </w:p>
          <w:p>
            <w:r>
              <w:rPr>
                <w:rFonts w:hint="eastAsia"/>
              </w:rPr>
              <w:t>MAC地址表 4K</w:t>
            </w:r>
          </w:p>
          <w:p>
            <w:r>
              <w:rPr>
                <w:rFonts w:hint="eastAsia"/>
              </w:rPr>
              <w:t>端口参数</w:t>
            </w:r>
          </w:p>
          <w:p>
            <w:r>
              <w:rPr>
                <w:rFonts w:hint="eastAsia"/>
              </w:rPr>
              <w:t>端口结构 非模块化</w:t>
            </w:r>
          </w:p>
          <w:p>
            <w:r>
              <w:rPr>
                <w:rFonts w:hint="eastAsia"/>
              </w:rPr>
              <w:t>端口数量 9个</w:t>
            </w:r>
          </w:p>
          <w:p>
            <w:r>
              <w:rPr>
                <w:rFonts w:hint="eastAsia"/>
              </w:rPr>
              <w:t>端口描述 8个10/100/1000Mbps自适应以太网端口，1个1000Base-X SFP端口</w:t>
            </w:r>
          </w:p>
          <w:p>
            <w:r>
              <w:rPr>
                <w:rFonts w:hint="eastAsia"/>
              </w:rPr>
              <w:t>传输模式 全双工/半双工自适应</w:t>
            </w:r>
          </w:p>
          <w:p>
            <w:r>
              <w:rPr>
                <w:rFonts w:hint="eastAsia"/>
              </w:rPr>
              <w:t>功能特性</w:t>
            </w:r>
          </w:p>
          <w:p>
            <w:r>
              <w:rPr>
                <w:rFonts w:hint="eastAsia"/>
              </w:rPr>
              <w:t>网络标准 IEEE 802.3，IEEE 802.3u，IEEE 802.3ab，IEEE 802.3z</w:t>
            </w:r>
          </w:p>
          <w:p>
            <w:r>
              <w:rPr>
                <w:rFonts w:hint="eastAsia"/>
              </w:rPr>
              <w:t>VLAN 支持</w:t>
            </w:r>
          </w:p>
          <w:p>
            <w:r>
              <w:rPr>
                <w:rFonts w:hint="eastAsia"/>
              </w:rPr>
              <w:t>其它参数</w:t>
            </w:r>
          </w:p>
          <w:p>
            <w:r>
              <w:rPr>
                <w:rFonts w:hint="eastAsia"/>
              </w:rPr>
              <w:t>电源电压 DC 12V/0.5A</w:t>
            </w:r>
          </w:p>
          <w:p>
            <w:r>
              <w:rPr>
                <w:rFonts w:hint="eastAsia"/>
              </w:rPr>
              <w:t>电源功率 &lt;6W</w:t>
            </w:r>
          </w:p>
          <w:p>
            <w:r>
              <w:rPr>
                <w:rFonts w:hint="eastAsia"/>
              </w:rPr>
              <w:t>产品尺寸 180×28.5×121.4mm</w:t>
            </w:r>
          </w:p>
          <w:p>
            <w:r>
              <w:rPr>
                <w:rFonts w:hint="eastAsia"/>
              </w:rPr>
              <w:t>环境标准 工作温度：0-40℃</w:t>
            </w:r>
          </w:p>
          <w:p>
            <w:r>
              <w:rPr>
                <w:rFonts w:hint="eastAsia"/>
              </w:rPr>
              <w:t>工作湿度：5%-95%（无凝结）</w:t>
            </w:r>
          </w:p>
          <w:p>
            <w:r>
              <w:rPr>
                <w:rFonts w:hint="eastAsia"/>
              </w:rPr>
              <w:t>存储温度：-40-70℃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157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18</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网线</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r>
              <w:rPr>
                <w:rFonts w:hint="eastAsia"/>
              </w:rPr>
              <w:t>超五类非屏蔽</w:t>
            </w:r>
            <w:r>
              <w:t>8</w:t>
            </w:r>
            <w:r>
              <w:rPr>
                <w:rFonts w:hint="eastAsia"/>
              </w:rPr>
              <w:t>芯</w:t>
            </w:r>
            <w:r>
              <w:t>4</w:t>
            </w:r>
            <w:r>
              <w:rPr>
                <w:rFonts w:hint="eastAsia"/>
              </w:rPr>
              <w:t>对双绞线，</w:t>
            </w:r>
          </w:p>
          <w:p>
            <w:r>
              <w:t>2.</w:t>
            </w:r>
            <w:r>
              <w:rPr>
                <w:rFonts w:hint="eastAsia"/>
              </w:rPr>
              <w:t>裸铜线径为</w:t>
            </w:r>
            <w:r>
              <w:t>0.51mm</w:t>
            </w:r>
            <w:r>
              <w:rPr>
                <w:rFonts w:hint="eastAsia"/>
              </w:rPr>
              <w:t>（线规为</w:t>
            </w:r>
            <w:r>
              <w:t>24AWG</w:t>
            </w:r>
            <w:r>
              <w:rPr>
                <w:rFonts w:hint="eastAsia"/>
              </w:rPr>
              <w:t>），</w:t>
            </w:r>
          </w:p>
          <w:p>
            <w:r>
              <w:t>3.</w:t>
            </w:r>
            <w:r>
              <w:rPr>
                <w:rFonts w:hint="eastAsia"/>
              </w:rPr>
              <w:t>网线直径为</w:t>
            </w:r>
            <w:r>
              <w:t>5mm</w:t>
            </w:r>
            <w:r>
              <w:rPr>
                <w:rFonts w:hint="eastAsia"/>
              </w:rPr>
              <w:t>，</w:t>
            </w:r>
          </w:p>
          <w:p>
            <w:r>
              <w:t>4.</w:t>
            </w:r>
            <w:r>
              <w:rPr>
                <w:rFonts w:hint="eastAsia"/>
              </w:rPr>
              <w:t>普通网络环境下的超五类网线传输速率可达</w:t>
            </w:r>
            <w:r>
              <w:t>100Mbps</w:t>
            </w:r>
            <w:r>
              <w:rPr>
                <w:rFonts w:hint="eastAsia"/>
              </w:rPr>
              <w:t>，最高速率可达</w:t>
            </w:r>
            <w:r>
              <w:t>1000Mbps</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箱</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416"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19</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低碳公厕</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报警主机</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t>8/16</w:t>
            </w:r>
            <w:r>
              <w:rPr>
                <w:rFonts w:hint="eastAsia"/>
              </w:rPr>
              <w:t>个板载有线防区，最大支持扩展至</w:t>
            </w:r>
            <w:r>
              <w:t>48</w:t>
            </w:r>
            <w:r>
              <w:rPr>
                <w:rFonts w:hint="eastAsia"/>
              </w:rPr>
              <w:t>防区</w:t>
            </w:r>
            <w:r>
              <w:t>(</w:t>
            </w:r>
            <w:r>
              <w:rPr>
                <w:rFonts w:hint="eastAsia"/>
              </w:rPr>
              <w:t>扩展防区可以为无线防区</w:t>
            </w:r>
            <w:r>
              <w:t>)4</w:t>
            </w:r>
            <w:r>
              <w:rPr>
                <w:rFonts w:hint="eastAsia"/>
              </w:rPr>
              <w:t>路继电器输出</w:t>
            </w:r>
            <w:r>
              <w:t>(</w:t>
            </w:r>
            <w:r>
              <w:rPr>
                <w:rFonts w:hint="eastAsia"/>
              </w:rPr>
              <w:t>最大可扩展至</w:t>
            </w:r>
            <w:r>
              <w:t>48</w:t>
            </w:r>
            <w:r>
              <w:rPr>
                <w:rFonts w:hint="eastAsia"/>
              </w:rPr>
              <w:t>路</w:t>
            </w:r>
            <w:r>
              <w:t>)</w:t>
            </w:r>
          </w:p>
          <w:p>
            <w:r>
              <w:rPr>
                <w:rFonts w:hint="eastAsia"/>
              </w:rPr>
              <w:t>支持通过网络、电话线、</w:t>
            </w:r>
            <w:r>
              <w:t>4G</w:t>
            </w:r>
            <w:r>
              <w:rPr>
                <w:rFonts w:hint="eastAsia"/>
              </w:rPr>
              <w:t>传输报警数据</w:t>
            </w:r>
            <w:r>
              <w:t>(</w:t>
            </w:r>
            <w:r>
              <w:rPr>
                <w:rFonts w:hint="eastAsia"/>
              </w:rPr>
              <w:t>搭配</w:t>
            </w:r>
            <w:r>
              <w:t>CMK-4G</w:t>
            </w:r>
            <w:r>
              <w:rPr>
                <w:rFonts w:hint="eastAsia"/>
              </w:rPr>
              <w:t>横块</w:t>
            </w:r>
            <w:r>
              <w:t>)</w:t>
            </w:r>
            <w:r>
              <w:rPr>
                <w:rFonts w:hint="eastAsia"/>
              </w:rPr>
              <w:t>支持短信报警、消警及远程布撒防</w:t>
            </w:r>
            <w:r>
              <w:t>(</w:t>
            </w:r>
            <w:r>
              <w:rPr>
                <w:rFonts w:hint="eastAsia"/>
              </w:rPr>
              <w:t>搭配</w:t>
            </w:r>
            <w:r>
              <w:t>CMK-4G</w:t>
            </w:r>
            <w:r>
              <w:rPr>
                <w:rFonts w:hint="eastAsia"/>
              </w:rPr>
              <w:t>横块</w:t>
            </w:r>
            <w:r>
              <w:t>)</w:t>
            </w:r>
          </w:p>
          <w:p>
            <w:r>
              <w:rPr>
                <w:rFonts w:hint="eastAsia"/>
              </w:rPr>
              <w:t>支持</w:t>
            </w:r>
            <w:r>
              <w:t>250</w:t>
            </w:r>
            <w:r>
              <w:rPr>
                <w:rFonts w:hint="eastAsia"/>
              </w:rPr>
              <w:t>条</w:t>
            </w:r>
            <w:r>
              <w:t>CID</w:t>
            </w:r>
            <w:r>
              <w:rPr>
                <w:rFonts w:hint="eastAsia"/>
              </w:rPr>
              <w:t>报告缓存支持</w:t>
            </w:r>
            <w:r>
              <w:t>8000</w:t>
            </w:r>
            <w:r>
              <w:rPr>
                <w:rFonts w:hint="eastAsia"/>
              </w:rPr>
              <w:t>条报警事件记录、</w:t>
            </w:r>
            <w:r>
              <w:t>2000</w:t>
            </w:r>
            <w:r>
              <w:rPr>
                <w:rFonts w:hint="eastAsia"/>
              </w:rPr>
              <w:t>条操作事件记录，</w:t>
            </w:r>
            <w:r>
              <w:t>1500</w:t>
            </w:r>
            <w:r>
              <w:rPr>
                <w:rFonts w:hint="eastAsia"/>
              </w:rPr>
              <w:t>条用户管理操作记录，支持事件带日期功能支持远程搜索查询事件日志</w:t>
            </w:r>
          </w:p>
          <w:p>
            <w:r>
              <w:rPr>
                <w:rFonts w:hint="eastAsia"/>
              </w:rPr>
              <w:t>支持</w:t>
            </w:r>
            <w:r>
              <w:t>2</w:t>
            </w:r>
            <w:r>
              <w:rPr>
                <w:rFonts w:hint="eastAsia"/>
              </w:rPr>
              <w:t>组独立的以太网接警中心，</w:t>
            </w:r>
            <w:r>
              <w:t>2</w:t>
            </w:r>
            <w:r>
              <w:rPr>
                <w:rFonts w:hint="eastAsia"/>
              </w:rPr>
              <w:t>组独立的电话接警中心，灵活配置报警数据上传策略，冗余备份策略支持定时布撤防</w:t>
            </w:r>
            <w:r>
              <w:t>(</w:t>
            </w:r>
            <w:r>
              <w:rPr>
                <w:rFonts w:hint="eastAsia"/>
              </w:rPr>
              <w:t>日常计划、优先计划</w:t>
            </w:r>
            <w:r>
              <w:t>)</w:t>
            </w:r>
            <w:r>
              <w:rPr>
                <w:rFonts w:hint="eastAsia"/>
              </w:rPr>
              <w:t>支持</w:t>
            </w:r>
            <w:r>
              <w:t>32</w:t>
            </w:r>
            <w:r>
              <w:rPr>
                <w:rFonts w:hint="eastAsia"/>
              </w:rPr>
              <w:t>个控制键盘接入，遥控器回控支持</w:t>
            </w:r>
            <w:r>
              <w:t>Contact ID protocol</w:t>
            </w:r>
            <w:r>
              <w:rPr>
                <w:rFonts w:hint="eastAsia"/>
              </w:rPr>
              <w:t>，支持话机复用</w:t>
            </w:r>
          </w:p>
          <w:p>
            <w:r>
              <w:rPr>
                <w:rFonts w:hint="eastAsia"/>
              </w:rPr>
              <w:t>支持外置蓄电池，蓄电池电压实时监测，主辅电源可自动切换支持警号输出、键盘电源、辅助电源防反接和过流保护支持</w:t>
            </w:r>
            <w:r>
              <w:t>1</w:t>
            </w:r>
            <w:r>
              <w:rPr>
                <w:rFonts w:hint="eastAsia"/>
              </w:rPr>
              <w:t>路受控警号</w:t>
            </w:r>
            <w:r>
              <w:t>(DC 12V)</w:t>
            </w:r>
            <w:r>
              <w:rPr>
                <w:rFonts w:hint="eastAsia"/>
              </w:rPr>
              <w:t>输出支持最大辅电输出</w:t>
            </w:r>
            <w:r>
              <w:t>1A(DC 12V)</w:t>
            </w:r>
            <w:r>
              <w:rPr>
                <w:rFonts w:hint="eastAsia"/>
              </w:rPr>
              <w:t>支持远程升级</w:t>
            </w:r>
            <w:r>
              <w:t>,</w:t>
            </w:r>
            <w:r>
              <w:rPr>
                <w:rFonts w:hint="eastAsia"/>
              </w:rPr>
              <w:t>远程导入导出配置参数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21</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救助报警按钮</w:t>
            </w:r>
            <w:r>
              <w:t>(</w:t>
            </w:r>
            <w:r>
              <w:rPr>
                <w:rFonts w:hint="eastAsia"/>
              </w:rPr>
              <w:t>紧急按钮）</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紧急按钮面板式（适合</w:t>
            </w:r>
            <w:r>
              <w:t>86</w:t>
            </w:r>
            <w:r>
              <w:rPr>
                <w:rFonts w:hint="eastAsia"/>
              </w:rPr>
              <w:t>底盒）钥匙复位</w:t>
            </w:r>
            <w:r>
              <w:t xml:space="preserve">, </w:t>
            </w:r>
            <w:r>
              <w:rPr>
                <w:rFonts w:hint="eastAsia"/>
              </w:rPr>
              <w:t>无钉孔</w:t>
            </w:r>
            <w:r>
              <w:t>,86*86*32mm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370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22</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声光报警灯</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警号（红白色）；</w:t>
            </w:r>
          </w:p>
          <w:p>
            <w:r>
              <w:rPr>
                <w:rFonts w:hint="eastAsia"/>
              </w:rPr>
              <w:t>报警音量: 105dB at 30cm</w:t>
            </w:r>
          </w:p>
          <w:p>
            <w:r>
              <w:rPr>
                <w:rFonts w:hint="eastAsia"/>
              </w:rPr>
              <w:t>防护等级：IP54，室外防水</w:t>
            </w:r>
          </w:p>
          <w:p>
            <w:r>
              <w:rPr>
                <w:rFonts w:hint="eastAsia"/>
              </w:rPr>
              <w:t>内置水平仪，便于辅助安装</w:t>
            </w:r>
          </w:p>
          <w:p>
            <w:r>
              <w:rPr>
                <w:rFonts w:hint="eastAsia"/>
              </w:rPr>
              <w:t>支持关闭报警声音输出，实现声光报警模式和光闪模式切换</w:t>
            </w:r>
          </w:p>
          <w:p>
            <w:r>
              <w:rPr>
                <w:rFonts w:hint="eastAsia"/>
              </w:rPr>
              <w:t>工作湿度：10％～90％</w:t>
            </w:r>
          </w:p>
          <w:p>
            <w:r>
              <w:rPr>
                <w:rFonts w:hint="eastAsia"/>
              </w:rPr>
              <w:t>工作温度：-20℃～＋60℃</w:t>
            </w:r>
          </w:p>
          <w:p>
            <w:r>
              <w:rPr>
                <w:rFonts w:hint="eastAsia"/>
              </w:rPr>
              <w:t>功耗：静态功耗: 0.96W</w:t>
            </w:r>
          </w:p>
          <w:p>
            <w:r>
              <w:rPr>
                <w:rFonts w:hint="eastAsia"/>
              </w:rPr>
              <w:t>报警功耗：2.7W</w:t>
            </w:r>
          </w:p>
          <w:p>
            <w:r>
              <w:rPr>
                <w:rFonts w:hint="eastAsia"/>
              </w:rPr>
              <w:t>电源：DC 8~16V 0.22A Max</w:t>
            </w:r>
          </w:p>
          <w:p>
            <w:r>
              <w:rPr>
                <w:rFonts w:hint="eastAsia"/>
              </w:rPr>
              <w:t>外壳材质：PC+ABS</w:t>
            </w:r>
          </w:p>
          <w:p>
            <w:r>
              <w:rPr>
                <w:rFonts w:hint="eastAsia"/>
              </w:rPr>
              <w:t>重量：185g</w:t>
            </w:r>
          </w:p>
          <w:p>
            <w:r>
              <w:rPr>
                <w:rFonts w:hint="eastAsia"/>
              </w:rPr>
              <w:t>尺寸(宽×高×深)：140×134×33mm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24</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t>NB</w:t>
            </w:r>
            <w:r>
              <w:rPr>
                <w:rFonts w:hint="eastAsia"/>
              </w:rPr>
              <w:t>智能水表</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材质：铜壳</w:t>
            </w:r>
          </w:p>
          <w:p>
            <w:r>
              <w:rPr>
                <w:rFonts w:hint="eastAsia"/>
              </w:rPr>
              <w:t>是否支持阀控：支持</w:t>
            </w:r>
          </w:p>
          <w:p>
            <w:r>
              <w:rPr>
                <w:rFonts w:hint="eastAsia"/>
              </w:rPr>
              <w:t>口径：20口径</w:t>
            </w:r>
          </w:p>
          <w:p>
            <w:r>
              <w:rPr>
                <w:rFonts w:hint="eastAsia"/>
              </w:rPr>
              <w:t>通信方式：NB</w:t>
            </w:r>
          </w:p>
          <w:p>
            <w:r>
              <w:rPr>
                <w:rFonts w:hint="eastAsia"/>
              </w:rPr>
              <w:t>安装方式：卧式</w:t>
            </w:r>
          </w:p>
          <w:p>
            <w:r>
              <w:rPr>
                <w:rFonts w:hint="eastAsia"/>
              </w:rPr>
              <w:t>字轮：五字轮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106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25</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照明广场</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太阳能路灯</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包含：</w:t>
            </w:r>
            <w:r>
              <w:t>LED</w:t>
            </w:r>
            <w:r>
              <w:rPr>
                <w:rFonts w:hint="eastAsia"/>
              </w:rPr>
              <w:t>路灯、太阳能板、胶体电池、风光互补控制器、地埋箱、基础笼。</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套</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19</w:t>
            </w:r>
          </w:p>
        </w:tc>
      </w:tr>
      <w:tr>
        <w:tblPrEx>
          <w:tblCellMar>
            <w:top w:w="0" w:type="dxa"/>
            <w:left w:w="108" w:type="dxa"/>
            <w:bottom w:w="0" w:type="dxa"/>
            <w:right w:w="108" w:type="dxa"/>
          </w:tblCellMar>
        </w:tblPrEx>
        <w:trPr>
          <w:trHeight w:val="68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26</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污水监测</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水质氨氮、</w:t>
            </w:r>
            <w:r>
              <w:t>PH</w:t>
            </w:r>
            <w:r>
              <w:rPr>
                <w:rFonts w:hint="eastAsia"/>
              </w:rPr>
              <w:t>、温度三合一变送器</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水质氨氮变送器</w:t>
            </w:r>
          </w:p>
          <w:p>
            <w:r>
              <w:rPr>
                <w:rFonts w:hint="eastAsia"/>
              </w:rPr>
              <w:t>【氨氮电极温补】：带有自动温度补偿功能。</w:t>
            </w:r>
          </w:p>
          <w:p>
            <w:r>
              <w:rPr>
                <w:rFonts w:hint="eastAsia"/>
              </w:rPr>
              <w:t>【氨氮电极尺寸】：长303.5mm，外径50mm。</w:t>
            </w:r>
          </w:p>
          <w:p>
            <w:r>
              <w:rPr>
                <w:rFonts w:hint="eastAsia"/>
              </w:rPr>
              <w:t>【氨氮电极电气接口】：螺纹为3/4螺纹（6分管螺纹,DN20）,螺纹外径25mm,方便管道式安装、沉入式安装。</w:t>
            </w:r>
          </w:p>
          <w:p>
            <w:r>
              <w:rPr>
                <w:rFonts w:hint="eastAsia"/>
              </w:rPr>
              <w:t>【氨氮电极防护等级】：IP68；</w:t>
            </w:r>
          </w:p>
          <w:p>
            <w:r>
              <w:rPr>
                <w:rFonts w:hint="eastAsia"/>
              </w:rPr>
              <w:t>【氨氮电极寿命】：电极使用周期为一年左右，老化后应及时更换新的电极。</w:t>
            </w:r>
          </w:p>
          <w:p>
            <w:r>
              <w:rPr>
                <w:rFonts w:hint="eastAsia"/>
              </w:rPr>
              <w:t>【氨氮电极维护】：设备本身一般不需要日常维护。</w:t>
            </w:r>
          </w:p>
          <w:p>
            <w:r>
              <w:rPr>
                <w:rFonts w:hint="eastAsia"/>
              </w:rPr>
              <w:t>【氨氮电极标定】：modbus-rtu型支持寄存器重新标定校准。</w:t>
            </w:r>
          </w:p>
          <w:p>
            <w:r>
              <w:rPr>
                <w:rFonts w:hint="eastAsia"/>
              </w:rPr>
              <w:t>【氨氮电极测量范围】：0-100mg/l；0-10mg/l可选。</w:t>
            </w:r>
          </w:p>
          <w:p>
            <w:r>
              <w:rPr>
                <w:rFonts w:hint="eastAsia"/>
              </w:rPr>
              <w:t>【氨氮电极测量误差】：±1%FS</w:t>
            </w:r>
          </w:p>
          <w:p>
            <w:r>
              <w:rPr>
                <w:rFonts w:hint="eastAsia"/>
              </w:rPr>
              <w:t>【氨氮电极测量分辨率】：0.01mg/l。</w:t>
            </w:r>
          </w:p>
          <w:p>
            <w:r>
              <w:rPr>
                <w:rFonts w:hint="eastAsia"/>
              </w:rPr>
              <w:t>【PH电极测量范围】：0~14.00pH。</w:t>
            </w:r>
          </w:p>
          <w:p>
            <w:r>
              <w:rPr>
                <w:rFonts w:hint="eastAsia"/>
              </w:rPr>
              <w:t>【PH电极测量误差】：±0.15pH。</w:t>
            </w:r>
          </w:p>
          <w:p>
            <w:r>
              <w:rPr>
                <w:rFonts w:hint="eastAsia"/>
              </w:rPr>
              <w:t>【PH电极测量分辨率】：0.01pH。</w:t>
            </w:r>
          </w:p>
          <w:p>
            <w:r>
              <w:rPr>
                <w:rFonts w:hint="eastAsia"/>
              </w:rPr>
              <w:t>【温度测量范围】：-20-80℃。</w:t>
            </w:r>
          </w:p>
          <w:p>
            <w:r>
              <w:rPr>
                <w:rFonts w:hint="eastAsia"/>
              </w:rPr>
              <w:t>【温度测量误差】：±0.2℃。</w:t>
            </w:r>
          </w:p>
          <w:p>
            <w:r>
              <w:rPr>
                <w:rFonts w:hint="eastAsia"/>
              </w:rPr>
              <w:t>【设备适用温度】：0~50℃。</w:t>
            </w:r>
          </w:p>
          <w:p>
            <w:r>
              <w:rPr>
                <w:rFonts w:hint="eastAsia"/>
              </w:rPr>
              <w:t>【氨氮电极耐压】：0.2MPA。</w:t>
            </w:r>
          </w:p>
          <w:p>
            <w:r>
              <w:rPr>
                <w:rFonts w:hint="eastAsia"/>
              </w:rPr>
              <w:t>【整机供电范围】：10-30VDC。</w:t>
            </w:r>
          </w:p>
          <w:p>
            <w:r>
              <w:rPr>
                <w:rFonts w:hint="eastAsia"/>
              </w:rPr>
              <w:t>【整机电极线缆长度】：默认5m（10m、15m、20m可定制）。</w:t>
            </w:r>
          </w:p>
          <w:p>
            <w:r>
              <w:rPr>
                <w:rFonts w:hint="eastAsia"/>
              </w:rPr>
              <w:t>【整机最大功耗】：0.6W。</w:t>
            </w:r>
          </w:p>
          <w:p>
            <w:r>
              <w:rPr>
                <w:rFonts w:hint="eastAsia"/>
              </w:rPr>
              <w:t>【通信接口】：RS485。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819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27</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水质</w:t>
            </w:r>
            <w:r>
              <w:t>COD</w:t>
            </w:r>
            <w:r>
              <w:rPr>
                <w:rFonts w:hint="eastAsia"/>
              </w:rPr>
              <w:t>变送器</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水质COD变送器</w:t>
            </w:r>
          </w:p>
          <w:p>
            <w:r>
              <w:rPr>
                <w:rFonts w:hint="eastAsia"/>
              </w:rPr>
              <w:t>【COD测量要素】：COD值、浊度值、温度值。</w:t>
            </w:r>
          </w:p>
          <w:p>
            <w:r>
              <w:rPr>
                <w:rFonts w:hint="eastAsia"/>
              </w:rPr>
              <w:t>【COD电极说明】：</w:t>
            </w:r>
          </w:p>
          <w:p>
            <w:r>
              <w:rPr>
                <w:rFonts w:hint="eastAsia"/>
              </w:rPr>
              <w:t>①、本产品是一款测量溶液化学需氧量（COD）的设备，采用紫外吸收法，无需化学试剂；</w:t>
            </w:r>
          </w:p>
          <w:p>
            <w:r>
              <w:rPr>
                <w:rFonts w:hint="eastAsia"/>
              </w:rPr>
              <w:t>②、内部集成自清洁系统，有效防止生物附着；</w:t>
            </w:r>
          </w:p>
          <w:p>
            <w:r>
              <w:rPr>
                <w:rFonts w:hint="eastAsia"/>
              </w:rPr>
              <w:t>③、内置温度变送器，具有自动温度补偿功能；</w:t>
            </w:r>
          </w:p>
          <w:p>
            <w:r>
              <w:rPr>
                <w:rFonts w:hint="eastAsia"/>
              </w:rPr>
              <w:t>④、采用调制光信号，减少可见光干扰；</w:t>
            </w:r>
          </w:p>
          <w:p>
            <w:r>
              <w:rPr>
                <w:rFonts w:hint="eastAsia"/>
              </w:rPr>
              <w:t>⑤、带有一路浊度测量，有效补偿浊度对COD测量带来的影响。</w:t>
            </w:r>
          </w:p>
          <w:p>
            <w:r>
              <w:rPr>
                <w:rFonts w:hint="eastAsia"/>
              </w:rPr>
              <w:t>【COD电极尺寸】：长247mm，外径50mm。</w:t>
            </w:r>
          </w:p>
          <w:p>
            <w:r>
              <w:rPr>
                <w:rFonts w:hint="eastAsia"/>
              </w:rPr>
              <w:t>【COD电极电气接口】：螺纹为NPT3/4螺纹（6分管螺纹,DN20）,方便管道式安装、沉入式安装。</w:t>
            </w:r>
          </w:p>
          <w:p>
            <w:r>
              <w:rPr>
                <w:rFonts w:hint="eastAsia"/>
              </w:rPr>
              <w:t>【COD电极防护等级】：IP68；</w:t>
            </w:r>
          </w:p>
          <w:p>
            <w:r>
              <w:rPr>
                <w:rFonts w:hint="eastAsia"/>
              </w:rPr>
              <w:t>【COD电极寿命】：电极使用周期为18个月左右，具体使用寿命依现场实际情况为准（浓度越大寿命越低）。</w:t>
            </w:r>
          </w:p>
          <w:p>
            <w:r>
              <w:rPr>
                <w:rFonts w:hint="eastAsia"/>
              </w:rPr>
              <w:t>【COD电极维护】：设备本身一般不需要日常维护。</w:t>
            </w:r>
          </w:p>
          <w:p>
            <w:r>
              <w:rPr>
                <w:rFonts w:hint="eastAsia"/>
              </w:rPr>
              <w:t>【电极标定】：485型支持485命令校准。</w:t>
            </w:r>
          </w:p>
          <w:p>
            <w:r>
              <w:rPr>
                <w:rFonts w:hint="eastAsia"/>
              </w:rPr>
              <w:t>【电极工作温度】：0~40℃。</w:t>
            </w:r>
          </w:p>
          <w:p>
            <w:r>
              <w:rPr>
                <w:rFonts w:hint="eastAsia"/>
              </w:rPr>
              <w:t>【电极耐压】：＜0.1MPa</w:t>
            </w:r>
          </w:p>
          <w:p>
            <w:r>
              <w:rPr>
                <w:rFonts w:hint="eastAsia"/>
              </w:rPr>
              <w:t>【响应时间】： ≤20sec</w:t>
            </w:r>
          </w:p>
          <w:p>
            <w:r>
              <w:rPr>
                <w:rFonts w:hint="eastAsia"/>
              </w:rPr>
              <w:t>【防水等级】： IP68</w:t>
            </w:r>
          </w:p>
          <w:p>
            <w:r>
              <w:rPr>
                <w:rFonts w:hint="eastAsia"/>
              </w:rPr>
              <w:t>【外壳材质】：耐腐蚀塑料、不锈钢</w:t>
            </w:r>
          </w:p>
          <w:p>
            <w:r>
              <w:rPr>
                <w:rFonts w:hint="eastAsia"/>
              </w:rPr>
              <w:t>【流速要求】： &lt;3m/s</w:t>
            </w:r>
          </w:p>
          <w:p>
            <w:r>
              <w:rPr>
                <w:rFonts w:hint="eastAsia"/>
              </w:rPr>
              <w:t>【供电范围】：12-30VDC。</w:t>
            </w:r>
          </w:p>
          <w:p>
            <w:r>
              <w:rPr>
                <w:rFonts w:hint="eastAsia"/>
              </w:rPr>
              <w:t>【电极线缆长度】：默认5m（10m、15m、20m可定制）。</w:t>
            </w:r>
          </w:p>
          <w:p>
            <w:r>
              <w:rPr>
                <w:rFonts w:hint="eastAsia"/>
              </w:rPr>
              <w:t>【整机功耗】：0.6W（常态）；1.8w（自清洁系统工作时）</w:t>
            </w:r>
          </w:p>
          <w:p>
            <w:r>
              <w:rPr>
                <w:rFonts w:hint="eastAsia"/>
              </w:rPr>
              <w:t>【通信接口】：RS485</w:t>
            </w:r>
          </w:p>
          <w:p>
            <w:r>
              <w:rPr>
                <w:rFonts w:hint="eastAsia"/>
              </w:rPr>
              <w:t>【COD测量范围】：0~500mg/L equiv.KHP</w:t>
            </w:r>
          </w:p>
          <w:p>
            <w:r>
              <w:rPr>
                <w:rFonts w:hint="eastAsia"/>
              </w:rPr>
              <w:t>【COD测量误差】：±5%FS equiv.KHP（25℃）</w:t>
            </w:r>
          </w:p>
          <w:p>
            <w:r>
              <w:rPr>
                <w:rFonts w:hint="eastAsia"/>
              </w:rPr>
              <w:t>【COD误差重复性】： ±1%FS equiv.KHP（25℃）</w:t>
            </w:r>
          </w:p>
          <w:p>
            <w:r>
              <w:rPr>
                <w:rFonts w:hint="eastAsia"/>
              </w:rPr>
              <w:t>【COD测量分辨率】：0.1mg/L</w:t>
            </w:r>
          </w:p>
          <w:p>
            <w:r>
              <w:rPr>
                <w:rFonts w:hint="eastAsia"/>
              </w:rPr>
              <w:t>【浊度测量范围】：0~200NTU</w:t>
            </w:r>
          </w:p>
          <w:p>
            <w:r>
              <w:rPr>
                <w:rFonts w:hint="eastAsia"/>
              </w:rPr>
              <w:t>【浊度测量误差】：±5%FS（25℃）</w:t>
            </w:r>
          </w:p>
          <w:p>
            <w:r>
              <w:rPr>
                <w:rFonts w:hint="eastAsia"/>
              </w:rPr>
              <w:t>【浊度测量分辨率】：0.1NTU</w:t>
            </w:r>
          </w:p>
          <w:p>
            <w:r>
              <w:rPr>
                <w:rFonts w:hint="eastAsia"/>
              </w:rPr>
              <w:t>【温度分辨率】：0.1℃</w:t>
            </w:r>
          </w:p>
          <w:p>
            <w:r>
              <w:rPr>
                <w:rFonts w:hint="eastAsia"/>
              </w:rPr>
              <w:t>【温度误差】：±0.5℃。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57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28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智能网关</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【设备尺寸】：178mm×120mm×62mm</w:t>
            </w:r>
          </w:p>
          <w:p>
            <w:r>
              <w:rPr>
                <w:rFonts w:hint="eastAsia"/>
              </w:rPr>
              <w:t>【安装方式】：壁挂式安装在电控箱中</w:t>
            </w:r>
          </w:p>
          <w:p>
            <w:r>
              <w:rPr>
                <w:rFonts w:hint="eastAsia"/>
              </w:rPr>
              <w:t>【供电方式】：DC10~30V直流宽电压供电，电源插头同时适用于电源插头可同时适应输出为5.5mm*2.1mm*11mm或5.5mm*2.5mm*11mmDC圆孔插头。</w:t>
            </w:r>
          </w:p>
          <w:p>
            <w:r>
              <w:rPr>
                <w:rFonts w:hint="eastAsia"/>
              </w:rPr>
              <w:t>【数据上传间隔】：2S~10000S可设置。</w:t>
            </w:r>
          </w:p>
          <w:p>
            <w:r>
              <w:rPr>
                <w:rFonts w:hint="eastAsia"/>
              </w:rPr>
              <w:t>【身份识别功能】：本机设备唯一8位地址，易于管理识别，可搭配我司提供的多种软件平台。</w:t>
            </w:r>
          </w:p>
          <w:p>
            <w:r>
              <w:rPr>
                <w:rFonts w:hint="eastAsia"/>
              </w:rPr>
              <w:t>【最大功耗】：1w</w:t>
            </w:r>
          </w:p>
          <w:p>
            <w:r>
              <w:rPr>
                <w:rFonts w:hint="eastAsia"/>
              </w:rPr>
              <w:t>【底层通信配置】：采用近场通信NFC技术，由非接触式射频识别（RFID）及互连互通技术整合演变，通过在单一芯片上集成感应式读卡器、感应式卡片和点对点通信的功能，可以在彼此靠近的情况下进行数据交换。</w:t>
            </w:r>
          </w:p>
          <w:p>
            <w:r>
              <w:rPr>
                <w:rFonts w:hint="eastAsia"/>
              </w:rPr>
              <w:t>【底层数据通信】：具有1路ModBus-RTU主站接口可接入标准modbus-rtu协议485变送器，支持最多8台设备“手拉手”方式接入。</w:t>
            </w:r>
          </w:p>
          <w:p>
            <w:r>
              <w:rPr>
                <w:rFonts w:hint="eastAsia"/>
              </w:rPr>
              <w:t>【数据上行口通信方式】：具有1路多功能GPRS通信接口，基于蜂窝网络，通过4G上传数据，TCP/IP方式上传数据，支持动态域名解析DNS，只需插入一张手机卡便可将数据上传至远端监控软件平台。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102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29</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太阳能浮漂安装支架</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浮漂</w:t>
            </w:r>
            <w:r>
              <w:t>+</w:t>
            </w:r>
            <w:r>
              <w:rPr>
                <w:rFonts w:hint="eastAsia"/>
              </w:rPr>
              <w:t>水质传感器安装支架</w:t>
            </w:r>
            <w:r>
              <w:t>+</w:t>
            </w:r>
            <w:r>
              <w:rPr>
                <w:rFonts w:hint="eastAsia"/>
              </w:rPr>
              <w:t>太阳能供电（</w:t>
            </w:r>
            <w:r>
              <w:t xml:space="preserve">60W </w:t>
            </w:r>
            <w:r>
              <w:rPr>
                <w:rFonts w:hint="eastAsia"/>
              </w:rPr>
              <w:t>太阳能、</w:t>
            </w:r>
            <w:r>
              <w:t xml:space="preserve">12V-40AH </w:t>
            </w:r>
            <w:r>
              <w:rPr>
                <w:rFonts w:hint="eastAsia"/>
              </w:rPr>
              <w:t>锂电池，连续阴雨天续航七天）</w:t>
            </w:r>
            <w:r>
              <w:t>+</w:t>
            </w:r>
            <w:r>
              <w:rPr>
                <w:rFonts w:hint="eastAsia"/>
              </w:rPr>
              <w:t>遮雨版</w:t>
            </w:r>
            <w:r>
              <w:t>+</w:t>
            </w:r>
            <w:r>
              <w:rPr>
                <w:rFonts w:hint="eastAsia"/>
              </w:rPr>
              <w:t>太阳能安装支架</w:t>
            </w:r>
            <w:r>
              <w:t>+</w:t>
            </w:r>
            <w:r>
              <w:rPr>
                <w:rFonts w:hint="eastAsia"/>
              </w:rPr>
              <w:t>不锈钢滤网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313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30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自清洗支架</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【自清洗支架组成】：在线自清洁支架配备自动清洁装置，自动清洁装置由内置的电机驱动电路、位置检测电路、直流电机和清洁刷组成</w:t>
            </w:r>
          </w:p>
          <w:p>
            <w:r>
              <w:rPr>
                <w:rFonts w:hint="eastAsia"/>
              </w:rPr>
              <w:t>【占用空间】：85mm×85mm×20mm。</w:t>
            </w:r>
          </w:p>
          <w:p>
            <w:r>
              <w:rPr>
                <w:rFonts w:hint="eastAsia"/>
              </w:rPr>
              <w:t>【工作功耗】：0.4W@12V。</w:t>
            </w:r>
          </w:p>
          <w:p>
            <w:r>
              <w:rPr>
                <w:rFonts w:hint="eastAsia"/>
              </w:rPr>
              <w:t>【操作温度】：-5～50℃</w:t>
            </w:r>
          </w:p>
          <w:p>
            <w:r>
              <w:rPr>
                <w:rFonts w:hint="eastAsia"/>
              </w:rPr>
              <w:t>【供电电源】： 12～24VDC</w:t>
            </w:r>
          </w:p>
          <w:p>
            <w:r>
              <w:rPr>
                <w:rFonts w:hint="eastAsia"/>
              </w:rPr>
              <w:t>【线缆规格】： Φ6mm，4芯，5米（可定制）</w:t>
            </w:r>
          </w:p>
          <w:p>
            <w:r>
              <w:rPr>
                <w:rFonts w:hint="eastAsia"/>
              </w:rPr>
              <w:t>【占用空间】： 85mm×85mm×20mm</w:t>
            </w:r>
          </w:p>
          <w:p>
            <w:r>
              <w:rPr>
                <w:rFonts w:hint="eastAsia"/>
              </w:rPr>
              <w:t>【操作温度】： -5～50℃</w:t>
            </w:r>
          </w:p>
          <w:p>
            <w:r>
              <w:rPr>
                <w:rFonts w:hint="eastAsia"/>
              </w:rPr>
              <w:t>【供电电源】： 10~30VDC</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11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31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锚链</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用于固定水质监测套餐，使用方便，一般建议 一个浮漂式水质套餐至少搭配两个固定锚，与水流方向平行抛入河道中固定；</w:t>
            </w:r>
          </w:p>
          <w:p>
            <w:r>
              <w:rPr>
                <w:rFonts w:hint="eastAsia"/>
              </w:rPr>
              <w:t>如担心侧翻，建议可搭配 4 个，从四个方向成90°角固定。</w:t>
            </w:r>
          </w:p>
          <w:p>
            <w:r>
              <w:rPr>
                <w:rFonts w:hint="eastAsia"/>
              </w:rPr>
              <w:t>（默认配 20 米长绳索）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63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32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管网流量计</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橡胶衬里，</w:t>
            </w:r>
            <w:r>
              <w:t>316L</w:t>
            </w:r>
            <w:r>
              <w:rPr>
                <w:rFonts w:hint="eastAsia"/>
              </w:rPr>
              <w:t>电极，常温常压，常规流量范围，</w:t>
            </w:r>
            <w:r>
              <w:t>4-20mA</w:t>
            </w:r>
            <w:r>
              <w:rPr>
                <w:rFonts w:hint="eastAsia"/>
              </w:rPr>
              <w:t>输出，</w:t>
            </w:r>
            <w:r>
              <w:t>RS485</w:t>
            </w:r>
            <w:r>
              <w:rPr>
                <w:rFonts w:hint="eastAsia"/>
              </w:rPr>
              <w:t>通讯，精度</w:t>
            </w:r>
            <w:r>
              <w:t>0.5%</w:t>
            </w:r>
            <w:r>
              <w:rPr>
                <w:rFonts w:hint="eastAsia"/>
              </w:rPr>
              <w:t>，法兰安装，</w:t>
            </w:r>
            <w:r>
              <w:t>24V</w:t>
            </w:r>
            <w:r>
              <w:rPr>
                <w:rFonts w:hint="eastAsia"/>
              </w:rPr>
              <w:t>供电，引线</w:t>
            </w:r>
            <w:r>
              <w:t>10</w:t>
            </w:r>
            <w:r>
              <w:rPr>
                <w:rFonts w:hint="eastAsia"/>
              </w:rPr>
              <w:t>米，</w:t>
            </w:r>
            <w:r>
              <w:t>IP68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819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33</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能源补充</w:t>
            </w:r>
            <w:r>
              <w:t>1</w:t>
            </w:r>
            <w:r>
              <w:rPr>
                <w:rFonts w:hint="eastAsia"/>
              </w:rPr>
              <w:t>号楼</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太阳能集热器（</w:t>
            </w:r>
            <w:r>
              <w:t>PE</w:t>
            </w:r>
            <w:r>
              <w:rPr>
                <w:rFonts w:hint="eastAsia"/>
              </w:rPr>
              <w:t>平板型）</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r>
              <w:rPr>
                <w:rFonts w:hint="eastAsia"/>
              </w:rPr>
              <w:t>、集热器类型：橡胶平板；</w:t>
            </w:r>
          </w:p>
          <w:p>
            <w:r>
              <w:t>2</w:t>
            </w:r>
            <w:r>
              <w:rPr>
                <w:rFonts w:hint="eastAsia"/>
              </w:rPr>
              <w:t>、额定压力：</w:t>
            </w:r>
            <w:r>
              <w:t>1.6Mpa</w:t>
            </w:r>
            <w:r>
              <w:rPr>
                <w:rFonts w:hint="eastAsia"/>
              </w:rPr>
              <w:t>；</w:t>
            </w:r>
          </w:p>
          <w:p>
            <w:r>
              <w:t>3</w:t>
            </w:r>
            <w:r>
              <w:rPr>
                <w:rFonts w:hint="eastAsia"/>
              </w:rPr>
              <w:t>、产品规格：</w:t>
            </w:r>
            <w:r>
              <w:t>2000*1000*8mm  4000*1000*8mm</w:t>
            </w:r>
            <w:r>
              <w:rPr>
                <w:rFonts w:hint="eastAsia"/>
              </w:rPr>
              <w:t>（常规尺寸）；</w:t>
            </w:r>
          </w:p>
          <w:p>
            <w:r>
              <w:t>4</w:t>
            </w:r>
            <w:r>
              <w:rPr>
                <w:rFonts w:hint="eastAsia"/>
              </w:rPr>
              <w:t>、外壳材料：</w:t>
            </w:r>
            <w:r>
              <w:t>PE</w:t>
            </w:r>
            <w:r>
              <w:rPr>
                <w:rFonts w:hint="eastAsia"/>
              </w:rPr>
              <w:t>；</w:t>
            </w:r>
          </w:p>
          <w:p>
            <w:r>
              <w:t>5</w:t>
            </w:r>
            <w:r>
              <w:rPr>
                <w:rFonts w:hint="eastAsia"/>
              </w:rPr>
              <w:t>、集热器接口：</w:t>
            </w:r>
            <w:r>
              <w:t>DN32</w:t>
            </w:r>
            <w:r>
              <w:rPr>
                <w:rFonts w:hint="eastAsia"/>
              </w:rPr>
              <w:t>不锈钢内牙；</w:t>
            </w:r>
          </w:p>
          <w:p>
            <w:r>
              <w:t>6</w:t>
            </w:r>
            <w:r>
              <w:rPr>
                <w:rFonts w:hint="eastAsia"/>
              </w:rPr>
              <w:t>、吸热体涂层：纳米；</w:t>
            </w:r>
          </w:p>
          <w:p>
            <w:r>
              <w:t>7</w:t>
            </w:r>
            <w:r>
              <w:rPr>
                <w:rFonts w:hint="eastAsia"/>
              </w:rPr>
              <w:t>、保温材料：背部采用橡塑保温棉；</w:t>
            </w:r>
          </w:p>
          <w:p>
            <w:r>
              <w:t>8</w:t>
            </w:r>
            <w:r>
              <w:rPr>
                <w:rFonts w:hint="eastAsia"/>
              </w:rPr>
              <w:t>、集热管管径：</w:t>
            </w:r>
            <w:r>
              <w:t>6mm</w:t>
            </w:r>
            <w:r>
              <w:rPr>
                <w:rFonts w:hint="eastAsia"/>
              </w:rPr>
              <w:t>；</w:t>
            </w:r>
          </w:p>
          <w:p>
            <w:r>
              <w:t>9</w:t>
            </w:r>
            <w:r>
              <w:rPr>
                <w:rFonts w:hint="eastAsia"/>
              </w:rPr>
              <w:t>、集热管壁厚：</w:t>
            </w:r>
            <w:r>
              <w:t>1mm</w:t>
            </w:r>
            <w:r>
              <w:rPr>
                <w:rFonts w:hint="eastAsia"/>
              </w:rPr>
              <w:t>；</w:t>
            </w:r>
          </w:p>
          <w:p>
            <w:r>
              <w:t>10</w:t>
            </w:r>
            <w:r>
              <w:rPr>
                <w:rFonts w:hint="eastAsia"/>
              </w:rPr>
              <w:t>、集热器净重：</w:t>
            </w:r>
            <w:r>
              <w:t>2.2KG/m²</w:t>
            </w:r>
          </w:p>
          <w:p>
            <w:r>
              <w:t>*11</w:t>
            </w:r>
            <w:r>
              <w:rPr>
                <w:rFonts w:hint="eastAsia"/>
              </w:rPr>
              <w:t>、在日平均环境温度</w:t>
            </w:r>
            <w:r>
              <w:t>ta≥8℃,</w:t>
            </w:r>
            <w:r>
              <w:rPr>
                <w:rFonts w:hint="eastAsia"/>
              </w:rPr>
              <w:t>采光面日太阳辐照量</w:t>
            </w:r>
            <w:r>
              <w:t>H≥17MJ(m²• d)</w:t>
            </w:r>
            <w:r>
              <w:rPr>
                <w:rFonts w:hint="eastAsia"/>
              </w:rPr>
              <w:t>条件下，在室外按运行时的倾角和朝向安装好样品，集热器内充满水并被太阳加热至当天最高温度，集热器应无泄漏、开裂、破损、变形或其他损坏；</w:t>
            </w:r>
          </w:p>
          <w:p>
            <w:r>
              <w:t>*12</w:t>
            </w:r>
            <w:r>
              <w:rPr>
                <w:rFonts w:hint="eastAsia"/>
              </w:rPr>
              <w:t>、集热器应能承受</w:t>
            </w:r>
            <w:r>
              <w:t>1.5</w:t>
            </w:r>
            <w:r>
              <w:rPr>
                <w:rFonts w:hint="eastAsia"/>
              </w:rPr>
              <w:t>倍工作压力，承压式集热器的工作压力为</w:t>
            </w:r>
            <w:r>
              <w:t>0.6MPa</w:t>
            </w:r>
            <w:r>
              <w:rPr>
                <w:rFonts w:hint="eastAsia"/>
              </w:rPr>
              <w:t>，维持试验压力</w:t>
            </w:r>
            <w:r>
              <w:t>10min,</w:t>
            </w:r>
            <w:r>
              <w:rPr>
                <w:rFonts w:hint="eastAsia"/>
              </w:rPr>
              <w:t>产品无变形、无破裂、无渗漏；</w:t>
            </w:r>
          </w:p>
          <w:p>
            <w:r>
              <w:t>*13</w:t>
            </w:r>
            <w:r>
              <w:rPr>
                <w:rFonts w:hint="eastAsia"/>
              </w:rPr>
              <w:t>、在日平均温度</w:t>
            </w:r>
            <w:r>
              <w:t>ta≥8℃</w:t>
            </w:r>
            <w:r>
              <w:rPr>
                <w:rFonts w:hint="eastAsia"/>
              </w:rPr>
              <w:t>，</w:t>
            </w:r>
            <w:r>
              <w:t>PE</w:t>
            </w:r>
            <w:r>
              <w:rPr>
                <w:rFonts w:hint="eastAsia"/>
              </w:rPr>
              <w:t>平板型太阳能集热器采光平面接受的日太阳辐照量</w:t>
            </w:r>
            <w:r>
              <w:t>H17MJ/</w:t>
            </w:r>
            <w:r>
              <w:rPr>
                <w:rFonts w:hint="eastAsia"/>
              </w:rPr>
              <w:t>（</w:t>
            </w:r>
            <w:r>
              <w:t>m²•d</w:t>
            </w:r>
            <w:r>
              <w:rPr>
                <w:rFonts w:hint="eastAsia"/>
              </w:rPr>
              <w:t>）条件下，以空气为工质，除集热器出口的配管接口敞开作排气外，其余接口均用堵头密封，空晒</w:t>
            </w:r>
            <w:r>
              <w:t>1</w:t>
            </w:r>
            <w:r>
              <w:rPr>
                <w:rFonts w:hint="eastAsia"/>
              </w:rPr>
              <w:t>天后，集热器应无开裂、破损、变形和其他损坏；</w:t>
            </w:r>
          </w:p>
          <w:p>
            <w:r>
              <w:t>*14</w:t>
            </w:r>
            <w:r>
              <w:rPr>
                <w:rFonts w:hint="eastAsia"/>
              </w:rPr>
              <w:t>、将集热器充满水，水温</w:t>
            </w:r>
            <w:r>
              <w:t>8℃≤t1≤25℃</w:t>
            </w:r>
            <w:r>
              <w:rPr>
                <w:rFonts w:hint="eastAsia"/>
              </w:rPr>
              <w:t>，集热器在（</w:t>
            </w:r>
            <w:r>
              <w:t>-20</w:t>
            </w:r>
            <w:r>
              <w:rPr>
                <w:rFonts w:hint="eastAsia"/>
              </w:rPr>
              <w:t>土</w:t>
            </w:r>
            <w:r>
              <w:t>2</w:t>
            </w:r>
            <w:r>
              <w:rPr>
                <w:rFonts w:hint="eastAsia"/>
              </w:rPr>
              <w:t>）</w:t>
            </w:r>
            <w:r>
              <w:t>℃</w:t>
            </w:r>
            <w:r>
              <w:rPr>
                <w:rFonts w:hint="eastAsia"/>
              </w:rPr>
              <w:t>下保持至少</w:t>
            </w:r>
            <w:r>
              <w:t>30min,</w:t>
            </w:r>
            <w:r>
              <w:rPr>
                <w:rFonts w:hint="eastAsia"/>
              </w:rPr>
              <w:t>然后将温度升高至</w:t>
            </w:r>
            <w:r>
              <w:t>+10℃</w:t>
            </w:r>
            <w:r>
              <w:rPr>
                <w:rFonts w:hint="eastAsia"/>
              </w:rPr>
              <w:t>，保持至少</w:t>
            </w:r>
            <w:r>
              <w:t>30min</w:t>
            </w:r>
            <w:r>
              <w:rPr>
                <w:rFonts w:hint="eastAsia"/>
              </w:rPr>
              <w:t>。这种冷冻、升温的循环应进行</w:t>
            </w:r>
            <w:r>
              <w:t>2</w:t>
            </w:r>
            <w:r>
              <w:rPr>
                <w:rFonts w:hint="eastAsia"/>
              </w:rPr>
              <w:t>次：将集热器中的水排空。集热器在（一</w:t>
            </w:r>
            <w:r>
              <w:t>20</w:t>
            </w:r>
            <w:r>
              <w:rPr>
                <w:rFonts w:hint="eastAsia"/>
              </w:rPr>
              <w:t>土</w:t>
            </w:r>
            <w:r>
              <w:t>2</w:t>
            </w:r>
            <w:r>
              <w:rPr>
                <w:rFonts w:hint="eastAsia"/>
              </w:rPr>
              <w:t>）</w:t>
            </w:r>
            <w:r>
              <w:t>℃</w:t>
            </w:r>
            <w:r>
              <w:rPr>
                <w:rFonts w:hint="eastAsia"/>
              </w:rPr>
              <w:t>下保持至少</w:t>
            </w:r>
            <w:r>
              <w:t>30min</w:t>
            </w:r>
            <w:r>
              <w:rPr>
                <w:rFonts w:hint="eastAsia"/>
              </w:rPr>
              <w:t>，然后将温度升高至</w:t>
            </w:r>
            <w:r>
              <w:t>+10℃</w:t>
            </w:r>
            <w:r>
              <w:rPr>
                <w:rFonts w:hint="eastAsia"/>
              </w:rPr>
              <w:t>，保持至少</w:t>
            </w:r>
            <w:r>
              <w:t>30min</w:t>
            </w:r>
            <w:r>
              <w:rPr>
                <w:rFonts w:hint="eastAsia"/>
              </w:rPr>
              <w:t>。这种冷冻、升温的循环应进行</w:t>
            </w:r>
            <w:r>
              <w:t>2</w:t>
            </w:r>
            <w:r>
              <w:rPr>
                <w:rFonts w:hint="eastAsia"/>
              </w:rPr>
              <w:t>次：试验结束后，集热器应无泄漏、损环、变形和扭曲；</w:t>
            </w:r>
          </w:p>
          <w:p>
            <w:r>
              <w:t>*15</w:t>
            </w:r>
            <w:r>
              <w:rPr>
                <w:rFonts w:hint="eastAsia"/>
              </w:rPr>
              <w:t>、水平放置</w:t>
            </w:r>
            <w:r>
              <w:t>PE</w:t>
            </w:r>
            <w:r>
              <w:rPr>
                <w:rFonts w:hint="eastAsia"/>
              </w:rPr>
              <w:t>平板型太阳能集热器，用直径</w:t>
            </w:r>
            <w:r>
              <w:t>30mm</w:t>
            </w:r>
            <w:r>
              <w:rPr>
                <w:rFonts w:hint="eastAsia"/>
              </w:rPr>
              <w:t>、表面光滑的钢球从</w:t>
            </w:r>
            <w:r>
              <w:t>0.5m</w:t>
            </w:r>
            <w:r>
              <w:rPr>
                <w:rFonts w:hint="eastAsia"/>
              </w:rPr>
              <w:t>的高度、静止状态、并不施加外力的情况下自由落到集热器的中央部分，落点要落入距中心</w:t>
            </w:r>
            <w:r>
              <w:t>0.1m</w:t>
            </w:r>
            <w:r>
              <w:rPr>
                <w:rFonts w:hint="eastAsia"/>
              </w:rPr>
              <w:t>的范围之内。撞击一次，集热器应无划痕、翘曲、裂痕、破裂、断裂或穿孔；</w:t>
            </w:r>
          </w:p>
          <w:p>
            <w:r>
              <w:t>*16</w:t>
            </w:r>
            <w:r>
              <w:rPr>
                <w:rFonts w:hint="eastAsia"/>
              </w:rPr>
              <w:t>、太阳能集热器</w:t>
            </w:r>
            <w:r>
              <w:t>PE</w:t>
            </w:r>
            <w:r>
              <w:rPr>
                <w:rFonts w:hint="eastAsia"/>
              </w:rPr>
              <w:t>管符合</w:t>
            </w:r>
            <w:r>
              <w:t>GB/T17219-1998</w:t>
            </w:r>
            <w:r>
              <w:rPr>
                <w:rFonts w:hint="eastAsia"/>
              </w:rPr>
              <w:t>《生活饮用水输配水设备及防护材料的安全性评价标准》；</w:t>
            </w:r>
          </w:p>
          <w:p>
            <w:r>
              <w:t>*17</w:t>
            </w:r>
            <w:r>
              <w:rPr>
                <w:rFonts w:hint="eastAsia"/>
              </w:rPr>
              <w:t>、</w:t>
            </w:r>
            <w:r>
              <w:t>PE</w:t>
            </w:r>
            <w:r>
              <w:rPr>
                <w:rFonts w:hint="eastAsia"/>
              </w:rPr>
              <w:t>平板型太阳能集热器符合</w:t>
            </w:r>
            <w:r>
              <w:t>GB/T13663-2000</w:t>
            </w:r>
            <w:r>
              <w:rPr>
                <w:rFonts w:hint="eastAsia"/>
              </w:rPr>
              <w:t>标准要求。</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27.5</w:t>
            </w:r>
          </w:p>
        </w:tc>
      </w:tr>
      <w:tr>
        <w:tblPrEx>
          <w:tblCellMar>
            <w:top w:w="0" w:type="dxa"/>
            <w:left w:w="108" w:type="dxa"/>
            <w:bottom w:w="0" w:type="dxa"/>
            <w:right w:w="108" w:type="dxa"/>
          </w:tblCellMar>
        </w:tblPrEx>
        <w:trPr>
          <w:trHeight w:val="8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34</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集热器支架制作与安装</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t>3#</w:t>
            </w:r>
            <w:r>
              <w:rPr>
                <w:rFonts w:hint="eastAsia"/>
              </w:rPr>
              <w:t>、</w:t>
            </w:r>
            <w:r>
              <w:t>4#</w:t>
            </w:r>
            <w:r>
              <w:rPr>
                <w:rFonts w:hint="eastAsia"/>
              </w:rPr>
              <w:t>镀锌角铁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27.5</w:t>
            </w:r>
          </w:p>
        </w:tc>
      </w:tr>
      <w:tr>
        <w:tblPrEx>
          <w:tblCellMar>
            <w:top w:w="0" w:type="dxa"/>
            <w:left w:w="108" w:type="dxa"/>
            <w:bottom w:w="0" w:type="dxa"/>
            <w:right w:w="108" w:type="dxa"/>
          </w:tblCellMar>
        </w:tblPrEx>
        <w:trPr>
          <w:trHeight w:val="31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35</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太阳能集热循环泵</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功率：</w:t>
            </w:r>
            <w:r>
              <w:t>400W;</w:t>
            </w:r>
            <w:r>
              <w:rPr>
                <w:rFonts w:hint="eastAsia"/>
              </w:rPr>
              <w:t>流量：</w:t>
            </w:r>
            <w:r>
              <w:t>3T</w:t>
            </w:r>
            <w:r>
              <w:rPr>
                <w:rFonts w:hint="eastAsia"/>
              </w:rPr>
              <w:t>；扬程：</w:t>
            </w:r>
            <w:r>
              <w:t>15</w:t>
            </w:r>
            <w:r>
              <w:rPr>
                <w:rFonts w:hint="eastAsia"/>
              </w:rPr>
              <w:t>米</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31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36</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热水供水增压泵</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功率：</w:t>
            </w:r>
            <w:r>
              <w:t>600W;</w:t>
            </w:r>
            <w:r>
              <w:rPr>
                <w:rFonts w:hint="eastAsia"/>
              </w:rPr>
              <w:t>流量：</w:t>
            </w:r>
            <w:r>
              <w:t>3T</w:t>
            </w:r>
            <w:r>
              <w:rPr>
                <w:rFonts w:hint="eastAsia"/>
              </w:rPr>
              <w:t>；扬程：</w:t>
            </w:r>
            <w:r>
              <w:t>20</w:t>
            </w:r>
            <w:r>
              <w:rPr>
                <w:rFonts w:hint="eastAsia"/>
              </w:rPr>
              <w:t>米</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91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37</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智能控制柜</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r>
              <w:rPr>
                <w:rFonts w:hint="eastAsia"/>
              </w:rPr>
              <w:t>箱体材质：户外型烤漆</w:t>
            </w:r>
            <w:r>
              <w:t xml:space="preserve">         </w:t>
            </w:r>
          </w:p>
          <w:p>
            <w:r>
              <w:t>2.</w:t>
            </w:r>
            <w:r>
              <w:rPr>
                <w:rFonts w:hint="eastAsia"/>
              </w:rPr>
              <w:t>配置：智能控制</w:t>
            </w:r>
            <w:r>
              <w:t xml:space="preserve">                      </w:t>
            </w:r>
          </w:p>
          <w:p>
            <w:r>
              <w:t>3.</w:t>
            </w:r>
            <w:r>
              <w:rPr>
                <w:rFonts w:hint="eastAsia"/>
              </w:rPr>
              <w:t>功能：温度传感器显示太阳能板出水温度、水箱水温温度、回水温度等；空气能及电热棒自动加热，水位控制自动补水，实现全天候自动控制</w:t>
            </w:r>
          </w:p>
          <w:p>
            <w:r>
              <w:t>5.</w:t>
            </w:r>
            <w:r>
              <w:rPr>
                <w:rFonts w:hint="eastAsia"/>
              </w:rPr>
              <w:t>包含各检测点传感器</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63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38</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t>1T</w:t>
            </w:r>
            <w:r>
              <w:rPr>
                <w:rFonts w:hint="eastAsia"/>
              </w:rPr>
              <w:t>太阳能储热水箱</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不锈钢保温，内胆：材质为</w:t>
            </w:r>
            <w:r>
              <w:t>SUS304</w:t>
            </w:r>
            <w:r>
              <w:rPr>
                <w:rFonts w:hint="eastAsia"/>
              </w:rPr>
              <w:t>不锈钢，保温层：材质为聚氨酯发泡，厚度为</w:t>
            </w:r>
            <w:r>
              <w:t>50mm.</w:t>
            </w:r>
            <w:r>
              <w:rPr>
                <w:rFonts w:hint="eastAsia"/>
              </w:rPr>
              <w:t>外胆：材质为</w:t>
            </w:r>
            <w:r>
              <w:t>SUS202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171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39</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t>NB</w:t>
            </w:r>
            <w:r>
              <w:rPr>
                <w:rFonts w:hint="eastAsia"/>
              </w:rPr>
              <w:t>智能水表</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材质：铜壳</w:t>
            </w:r>
          </w:p>
          <w:p>
            <w:r>
              <w:rPr>
                <w:rFonts w:hint="eastAsia"/>
              </w:rPr>
              <w:t>是否支持阀控：支持</w:t>
            </w:r>
          </w:p>
          <w:p>
            <w:r>
              <w:rPr>
                <w:rFonts w:hint="eastAsia"/>
              </w:rPr>
              <w:t>口径：20口径</w:t>
            </w:r>
          </w:p>
          <w:p>
            <w:r>
              <w:rPr>
                <w:rFonts w:hint="eastAsia"/>
              </w:rPr>
              <w:t>通信方式：NB</w:t>
            </w:r>
          </w:p>
          <w:p>
            <w:r>
              <w:rPr>
                <w:rFonts w:hint="eastAsia"/>
              </w:rPr>
              <w:t>安装方式：卧式</w:t>
            </w:r>
          </w:p>
          <w:p>
            <w:r>
              <w:rPr>
                <w:rFonts w:hint="eastAsia"/>
              </w:rPr>
              <w:t>字轮：五字轮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819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40</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能源补充</w:t>
            </w:r>
            <w:r>
              <w:t>2</w:t>
            </w:r>
            <w:r>
              <w:rPr>
                <w:rFonts w:hint="eastAsia"/>
              </w:rPr>
              <w:t>号楼</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太阳能集热器（</w:t>
            </w:r>
            <w:r>
              <w:t>PE</w:t>
            </w:r>
            <w:r>
              <w:rPr>
                <w:rFonts w:hint="eastAsia"/>
              </w:rPr>
              <w:t>平板型）</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r>
              <w:rPr>
                <w:rFonts w:hint="eastAsia"/>
              </w:rPr>
              <w:t>、集热器类型：橡胶平板；</w:t>
            </w:r>
            <w:r>
              <w:t>2</w:t>
            </w:r>
            <w:r>
              <w:rPr>
                <w:rFonts w:hint="eastAsia"/>
              </w:rPr>
              <w:t>、额定压力：</w:t>
            </w:r>
            <w:r>
              <w:t>1.6Mpa</w:t>
            </w:r>
            <w:r>
              <w:rPr>
                <w:rFonts w:hint="eastAsia"/>
              </w:rPr>
              <w:t>；</w:t>
            </w:r>
          </w:p>
          <w:p>
            <w:r>
              <w:t>3</w:t>
            </w:r>
            <w:r>
              <w:rPr>
                <w:rFonts w:hint="eastAsia"/>
              </w:rPr>
              <w:t>、产品规格：</w:t>
            </w:r>
            <w:r>
              <w:t>2000*1000*8mm  4000*1000*8mm</w:t>
            </w:r>
            <w:r>
              <w:rPr>
                <w:rFonts w:hint="eastAsia"/>
              </w:rPr>
              <w:t>（常规尺寸）；</w:t>
            </w:r>
          </w:p>
          <w:p>
            <w:r>
              <w:t>4</w:t>
            </w:r>
            <w:r>
              <w:rPr>
                <w:rFonts w:hint="eastAsia"/>
              </w:rPr>
              <w:t>、外壳材料：</w:t>
            </w:r>
            <w:r>
              <w:t>PE</w:t>
            </w:r>
            <w:r>
              <w:rPr>
                <w:rFonts w:hint="eastAsia"/>
              </w:rPr>
              <w:t>；</w:t>
            </w:r>
            <w:r>
              <w:t>5</w:t>
            </w:r>
            <w:r>
              <w:rPr>
                <w:rFonts w:hint="eastAsia"/>
              </w:rPr>
              <w:t>、集热器接口：</w:t>
            </w:r>
            <w:r>
              <w:t>DN32</w:t>
            </w:r>
            <w:r>
              <w:rPr>
                <w:rFonts w:hint="eastAsia"/>
              </w:rPr>
              <w:t>不锈钢内牙；</w:t>
            </w:r>
          </w:p>
          <w:p>
            <w:r>
              <w:t>6</w:t>
            </w:r>
            <w:r>
              <w:rPr>
                <w:rFonts w:hint="eastAsia"/>
              </w:rPr>
              <w:t>、吸热体涂层：纳米；</w:t>
            </w:r>
            <w:r>
              <w:t>7</w:t>
            </w:r>
            <w:r>
              <w:rPr>
                <w:rFonts w:hint="eastAsia"/>
              </w:rPr>
              <w:t>、保温材料：背部采用橡塑保温棉；</w:t>
            </w:r>
          </w:p>
          <w:p>
            <w:r>
              <w:t>8</w:t>
            </w:r>
            <w:r>
              <w:rPr>
                <w:rFonts w:hint="eastAsia"/>
              </w:rPr>
              <w:t>、集热管管径：</w:t>
            </w:r>
            <w:r>
              <w:t>6mm</w:t>
            </w:r>
            <w:r>
              <w:rPr>
                <w:rFonts w:hint="eastAsia"/>
              </w:rPr>
              <w:t>；</w:t>
            </w:r>
            <w:r>
              <w:t>9</w:t>
            </w:r>
            <w:r>
              <w:rPr>
                <w:rFonts w:hint="eastAsia"/>
              </w:rPr>
              <w:t>、集热管壁厚：</w:t>
            </w:r>
            <w:r>
              <w:t>1mm</w:t>
            </w:r>
            <w:r>
              <w:rPr>
                <w:rFonts w:hint="eastAsia"/>
              </w:rPr>
              <w:t>；</w:t>
            </w:r>
          </w:p>
          <w:p>
            <w:r>
              <w:t>10</w:t>
            </w:r>
            <w:r>
              <w:rPr>
                <w:rFonts w:hint="eastAsia"/>
              </w:rPr>
              <w:t>、集热器净重：</w:t>
            </w:r>
            <w:r>
              <w:t>2.2KG/m²</w:t>
            </w:r>
          </w:p>
          <w:p>
            <w:r>
              <w:t>*11</w:t>
            </w:r>
            <w:r>
              <w:rPr>
                <w:rFonts w:hint="eastAsia"/>
              </w:rPr>
              <w:t>、在日平均环境温度</w:t>
            </w:r>
            <w:r>
              <w:t>ta≥8℃,</w:t>
            </w:r>
            <w:r>
              <w:rPr>
                <w:rFonts w:hint="eastAsia"/>
              </w:rPr>
              <w:t>采光面日太阳辐照量</w:t>
            </w:r>
            <w:r>
              <w:t>H≥17MJ(m²• d)</w:t>
            </w:r>
            <w:r>
              <w:rPr>
                <w:rFonts w:hint="eastAsia"/>
              </w:rPr>
              <w:t>条件下，在室外按运行时的倾角和朝向安装好样品，集热器内充满水并被太阳加热至当天最高温度，集热器应无泄漏、开裂、破损、变形或其他损坏；</w:t>
            </w:r>
          </w:p>
          <w:p>
            <w:r>
              <w:t>*12</w:t>
            </w:r>
            <w:r>
              <w:rPr>
                <w:rFonts w:hint="eastAsia"/>
              </w:rPr>
              <w:t>、集热器应能承受</w:t>
            </w:r>
            <w:r>
              <w:t>1.5</w:t>
            </w:r>
            <w:r>
              <w:rPr>
                <w:rFonts w:hint="eastAsia"/>
              </w:rPr>
              <w:t>倍工作压力，承压式集热器的工作压力为</w:t>
            </w:r>
            <w:r>
              <w:t>0.6MPa</w:t>
            </w:r>
            <w:r>
              <w:rPr>
                <w:rFonts w:hint="eastAsia"/>
              </w:rPr>
              <w:t>，维持试验压力</w:t>
            </w:r>
            <w:r>
              <w:t>10min,</w:t>
            </w:r>
            <w:r>
              <w:rPr>
                <w:rFonts w:hint="eastAsia"/>
              </w:rPr>
              <w:t>产品无变形、无破裂、无渗漏；</w:t>
            </w:r>
          </w:p>
          <w:p>
            <w:r>
              <w:t>*13</w:t>
            </w:r>
            <w:r>
              <w:rPr>
                <w:rFonts w:hint="eastAsia"/>
              </w:rPr>
              <w:t>、在日平均温度</w:t>
            </w:r>
            <w:r>
              <w:t>ta≥8℃</w:t>
            </w:r>
            <w:r>
              <w:rPr>
                <w:rFonts w:hint="eastAsia"/>
              </w:rPr>
              <w:t>，</w:t>
            </w:r>
            <w:r>
              <w:t>PE</w:t>
            </w:r>
            <w:r>
              <w:rPr>
                <w:rFonts w:hint="eastAsia"/>
              </w:rPr>
              <w:t>平板型太阳能集热器采光平面接受的日太阳辐照量</w:t>
            </w:r>
            <w:r>
              <w:t>H17MJ/</w:t>
            </w:r>
            <w:r>
              <w:rPr>
                <w:rFonts w:hint="eastAsia"/>
              </w:rPr>
              <w:t>（</w:t>
            </w:r>
            <w:r>
              <w:t>m²•d</w:t>
            </w:r>
            <w:r>
              <w:rPr>
                <w:rFonts w:hint="eastAsia"/>
              </w:rPr>
              <w:t>）条件下，以空气为工质，除集热器出口的配管接口敞开作排气外，其余接口均用堵头密封，空晒</w:t>
            </w:r>
            <w:r>
              <w:t>1</w:t>
            </w:r>
            <w:r>
              <w:rPr>
                <w:rFonts w:hint="eastAsia"/>
              </w:rPr>
              <w:t>天后，集热器应无开裂、破损、变形和其他损坏；</w:t>
            </w:r>
          </w:p>
          <w:p>
            <w:r>
              <w:t>*14</w:t>
            </w:r>
            <w:r>
              <w:rPr>
                <w:rFonts w:hint="eastAsia"/>
              </w:rPr>
              <w:t>、将集热器充满水，水温</w:t>
            </w:r>
            <w:r>
              <w:t>8℃≤t1≤25℃</w:t>
            </w:r>
            <w:r>
              <w:rPr>
                <w:rFonts w:hint="eastAsia"/>
              </w:rPr>
              <w:t>，集热器在（</w:t>
            </w:r>
            <w:r>
              <w:t>-20</w:t>
            </w:r>
            <w:r>
              <w:rPr>
                <w:rFonts w:hint="eastAsia"/>
              </w:rPr>
              <w:t>土</w:t>
            </w:r>
            <w:r>
              <w:t>2</w:t>
            </w:r>
            <w:r>
              <w:rPr>
                <w:rFonts w:hint="eastAsia"/>
              </w:rPr>
              <w:t>）</w:t>
            </w:r>
            <w:r>
              <w:t>℃</w:t>
            </w:r>
            <w:r>
              <w:rPr>
                <w:rFonts w:hint="eastAsia"/>
              </w:rPr>
              <w:t>下保持至少</w:t>
            </w:r>
            <w:r>
              <w:t>30min,</w:t>
            </w:r>
            <w:r>
              <w:rPr>
                <w:rFonts w:hint="eastAsia"/>
              </w:rPr>
              <w:t>然后将温度升高至</w:t>
            </w:r>
            <w:r>
              <w:t>+10℃</w:t>
            </w:r>
            <w:r>
              <w:rPr>
                <w:rFonts w:hint="eastAsia"/>
              </w:rPr>
              <w:t>，保持至少</w:t>
            </w:r>
            <w:r>
              <w:t>30min</w:t>
            </w:r>
            <w:r>
              <w:rPr>
                <w:rFonts w:hint="eastAsia"/>
              </w:rPr>
              <w:t>。这种冷冻、升温的循环应进行</w:t>
            </w:r>
            <w:r>
              <w:t>2</w:t>
            </w:r>
            <w:r>
              <w:rPr>
                <w:rFonts w:hint="eastAsia"/>
              </w:rPr>
              <w:t>次：将集热器中的水排空。集热器在（一</w:t>
            </w:r>
            <w:r>
              <w:t>20</w:t>
            </w:r>
            <w:r>
              <w:rPr>
                <w:rFonts w:hint="eastAsia"/>
              </w:rPr>
              <w:t>土</w:t>
            </w:r>
            <w:r>
              <w:t>2</w:t>
            </w:r>
            <w:r>
              <w:rPr>
                <w:rFonts w:hint="eastAsia"/>
              </w:rPr>
              <w:t>）</w:t>
            </w:r>
            <w:r>
              <w:t>℃</w:t>
            </w:r>
            <w:r>
              <w:rPr>
                <w:rFonts w:hint="eastAsia"/>
              </w:rPr>
              <w:t>下保持至少</w:t>
            </w:r>
            <w:r>
              <w:t>30min</w:t>
            </w:r>
            <w:r>
              <w:rPr>
                <w:rFonts w:hint="eastAsia"/>
              </w:rPr>
              <w:t>，然后将温度升高至</w:t>
            </w:r>
            <w:r>
              <w:t>+10℃</w:t>
            </w:r>
            <w:r>
              <w:rPr>
                <w:rFonts w:hint="eastAsia"/>
              </w:rPr>
              <w:t>，保持至少</w:t>
            </w:r>
            <w:r>
              <w:t>30min</w:t>
            </w:r>
            <w:r>
              <w:rPr>
                <w:rFonts w:hint="eastAsia"/>
              </w:rPr>
              <w:t>。这种冷冻、升温的循环应进行</w:t>
            </w:r>
            <w:r>
              <w:t>2</w:t>
            </w:r>
            <w:r>
              <w:rPr>
                <w:rFonts w:hint="eastAsia"/>
              </w:rPr>
              <w:t>次：试验结束后，集热器应无泄漏、损环、变形和扭曲；</w:t>
            </w:r>
          </w:p>
          <w:p>
            <w:r>
              <w:t>*15</w:t>
            </w:r>
            <w:r>
              <w:rPr>
                <w:rFonts w:hint="eastAsia"/>
              </w:rPr>
              <w:t>、水平放置</w:t>
            </w:r>
            <w:r>
              <w:t>PE</w:t>
            </w:r>
            <w:r>
              <w:rPr>
                <w:rFonts w:hint="eastAsia"/>
              </w:rPr>
              <w:t>平板型太阳能集热器，用直径</w:t>
            </w:r>
            <w:r>
              <w:t>30mm</w:t>
            </w:r>
            <w:r>
              <w:rPr>
                <w:rFonts w:hint="eastAsia"/>
              </w:rPr>
              <w:t>、表面光滑的钢球从</w:t>
            </w:r>
            <w:r>
              <w:t>0.5m</w:t>
            </w:r>
            <w:r>
              <w:rPr>
                <w:rFonts w:hint="eastAsia"/>
              </w:rPr>
              <w:t>的高度、静止状态、并不施加外力的情况下自由落到集热器的中央部分，落点要落入距中心</w:t>
            </w:r>
            <w:r>
              <w:t>0.1m</w:t>
            </w:r>
            <w:r>
              <w:rPr>
                <w:rFonts w:hint="eastAsia"/>
              </w:rPr>
              <w:t>的范围之内。撞击一次，集热器应无划痕、翘曲、裂痕、破裂、断裂或穿孔；</w:t>
            </w:r>
          </w:p>
          <w:p>
            <w:r>
              <w:t>*16</w:t>
            </w:r>
            <w:r>
              <w:rPr>
                <w:rFonts w:hint="eastAsia"/>
              </w:rPr>
              <w:t>、太阳能集热器</w:t>
            </w:r>
            <w:r>
              <w:t>PE</w:t>
            </w:r>
            <w:r>
              <w:rPr>
                <w:rFonts w:hint="eastAsia"/>
              </w:rPr>
              <w:t>管符合</w:t>
            </w:r>
            <w:r>
              <w:t>GB/T17219-1998</w:t>
            </w:r>
            <w:r>
              <w:rPr>
                <w:rFonts w:hint="eastAsia"/>
              </w:rPr>
              <w:t>《生活饮用水输配水设备及防护材料的安全性评价标准》；</w:t>
            </w:r>
          </w:p>
          <w:p>
            <w:r>
              <w:t>*17</w:t>
            </w:r>
            <w:r>
              <w:rPr>
                <w:rFonts w:hint="eastAsia"/>
              </w:rPr>
              <w:t>、</w:t>
            </w:r>
            <w:r>
              <w:t>PE</w:t>
            </w:r>
            <w:r>
              <w:rPr>
                <w:rFonts w:hint="eastAsia"/>
              </w:rPr>
              <w:t>平板型太阳能集热器符合</w:t>
            </w:r>
            <w:r>
              <w:t>GB/T13663-2000</w:t>
            </w:r>
            <w:r>
              <w:rPr>
                <w:rFonts w:hint="eastAsia"/>
              </w:rPr>
              <w:t>标准要求。</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13</w:t>
            </w:r>
          </w:p>
        </w:tc>
      </w:tr>
      <w:tr>
        <w:tblPrEx>
          <w:tblCellMar>
            <w:top w:w="0" w:type="dxa"/>
            <w:left w:w="108" w:type="dxa"/>
            <w:bottom w:w="0" w:type="dxa"/>
            <w:right w:w="108" w:type="dxa"/>
          </w:tblCellMar>
        </w:tblPrEx>
        <w:trPr>
          <w:trHeight w:val="31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41</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集热器支架制作与安装</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t>3#</w:t>
            </w:r>
            <w:r>
              <w:rPr>
                <w:rFonts w:hint="eastAsia"/>
              </w:rPr>
              <w:t>、</w:t>
            </w:r>
            <w:r>
              <w:t>4#</w:t>
            </w:r>
            <w:r>
              <w:rPr>
                <w:rFonts w:hint="eastAsia"/>
              </w:rPr>
              <w:t>镀锌角铁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13</w:t>
            </w:r>
          </w:p>
        </w:tc>
      </w:tr>
      <w:tr>
        <w:tblPrEx>
          <w:tblCellMar>
            <w:top w:w="0" w:type="dxa"/>
            <w:left w:w="108" w:type="dxa"/>
            <w:bottom w:w="0" w:type="dxa"/>
            <w:right w:w="108" w:type="dxa"/>
          </w:tblCellMar>
        </w:tblPrEx>
        <w:trPr>
          <w:trHeight w:val="31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42</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太阳能集热循环泵</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功率：</w:t>
            </w:r>
            <w:r>
              <w:t>400W;</w:t>
            </w:r>
            <w:r>
              <w:rPr>
                <w:rFonts w:hint="eastAsia"/>
              </w:rPr>
              <w:t>流量：</w:t>
            </w:r>
            <w:r>
              <w:t>3T</w:t>
            </w:r>
            <w:r>
              <w:rPr>
                <w:rFonts w:hint="eastAsia"/>
              </w:rPr>
              <w:t>；扬程：</w:t>
            </w:r>
            <w:r>
              <w:t>15</w:t>
            </w:r>
            <w:r>
              <w:rPr>
                <w:rFonts w:hint="eastAsia"/>
              </w:rPr>
              <w:t>米</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31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43</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热水供水增压泵</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功率：</w:t>
            </w:r>
            <w:r>
              <w:t>600W;</w:t>
            </w:r>
            <w:r>
              <w:rPr>
                <w:rFonts w:hint="eastAsia"/>
              </w:rPr>
              <w:t>流量：</w:t>
            </w:r>
            <w:r>
              <w:t>3T</w:t>
            </w:r>
            <w:r>
              <w:rPr>
                <w:rFonts w:hint="eastAsia"/>
              </w:rPr>
              <w:t>；扬程：</w:t>
            </w:r>
            <w:r>
              <w:t>20</w:t>
            </w:r>
            <w:r>
              <w:rPr>
                <w:rFonts w:hint="eastAsia"/>
              </w:rPr>
              <w:t>米</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186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44</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智能控制柜</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r>
              <w:rPr>
                <w:rFonts w:hint="eastAsia"/>
              </w:rPr>
              <w:t>箱体材质：户外型烤漆</w:t>
            </w:r>
            <w:r>
              <w:t xml:space="preserve">         </w:t>
            </w:r>
          </w:p>
          <w:p>
            <w:r>
              <w:t>2.</w:t>
            </w:r>
            <w:r>
              <w:rPr>
                <w:rFonts w:hint="eastAsia"/>
              </w:rPr>
              <w:t>配置：智能控制</w:t>
            </w:r>
            <w:r>
              <w:t xml:space="preserve">                      </w:t>
            </w:r>
          </w:p>
          <w:p>
            <w:r>
              <w:t>3.</w:t>
            </w:r>
            <w:r>
              <w:rPr>
                <w:rFonts w:hint="eastAsia"/>
              </w:rPr>
              <w:t>功能：温度传感器显示太阳能板出水温度、水箱水温温度、回水温度等；空气能及电热棒自动加热，水位控制自动补水，实现全天候自动控制</w:t>
            </w:r>
          </w:p>
          <w:p>
            <w:r>
              <w:t>5.</w:t>
            </w:r>
            <w:r>
              <w:rPr>
                <w:rFonts w:hint="eastAsia"/>
              </w:rPr>
              <w:t>包含各检测点传感器</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63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45</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t>1T</w:t>
            </w:r>
            <w:r>
              <w:rPr>
                <w:rFonts w:hint="eastAsia"/>
              </w:rPr>
              <w:t>太阳能储热水箱</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不锈钢保温，内胆：材质为</w:t>
            </w:r>
            <w:r>
              <w:t>SUS304</w:t>
            </w:r>
            <w:r>
              <w:rPr>
                <w:rFonts w:hint="eastAsia"/>
              </w:rPr>
              <w:t>不锈钢，保温层：材质为聚氨酯发泡，厚度为</w:t>
            </w:r>
            <w:r>
              <w:t>50mm.</w:t>
            </w:r>
            <w:r>
              <w:rPr>
                <w:rFonts w:hint="eastAsia"/>
              </w:rPr>
              <w:t>外胆：材质为</w:t>
            </w:r>
            <w:r>
              <w:t>SUS202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85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46</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t>NB</w:t>
            </w:r>
            <w:r>
              <w:rPr>
                <w:rFonts w:hint="eastAsia"/>
              </w:rPr>
              <w:t>智能水表</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材质：铜壳；是否支持阀控：支持</w:t>
            </w:r>
          </w:p>
          <w:p>
            <w:r>
              <w:rPr>
                <w:rFonts w:hint="eastAsia"/>
              </w:rPr>
              <w:t>口径：20口径；通信方式：NB</w:t>
            </w:r>
          </w:p>
          <w:p>
            <w:r>
              <w:rPr>
                <w:rFonts w:hint="eastAsia"/>
              </w:rPr>
              <w:t>安装方式：卧式；字轮：五字轮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17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47</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雨水收集</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水位传感器</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广泛应用于城市供水及污水处理工程的液位高度的测量</w:t>
            </w:r>
          </w:p>
          <w:p>
            <w:r>
              <w:rPr>
                <w:rFonts w:hint="eastAsia"/>
              </w:rPr>
              <w:t>输出形式： 4mA～20mA；接口形式 □RS-485</w:t>
            </w:r>
          </w:p>
          <w:p>
            <w:r>
              <w:rPr>
                <w:rFonts w:hint="eastAsia"/>
              </w:rPr>
              <w:t>供电电源 DC 24V（9V～32V）；量程范围：0m～10m</w:t>
            </w:r>
          </w:p>
          <w:p>
            <w:r>
              <w:rPr>
                <w:rFonts w:hint="eastAsia"/>
              </w:rPr>
              <w:t>准确度等级:  0.5 级；介质温度：  0℃～60℃</w:t>
            </w:r>
          </w:p>
          <w:p>
            <w:r>
              <w:rPr>
                <w:rFonts w:hint="eastAsia"/>
              </w:rPr>
              <w:t>环境温度：  0℃～60℃</w:t>
            </w:r>
          </w:p>
          <w:p>
            <w:r>
              <w:rPr>
                <w:rFonts w:hint="eastAsia"/>
              </w:rPr>
              <w:t>响应时间：≤50ms 响应时间：≤50ms</w:t>
            </w:r>
          </w:p>
          <w:p>
            <w:r>
              <w:rPr>
                <w:rFonts w:hint="eastAsia"/>
              </w:rPr>
              <w:t>负载能力(DC 24V)  电流型≤500Ω</w:t>
            </w:r>
          </w:p>
          <w:p>
            <w:r>
              <w:rPr>
                <w:rFonts w:hint="eastAsia"/>
              </w:rPr>
              <w:t>可重复性 ±0.2％F·S；年长期稳定性 ±0.5％F·S</w:t>
            </w:r>
          </w:p>
          <w:p>
            <w:r>
              <w:rPr>
                <w:rFonts w:hint="eastAsia"/>
              </w:rPr>
              <w:t>非线性 ±0.2％F·S；过载压力： 2 倍量程</w:t>
            </w:r>
          </w:p>
          <w:p>
            <w:r>
              <w:rPr>
                <w:rFonts w:hint="eastAsia"/>
              </w:rPr>
              <w:t>电气连接 电缆连接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套</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63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48</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管网流量计</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橡胶衬里，</w:t>
            </w:r>
            <w:r>
              <w:t>316L</w:t>
            </w:r>
            <w:r>
              <w:rPr>
                <w:rFonts w:hint="eastAsia"/>
              </w:rPr>
              <w:t>电极，常温常压，常规流量范围，</w:t>
            </w:r>
            <w:r>
              <w:t>4-20mA</w:t>
            </w:r>
            <w:r>
              <w:rPr>
                <w:rFonts w:hint="eastAsia"/>
              </w:rPr>
              <w:t>输出，</w:t>
            </w:r>
            <w:r>
              <w:t>RS485</w:t>
            </w:r>
            <w:r>
              <w:rPr>
                <w:rFonts w:hint="eastAsia"/>
              </w:rPr>
              <w:t>通讯，精度</w:t>
            </w:r>
            <w:r>
              <w:t>0.5%</w:t>
            </w:r>
            <w:r>
              <w:rPr>
                <w:rFonts w:hint="eastAsia"/>
              </w:rPr>
              <w:t>，法兰安装，</w:t>
            </w:r>
            <w:r>
              <w:t>24V</w:t>
            </w:r>
            <w:r>
              <w:rPr>
                <w:rFonts w:hint="eastAsia"/>
              </w:rPr>
              <w:t>供电，引线</w:t>
            </w:r>
            <w:r>
              <w:t>10</w:t>
            </w:r>
            <w:r>
              <w:rPr>
                <w:rFonts w:hint="eastAsia"/>
              </w:rPr>
              <w:t>米，</w:t>
            </w:r>
            <w:r>
              <w:t>IP68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68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49</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水质氨氮、</w:t>
            </w:r>
            <w:r>
              <w:t>PH</w:t>
            </w:r>
            <w:r>
              <w:rPr>
                <w:rFonts w:hint="eastAsia"/>
              </w:rPr>
              <w:t>、温度三合一变送器</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水质氨氮变送器</w:t>
            </w:r>
          </w:p>
          <w:p>
            <w:r>
              <w:rPr>
                <w:rFonts w:hint="eastAsia"/>
              </w:rPr>
              <w:t>【氨氮电极温补】：带有自动温度补偿功能。</w:t>
            </w:r>
          </w:p>
          <w:p>
            <w:r>
              <w:rPr>
                <w:rFonts w:hint="eastAsia"/>
              </w:rPr>
              <w:t>【氨氮电极尺寸】：长303.5mm，外径50mm。</w:t>
            </w:r>
          </w:p>
          <w:p>
            <w:r>
              <w:rPr>
                <w:rFonts w:hint="eastAsia"/>
              </w:rPr>
              <w:t>【氨氮电极电气接口】：螺纹为3/4螺纹（6分管螺纹,DN20）,螺纹外径25mm,方便管道式安装、沉入式安装。</w:t>
            </w:r>
          </w:p>
          <w:p>
            <w:r>
              <w:rPr>
                <w:rFonts w:hint="eastAsia"/>
              </w:rPr>
              <w:t>【氨氮电极防护等级】：IP68；</w:t>
            </w:r>
          </w:p>
          <w:p>
            <w:r>
              <w:rPr>
                <w:rFonts w:hint="eastAsia"/>
              </w:rPr>
              <w:t>【氨氮电极寿命】：电极使用周期为一年左右，老化后应及时更换新的电极。</w:t>
            </w:r>
          </w:p>
          <w:p>
            <w:r>
              <w:rPr>
                <w:rFonts w:hint="eastAsia"/>
              </w:rPr>
              <w:t>【氨氮电极维护】：设备本身一般不需要日常维护。</w:t>
            </w:r>
          </w:p>
          <w:p>
            <w:r>
              <w:rPr>
                <w:rFonts w:hint="eastAsia"/>
              </w:rPr>
              <w:t>【氨氮电极标定】：modbus-rtu型支持寄存器重新标定校准。</w:t>
            </w:r>
          </w:p>
          <w:p>
            <w:r>
              <w:rPr>
                <w:rFonts w:hint="eastAsia"/>
              </w:rPr>
              <w:t>【氨氮电极测量范围】：0-100mg/l；0-10mg/l可选。</w:t>
            </w:r>
          </w:p>
          <w:p>
            <w:r>
              <w:rPr>
                <w:rFonts w:hint="eastAsia"/>
              </w:rPr>
              <w:t>【氨氮电极测量误差】：±1%FS</w:t>
            </w:r>
          </w:p>
          <w:p>
            <w:r>
              <w:rPr>
                <w:rFonts w:hint="eastAsia"/>
              </w:rPr>
              <w:t>【氨氮电极测量分辨率】：0.01mg/l。</w:t>
            </w:r>
          </w:p>
          <w:p>
            <w:r>
              <w:rPr>
                <w:rFonts w:hint="eastAsia"/>
              </w:rPr>
              <w:t>【PH电极测量范围】：0~14.00pH。</w:t>
            </w:r>
          </w:p>
          <w:p>
            <w:r>
              <w:rPr>
                <w:rFonts w:hint="eastAsia"/>
              </w:rPr>
              <w:t>【PH电极测量误差】：±0.15pH。</w:t>
            </w:r>
          </w:p>
          <w:p>
            <w:r>
              <w:rPr>
                <w:rFonts w:hint="eastAsia"/>
              </w:rPr>
              <w:t>【PH电极测量分辨率】：0.01pH。</w:t>
            </w:r>
          </w:p>
          <w:p>
            <w:r>
              <w:rPr>
                <w:rFonts w:hint="eastAsia"/>
              </w:rPr>
              <w:t>【温度测量范围】：-20-80℃。</w:t>
            </w:r>
          </w:p>
          <w:p>
            <w:r>
              <w:rPr>
                <w:rFonts w:hint="eastAsia"/>
              </w:rPr>
              <w:t>【温度测量误差】：±0.2℃。</w:t>
            </w:r>
          </w:p>
          <w:p>
            <w:r>
              <w:rPr>
                <w:rFonts w:hint="eastAsia"/>
              </w:rPr>
              <w:t>【设备适用温度】：0~50℃。</w:t>
            </w:r>
          </w:p>
          <w:p>
            <w:r>
              <w:rPr>
                <w:rFonts w:hint="eastAsia"/>
              </w:rPr>
              <w:t>【氨氮电极耐压】：0.2MPA。</w:t>
            </w:r>
          </w:p>
          <w:p>
            <w:r>
              <w:rPr>
                <w:rFonts w:hint="eastAsia"/>
              </w:rPr>
              <w:t>【整机供电范围】：10-30VDC。</w:t>
            </w:r>
          </w:p>
          <w:p>
            <w:r>
              <w:rPr>
                <w:rFonts w:hint="eastAsia"/>
              </w:rPr>
              <w:t>【整机电极线缆长度】：默认5m（10m、15m、20m可定制）。</w:t>
            </w:r>
          </w:p>
          <w:p>
            <w:r>
              <w:rPr>
                <w:rFonts w:hint="eastAsia"/>
              </w:rPr>
              <w:t>【整机最大功耗】：0.6W。</w:t>
            </w:r>
          </w:p>
          <w:p>
            <w:r>
              <w:rPr>
                <w:rFonts w:hint="eastAsia"/>
              </w:rPr>
              <w:t>【通信接口】：RS485。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819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50</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水质COD变送器</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水质COD变送器</w:t>
            </w:r>
          </w:p>
          <w:p>
            <w:r>
              <w:rPr>
                <w:rFonts w:hint="eastAsia"/>
              </w:rPr>
              <w:t>【COD测量要素】：COD值、浊度值、温度值。</w:t>
            </w:r>
          </w:p>
          <w:p>
            <w:r>
              <w:rPr>
                <w:rFonts w:hint="eastAsia"/>
              </w:rPr>
              <w:t>【COD电极说明】：</w:t>
            </w:r>
          </w:p>
          <w:p>
            <w:r>
              <w:rPr>
                <w:rFonts w:hint="eastAsia"/>
              </w:rPr>
              <w:t>①、本产品是一款测量溶液化学需氧量（COD）的设备，采用紫外吸收法，无需化学试剂；</w:t>
            </w:r>
          </w:p>
          <w:p>
            <w:r>
              <w:rPr>
                <w:rFonts w:hint="eastAsia"/>
              </w:rPr>
              <w:t>②、内部集成自清洁系统，有效防止生物附着；</w:t>
            </w:r>
          </w:p>
          <w:p>
            <w:r>
              <w:rPr>
                <w:rFonts w:hint="eastAsia"/>
              </w:rPr>
              <w:t>③、内置温度变送器，具有自动温度补偿功能；</w:t>
            </w:r>
          </w:p>
          <w:p>
            <w:r>
              <w:rPr>
                <w:rFonts w:hint="eastAsia"/>
              </w:rPr>
              <w:t>④、采用调制光信号，减少可见光干扰；</w:t>
            </w:r>
          </w:p>
          <w:p>
            <w:r>
              <w:rPr>
                <w:rFonts w:hint="eastAsia"/>
              </w:rPr>
              <w:t>⑤、带有一路浊度测量，有效补偿浊度对COD测量带来的影响。</w:t>
            </w:r>
          </w:p>
          <w:p>
            <w:r>
              <w:rPr>
                <w:rFonts w:hint="eastAsia"/>
              </w:rPr>
              <w:t>【COD电极尺寸】：长247mm，外径50mm。</w:t>
            </w:r>
          </w:p>
          <w:p>
            <w:r>
              <w:rPr>
                <w:rFonts w:hint="eastAsia"/>
              </w:rPr>
              <w:t>【COD电极电气接口】：螺纹为NPT3/4螺纹（6分管螺纹,DN20）,方便管道式安装、沉入式安装。</w:t>
            </w:r>
          </w:p>
          <w:p>
            <w:r>
              <w:rPr>
                <w:rFonts w:hint="eastAsia"/>
              </w:rPr>
              <w:t>【COD电极防护等级】：IP68；</w:t>
            </w:r>
          </w:p>
          <w:p>
            <w:r>
              <w:rPr>
                <w:rFonts w:hint="eastAsia"/>
              </w:rPr>
              <w:t>【COD电极寿命】：电极使用周期为18个月左右，具体使用寿命依现场实际情况为准（浓度越大寿命越低）。</w:t>
            </w:r>
          </w:p>
          <w:p>
            <w:r>
              <w:rPr>
                <w:rFonts w:hint="eastAsia"/>
              </w:rPr>
              <w:t>【COD电极维护】：设备本身一般不需要日常维护。</w:t>
            </w:r>
          </w:p>
          <w:p>
            <w:r>
              <w:rPr>
                <w:rFonts w:hint="eastAsia"/>
              </w:rPr>
              <w:t>【电极标定】：485型支持485命令校准。</w:t>
            </w:r>
          </w:p>
          <w:p>
            <w:r>
              <w:rPr>
                <w:rFonts w:hint="eastAsia"/>
              </w:rPr>
              <w:t>【电极工作温度】：0~40℃。</w:t>
            </w:r>
          </w:p>
          <w:p>
            <w:r>
              <w:rPr>
                <w:rFonts w:hint="eastAsia"/>
              </w:rPr>
              <w:t>【电极耐压】：＜0.1MPa</w:t>
            </w:r>
          </w:p>
          <w:p>
            <w:r>
              <w:rPr>
                <w:rFonts w:hint="eastAsia"/>
              </w:rPr>
              <w:t>【响应时间】： ≤20sec</w:t>
            </w:r>
          </w:p>
          <w:p>
            <w:r>
              <w:rPr>
                <w:rFonts w:hint="eastAsia"/>
              </w:rPr>
              <w:t>【防水等级】： IP68</w:t>
            </w:r>
          </w:p>
          <w:p>
            <w:r>
              <w:rPr>
                <w:rFonts w:hint="eastAsia"/>
              </w:rPr>
              <w:t>【外壳材质】：耐腐蚀塑料、不锈钢</w:t>
            </w:r>
          </w:p>
          <w:p>
            <w:r>
              <w:rPr>
                <w:rFonts w:hint="eastAsia"/>
              </w:rPr>
              <w:t>【流速要求】： &lt;3m/s</w:t>
            </w:r>
          </w:p>
          <w:p>
            <w:r>
              <w:rPr>
                <w:rFonts w:hint="eastAsia"/>
              </w:rPr>
              <w:t>【供电范围】：12-30VDC。</w:t>
            </w:r>
          </w:p>
          <w:p>
            <w:r>
              <w:rPr>
                <w:rFonts w:hint="eastAsia"/>
              </w:rPr>
              <w:t>【电极线缆长度】：默认5m（10m、15m、20m可定制）。</w:t>
            </w:r>
          </w:p>
          <w:p>
            <w:r>
              <w:rPr>
                <w:rFonts w:hint="eastAsia"/>
              </w:rPr>
              <w:t>【整机功耗】：0.6W（常态）；1.8w（自清洁系统工作时）</w:t>
            </w:r>
          </w:p>
          <w:p>
            <w:r>
              <w:rPr>
                <w:rFonts w:hint="eastAsia"/>
              </w:rPr>
              <w:t>【通信接口】：RS485</w:t>
            </w:r>
          </w:p>
          <w:p>
            <w:r>
              <w:rPr>
                <w:rFonts w:hint="eastAsia"/>
              </w:rPr>
              <w:t>【COD测量范围】：0~500mg/L equiv.KHP</w:t>
            </w:r>
          </w:p>
          <w:p>
            <w:r>
              <w:rPr>
                <w:rFonts w:hint="eastAsia"/>
              </w:rPr>
              <w:t>【COD测量误差】：±5%FS equiv.KHP（25℃）</w:t>
            </w:r>
          </w:p>
          <w:p>
            <w:r>
              <w:rPr>
                <w:rFonts w:hint="eastAsia"/>
              </w:rPr>
              <w:t>【COD误差重复性】： ±1%FS equiv.KHP（25℃）</w:t>
            </w:r>
          </w:p>
          <w:p>
            <w:r>
              <w:rPr>
                <w:rFonts w:hint="eastAsia"/>
              </w:rPr>
              <w:t>【COD测量分辨率】：0.1mg/L</w:t>
            </w:r>
          </w:p>
          <w:p>
            <w:r>
              <w:rPr>
                <w:rFonts w:hint="eastAsia"/>
              </w:rPr>
              <w:t>【浊度测量范围】：0~200NTU</w:t>
            </w:r>
          </w:p>
          <w:p>
            <w:r>
              <w:rPr>
                <w:rFonts w:hint="eastAsia"/>
              </w:rPr>
              <w:t>【浊度测量误差】：±5%FS（25℃）</w:t>
            </w:r>
          </w:p>
          <w:p>
            <w:r>
              <w:rPr>
                <w:rFonts w:hint="eastAsia"/>
              </w:rPr>
              <w:t>【浊度测量分辨率】：0.1NTU</w:t>
            </w:r>
          </w:p>
          <w:p>
            <w:r>
              <w:rPr>
                <w:rFonts w:hint="eastAsia"/>
              </w:rPr>
              <w:t>【温度分辨率】：0.1℃</w:t>
            </w:r>
          </w:p>
          <w:p>
            <w:r>
              <w:rPr>
                <w:rFonts w:hint="eastAsia"/>
              </w:rPr>
              <w:t>【温度误差】：±0.5℃。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57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51</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智能网关</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【设备尺寸】：178mm*120mm*62mm</w:t>
            </w:r>
          </w:p>
          <w:p>
            <w:r>
              <w:rPr>
                <w:rFonts w:hint="eastAsia"/>
              </w:rPr>
              <w:t>【安装方式】：壁挂式安装在电控箱中</w:t>
            </w:r>
          </w:p>
          <w:p>
            <w:r>
              <w:rPr>
                <w:rFonts w:hint="eastAsia"/>
              </w:rPr>
              <w:t>【供电方式】：DC10~30V直流宽电压供电，电源插头同时适用于电源插头可同时适应输出为5.5mm*2.1mm*11mm或5.5mm*2.5mm*11mmDC圆孔插头。</w:t>
            </w:r>
          </w:p>
          <w:p>
            <w:r>
              <w:rPr>
                <w:rFonts w:hint="eastAsia"/>
              </w:rPr>
              <w:t>【数据上传间隔】：2S~10000S可设置。</w:t>
            </w:r>
          </w:p>
          <w:p>
            <w:r>
              <w:rPr>
                <w:rFonts w:hint="eastAsia"/>
              </w:rPr>
              <w:t>【身份识别功能】：本机设备唯一8位地址，易于管理识别，可搭配我司提供的多种软件平台。</w:t>
            </w:r>
          </w:p>
          <w:p>
            <w:r>
              <w:rPr>
                <w:rFonts w:hint="eastAsia"/>
              </w:rPr>
              <w:t>【最大功耗】：1w</w:t>
            </w:r>
          </w:p>
          <w:p>
            <w:r>
              <w:rPr>
                <w:rFonts w:hint="eastAsia"/>
              </w:rPr>
              <w:t>【底层通信配置】：采用近场通信NFC技术，由非接触式射频识别（RFID）及互连互通技术整合演变，通过在单一芯片上集成感应式读卡器、感应式卡片和点对点通信的功能，可以在彼此靠近的情况下进行数据交换。</w:t>
            </w:r>
          </w:p>
          <w:p>
            <w:r>
              <w:rPr>
                <w:rFonts w:hint="eastAsia"/>
              </w:rPr>
              <w:t>【底层数据通信】：具有1路ModBus-RTU主站接口可接入标准modbus-rtu协议485变送器，支持最多8台设备“手拉手”方式接入。</w:t>
            </w:r>
          </w:p>
          <w:p>
            <w:r>
              <w:rPr>
                <w:rFonts w:hint="eastAsia"/>
              </w:rPr>
              <w:t>【数据上行口通信方式】：具有1路多功能GPRS通信接口，基于蜂窝网络，通过4G上传数据，TCP/IP方式上传数据，支持动态域名解析DNS，只需插入一张手机卡便可将数据上传至远端监控软件平台。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91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52</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太阳能浮漂安装支架</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浮漂</w:t>
            </w:r>
            <w:r>
              <w:t>+</w:t>
            </w:r>
            <w:r>
              <w:rPr>
                <w:rFonts w:hint="eastAsia"/>
              </w:rPr>
              <w:t>水质传感器安装支架</w:t>
            </w:r>
            <w:r>
              <w:t>+</w:t>
            </w:r>
            <w:r>
              <w:rPr>
                <w:rFonts w:hint="eastAsia"/>
              </w:rPr>
              <w:t>太阳能供电（</w:t>
            </w:r>
            <w:r>
              <w:t xml:space="preserve">60W </w:t>
            </w:r>
            <w:r>
              <w:rPr>
                <w:rFonts w:hint="eastAsia"/>
              </w:rPr>
              <w:t>太阳能、</w:t>
            </w:r>
            <w:r>
              <w:t xml:space="preserve">12V-40AH </w:t>
            </w:r>
            <w:r>
              <w:rPr>
                <w:rFonts w:hint="eastAsia"/>
              </w:rPr>
              <w:t>锂电池，连续阴雨天续航七天）</w:t>
            </w:r>
            <w:r>
              <w:t>+</w:t>
            </w:r>
            <w:r>
              <w:rPr>
                <w:rFonts w:hint="eastAsia"/>
              </w:rPr>
              <w:t>遮雨版</w:t>
            </w:r>
            <w:r>
              <w:t>+</w:t>
            </w:r>
            <w:r>
              <w:rPr>
                <w:rFonts w:hint="eastAsia"/>
              </w:rPr>
              <w:t>太阳能安装支架</w:t>
            </w:r>
            <w:r>
              <w:t>+</w:t>
            </w:r>
            <w:r>
              <w:rPr>
                <w:rFonts w:hint="eastAsia"/>
              </w:rPr>
              <w:t>不锈钢滤网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313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53</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自清洗支架</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【自清洗支架组成】：在线自清洁支架配备自动清洁装置，自动清洁装置由内置的电机驱动电路、位置检测电路、直流电机和清洁刷组成</w:t>
            </w:r>
          </w:p>
          <w:p>
            <w:r>
              <w:rPr>
                <w:rFonts w:hint="eastAsia"/>
              </w:rPr>
              <w:t>【占用空间】：85mm×85mm×20mm。</w:t>
            </w:r>
          </w:p>
          <w:p>
            <w:r>
              <w:rPr>
                <w:rFonts w:hint="eastAsia"/>
              </w:rPr>
              <w:t>【工作功耗】：0.4W@12V。</w:t>
            </w:r>
          </w:p>
          <w:p>
            <w:r>
              <w:rPr>
                <w:rFonts w:hint="eastAsia"/>
              </w:rPr>
              <w:t>【操作温度】：-5～50℃</w:t>
            </w:r>
          </w:p>
          <w:p>
            <w:r>
              <w:rPr>
                <w:rFonts w:hint="eastAsia"/>
              </w:rPr>
              <w:t>【供电电源】： 12～24VDC</w:t>
            </w:r>
          </w:p>
          <w:p>
            <w:r>
              <w:rPr>
                <w:rFonts w:hint="eastAsia"/>
              </w:rPr>
              <w:t>【线缆规格】： Φ6mm，4芯，5米（可定制）</w:t>
            </w:r>
          </w:p>
          <w:p>
            <w:r>
              <w:rPr>
                <w:rFonts w:hint="eastAsia"/>
              </w:rPr>
              <w:t>【占用空间】： 85mm×85mm×20mm</w:t>
            </w:r>
          </w:p>
          <w:p>
            <w:r>
              <w:rPr>
                <w:rFonts w:hint="eastAsia"/>
              </w:rPr>
              <w:t>【操作温度】： -5～50℃</w:t>
            </w:r>
          </w:p>
          <w:p>
            <w:r>
              <w:rPr>
                <w:rFonts w:hint="eastAsia"/>
              </w:rPr>
              <w:t>【供电电源】： 10~30VDC</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152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54</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锚链</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用于固定水质监测套餐，使用方便，一般建议 一个浮漂式水质套餐至少搭配两个固定锚，与水流方向平行抛入河道中固定；</w:t>
            </w:r>
          </w:p>
          <w:p>
            <w:r>
              <w:rPr>
                <w:rFonts w:hint="eastAsia"/>
              </w:rPr>
              <w:t>如担心侧翻，建议可搭配 4 个，从四个方向成90°角固定。</w:t>
            </w:r>
          </w:p>
          <w:p>
            <w:r>
              <w:rPr>
                <w:rFonts w:hint="eastAsia"/>
              </w:rPr>
              <w:t>（默认配 20 米长绳索）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456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55</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建筑节能</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t>NB</w:t>
            </w:r>
            <w:r>
              <w:rPr>
                <w:rFonts w:hint="eastAsia"/>
              </w:rPr>
              <w:t>温湿度传感器</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供电方式 ：内置 3.6V 锂亚电池（默认 8500mAh）</w:t>
            </w:r>
          </w:p>
          <w:p>
            <w:r>
              <w:rPr>
                <w:rFonts w:hint="eastAsia"/>
              </w:rPr>
              <w:t>待机电流 ：≤10uA；工作时长 ：≥3 年</w:t>
            </w:r>
          </w:p>
          <w:p>
            <w:r>
              <w:rPr>
                <w:rFonts w:hint="eastAsia"/>
              </w:rPr>
              <w:t>发送方式 ：每 10 秒检测一次，温差波动≥2℃或湿差波动≥3%时发送； 间隔 4h 强制发送当前值</w:t>
            </w:r>
          </w:p>
          <w:p>
            <w:r>
              <w:rPr>
                <w:rFonts w:hint="eastAsia"/>
              </w:rPr>
              <w:t>测量分辨力 ：温度：0.1℃ 湿度：1% 光照度：1LX</w:t>
            </w:r>
          </w:p>
          <w:p>
            <w:r>
              <w:rPr>
                <w:rFonts w:hint="eastAsia"/>
              </w:rPr>
              <w:t>测量物理量 ：温度：-40～180℃  湿度：0~99% 光照：1-65535LX  水浸：漏水或浸水</w:t>
            </w:r>
          </w:p>
          <w:p>
            <w:r>
              <w:rPr>
                <w:rFonts w:hint="eastAsia"/>
              </w:rPr>
              <w:t>壳体材料 ：ABS 防水阻燃 （IP67）</w:t>
            </w:r>
          </w:p>
          <w:p>
            <w:r>
              <w:rPr>
                <w:rFonts w:hint="eastAsia"/>
              </w:rPr>
              <w:t>壳体尺寸 ：90×50×42mm</w:t>
            </w:r>
          </w:p>
          <w:p>
            <w:r>
              <w:rPr>
                <w:rFonts w:hint="eastAsia"/>
              </w:rPr>
              <w:t>安装方式 ：螺丝固定（可定制磁吸式安装）</w:t>
            </w:r>
          </w:p>
          <w:p>
            <w:r>
              <w:rPr>
                <w:rFonts w:hint="eastAsia"/>
              </w:rPr>
              <w:t>网络 ：中国电信 NB-IOT 专用网络/LoRa 私有网络</w:t>
            </w:r>
          </w:p>
          <w:p>
            <w:r>
              <w:rPr>
                <w:rFonts w:hint="eastAsia"/>
              </w:rPr>
              <w:t>传输速率 ：100bps &lt; bit rate &lt; 100kbps</w:t>
            </w:r>
          </w:p>
          <w:p>
            <w:r>
              <w:rPr>
                <w:rFonts w:hint="eastAsia"/>
              </w:rPr>
              <w:t>发射功率 ：23 dBm</w:t>
            </w:r>
          </w:p>
          <w:p>
            <w:r>
              <w:rPr>
                <w:rFonts w:hint="eastAsia"/>
              </w:rPr>
              <w:t>接收灵敏度 ：-129 dBm</w:t>
            </w:r>
          </w:p>
          <w:p>
            <w:r>
              <w:rPr>
                <w:rFonts w:hint="eastAsia"/>
              </w:rPr>
              <w:t>协议栈 ：UDP/CoAP</w:t>
            </w:r>
          </w:p>
          <w:p>
            <w:r>
              <w:rPr>
                <w:rFonts w:hint="eastAsia"/>
              </w:rPr>
              <w:t>天线阻抗 ：50 Ohm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7</w:t>
            </w:r>
          </w:p>
        </w:tc>
      </w:tr>
      <w:tr>
        <w:tblPrEx>
          <w:tblCellMar>
            <w:top w:w="0" w:type="dxa"/>
            <w:left w:w="108" w:type="dxa"/>
            <w:bottom w:w="0" w:type="dxa"/>
            <w:right w:w="108" w:type="dxa"/>
          </w:tblCellMar>
        </w:tblPrEx>
        <w:trPr>
          <w:trHeight w:val="3251"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56</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配套设施</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t>65</w:t>
            </w:r>
            <w:r>
              <w:rPr>
                <w:rFonts w:hint="eastAsia"/>
              </w:rPr>
              <w:t>寸触控一体机</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r>
              <w:rPr>
                <w:rFonts w:hint="eastAsia"/>
              </w:rPr>
              <w:t>内置</w:t>
            </w:r>
            <w:r>
              <w:t>1200W</w:t>
            </w:r>
            <w:r>
              <w:rPr>
                <w:rFonts w:hint="eastAsia"/>
              </w:rPr>
              <w:t>高清摄像头和</w:t>
            </w:r>
            <w:r>
              <w:t>8</w:t>
            </w:r>
            <w:r>
              <w:rPr>
                <w:rFonts w:hint="eastAsia"/>
              </w:rPr>
              <w:t>阵列麦克风；支持拍照功能，利用前置高清摄像头，支持照片快捷插入白板或生成二维码进行分享。</w:t>
            </w:r>
          </w:p>
          <w:p>
            <w:r>
              <w:t>2.</w:t>
            </w:r>
            <w:r>
              <w:rPr>
                <w:rFonts w:hint="eastAsia"/>
              </w:rPr>
              <w:t>手机和工作台支持混合投屏展示，支持</w:t>
            </w:r>
            <w:r>
              <w:t>≥4</w:t>
            </w:r>
            <w:r>
              <w:rPr>
                <w:rFonts w:hint="eastAsia"/>
              </w:rPr>
              <w:t>画面同屏展示，可对每个投屏内容进行独立反向操作。（提供符合此功能的界面截图佐证）</w:t>
            </w:r>
          </w:p>
          <w:p>
            <w:r>
              <w:t>3.</w:t>
            </w:r>
            <w:r>
              <w:rPr>
                <w:rFonts w:hint="eastAsia"/>
              </w:rPr>
              <w:t>白板中提供三种大小笔粗，并预置</w:t>
            </w:r>
            <w:r>
              <w:t>11</w:t>
            </w:r>
            <w:r>
              <w:rPr>
                <w:rFonts w:hint="eastAsia"/>
              </w:rPr>
              <w:t>种以上颜色，可</w:t>
            </w:r>
            <w:r>
              <w:t>“</w:t>
            </w:r>
            <w:r>
              <w:rPr>
                <w:rFonts w:hint="eastAsia"/>
              </w:rPr>
              <w:t>无限色盘</w:t>
            </w:r>
            <w:r>
              <w:t>”</w:t>
            </w:r>
            <w:r>
              <w:rPr>
                <w:rFonts w:hint="eastAsia"/>
              </w:rPr>
              <w:t>自定义笔迹颜色；支持</w:t>
            </w:r>
            <w:r>
              <w:t>≥20</w:t>
            </w:r>
            <w:r>
              <w:rPr>
                <w:rFonts w:hint="eastAsia"/>
              </w:rPr>
              <w:t>页白板书写页面；支持</w:t>
            </w:r>
            <w:r>
              <w:t>≥10</w:t>
            </w:r>
            <w:r>
              <w:rPr>
                <w:rFonts w:hint="eastAsia"/>
              </w:rPr>
              <w:t>步撤销</w:t>
            </w:r>
            <w:r>
              <w:t>/</w:t>
            </w:r>
            <w:r>
              <w:rPr>
                <w:rFonts w:hint="eastAsia"/>
              </w:rPr>
              <w:t>重复，可快速恢复白板内容。（提供符合此功能的界面截图</w:t>
            </w:r>
            <w:r>
              <w:t>/</w:t>
            </w:r>
            <w:r>
              <w:rPr>
                <w:rFonts w:hint="eastAsia"/>
              </w:rPr>
              <w:t>佐证）</w:t>
            </w:r>
          </w:p>
          <w:p>
            <w:r>
              <w:t>4.</w:t>
            </w:r>
            <w:r>
              <w:rPr>
                <w:rFonts w:hint="eastAsia"/>
              </w:rPr>
              <w:t>手势板擦：当手掌在电子白板上触摸时，会被自动识别为板擦，可快速擦除白板内容。</w:t>
            </w:r>
          </w:p>
          <w:p>
            <w:r>
              <w:t>5.</w:t>
            </w:r>
            <w:r>
              <w:rPr>
                <w:rFonts w:hint="eastAsia"/>
              </w:rPr>
              <w:t>提供智能模式：智能识别手绘图形，书写无需重新点击选择画笔功能；可支持插入智能表格，表格大小可根据书写内容自动扩充，可通过画直线的方式添加行列。（提供符合此功能的界面截图佐证）</w:t>
            </w:r>
          </w:p>
          <w:p>
            <w:r>
              <w:t>6.</w:t>
            </w:r>
            <w:r>
              <w:rPr>
                <w:rFonts w:hint="eastAsia"/>
              </w:rPr>
              <w:t>支持大小笔，粗细笔头可分别设定不同颜色和粗细，快速实现内容讲解，差异化标注。</w:t>
            </w:r>
          </w:p>
          <w:p>
            <w:r>
              <w:t>7.</w:t>
            </w:r>
            <w:r>
              <w:rPr>
                <w:rFonts w:hint="eastAsia"/>
              </w:rPr>
              <w:t>在非白板模式下可快捷调出书写板，满足用户临时快速书写需求，快捷白板内容亦可快速复制到白板中进行功能扩展，满足灵活讨论需求。</w:t>
            </w:r>
          </w:p>
          <w:p>
            <w:r>
              <w:t>8.</w:t>
            </w:r>
            <w:r>
              <w:rPr>
                <w:rFonts w:hint="eastAsia"/>
              </w:rPr>
              <w:t>投票软件可编辑议题及选项内容，最多可设置</w:t>
            </w:r>
            <w:r>
              <w:t>10</w:t>
            </w:r>
            <w:r>
              <w:rPr>
                <w:rFonts w:hint="eastAsia"/>
              </w:rPr>
              <w:t>个选项，支持单选及多选，设置完成后以手机扫码进行投票，投票结果可生成饼状图或条形图，并支持将投票结果以图片格式插入到白板。</w:t>
            </w:r>
          </w:p>
          <w:p>
            <w:r>
              <w:t>9.</w:t>
            </w:r>
            <w:r>
              <w:rPr>
                <w:rFonts w:hint="eastAsia"/>
              </w:rPr>
              <w:t>支持</w:t>
            </w:r>
            <w:r>
              <w:t>PC</w:t>
            </w:r>
            <w:r>
              <w:rPr>
                <w:rFonts w:hint="eastAsia"/>
              </w:rPr>
              <w:t>下</w:t>
            </w:r>
            <w:r>
              <w:t>20</w:t>
            </w:r>
            <w:r>
              <w:rPr>
                <w:rFonts w:hint="eastAsia"/>
              </w:rPr>
              <w:t>点触摸，安卓下</w:t>
            </w:r>
            <w:r>
              <w:t>16</w:t>
            </w:r>
            <w:r>
              <w:rPr>
                <w:rFonts w:hint="eastAsia"/>
              </w:rPr>
              <w:t>点触摸，采用红外感应识别触摸技术；支持触摸操作图片放大、缩小、旋转等。</w:t>
            </w:r>
          </w:p>
          <w:p>
            <w:r>
              <w:t>10.</w:t>
            </w:r>
            <w:r>
              <w:rPr>
                <w:rFonts w:hint="eastAsia"/>
              </w:rPr>
              <w:t>采用</w:t>
            </w:r>
            <w:r>
              <w:t>4K LED</w:t>
            </w:r>
            <w:r>
              <w:rPr>
                <w:rFonts w:hint="eastAsia"/>
              </w:rPr>
              <w:t>液晶显示屏，显示尺寸</w:t>
            </w:r>
            <w:r>
              <w:t>≥65</w:t>
            </w:r>
            <w:r>
              <w:rPr>
                <w:rFonts w:hint="eastAsia"/>
              </w:rPr>
              <w:t>英寸（</w:t>
            </w:r>
            <w:r>
              <w:t>16</w:t>
            </w:r>
            <w:r>
              <w:rPr>
                <w:rFonts w:hint="eastAsia"/>
              </w:rPr>
              <w:t>：</w:t>
            </w:r>
            <w:r>
              <w:t>9</w:t>
            </w:r>
            <w:r>
              <w:rPr>
                <w:rFonts w:hint="eastAsia"/>
              </w:rPr>
              <w:t>），刷新率</w:t>
            </w:r>
            <w:r>
              <w:t>≥60Hz</w:t>
            </w:r>
            <w:r>
              <w:rPr>
                <w:rFonts w:hint="eastAsia"/>
              </w:rPr>
              <w:t>，视角（度）</w:t>
            </w:r>
            <w:r>
              <w:t>≥178°</w:t>
            </w:r>
            <w:r>
              <w:rPr>
                <w:rFonts w:hint="eastAsia"/>
              </w:rPr>
              <w:t>，支持分辨率</w:t>
            </w:r>
            <w:r>
              <w:t>≥3840</w:t>
            </w:r>
            <w:r>
              <w:rPr>
                <w:rFonts w:hint="eastAsia"/>
              </w:rPr>
              <w:t>（</w:t>
            </w:r>
            <w:r>
              <w:t>H</w:t>
            </w:r>
            <w:r>
              <w:rPr>
                <w:rFonts w:hint="eastAsia"/>
              </w:rPr>
              <w:t>）</w:t>
            </w:r>
            <w:r>
              <w:t>×2160</w:t>
            </w:r>
            <w:r>
              <w:rPr>
                <w:rFonts w:hint="eastAsia"/>
              </w:rPr>
              <w:t>（</w:t>
            </w:r>
            <w:r>
              <w:t>V</w:t>
            </w:r>
            <w:r>
              <w:rPr>
                <w:rFonts w:hint="eastAsia"/>
              </w:rPr>
              <w:t>）。</w:t>
            </w:r>
          </w:p>
          <w:p>
            <w:r>
              <w:t>11.</w:t>
            </w:r>
            <w:r>
              <w:rPr>
                <w:rFonts w:hint="eastAsia"/>
              </w:rPr>
              <w:t>采用安卓系统，配置</w:t>
            </w:r>
            <w:r>
              <w:t>Quad-Core A55</w:t>
            </w:r>
            <w:r>
              <w:rPr>
                <w:rFonts w:hint="eastAsia"/>
              </w:rPr>
              <w:t>四核</w:t>
            </w:r>
            <w:r>
              <w:t xml:space="preserve"> 1.9GHz</w:t>
            </w:r>
            <w:r>
              <w:rPr>
                <w:rFonts w:hint="eastAsia"/>
              </w:rPr>
              <w:t>处理器、</w:t>
            </w:r>
            <w:r>
              <w:t>4G</w:t>
            </w:r>
            <w:r>
              <w:rPr>
                <w:rFonts w:hint="eastAsia"/>
              </w:rPr>
              <w:t>内存、</w:t>
            </w:r>
            <w:r>
              <w:t>32G</w:t>
            </w:r>
            <w:r>
              <w:rPr>
                <w:rFonts w:hint="eastAsia"/>
              </w:rPr>
              <w:t>存储空间</w:t>
            </w:r>
            <w:r>
              <w:t>,</w:t>
            </w:r>
            <w:r>
              <w:rPr>
                <w:rFonts w:hint="eastAsia"/>
              </w:rPr>
              <w:t>前置随通道切换的</w:t>
            </w:r>
            <w:r>
              <w:t>USB</w:t>
            </w:r>
            <w:r>
              <w:rPr>
                <w:rFonts w:hint="eastAsia"/>
              </w:rPr>
              <w:t>端口，实现</w:t>
            </w:r>
            <w:r>
              <w:t>USB</w:t>
            </w:r>
            <w:r>
              <w:rPr>
                <w:rFonts w:hint="eastAsia"/>
              </w:rPr>
              <w:t>多媒体文件播放功能；支持内置</w:t>
            </w:r>
            <w:r>
              <w:t>OPS</w:t>
            </w:r>
            <w:r>
              <w:rPr>
                <w:rFonts w:hint="eastAsia"/>
              </w:rPr>
              <w:t>工作台模块。</w:t>
            </w:r>
          </w:p>
          <w:p>
            <w:r>
              <w:t>12.</w:t>
            </w:r>
            <w:r>
              <w:rPr>
                <w:rFonts w:hint="eastAsia"/>
              </w:rPr>
              <w:t>隐藏式前置端口，具有前置</w:t>
            </w:r>
            <w:r>
              <w:t>HDMI*1</w:t>
            </w:r>
            <w:r>
              <w:rPr>
                <w:rFonts w:hint="eastAsia"/>
              </w:rPr>
              <w:t>，</w:t>
            </w:r>
            <w:r>
              <w:t>USB*3</w:t>
            </w:r>
            <w:r>
              <w:rPr>
                <w:rFonts w:hint="eastAsia"/>
              </w:rPr>
              <w:t>，</w:t>
            </w:r>
            <w:r>
              <w:t>USB TOUCH*1</w:t>
            </w:r>
            <w:r>
              <w:rPr>
                <w:rFonts w:hint="eastAsia"/>
              </w:rPr>
              <w:t>接口</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72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57</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一体机移动支架</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t>65-86</w:t>
            </w:r>
            <w:r>
              <w:rPr>
                <w:rFonts w:hint="eastAsia"/>
              </w:rPr>
              <w:t>英寸交互平板移动支架</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186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58</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一拖二无线投屏仪</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r>
              <w:rPr>
                <w:rFonts w:hint="eastAsia"/>
              </w:rPr>
              <w:t>无线投屏器搭配交互智能平板和智慧黑板使用。将此设备接入笔记本工作台等信号源设备，即可将信号源内容显示到交互智能平板或者智慧黑板上。</w:t>
            </w:r>
          </w:p>
          <w:p>
            <w:r>
              <w:t>2.</w:t>
            </w:r>
            <w:r>
              <w:rPr>
                <w:rFonts w:hint="eastAsia"/>
              </w:rPr>
              <w:t>支持</w:t>
            </w:r>
            <w:r>
              <w:t>Windows7/8/8.1/10; mac OS 10.12</w:t>
            </w:r>
            <w:r>
              <w:rPr>
                <w:rFonts w:hint="eastAsia"/>
              </w:rPr>
              <w:t>及以上等多种操作系统。</w:t>
            </w:r>
          </w:p>
          <w:p>
            <w:r>
              <w:t>3.1</w:t>
            </w:r>
            <w:r>
              <w:rPr>
                <w:rFonts w:hint="eastAsia"/>
              </w:rPr>
              <w:t>个接收端能同时连接</w:t>
            </w:r>
            <w:r>
              <w:t>8</w:t>
            </w:r>
            <w:r>
              <w:rPr>
                <w:rFonts w:hint="eastAsia"/>
              </w:rPr>
              <w:t>个发射端。</w:t>
            </w:r>
          </w:p>
          <w:p>
            <w:r>
              <w:t>4.</w:t>
            </w:r>
            <w:r>
              <w:rPr>
                <w:rFonts w:hint="eastAsia"/>
              </w:rPr>
              <w:t>连接距离为</w:t>
            </w:r>
            <w:r>
              <w:t>12m</w:t>
            </w:r>
            <w:r>
              <w:rPr>
                <w:rFonts w:hint="eastAsia"/>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套</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4</w:t>
            </w:r>
          </w:p>
        </w:tc>
      </w:tr>
      <w:tr>
        <w:tblPrEx>
          <w:tblCellMar>
            <w:top w:w="0" w:type="dxa"/>
            <w:left w:w="108" w:type="dxa"/>
            <w:bottom w:w="0" w:type="dxa"/>
            <w:right w:w="108" w:type="dxa"/>
          </w:tblCellMar>
        </w:tblPrEx>
        <w:trPr>
          <w:trHeight w:val="627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60</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高清会议摄像机（</w:t>
            </w:r>
            <w:r>
              <w:t>20</w:t>
            </w:r>
            <w:r>
              <w:rPr>
                <w:rFonts w:hint="eastAsia"/>
              </w:rPr>
              <w:t>倍光学变焦）</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r>
              <w:rPr>
                <w:rFonts w:hint="eastAsia"/>
              </w:rPr>
              <w:t>高清摄像机具备</w:t>
            </w:r>
            <w:r>
              <w:t>≥20</w:t>
            </w:r>
            <w:r>
              <w:rPr>
                <w:rFonts w:hint="eastAsia"/>
              </w:rPr>
              <w:t>倍光学变倍镜头，支持</w:t>
            </w:r>
            <w:r>
              <w:t>≥16</w:t>
            </w:r>
            <w:r>
              <w:rPr>
                <w:rFonts w:hint="eastAsia"/>
              </w:rPr>
              <w:t>倍数字变焦；采用</w:t>
            </w:r>
            <w:r>
              <w:t>1/2.8</w:t>
            </w:r>
            <w:r>
              <w:rPr>
                <w:rFonts w:hint="eastAsia"/>
              </w:rPr>
              <w:t>英寸、</w:t>
            </w:r>
            <w:r>
              <w:t>≥207</w:t>
            </w:r>
            <w:r>
              <w:rPr>
                <w:rFonts w:hint="eastAsia"/>
              </w:rPr>
              <w:t>万有效像素的高品质</w:t>
            </w:r>
            <w:r>
              <w:t>HD CMOS</w:t>
            </w:r>
            <w:r>
              <w:rPr>
                <w:rFonts w:hint="eastAsia"/>
              </w:rPr>
              <w:t>传感器。</w:t>
            </w:r>
          </w:p>
          <w:p>
            <w:r>
              <w:t>2.</w:t>
            </w:r>
            <w:r>
              <w:rPr>
                <w:rFonts w:hint="eastAsia"/>
              </w:rPr>
              <w:t>镜头支持</w:t>
            </w:r>
            <w:r>
              <w:t>≥60.7°</w:t>
            </w:r>
            <w:r>
              <w:rPr>
                <w:rFonts w:hint="eastAsia"/>
              </w:rPr>
              <w:t>高品质超广角；镜头焦距</w:t>
            </w:r>
            <w:r>
              <w:t xml:space="preserve">f4.42mm ~ 88.5mm, </w:t>
            </w:r>
            <w:r>
              <w:rPr>
                <w:rFonts w:hint="eastAsia"/>
              </w:rPr>
              <w:t>光圈</w:t>
            </w:r>
            <w:r>
              <w:t>F1.8 ~ F2.8</w:t>
            </w:r>
            <w:r>
              <w:rPr>
                <w:rFonts w:hint="eastAsia"/>
              </w:rPr>
              <w:t>。</w:t>
            </w:r>
          </w:p>
          <w:p>
            <w:r>
              <w:t xml:space="preserve">3.USB3.0 </w:t>
            </w:r>
            <w:r>
              <w:rPr>
                <w:rFonts w:hint="eastAsia"/>
              </w:rPr>
              <w:t>接口支持输出</w:t>
            </w:r>
            <w:r>
              <w:t>1080p/60, 1080p/50, 1080p/30, 1080p/25, 720p/60, 720p/50, 720p/30, 720p/25</w:t>
            </w:r>
            <w:r>
              <w:rPr>
                <w:rFonts w:hint="eastAsia"/>
              </w:rPr>
              <w:t>视频格式；</w:t>
            </w:r>
            <w:r>
              <w:t xml:space="preserve">USB2.0 </w:t>
            </w:r>
            <w:r>
              <w:rPr>
                <w:rFonts w:hint="eastAsia"/>
              </w:rPr>
              <w:t>接口支持输出</w:t>
            </w:r>
            <w:r>
              <w:t>1080p/10, 720p/25, 960x540p/30, 960x540p/25, 640x360p/60, 640x360p/50</w:t>
            </w:r>
            <w:r>
              <w:rPr>
                <w:rFonts w:hint="eastAsia"/>
              </w:rPr>
              <w:t>视频格式；</w:t>
            </w:r>
            <w:r>
              <w:t>HDMI</w:t>
            </w:r>
            <w:r>
              <w:rPr>
                <w:rFonts w:hint="eastAsia"/>
              </w:rPr>
              <w:t>接口支持输出</w:t>
            </w:r>
            <w:r>
              <w:t>1080p/60, 1080p/50, 1080i/60, 1080i/50, 1080p/30, 1080p/25, 720p/60, 720p/50, 720p/30, 720p/25</w:t>
            </w:r>
            <w:r>
              <w:rPr>
                <w:rFonts w:hint="eastAsia"/>
              </w:rPr>
              <w:t>视频格式。</w:t>
            </w:r>
          </w:p>
          <w:p>
            <w:r>
              <w:t>4.</w:t>
            </w:r>
            <w:r>
              <w:rPr>
                <w:rFonts w:hint="eastAsia"/>
              </w:rPr>
              <w:t>具备</w:t>
            </w:r>
            <w:r>
              <w:t>1</w:t>
            </w:r>
            <w:r>
              <w:rPr>
                <w:rFonts w:hint="eastAsia"/>
              </w:rPr>
              <w:t>路</w:t>
            </w:r>
            <w:r>
              <w:t>USB3.0</w:t>
            </w:r>
            <w:r>
              <w:rPr>
                <w:rFonts w:hint="eastAsia"/>
              </w:rPr>
              <w:t>接口，</w:t>
            </w:r>
            <w:r>
              <w:t>1</w:t>
            </w:r>
            <w:r>
              <w:rPr>
                <w:rFonts w:hint="eastAsia"/>
              </w:rPr>
              <w:t>路</w:t>
            </w:r>
            <w:r>
              <w:t>USB2.0</w:t>
            </w:r>
            <w:r>
              <w:rPr>
                <w:rFonts w:hint="eastAsia"/>
              </w:rPr>
              <w:t>接口，</w:t>
            </w:r>
            <w:r>
              <w:t>1</w:t>
            </w:r>
            <w:r>
              <w:rPr>
                <w:rFonts w:hint="eastAsia"/>
              </w:rPr>
              <w:t>路</w:t>
            </w:r>
            <w:r>
              <w:t>HDMI</w:t>
            </w:r>
            <w:r>
              <w:rPr>
                <w:rFonts w:hint="eastAsia"/>
              </w:rPr>
              <w:t>接口；支持</w:t>
            </w:r>
            <w:r>
              <w:t>USB3.0</w:t>
            </w:r>
            <w:r>
              <w:rPr>
                <w:rFonts w:hint="eastAsia"/>
              </w:rPr>
              <w:t>、</w:t>
            </w:r>
            <w:r>
              <w:t>HDMI</w:t>
            </w:r>
            <w:r>
              <w:rPr>
                <w:rFonts w:hint="eastAsia"/>
              </w:rPr>
              <w:t>、网络三路信号可同时输出。</w:t>
            </w:r>
          </w:p>
          <w:p>
            <w:r>
              <w:t>5.</w:t>
            </w:r>
            <w:r>
              <w:rPr>
                <w:rFonts w:hint="eastAsia"/>
              </w:rPr>
              <w:t>支持</w:t>
            </w:r>
            <w:r>
              <w:t>RS232</w:t>
            </w:r>
            <w:r>
              <w:rPr>
                <w:rFonts w:hint="eastAsia"/>
              </w:rPr>
              <w:t>串口远程对摄像机进行控制，支持远程摄像机位置预设定和调用，宽范围、高速度，低噪音控制摄像机的平移</w:t>
            </w:r>
            <w:r>
              <w:t>/</w:t>
            </w:r>
            <w:r>
              <w:rPr>
                <w:rFonts w:hint="eastAsia"/>
              </w:rPr>
              <w:t>俯仰</w:t>
            </w:r>
            <w:r>
              <w:t>/</w:t>
            </w:r>
            <w:r>
              <w:rPr>
                <w:rFonts w:hint="eastAsia"/>
              </w:rPr>
              <w:t>缩放，最多设置</w:t>
            </w:r>
            <w:r>
              <w:t>255</w:t>
            </w:r>
            <w:r>
              <w:rPr>
                <w:rFonts w:hint="eastAsia"/>
              </w:rPr>
              <w:t>个预置位，支持掉电保存。</w:t>
            </w:r>
          </w:p>
          <w:p>
            <w:r>
              <w:t>6.</w:t>
            </w:r>
            <w:r>
              <w:rPr>
                <w:rFonts w:hint="eastAsia"/>
              </w:rPr>
              <w:t>水平视场角：</w:t>
            </w:r>
            <w:r>
              <w:t>60.7°~ 3.36°</w:t>
            </w:r>
            <w:r>
              <w:rPr>
                <w:rFonts w:hint="eastAsia"/>
              </w:rPr>
              <w:t>；支持水平转动范围：</w:t>
            </w:r>
            <w:r>
              <w:t>±170°</w:t>
            </w:r>
            <w:r>
              <w:rPr>
                <w:rFonts w:hint="eastAsia"/>
              </w:rPr>
              <w:t>，垂直转动范围：</w:t>
            </w:r>
            <w:r>
              <w:t>-35°~+90°</w:t>
            </w:r>
            <w:r>
              <w:rPr>
                <w:rFonts w:hint="eastAsia"/>
              </w:rPr>
              <w:t>，水平转动速度范围：</w:t>
            </w:r>
            <w:r>
              <w:t>1.7°~100°/</w:t>
            </w:r>
            <w:r>
              <w:rPr>
                <w:rFonts w:hint="eastAsia"/>
              </w:rPr>
              <w:t>秒，垂直转动速度范围：</w:t>
            </w:r>
            <w:r>
              <w:t>1.7°~69.9°/</w:t>
            </w:r>
            <w:r>
              <w:rPr>
                <w:rFonts w:hint="eastAsia"/>
              </w:rPr>
              <w:t>秒。</w:t>
            </w:r>
          </w:p>
          <w:p>
            <w:r>
              <w:t>7.</w:t>
            </w:r>
            <w:r>
              <w:rPr>
                <w:rFonts w:hint="eastAsia"/>
              </w:rPr>
              <w:t>支持先进的</w:t>
            </w:r>
            <w:r>
              <w:t>2D</w:t>
            </w:r>
            <w:r>
              <w:rPr>
                <w:rFonts w:hint="eastAsia"/>
              </w:rPr>
              <w:t>、</w:t>
            </w:r>
            <w:r>
              <w:t>3D</w:t>
            </w:r>
            <w:r>
              <w:rPr>
                <w:rFonts w:hint="eastAsia"/>
              </w:rPr>
              <w:t>降噪技术；支持图像水平、垂直翻转、图像冻结、人脸检测、背光补偿功能。</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346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61</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t>usb</w:t>
            </w:r>
            <w:r>
              <w:rPr>
                <w:rFonts w:hint="eastAsia"/>
              </w:rPr>
              <w:t>桌面麦克风</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r>
              <w:rPr>
                <w:rFonts w:hint="eastAsia"/>
              </w:rPr>
              <w:t>语音技术：深度消回音、动态噪声抑制、自动增益控制技术</w:t>
            </w:r>
          </w:p>
          <w:p>
            <w:r>
              <w:t>2.</w:t>
            </w:r>
            <w:r>
              <w:rPr>
                <w:rFonts w:hint="eastAsia"/>
              </w:rPr>
              <w:t>麦克风频响：</w:t>
            </w:r>
            <w:r>
              <w:t>100Hz~22kHz</w:t>
            </w:r>
          </w:p>
          <w:p>
            <w:r>
              <w:t>3.</w:t>
            </w:r>
            <w:r>
              <w:rPr>
                <w:rFonts w:hint="eastAsia"/>
              </w:rPr>
              <w:t>喇叭频响：</w:t>
            </w:r>
            <w:r>
              <w:t>170Hz~22kHz</w:t>
            </w:r>
          </w:p>
          <w:p>
            <w:r>
              <w:t>4.</w:t>
            </w:r>
            <w:r>
              <w:rPr>
                <w:rFonts w:hint="eastAsia"/>
              </w:rPr>
              <w:t>拾音范围：直径</w:t>
            </w:r>
            <w:r>
              <w:t>6</w:t>
            </w:r>
            <w:r>
              <w:rPr>
                <w:rFonts w:hint="eastAsia"/>
              </w:rPr>
              <w:t>米</w:t>
            </w:r>
          </w:p>
          <w:p>
            <w:r>
              <w:t>5.</w:t>
            </w:r>
            <w:r>
              <w:rPr>
                <w:rFonts w:hint="eastAsia"/>
              </w:rPr>
              <w:t>喇叭音量：</w:t>
            </w:r>
            <w:r>
              <w:t>85dB</w:t>
            </w:r>
          </w:p>
          <w:p>
            <w:r>
              <w:t>6.</w:t>
            </w:r>
            <w:r>
              <w:rPr>
                <w:rFonts w:hint="eastAsia"/>
              </w:rPr>
              <w:t>接口：</w:t>
            </w:r>
            <w:r>
              <w:t>USB</w:t>
            </w:r>
            <w:r>
              <w:rPr>
                <w:rFonts w:hint="eastAsia"/>
              </w:rPr>
              <w:t>接口</w:t>
            </w:r>
            <w:r>
              <w:t>×1</w:t>
            </w:r>
            <w:r>
              <w:rPr>
                <w:rFonts w:hint="eastAsia"/>
              </w:rPr>
              <w:t>、</w:t>
            </w:r>
            <w:r>
              <w:t>LINE IN/OUT</w:t>
            </w:r>
            <w:r>
              <w:rPr>
                <w:rFonts w:hint="eastAsia"/>
              </w:rPr>
              <w:t>接口</w:t>
            </w:r>
            <w:r>
              <w:t>×1</w:t>
            </w:r>
            <w:r>
              <w:rPr>
                <w:rFonts w:hint="eastAsia"/>
              </w:rPr>
              <w:t>、耳机</w:t>
            </w:r>
            <w:r>
              <w:t>3.5mm</w:t>
            </w:r>
            <w:r>
              <w:rPr>
                <w:rFonts w:hint="eastAsia"/>
              </w:rPr>
              <w:t>接口</w:t>
            </w:r>
            <w:r>
              <w:t>×1</w:t>
            </w:r>
          </w:p>
          <w:p>
            <w:r>
              <w:t>7.</w:t>
            </w:r>
            <w:r>
              <w:rPr>
                <w:rFonts w:hint="eastAsia"/>
              </w:rPr>
              <w:t>电源：</w:t>
            </w:r>
            <w:r>
              <w:t>USB</w:t>
            </w:r>
            <w:r>
              <w:rPr>
                <w:rFonts w:hint="eastAsia"/>
              </w:rPr>
              <w:t>标准，</w:t>
            </w:r>
            <w:r>
              <w:t>5V-1A</w:t>
            </w:r>
          </w:p>
          <w:p>
            <w:r>
              <w:t>8.</w:t>
            </w:r>
            <w:r>
              <w:rPr>
                <w:rFonts w:hint="eastAsia"/>
              </w:rPr>
              <w:t>待机时长：</w:t>
            </w:r>
            <w:r>
              <w:t>7</w:t>
            </w:r>
            <w:r>
              <w:rPr>
                <w:rFonts w:hint="eastAsia"/>
              </w:rPr>
              <w:t>天</w:t>
            </w:r>
          </w:p>
          <w:p>
            <w:r>
              <w:t>9.</w:t>
            </w:r>
            <w:r>
              <w:rPr>
                <w:rFonts w:hint="eastAsia"/>
              </w:rPr>
              <w:t>正常工作时长：</w:t>
            </w:r>
            <w:r>
              <w:t>3.5</w:t>
            </w:r>
            <w:r>
              <w:rPr>
                <w:rFonts w:hint="eastAsia"/>
              </w:rPr>
              <w:t>小时</w:t>
            </w:r>
          </w:p>
          <w:p>
            <w:r>
              <w:t>10.</w:t>
            </w:r>
            <w:r>
              <w:rPr>
                <w:rFonts w:hint="eastAsia"/>
              </w:rPr>
              <w:t>电池容量：</w:t>
            </w:r>
            <w:r>
              <w:t>2000mAH</w:t>
            </w:r>
          </w:p>
          <w:p>
            <w:r>
              <w:t>11.</w:t>
            </w:r>
            <w:r>
              <w:rPr>
                <w:rFonts w:hint="eastAsia"/>
              </w:rPr>
              <w:t>颜色：黑色</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套</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484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62</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一号楼智能照明</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主机</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工作温度 -10℃ to +50℃；储存温度 -15℃ to +60℃；工作湿度 ≤85% RH 无冷凝</w:t>
            </w:r>
          </w:p>
          <w:p>
            <w:r>
              <w:rPr>
                <w:rFonts w:hint="eastAsia"/>
              </w:rPr>
              <w:t>网络接口类型 有线RJ45以太网口；天线 2.4GHz外置天线</w:t>
            </w:r>
          </w:p>
          <w:p>
            <w:r>
              <w:rPr>
                <w:rFonts w:hint="eastAsia"/>
              </w:rPr>
              <w:t>网卡 RTL 8211E PHY；网络协议 IEEE 802.15.4</w:t>
            </w:r>
          </w:p>
          <w:p>
            <w:r>
              <w:rPr>
                <w:rFonts w:hint="eastAsia"/>
              </w:rPr>
              <w:t>无线距离 &gt;500m（空旷无遮挡环境）；最大接入设备数 64个</w:t>
            </w:r>
          </w:p>
          <w:p>
            <w:r>
              <w:rPr>
                <w:rFonts w:hint="eastAsia"/>
              </w:rPr>
              <w:t>发射功率 ≦20dBm；接收灵敏度 -95dB</w:t>
            </w:r>
          </w:p>
          <w:p>
            <w:r>
              <w:rPr>
                <w:rFonts w:hint="eastAsia"/>
              </w:rPr>
              <w:t>网关扩展后子节点接入数量 最大64个网关，接入64*64枚节点</w:t>
            </w:r>
          </w:p>
          <w:p>
            <w:r>
              <w:rPr>
                <w:rFonts w:hint="eastAsia"/>
              </w:rPr>
              <w:t>供电方式 DC 12V 2A供电；功耗 ≦7w；尺寸 0.96 寸</w:t>
            </w:r>
          </w:p>
          <w:p>
            <w:r>
              <w:rPr>
                <w:rFonts w:hint="eastAsia"/>
              </w:rPr>
              <w:t>类型 黑白OLED；尺寸 128 * 64</w:t>
            </w:r>
          </w:p>
          <w:p>
            <w:r>
              <w:rPr>
                <w:rFonts w:hint="eastAsia"/>
              </w:rPr>
              <w:t>CPU内核  ARM Cortex-A53 四核，主频1.5GHZ；内存 1G LPDDR3</w:t>
            </w:r>
          </w:p>
          <w:p>
            <w:r>
              <w:rPr>
                <w:rFonts w:hint="eastAsia"/>
              </w:rPr>
              <w:t>储存 8GB eMMC</w:t>
            </w:r>
          </w:p>
          <w:p>
            <w:r>
              <w:rPr>
                <w:rFonts w:hint="eastAsia"/>
              </w:rPr>
              <w:t>机体颜色 阳极氧化-灰银；产品尺寸 200*130*33mm</w:t>
            </w:r>
          </w:p>
          <w:p>
            <w:r>
              <w:rPr>
                <w:rFonts w:hint="eastAsia"/>
              </w:rPr>
              <w:t>外壳材质（材质，防火等级） 精细阳极氧化铝</w:t>
            </w:r>
          </w:p>
          <w:p>
            <w:r>
              <w:rPr>
                <w:rFonts w:hint="eastAsia"/>
              </w:rPr>
              <w:t>安装方式 摆台式</w:t>
            </w:r>
          </w:p>
          <w:p>
            <w:r>
              <w:rPr>
                <w:rFonts w:hint="eastAsia"/>
              </w:rPr>
              <w:t>包装清单 智睿主机/ 水晶头扁平网线 / 说明书 /合格证/不锈钢SIM卡针/电源适配器</w:t>
            </w:r>
          </w:p>
          <w:p>
            <w:r>
              <w:rPr>
                <w:rFonts w:hint="eastAsia"/>
              </w:rPr>
              <w:t>产品净重 约657g；包装尺寸 223*166*98mm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199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63</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中继器</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工作温度 -15～60℃；储存温度 0～50℃；工作湿度 ≦95%RH,无冷凝</w:t>
            </w:r>
          </w:p>
          <w:p>
            <w:r>
              <w:rPr>
                <w:rFonts w:hint="eastAsia"/>
              </w:rPr>
              <w:t>网络接口类型 有线RJ45以太网口</w:t>
            </w:r>
          </w:p>
          <w:p>
            <w:r>
              <w:rPr>
                <w:rFonts w:hint="eastAsia"/>
              </w:rPr>
              <w:t>接口类型 含两枚RJ45网口；网络协议 IEEE 802.15.4</w:t>
            </w:r>
          </w:p>
          <w:p>
            <w:r>
              <w:rPr>
                <w:rFonts w:hint="eastAsia"/>
              </w:rPr>
              <w:t>无线距离 &gt;500m（空旷无遮挡环境）</w:t>
            </w:r>
          </w:p>
          <w:p>
            <w:r>
              <w:rPr>
                <w:rFonts w:hint="eastAsia"/>
              </w:rPr>
              <w:t>电源输入 标准POE供电 DC48V</w:t>
            </w:r>
          </w:p>
          <w:p>
            <w:r>
              <w:rPr>
                <w:rFonts w:hint="eastAsia"/>
              </w:rPr>
              <w:t>供电方式 DC 48V；功耗 &lt;5W；产品尺寸 86×86×41 (mm)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3</w:t>
            </w:r>
          </w:p>
        </w:tc>
      </w:tr>
      <w:tr>
        <w:tblPrEx>
          <w:tblCellMar>
            <w:top w:w="0" w:type="dxa"/>
            <w:left w:w="108" w:type="dxa"/>
            <w:bottom w:w="0" w:type="dxa"/>
            <w:right w:w="108" w:type="dxa"/>
          </w:tblCellMar>
        </w:tblPrEx>
        <w:trPr>
          <w:trHeight w:val="313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64</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双路灯控面板</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工作温度 -10℃-50℃；工作湿度 5%~85%；存储温度 -20 - 65℃</w:t>
            </w:r>
          </w:p>
          <w:p>
            <w:r>
              <w:rPr>
                <w:rFonts w:hint="eastAsia"/>
              </w:rPr>
              <w:t>存储湿度 5%~85%；平均待机功耗 &lt;0.5w</w:t>
            </w:r>
          </w:p>
          <w:p>
            <w:r>
              <w:rPr>
                <w:rFonts w:hint="eastAsia"/>
              </w:rPr>
              <w:t>输入电压 L、N线输入，AC110-250V 50/60Hz</w:t>
            </w:r>
          </w:p>
          <w:p>
            <w:r>
              <w:rPr>
                <w:rFonts w:hint="eastAsia"/>
              </w:rPr>
              <w:t>最大负载输出 800W/路</w:t>
            </w:r>
          </w:p>
          <w:p>
            <w:r>
              <w:rPr>
                <w:rFonts w:hint="eastAsia"/>
              </w:rPr>
              <w:t>ZigBee通讯标准 ZigBee 3.0：IEEE802.15.4 2.4GHz</w:t>
            </w:r>
          </w:p>
          <w:p>
            <w:r>
              <w:rPr>
                <w:rFonts w:hint="eastAsia"/>
              </w:rPr>
              <w:t>最大发射功率 19dBm</w:t>
            </w:r>
          </w:p>
          <w:p>
            <w:r>
              <w:rPr>
                <w:rFonts w:hint="eastAsia"/>
              </w:rPr>
              <w:t>接收灵敏度 -100dB；有效通讯距离 空旷300m</w:t>
            </w:r>
          </w:p>
          <w:p>
            <w:r>
              <w:rPr>
                <w:rFonts w:hint="eastAsia"/>
              </w:rPr>
              <w:t>设备类型 路由节点设备</w:t>
            </w:r>
          </w:p>
          <w:p>
            <w:r>
              <w:rPr>
                <w:rFonts w:hint="eastAsia"/>
              </w:rPr>
              <w:t>外壳材质 PC，细磨砂，象牙白/香槟金/珊瑚灰</w:t>
            </w:r>
          </w:p>
          <w:p>
            <w:r>
              <w:rPr>
                <w:rFonts w:hint="eastAsia"/>
              </w:rPr>
              <w:t>机体颜色 白、金、灰；产品尺寸 86╳86╳35(mm)</w:t>
            </w:r>
          </w:p>
          <w:p>
            <w:r>
              <w:rPr>
                <w:rFonts w:hint="eastAsia"/>
              </w:rPr>
              <w:t>包装清单 智能灯控面板╳1；螺丝包╳1；包装尺寸 96*96*55(mm)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13</w:t>
            </w:r>
          </w:p>
        </w:tc>
      </w:tr>
      <w:tr>
        <w:tblPrEx>
          <w:tblCellMar>
            <w:top w:w="0" w:type="dxa"/>
            <w:left w:w="108" w:type="dxa"/>
            <w:bottom w:w="0" w:type="dxa"/>
            <w:right w:w="108" w:type="dxa"/>
          </w:tblCellMar>
        </w:tblPrEx>
        <w:trPr>
          <w:trHeight w:val="342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65</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单路灯控面板</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工作温度 -10℃-50℃；工作湿度 5%~85%；存储温度 -20 - 65℃</w:t>
            </w:r>
          </w:p>
          <w:p>
            <w:r>
              <w:rPr>
                <w:rFonts w:hint="eastAsia"/>
              </w:rPr>
              <w:t>存储湿度 5%~85%</w:t>
            </w:r>
          </w:p>
          <w:p>
            <w:r>
              <w:rPr>
                <w:rFonts w:hint="eastAsia"/>
              </w:rPr>
              <w:t>平均待机功耗 &lt;0.5w</w:t>
            </w:r>
          </w:p>
          <w:p>
            <w:r>
              <w:rPr>
                <w:rFonts w:hint="eastAsia"/>
              </w:rPr>
              <w:t>输入电压 L、N线输入，AC110-250V 50/60Hz</w:t>
            </w:r>
          </w:p>
          <w:p>
            <w:r>
              <w:rPr>
                <w:rFonts w:hint="eastAsia"/>
              </w:rPr>
              <w:t>最大负载输出 800W/路</w:t>
            </w:r>
          </w:p>
          <w:p>
            <w:r>
              <w:rPr>
                <w:rFonts w:hint="eastAsia"/>
              </w:rPr>
              <w:t>ZigBee通讯标准 ZigBee 3.0：IEEE802.15.4 2.4GHz</w:t>
            </w:r>
          </w:p>
          <w:p>
            <w:r>
              <w:rPr>
                <w:rFonts w:hint="eastAsia"/>
              </w:rPr>
              <w:t>最大发射功率 19dBm；接收灵敏度 -100dB；有效通讯距离 空旷300m</w:t>
            </w:r>
          </w:p>
          <w:p>
            <w:r>
              <w:rPr>
                <w:rFonts w:hint="eastAsia"/>
              </w:rPr>
              <w:t>设备类型 路由节点设备</w:t>
            </w:r>
          </w:p>
          <w:p>
            <w:r>
              <w:rPr>
                <w:rFonts w:hint="eastAsia"/>
              </w:rPr>
              <w:t>外壳材质 PC，细磨砂，象牙白/香槟金/珊瑚灰</w:t>
            </w:r>
          </w:p>
          <w:p>
            <w:r>
              <w:rPr>
                <w:rFonts w:hint="eastAsia"/>
              </w:rPr>
              <w:t>机体颜色 白、金、灰；产品尺寸 86╳86╳35(mm)</w:t>
            </w:r>
          </w:p>
          <w:p>
            <w:r>
              <w:rPr>
                <w:rFonts w:hint="eastAsia"/>
              </w:rPr>
              <w:t>包装清单 智能灯控面板╳1；螺丝包╳1；包装尺寸 96*96*55(mm)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10</w:t>
            </w:r>
          </w:p>
        </w:tc>
      </w:tr>
      <w:tr>
        <w:tblPrEx>
          <w:tblCellMar>
            <w:top w:w="0" w:type="dxa"/>
            <w:left w:w="108" w:type="dxa"/>
            <w:bottom w:w="0" w:type="dxa"/>
            <w:right w:w="108" w:type="dxa"/>
          </w:tblCellMar>
        </w:tblPrEx>
        <w:trPr>
          <w:trHeight w:val="1408"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66</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二号楼智能照明</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主机</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工作温度 -10℃ to +50℃；储存温度 -15℃ to +60℃；工作湿度 ≤85% RH 无冷凝</w:t>
            </w:r>
          </w:p>
          <w:p>
            <w:r>
              <w:rPr>
                <w:rFonts w:hint="eastAsia"/>
              </w:rPr>
              <w:t>网络接口类型 有线RJ45以太网口</w:t>
            </w:r>
          </w:p>
          <w:p>
            <w:r>
              <w:rPr>
                <w:rFonts w:hint="eastAsia"/>
              </w:rPr>
              <w:t>天线 2.4GHz外置天线；网卡 RTL 8211E PHY；网络协议 IEEE 802.15.4</w:t>
            </w:r>
          </w:p>
          <w:p>
            <w:r>
              <w:rPr>
                <w:rFonts w:hint="eastAsia"/>
              </w:rPr>
              <w:t>无线距离 &gt;500m（空旷无遮挡环境）</w:t>
            </w:r>
          </w:p>
          <w:p>
            <w:r>
              <w:rPr>
                <w:rFonts w:hint="eastAsia"/>
              </w:rPr>
              <w:t>最大接入设备数 64个；发射功率 ≦20dBm；接收灵敏度 -95dB</w:t>
            </w:r>
          </w:p>
          <w:p>
            <w:r>
              <w:rPr>
                <w:rFonts w:hint="eastAsia"/>
              </w:rPr>
              <w:t>网关扩展后子节点接入数量 最大64个网关，接入64*64枚节点</w:t>
            </w:r>
          </w:p>
          <w:p>
            <w:r>
              <w:rPr>
                <w:rFonts w:hint="eastAsia"/>
              </w:rPr>
              <w:t>供电方式 DC 12V 2A供电；功耗 ≦7w；尺寸 0.96 寸</w:t>
            </w:r>
          </w:p>
          <w:p>
            <w:r>
              <w:rPr>
                <w:rFonts w:hint="eastAsia"/>
              </w:rPr>
              <w:t>类型 黑白OLED；尺寸 128 * 64</w:t>
            </w:r>
          </w:p>
          <w:p>
            <w:r>
              <w:rPr>
                <w:rFonts w:hint="eastAsia"/>
              </w:rPr>
              <w:t>CPU内核  ARM Cortex-A53 四核，主频1.5GHZ</w:t>
            </w:r>
          </w:p>
          <w:p>
            <w:r>
              <w:rPr>
                <w:rFonts w:hint="eastAsia"/>
              </w:rPr>
              <w:t>内存 1G LPDDR3；储存 8GB eMMC</w:t>
            </w:r>
          </w:p>
          <w:p>
            <w:r>
              <w:rPr>
                <w:rFonts w:hint="eastAsia"/>
              </w:rPr>
              <w:t>机体颜色 阳极氧化-灰银；产品尺寸 200*130*33mm</w:t>
            </w:r>
          </w:p>
          <w:p>
            <w:r>
              <w:rPr>
                <w:rFonts w:hint="eastAsia"/>
              </w:rPr>
              <w:t>外壳材质（材质，防火等级） 精细阳极氧化铝</w:t>
            </w:r>
          </w:p>
          <w:p>
            <w:r>
              <w:rPr>
                <w:rFonts w:hint="eastAsia"/>
              </w:rPr>
              <w:t>安装方式 摆台式</w:t>
            </w:r>
          </w:p>
          <w:p>
            <w:r>
              <w:rPr>
                <w:rFonts w:hint="eastAsia"/>
              </w:rPr>
              <w:t>包装清单 智睿主机/ 水晶头扁平网线 / 说明书 /合格证/不锈钢SIM卡针/电源适配器</w:t>
            </w:r>
          </w:p>
          <w:p>
            <w:r>
              <w:rPr>
                <w:rFonts w:hint="eastAsia"/>
              </w:rPr>
              <w:t>产品净重 约657g；包装尺寸 223*166*98mm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256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67</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中继器</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工作温度 -15～60℃；储存温度 0～50℃；工作湿度 ≦95%RH,无冷凝</w:t>
            </w:r>
          </w:p>
          <w:p>
            <w:r>
              <w:rPr>
                <w:rFonts w:hint="eastAsia"/>
              </w:rPr>
              <w:t>网络接口类型 有线RJ45以太网口</w:t>
            </w:r>
          </w:p>
          <w:p>
            <w:r>
              <w:rPr>
                <w:rFonts w:hint="eastAsia"/>
              </w:rPr>
              <w:t>接口类型 含两枚RJ45网口</w:t>
            </w:r>
          </w:p>
          <w:p>
            <w:r>
              <w:rPr>
                <w:rFonts w:hint="eastAsia"/>
              </w:rPr>
              <w:t>网络协议 IEEE 802.15.4</w:t>
            </w:r>
          </w:p>
          <w:p>
            <w:r>
              <w:rPr>
                <w:rFonts w:hint="eastAsia"/>
              </w:rPr>
              <w:t>无线距离 &gt;500m（空旷无遮挡环境）</w:t>
            </w:r>
          </w:p>
          <w:p>
            <w:r>
              <w:rPr>
                <w:rFonts w:hint="eastAsia"/>
              </w:rPr>
              <w:t>电源输入 标准POE供电 DC48V</w:t>
            </w:r>
          </w:p>
          <w:p>
            <w:r>
              <w:rPr>
                <w:rFonts w:hint="eastAsia"/>
              </w:rPr>
              <w:t>供电方式 DC 48V；功耗 &lt;5W</w:t>
            </w:r>
          </w:p>
          <w:p>
            <w:r>
              <w:rPr>
                <w:rFonts w:hint="eastAsia"/>
              </w:rPr>
              <w:t>产品尺寸 86×86×41 (mm)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r>
      <w:tr>
        <w:tblPrEx>
          <w:tblCellMar>
            <w:top w:w="0" w:type="dxa"/>
            <w:left w:w="108" w:type="dxa"/>
            <w:bottom w:w="0" w:type="dxa"/>
            <w:right w:w="108" w:type="dxa"/>
          </w:tblCellMar>
        </w:tblPrEx>
        <w:trPr>
          <w:trHeight w:val="285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68</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双路灯控面板</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工作温度 -10℃-50℃U;工作湿度 5%~85%;存储温度 -20 - 65℃</w:t>
            </w:r>
          </w:p>
          <w:p>
            <w:r>
              <w:rPr>
                <w:rFonts w:hint="eastAsia"/>
              </w:rPr>
              <w:t>存储湿度 5%~85%;平均待机功耗 &lt;0.5w</w:t>
            </w:r>
          </w:p>
          <w:p>
            <w:r>
              <w:rPr>
                <w:rFonts w:hint="eastAsia"/>
              </w:rPr>
              <w:t>输入电压 L、N线输入，AC110-250V 50/60Hz</w:t>
            </w:r>
          </w:p>
          <w:p>
            <w:r>
              <w:rPr>
                <w:rFonts w:hint="eastAsia"/>
              </w:rPr>
              <w:t>最大负载输出 800W/路</w:t>
            </w:r>
          </w:p>
          <w:p>
            <w:r>
              <w:rPr>
                <w:rFonts w:hint="eastAsia"/>
              </w:rPr>
              <w:t>ZigBee通讯标准 ZigBee 3.0：IEEE802.15.4 2.4GHz</w:t>
            </w:r>
          </w:p>
          <w:p>
            <w:r>
              <w:rPr>
                <w:rFonts w:hint="eastAsia"/>
              </w:rPr>
              <w:t>最大发射功率 19dBm;接收灵敏度 -100dB</w:t>
            </w:r>
          </w:p>
          <w:p>
            <w:r>
              <w:rPr>
                <w:rFonts w:hint="eastAsia"/>
              </w:rPr>
              <w:t>有效通讯距离 空旷300m;设备类型 路由节点设备</w:t>
            </w:r>
          </w:p>
          <w:p>
            <w:r>
              <w:rPr>
                <w:rFonts w:hint="eastAsia"/>
              </w:rPr>
              <w:t>外壳材质 PC，细磨砂，象牙白/香槟金/珊瑚灰</w:t>
            </w:r>
          </w:p>
          <w:p>
            <w:r>
              <w:rPr>
                <w:rFonts w:hint="eastAsia"/>
              </w:rPr>
              <w:t>机体颜色 白、金、灰;产品尺寸 86╳86╳35(mm)</w:t>
            </w:r>
          </w:p>
          <w:p>
            <w:r>
              <w:rPr>
                <w:rFonts w:hint="eastAsia"/>
              </w:rPr>
              <w:t>包装清单 智能灯控面板╳1；螺丝包╳1;包装尺寸 96*96*55(mm)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4</w:t>
            </w:r>
          </w:p>
        </w:tc>
      </w:tr>
      <w:tr>
        <w:tblPrEx>
          <w:tblCellMar>
            <w:top w:w="0" w:type="dxa"/>
            <w:left w:w="108" w:type="dxa"/>
            <w:bottom w:w="0" w:type="dxa"/>
            <w:right w:w="108" w:type="dxa"/>
          </w:tblCellMar>
        </w:tblPrEx>
        <w:trPr>
          <w:trHeight w:val="313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69</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单路灯控面板</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工作温度 -10℃-50℃;工作湿度 5%~85%;存储温度 -20 - 65℃</w:t>
            </w:r>
          </w:p>
          <w:p>
            <w:r>
              <w:rPr>
                <w:rFonts w:hint="eastAsia"/>
              </w:rPr>
              <w:t>存储湿度 5%~85%;平均待机功耗 &lt;0.5w</w:t>
            </w:r>
          </w:p>
          <w:p>
            <w:r>
              <w:rPr>
                <w:rFonts w:hint="eastAsia"/>
              </w:rPr>
              <w:t>输入电压 L、N线输入，AC110-250V 50/60Hz</w:t>
            </w:r>
          </w:p>
          <w:p>
            <w:r>
              <w:rPr>
                <w:rFonts w:hint="eastAsia"/>
              </w:rPr>
              <w:t>最大负载输出 800W/路</w:t>
            </w:r>
          </w:p>
          <w:p>
            <w:r>
              <w:rPr>
                <w:rFonts w:hint="eastAsia"/>
              </w:rPr>
              <w:t>ZigBee通讯标准 ZigBee 3.0：IEEE802.15.4 2.4GHz</w:t>
            </w:r>
          </w:p>
          <w:p>
            <w:r>
              <w:rPr>
                <w:rFonts w:hint="eastAsia"/>
              </w:rPr>
              <w:t>最大发射功率 19dBm;接收灵敏度 -100dB</w:t>
            </w:r>
          </w:p>
          <w:p>
            <w:r>
              <w:rPr>
                <w:rFonts w:hint="eastAsia"/>
              </w:rPr>
              <w:t>有效通讯距离 空旷300m</w:t>
            </w:r>
          </w:p>
          <w:p>
            <w:r>
              <w:rPr>
                <w:rFonts w:hint="eastAsia"/>
              </w:rPr>
              <w:t>设备类型 路由节点设备</w:t>
            </w:r>
          </w:p>
          <w:p>
            <w:r>
              <w:rPr>
                <w:rFonts w:hint="eastAsia"/>
              </w:rPr>
              <w:t>外壳材质 PC，细磨砂，象牙白/香槟金/珊瑚灰</w:t>
            </w:r>
          </w:p>
          <w:p>
            <w:r>
              <w:rPr>
                <w:rFonts w:hint="eastAsia"/>
              </w:rPr>
              <w:t>机体颜色 白、金、灰;产品尺寸 86╳86╳35(mm)</w:t>
            </w:r>
          </w:p>
          <w:p>
            <w:r>
              <w:rPr>
                <w:rFonts w:hint="eastAsia"/>
              </w:rPr>
              <w:t>包装清单 智能灯控面板╳1；螺丝包╳1;包装尺寸 96*96*55(mm)</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7</w:t>
            </w:r>
          </w:p>
        </w:tc>
      </w:tr>
      <w:tr>
        <w:tblPrEx>
          <w:tblCellMar>
            <w:top w:w="0" w:type="dxa"/>
            <w:left w:w="108" w:type="dxa"/>
            <w:bottom w:w="0" w:type="dxa"/>
            <w:right w:w="108" w:type="dxa"/>
          </w:tblCellMar>
        </w:tblPrEx>
        <w:trPr>
          <w:trHeight w:val="31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70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路由器</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企业级千兆路由器</w:t>
            </w: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双</w:t>
            </w:r>
            <w:r>
              <w:t>WAN+8LAN</w:t>
            </w:r>
            <w:r>
              <w:rPr>
                <w:rFonts w:hint="eastAsia"/>
              </w:rPr>
              <w:t>千兆有线路由器企业级</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57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71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数字看板展示工作台</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t>I7-10700/8G×2/1TB/</w:t>
            </w:r>
            <w:r>
              <w:rPr>
                <w:rFonts w:hint="eastAsia"/>
              </w:rPr>
              <w:t>无光驱</w:t>
            </w:r>
            <w:r>
              <w:t>/</w:t>
            </w:r>
            <w:r>
              <w:rPr>
                <w:rFonts w:hint="eastAsia"/>
              </w:rPr>
              <w:t>键鼠</w:t>
            </w:r>
            <w:r>
              <w:t>/4G</w:t>
            </w:r>
            <w:r>
              <w:rPr>
                <w:rFonts w:hint="eastAsia"/>
              </w:rPr>
              <w:t>显卡</w:t>
            </w:r>
            <w:r>
              <w:t>/Win11-H/260W/</w:t>
            </w:r>
            <w:r>
              <w:rPr>
                <w:rFonts w:hint="eastAsia"/>
              </w:rPr>
              <w:t>含显示器</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57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72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辅材</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电源线、电缆、控制线等线材</w:t>
            </w:r>
          </w:p>
          <w:p>
            <w:r>
              <w:rPr>
                <w:rFonts w:hint="eastAsia"/>
              </w:rPr>
              <w:t>热水系统配置电磁阀、过滤器、止回阀、闸阀等配件；</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r>
        <w:tblPrEx>
          <w:tblCellMar>
            <w:top w:w="0" w:type="dxa"/>
            <w:left w:w="108" w:type="dxa"/>
            <w:bottom w:w="0" w:type="dxa"/>
            <w:right w:w="108" w:type="dxa"/>
          </w:tblCellMar>
        </w:tblPrEx>
        <w:trPr>
          <w:trHeight w:val="85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r>
              <w:t>73</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安装调试</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757"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包含智慧喷雾、智能水表、污水监测设备、太阳能加热系统、温度传感器、智慧照明灯设备的安装、布线、调试等满足系统正常运行完成的一切费用</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r>
    </w:tbl>
    <w:p/>
    <w:p>
      <w:pPr>
        <w:pStyle w:val="2"/>
        <w:ind w:left="698" w:hanging="278"/>
      </w:pPr>
      <w:r>
        <w:rPr>
          <w:rFonts w:hint="eastAsia"/>
        </w:rPr>
        <w:t>5、智能展厅应用系统</w:t>
      </w:r>
    </w:p>
    <w:tbl>
      <w:tblPr>
        <w:tblStyle w:val="27"/>
        <w:tblW w:w="5393" w:type="pct"/>
        <w:tblInd w:w="-5" w:type="dxa"/>
        <w:tblLayout w:type="fixed"/>
        <w:tblCellMar>
          <w:top w:w="0" w:type="dxa"/>
          <w:left w:w="108" w:type="dxa"/>
          <w:bottom w:w="0" w:type="dxa"/>
          <w:right w:w="108" w:type="dxa"/>
        </w:tblCellMar>
      </w:tblPr>
      <w:tblGrid>
        <w:gridCol w:w="727"/>
        <w:gridCol w:w="1018"/>
        <w:gridCol w:w="1164"/>
        <w:gridCol w:w="6692"/>
      </w:tblGrid>
      <w:tr>
        <w:tblPrEx>
          <w:tblCellMar>
            <w:top w:w="0" w:type="dxa"/>
            <w:left w:w="108" w:type="dxa"/>
            <w:bottom w:w="0" w:type="dxa"/>
            <w:right w:w="108" w:type="dxa"/>
          </w:tblCellMar>
        </w:tblPrEx>
        <w:trPr>
          <w:trHeight w:val="88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Cs w:val="24"/>
              </w:rPr>
            </w:pPr>
            <w:r>
              <w:rPr>
                <w:rFonts w:hint="eastAsia" w:ascii="宋体" w:hAnsi="宋体" w:cs="宋体"/>
                <w:b/>
                <w:color w:val="000000"/>
                <w:szCs w:val="24"/>
              </w:rPr>
              <w:t>序号</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Cs w:val="24"/>
              </w:rPr>
            </w:pPr>
            <w:r>
              <w:rPr>
                <w:rFonts w:hint="eastAsia" w:ascii="宋体" w:hAnsi="宋体" w:cs="宋体"/>
                <w:b/>
                <w:color w:val="000000"/>
                <w:szCs w:val="24"/>
              </w:rPr>
              <w:t>一级功能模块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Cs w:val="24"/>
              </w:rPr>
            </w:pPr>
            <w:r>
              <w:rPr>
                <w:rFonts w:hint="eastAsia" w:ascii="宋体" w:hAnsi="宋体" w:cs="宋体"/>
                <w:b/>
                <w:color w:val="000000"/>
                <w:szCs w:val="24"/>
              </w:rPr>
              <w:t>二级功能模块</w:t>
            </w: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Cs w:val="24"/>
              </w:rPr>
            </w:pPr>
            <w:r>
              <w:rPr>
                <w:rFonts w:hint="eastAsia" w:ascii="宋体" w:hAnsi="宋体" w:cs="宋体"/>
                <w:b/>
                <w:color w:val="000000"/>
                <w:szCs w:val="24"/>
              </w:rPr>
              <w:t>功能概述</w:t>
            </w:r>
          </w:p>
        </w:tc>
      </w:tr>
      <w:tr>
        <w:tblPrEx>
          <w:tblCellMar>
            <w:top w:w="0" w:type="dxa"/>
            <w:left w:w="108" w:type="dxa"/>
            <w:bottom w:w="0" w:type="dxa"/>
            <w:right w:w="108" w:type="dxa"/>
          </w:tblCellMar>
        </w:tblPrEx>
        <w:trPr>
          <w:trHeight w:val="356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b/>
                <w:color w:val="000000"/>
                <w:szCs w:val="24"/>
              </w:rPr>
            </w:pPr>
            <w:r>
              <w:rPr>
                <w:b/>
                <w:color w:val="000000"/>
                <w:szCs w:val="24"/>
              </w:rPr>
              <w:t>1</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Cs w:val="24"/>
              </w:rPr>
            </w:pPr>
            <w:r>
              <w:rPr>
                <w:rFonts w:hint="eastAsia" w:ascii="宋体" w:hAnsi="宋体" w:cs="宋体"/>
                <w:b/>
                <w:color w:val="000000"/>
                <w:szCs w:val="24"/>
              </w:rPr>
              <w:t>展示区一</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b/>
                <w:color w:val="000000"/>
                <w:szCs w:val="24"/>
              </w:rPr>
            </w:pPr>
            <w:r>
              <w:rPr>
                <w:b/>
                <w:color w:val="000000"/>
                <w:szCs w:val="24"/>
              </w:rPr>
              <w:t>LED</w:t>
            </w:r>
            <w:r>
              <w:rPr>
                <w:rFonts w:hint="eastAsia" w:ascii="宋体" w:hAnsi="宋体" w:cs="宋体"/>
                <w:b/>
                <w:color w:val="000000"/>
                <w:szCs w:val="24"/>
              </w:rPr>
              <w:t>大屏与触摸屏交互程序</w:t>
            </w: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b/>
                <w:color w:val="000000"/>
                <w:szCs w:val="24"/>
              </w:rPr>
            </w:pPr>
            <w:r>
              <w:rPr>
                <w:b/>
                <w:color w:val="000000"/>
                <w:szCs w:val="24"/>
              </w:rPr>
              <w:t>1.三级程序UI设计</w:t>
            </w:r>
          </w:p>
          <w:p>
            <w:pPr>
              <w:textAlignment w:val="center"/>
              <w:rPr>
                <w:b/>
                <w:color w:val="000000"/>
                <w:szCs w:val="24"/>
              </w:rPr>
            </w:pPr>
            <w:r>
              <w:rPr>
                <w:b/>
                <w:color w:val="000000"/>
                <w:szCs w:val="24"/>
              </w:rPr>
              <w:t>2.基于WINDOWS开发，主逻辑编程，Unity开发引擎</w:t>
            </w:r>
          </w:p>
          <w:p>
            <w:pPr>
              <w:textAlignment w:val="center"/>
              <w:rPr>
                <w:b/>
                <w:color w:val="000000"/>
                <w:szCs w:val="24"/>
              </w:rPr>
            </w:pPr>
            <w:r>
              <w:rPr>
                <w:b/>
                <w:color w:val="000000"/>
                <w:szCs w:val="24"/>
              </w:rPr>
              <w:t>VisualStudio开发环境</w:t>
            </w:r>
          </w:p>
          <w:p>
            <w:pPr>
              <w:textAlignment w:val="center"/>
              <w:rPr>
                <w:b/>
                <w:color w:val="000000"/>
                <w:szCs w:val="24"/>
              </w:rPr>
            </w:pPr>
            <w:r>
              <w:rPr>
                <w:b/>
                <w:color w:val="000000"/>
                <w:szCs w:val="24"/>
              </w:rPr>
              <w:t>TUIO协议开发多点触控</w:t>
            </w:r>
          </w:p>
          <w:p>
            <w:pPr>
              <w:textAlignment w:val="center"/>
              <w:rPr>
                <w:b/>
                <w:color w:val="000000"/>
                <w:szCs w:val="24"/>
              </w:rPr>
            </w:pPr>
            <w:r>
              <w:rPr>
                <w:b/>
                <w:color w:val="000000"/>
                <w:szCs w:val="24"/>
              </w:rPr>
              <w:t>Socket局域网通信</w:t>
            </w:r>
          </w:p>
          <w:p>
            <w:pPr>
              <w:textAlignment w:val="center"/>
              <w:rPr>
                <w:b/>
                <w:color w:val="000000"/>
                <w:szCs w:val="24"/>
              </w:rPr>
            </w:pPr>
            <w:r>
              <w:rPr>
                <w:b/>
                <w:color w:val="000000"/>
                <w:szCs w:val="24"/>
              </w:rPr>
              <w:t>使用DoTween工具实现二维控件的动态效果</w:t>
            </w:r>
          </w:p>
          <w:p>
            <w:pPr>
              <w:textAlignment w:val="center"/>
              <w:rPr>
                <w:b/>
                <w:color w:val="000000"/>
                <w:szCs w:val="24"/>
              </w:rPr>
            </w:pPr>
            <w:r>
              <w:rPr>
                <w:b/>
                <w:color w:val="000000"/>
                <w:szCs w:val="24"/>
              </w:rPr>
              <w:t>使用AVProVideo开发视频播放控制架构</w:t>
            </w:r>
          </w:p>
          <w:p>
            <w:pPr>
              <w:textAlignment w:val="center"/>
              <w:rPr>
                <w:b/>
                <w:color w:val="000000"/>
                <w:szCs w:val="24"/>
              </w:rPr>
            </w:pPr>
            <w:r>
              <w:rPr>
                <w:b/>
                <w:color w:val="000000"/>
                <w:szCs w:val="24"/>
              </w:rPr>
              <w:t>EasyTouch触屏辅助操控工具</w:t>
            </w:r>
          </w:p>
          <w:p>
            <w:pPr>
              <w:textAlignment w:val="center"/>
              <w:rPr>
                <w:b/>
                <w:color w:val="000000"/>
                <w:szCs w:val="24"/>
              </w:rPr>
            </w:pPr>
            <w:r>
              <w:rPr>
                <w:b/>
                <w:color w:val="000000"/>
                <w:szCs w:val="24"/>
              </w:rPr>
              <w:t>3.触摸屏控制模块编程，自适应红外触摸、电容屏等触摸响应编程开发</w:t>
            </w:r>
          </w:p>
          <w:p>
            <w:pPr>
              <w:textAlignment w:val="center"/>
              <w:rPr>
                <w:b/>
                <w:color w:val="000000"/>
                <w:szCs w:val="24"/>
              </w:rPr>
            </w:pPr>
            <w:r>
              <w:rPr>
                <w:b/>
                <w:color w:val="000000"/>
                <w:szCs w:val="24"/>
              </w:rPr>
              <w:t>3.程序内元素动效、界面动效、按钮动效等制作</w:t>
            </w:r>
          </w:p>
          <w:p>
            <w:pPr>
              <w:textAlignment w:val="center"/>
              <w:rPr>
                <w:b/>
                <w:color w:val="000000"/>
                <w:szCs w:val="24"/>
              </w:rPr>
            </w:pPr>
            <w:r>
              <w:rPr>
                <w:b/>
                <w:color w:val="000000"/>
                <w:szCs w:val="24"/>
              </w:rPr>
              <w:t>4.远程控制管理接口编程</w:t>
            </w:r>
          </w:p>
        </w:tc>
      </w:tr>
      <w:tr>
        <w:tblPrEx>
          <w:tblCellMar>
            <w:top w:w="0" w:type="dxa"/>
            <w:left w:w="108" w:type="dxa"/>
            <w:bottom w:w="0" w:type="dxa"/>
            <w:right w:w="108" w:type="dxa"/>
          </w:tblCellMar>
        </w:tblPrEx>
        <w:trPr>
          <w:trHeight w:val="108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2</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展示区二</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内容可视化</w:t>
            </w: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szCs w:val="24"/>
              </w:rPr>
              <w:t>触摸识别逻辑设计</w:t>
            </w:r>
          </w:p>
          <w:p>
            <w:pPr>
              <w:textAlignment w:val="center"/>
              <w:rPr>
                <w:rFonts w:ascii="宋体" w:hAnsi="宋体" w:cs="宋体"/>
                <w:color w:val="000000"/>
                <w:szCs w:val="24"/>
              </w:rPr>
            </w:pPr>
            <w:r>
              <w:rPr>
                <w:rFonts w:hint="eastAsia" w:ascii="宋体" w:hAnsi="宋体" w:cs="宋体"/>
                <w:color w:val="000000"/>
                <w:szCs w:val="24"/>
              </w:rPr>
              <w:t>互动底层框架搭建</w:t>
            </w:r>
          </w:p>
          <w:p>
            <w:pPr>
              <w:textAlignment w:val="center"/>
              <w:rPr>
                <w:rFonts w:ascii="宋体" w:hAnsi="宋体" w:cs="宋体"/>
                <w:color w:val="000000"/>
                <w:szCs w:val="24"/>
              </w:rPr>
            </w:pPr>
            <w:r>
              <w:rPr>
                <w:rFonts w:hint="eastAsia" w:ascii="宋体" w:hAnsi="宋体" w:cs="宋体"/>
                <w:color w:val="000000"/>
                <w:szCs w:val="24"/>
              </w:rPr>
              <w:t>内容互动程序开发设计</w:t>
            </w:r>
          </w:p>
        </w:tc>
      </w:tr>
      <w:tr>
        <w:tblPrEx>
          <w:tblCellMar>
            <w:top w:w="0" w:type="dxa"/>
            <w:left w:w="108" w:type="dxa"/>
            <w:bottom w:w="0" w:type="dxa"/>
            <w:right w:w="108" w:type="dxa"/>
          </w:tblCellMar>
        </w:tblPrEx>
        <w:trPr>
          <w:trHeight w:val="118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3</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展示区三</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交互程序</w:t>
            </w: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szCs w:val="24"/>
              </w:rPr>
              <w:t>触摸识别逻辑设计</w:t>
            </w:r>
          </w:p>
          <w:p>
            <w:pPr>
              <w:textAlignment w:val="center"/>
              <w:rPr>
                <w:rFonts w:ascii="宋体" w:hAnsi="宋体" w:cs="宋体"/>
                <w:color w:val="000000"/>
                <w:szCs w:val="24"/>
              </w:rPr>
            </w:pPr>
            <w:r>
              <w:rPr>
                <w:rFonts w:hint="eastAsia" w:ascii="宋体" w:hAnsi="宋体" w:cs="宋体"/>
                <w:color w:val="000000"/>
                <w:szCs w:val="24"/>
              </w:rPr>
              <w:t>互动底层框架搭建</w:t>
            </w:r>
          </w:p>
          <w:p>
            <w:pPr>
              <w:textAlignment w:val="center"/>
              <w:rPr>
                <w:rFonts w:ascii="宋体" w:hAnsi="宋体" w:cs="宋体"/>
                <w:color w:val="000000"/>
                <w:szCs w:val="24"/>
              </w:rPr>
            </w:pPr>
            <w:r>
              <w:rPr>
                <w:rFonts w:hint="eastAsia" w:ascii="宋体" w:hAnsi="宋体" w:cs="宋体"/>
                <w:color w:val="000000"/>
                <w:szCs w:val="24"/>
              </w:rPr>
              <w:t>内容互动程序开发设计</w:t>
            </w:r>
          </w:p>
        </w:tc>
      </w:tr>
      <w:tr>
        <w:tblPrEx>
          <w:tblCellMar>
            <w:top w:w="0" w:type="dxa"/>
            <w:left w:w="108" w:type="dxa"/>
            <w:bottom w:w="0" w:type="dxa"/>
            <w:right w:w="108" w:type="dxa"/>
          </w:tblCellMar>
        </w:tblPrEx>
        <w:trPr>
          <w:trHeight w:val="104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展示区四</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标准签名留念系统</w:t>
            </w: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szCs w:val="24"/>
              </w:rPr>
              <w:t>签名拍照互动系统</w:t>
            </w:r>
          </w:p>
        </w:tc>
      </w:tr>
    </w:tbl>
    <w:p>
      <w:pPr>
        <w:pStyle w:val="2"/>
        <w:ind w:left="698" w:hanging="278"/>
        <w:jc w:val="left"/>
      </w:pPr>
      <w:r>
        <w:rPr>
          <w:rFonts w:hint="eastAsia"/>
        </w:rPr>
        <w:t>6、智能展厅硬件建设</w:t>
      </w:r>
    </w:p>
    <w:tbl>
      <w:tblPr>
        <w:tblStyle w:val="27"/>
        <w:tblW w:w="5352" w:type="pct"/>
        <w:tblInd w:w="65" w:type="dxa"/>
        <w:tblLayout w:type="fixed"/>
        <w:tblCellMar>
          <w:top w:w="0" w:type="dxa"/>
          <w:left w:w="108" w:type="dxa"/>
          <w:bottom w:w="0" w:type="dxa"/>
          <w:right w:w="108" w:type="dxa"/>
        </w:tblCellMar>
      </w:tblPr>
      <w:tblGrid>
        <w:gridCol w:w="461"/>
        <w:gridCol w:w="927"/>
        <w:gridCol w:w="671"/>
        <w:gridCol w:w="5724"/>
        <w:gridCol w:w="727"/>
        <w:gridCol w:w="1018"/>
      </w:tblGrid>
      <w:tr>
        <w:tblPrEx>
          <w:tblCellMar>
            <w:top w:w="0" w:type="dxa"/>
            <w:left w:w="108" w:type="dxa"/>
            <w:bottom w:w="0" w:type="dxa"/>
            <w:right w:w="108" w:type="dxa"/>
          </w:tblCellMar>
        </w:tblPrEx>
        <w:trPr>
          <w:trHeight w:val="74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序号</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展项名称</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设备名称</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szCs w:val="24"/>
              </w:rPr>
              <w:t>规格配置详细说明</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单位</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数量</w:t>
            </w:r>
          </w:p>
        </w:tc>
      </w:tr>
      <w:tr>
        <w:tblPrEx>
          <w:tblCellMar>
            <w:top w:w="0" w:type="dxa"/>
            <w:left w:w="108" w:type="dxa"/>
            <w:bottom w:w="0" w:type="dxa"/>
            <w:right w:w="108" w:type="dxa"/>
          </w:tblCellMar>
        </w:tblPrEx>
        <w:trPr>
          <w:trHeight w:val="342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数说柔川展区</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led</w:t>
            </w:r>
            <w:r>
              <w:rPr>
                <w:rFonts w:hint="eastAsia" w:ascii="宋体" w:hAnsi="宋体" w:cs="宋体"/>
                <w:color w:val="000000"/>
                <w:szCs w:val="24"/>
              </w:rPr>
              <w:t>屏幕</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szCs w:val="24"/>
              </w:rPr>
              <w:t>像素间距（mm） 2；模组分辨率（W×H） 160×80</w:t>
            </w:r>
          </w:p>
          <w:p>
            <w:pPr>
              <w:textAlignment w:val="center"/>
              <w:rPr>
                <w:rFonts w:ascii="宋体" w:hAnsi="宋体" w:cs="宋体"/>
                <w:color w:val="000000"/>
                <w:szCs w:val="24"/>
              </w:rPr>
            </w:pPr>
            <w:r>
              <w:rPr>
                <w:rFonts w:hint="eastAsia" w:ascii="宋体" w:hAnsi="宋体" w:cs="宋体"/>
                <w:color w:val="000000"/>
                <w:szCs w:val="24"/>
              </w:rPr>
              <w:t>模组尺寸（mm） 320（W）×160（H）×15；模组重量（kg/块） 0.5</w:t>
            </w:r>
          </w:p>
          <w:p>
            <w:pPr>
              <w:textAlignment w:val="center"/>
              <w:rPr>
                <w:rFonts w:ascii="宋体" w:hAnsi="宋体" w:cs="宋体"/>
                <w:color w:val="000000"/>
                <w:szCs w:val="24"/>
              </w:rPr>
            </w:pPr>
            <w:r>
              <w:rPr>
                <w:rFonts w:hint="eastAsia" w:ascii="宋体" w:hAnsi="宋体" w:cs="宋体"/>
                <w:color w:val="000000"/>
                <w:szCs w:val="24"/>
              </w:rPr>
              <w:t>模组最大功耗（W/块） 12；像素密度（点/m2 ） 288906</w:t>
            </w:r>
          </w:p>
          <w:p>
            <w:pPr>
              <w:textAlignment w:val="center"/>
              <w:rPr>
                <w:rFonts w:ascii="宋体" w:hAnsi="宋体" w:cs="宋体"/>
                <w:color w:val="000000"/>
                <w:szCs w:val="24"/>
              </w:rPr>
            </w:pPr>
            <w:r>
              <w:rPr>
                <w:rFonts w:hint="eastAsia" w:ascii="宋体" w:hAnsi="宋体" w:cs="宋体"/>
                <w:color w:val="000000"/>
                <w:szCs w:val="24"/>
              </w:rPr>
              <w:t>维护方式 磁吸前维护；显示屏亮度（nits） 600</w:t>
            </w:r>
          </w:p>
          <w:p>
            <w:pPr>
              <w:textAlignment w:val="center"/>
              <w:rPr>
                <w:rFonts w:ascii="宋体" w:hAnsi="宋体" w:cs="宋体"/>
                <w:color w:val="000000"/>
                <w:szCs w:val="24"/>
              </w:rPr>
            </w:pPr>
            <w:r>
              <w:rPr>
                <w:rFonts w:hint="eastAsia" w:ascii="宋体" w:hAnsi="宋体" w:cs="宋体"/>
                <w:color w:val="000000"/>
                <w:szCs w:val="24"/>
              </w:rPr>
              <w:t>色温（K） 8000—19000 可调；水平视角（°） 160；垂直视角（°） 160</w:t>
            </w:r>
          </w:p>
          <w:p>
            <w:pPr>
              <w:textAlignment w:val="center"/>
              <w:rPr>
                <w:rFonts w:ascii="宋体" w:hAnsi="宋体" w:cs="宋体"/>
                <w:color w:val="000000"/>
                <w:szCs w:val="24"/>
              </w:rPr>
            </w:pPr>
            <w:r>
              <w:rPr>
                <w:rFonts w:hint="eastAsia" w:ascii="宋体" w:hAnsi="宋体" w:cs="宋体"/>
                <w:color w:val="000000"/>
                <w:szCs w:val="24"/>
              </w:rPr>
              <w:t>对比度 4000:1；亮度均匀性 ≥97%；色度均匀性 ±0.003Cx,Cy 之内</w:t>
            </w:r>
          </w:p>
          <w:p>
            <w:pPr>
              <w:textAlignment w:val="center"/>
              <w:rPr>
                <w:rFonts w:ascii="宋体" w:hAnsi="宋体" w:cs="宋体"/>
                <w:color w:val="000000"/>
                <w:szCs w:val="24"/>
              </w:rPr>
            </w:pPr>
            <w:r>
              <w:rPr>
                <w:rFonts w:hint="eastAsia" w:ascii="宋体" w:hAnsi="宋体" w:cs="宋体"/>
                <w:color w:val="000000"/>
                <w:szCs w:val="24"/>
              </w:rPr>
              <w:t>最佳视距（m） ≥2；峰值功耗（W/m2） 650；平均功耗（W/m2） 170</w:t>
            </w:r>
          </w:p>
          <w:p>
            <w:pPr>
              <w:textAlignment w:val="center"/>
              <w:rPr>
                <w:rFonts w:ascii="宋体" w:hAnsi="宋体" w:cs="宋体"/>
                <w:color w:val="000000"/>
                <w:szCs w:val="24"/>
              </w:rPr>
            </w:pPr>
            <w:r>
              <w:rPr>
                <w:rFonts w:hint="eastAsia" w:ascii="宋体" w:hAnsi="宋体" w:cs="宋体"/>
                <w:color w:val="000000"/>
                <w:szCs w:val="24"/>
              </w:rPr>
              <w:t>供电要求 AC220-240V；驱动方式 恒流驱动；换帧频率（Hz） 60</w:t>
            </w:r>
          </w:p>
          <w:p>
            <w:pPr>
              <w:textAlignment w:val="center"/>
              <w:rPr>
                <w:rFonts w:ascii="宋体" w:hAnsi="宋体" w:cs="宋体"/>
                <w:color w:val="000000"/>
                <w:szCs w:val="24"/>
              </w:rPr>
            </w:pPr>
            <w:r>
              <w:rPr>
                <w:rFonts w:hint="eastAsia" w:ascii="宋体" w:hAnsi="宋体" w:cs="宋体"/>
                <w:color w:val="000000"/>
                <w:szCs w:val="24"/>
              </w:rPr>
              <w:t>刷新率（Hz） 3000；工作温度范围（℃） -10—40</w:t>
            </w:r>
          </w:p>
          <w:p>
            <w:pPr>
              <w:textAlignment w:val="center"/>
              <w:rPr>
                <w:rFonts w:ascii="宋体" w:hAnsi="宋体" w:cs="宋体"/>
                <w:color w:val="000000"/>
                <w:szCs w:val="24"/>
              </w:rPr>
            </w:pPr>
            <w:r>
              <w:rPr>
                <w:rFonts w:hint="eastAsia" w:ascii="宋体" w:hAnsi="宋体" w:cs="宋体"/>
                <w:color w:val="000000"/>
                <w:szCs w:val="24"/>
              </w:rPr>
              <w:t>存储温度范围（℃） -20—60；</w:t>
            </w:r>
          </w:p>
          <w:p>
            <w:pPr>
              <w:textAlignment w:val="center"/>
              <w:rPr>
                <w:rFonts w:ascii="宋体" w:hAnsi="宋体" w:cs="宋体"/>
                <w:color w:val="000000"/>
                <w:szCs w:val="24"/>
              </w:rPr>
            </w:pPr>
            <w:r>
              <w:rPr>
                <w:rFonts w:hint="eastAsia" w:ascii="宋体" w:hAnsi="宋体" w:cs="宋体"/>
                <w:color w:val="000000"/>
                <w:szCs w:val="24"/>
              </w:rPr>
              <w:t>工作湿度范围（RH）无结露 10-80%；存储湿度范围（RH）无结露 10-85%</w:t>
            </w:r>
          </w:p>
          <w:p>
            <w:pPr>
              <w:textAlignment w:val="center"/>
              <w:rPr>
                <w:rFonts w:ascii="宋体" w:hAnsi="宋体" w:cs="宋体"/>
                <w:color w:val="000000"/>
                <w:szCs w:val="24"/>
              </w:rPr>
            </w:pPr>
            <w:r>
              <w:rPr>
                <w:rFonts w:hint="eastAsia" w:ascii="宋体" w:hAnsi="宋体" w:cs="宋体"/>
                <w:color w:val="000000"/>
                <w:szCs w:val="24"/>
              </w:rPr>
              <w:t>信号接口 HUB 75E；电源接口 VH4PIN</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平方</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22.4</w:t>
            </w:r>
          </w:p>
        </w:tc>
      </w:tr>
      <w:tr>
        <w:tblPrEx>
          <w:tblCellMar>
            <w:top w:w="0" w:type="dxa"/>
            <w:left w:w="108" w:type="dxa"/>
            <w:bottom w:w="0" w:type="dxa"/>
            <w:right w:w="108" w:type="dxa"/>
          </w:tblCellMar>
        </w:tblPrEx>
        <w:trPr>
          <w:trHeight w:val="62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2</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主机</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00"/>
                <w:szCs w:val="24"/>
              </w:rPr>
            </w:pPr>
            <w:r>
              <w:rPr>
                <w:color w:val="000000"/>
                <w:szCs w:val="24"/>
              </w:rPr>
              <w:t>I7/16G/256ssd/8G</w:t>
            </w:r>
            <w:r>
              <w:rPr>
                <w:rFonts w:hint="eastAsia" w:ascii="宋体" w:hAnsi="宋体" w:cs="宋体"/>
                <w:color w:val="000000"/>
                <w:szCs w:val="24"/>
              </w:rPr>
              <w:t>独显高性能显卡</w:t>
            </w:r>
            <w:r>
              <w:rPr>
                <w:color w:val="000000"/>
                <w:szCs w:val="24"/>
              </w:rPr>
              <w:t>/</w:t>
            </w:r>
            <w:r>
              <w:rPr>
                <w:rFonts w:hint="eastAsia" w:ascii="宋体" w:hAnsi="宋体" w:cs="宋体"/>
                <w:color w:val="000000"/>
                <w:szCs w:val="24"/>
              </w:rPr>
              <w:t>正版系统</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台</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2</w:t>
            </w:r>
          </w:p>
        </w:tc>
      </w:tr>
      <w:tr>
        <w:tblPrEx>
          <w:tblCellMar>
            <w:top w:w="0" w:type="dxa"/>
            <w:left w:w="108" w:type="dxa"/>
            <w:bottom w:w="0" w:type="dxa"/>
            <w:right w:w="108" w:type="dxa"/>
          </w:tblCellMar>
        </w:tblPrEx>
        <w:trPr>
          <w:trHeight w:val="285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3</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音响功放</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szCs w:val="24"/>
              </w:rPr>
              <w:t>功放输出功率：2X120W</w:t>
            </w:r>
          </w:p>
          <w:p>
            <w:pPr>
              <w:textAlignment w:val="center"/>
              <w:rPr>
                <w:rFonts w:ascii="宋体" w:hAnsi="宋体" w:cs="宋体"/>
                <w:color w:val="000000"/>
                <w:szCs w:val="24"/>
              </w:rPr>
            </w:pPr>
            <w:r>
              <w:rPr>
                <w:rFonts w:hint="eastAsia" w:ascii="宋体" w:hAnsi="宋体" w:cs="宋体"/>
                <w:color w:val="000000"/>
                <w:szCs w:val="24"/>
              </w:rPr>
              <w:t>信噪比：音乐≥80dB（A计权）；话筒≥55dB（A计权）</w:t>
            </w:r>
          </w:p>
          <w:p>
            <w:pPr>
              <w:textAlignment w:val="center"/>
              <w:rPr>
                <w:rFonts w:ascii="宋体" w:hAnsi="宋体" w:cs="宋体"/>
                <w:color w:val="000000"/>
                <w:szCs w:val="24"/>
              </w:rPr>
            </w:pPr>
            <w:r>
              <w:rPr>
                <w:rFonts w:hint="eastAsia" w:ascii="宋体" w:hAnsi="宋体" w:cs="宋体"/>
                <w:color w:val="000000"/>
                <w:szCs w:val="24"/>
              </w:rPr>
              <w:t>频率响应：音乐：20H-30K/100H-30K（+1/-3dB）</w:t>
            </w:r>
          </w:p>
          <w:p>
            <w:pPr>
              <w:textAlignment w:val="center"/>
              <w:rPr>
                <w:rFonts w:ascii="宋体" w:hAnsi="宋体" w:cs="宋体"/>
                <w:color w:val="000000"/>
                <w:szCs w:val="24"/>
              </w:rPr>
            </w:pPr>
            <w:r>
              <w:rPr>
                <w:rFonts w:hint="eastAsia" w:ascii="宋体" w:hAnsi="宋体" w:cs="宋体"/>
                <w:color w:val="000000"/>
                <w:szCs w:val="24"/>
              </w:rPr>
              <w:t>总谐波失真：音乐：&lt;0.1% 话筒：&lt;0.5%</w:t>
            </w:r>
          </w:p>
          <w:p>
            <w:pPr>
              <w:textAlignment w:val="center"/>
              <w:rPr>
                <w:rFonts w:ascii="宋体" w:hAnsi="宋体" w:cs="宋体"/>
                <w:color w:val="000000"/>
                <w:szCs w:val="24"/>
              </w:rPr>
            </w:pPr>
            <w:r>
              <w:rPr>
                <w:rFonts w:hint="eastAsia" w:ascii="宋体" w:hAnsi="宋体" w:cs="宋体"/>
                <w:color w:val="000000"/>
                <w:szCs w:val="24"/>
              </w:rPr>
              <w:t>尺寸：6英寸</w:t>
            </w:r>
          </w:p>
          <w:p>
            <w:pPr>
              <w:textAlignment w:val="center"/>
              <w:rPr>
                <w:rFonts w:ascii="宋体" w:hAnsi="宋体" w:cs="宋体"/>
                <w:color w:val="000000"/>
                <w:szCs w:val="24"/>
              </w:rPr>
            </w:pPr>
            <w:r>
              <w:rPr>
                <w:rFonts w:hint="eastAsia" w:ascii="宋体" w:hAnsi="宋体" w:cs="宋体"/>
                <w:color w:val="000000"/>
                <w:szCs w:val="24"/>
              </w:rPr>
              <w:t>谐振频率：62Hz</w:t>
            </w:r>
          </w:p>
          <w:p>
            <w:pPr>
              <w:textAlignment w:val="center"/>
              <w:rPr>
                <w:rFonts w:ascii="宋体" w:hAnsi="宋体" w:cs="宋体"/>
                <w:color w:val="000000"/>
                <w:szCs w:val="24"/>
              </w:rPr>
            </w:pPr>
            <w:r>
              <w:rPr>
                <w:rFonts w:hint="eastAsia" w:ascii="宋体" w:hAnsi="宋体" w:cs="宋体"/>
                <w:color w:val="000000"/>
                <w:szCs w:val="24"/>
              </w:rPr>
              <w:t>频率响应：45-20KHz</w:t>
            </w:r>
          </w:p>
          <w:p>
            <w:pPr>
              <w:textAlignment w:val="center"/>
              <w:rPr>
                <w:rFonts w:ascii="宋体" w:hAnsi="宋体" w:cs="宋体"/>
                <w:color w:val="000000"/>
                <w:szCs w:val="24"/>
              </w:rPr>
            </w:pPr>
            <w:r>
              <w:rPr>
                <w:rFonts w:hint="eastAsia" w:ascii="宋体" w:hAnsi="宋体" w:cs="宋体"/>
                <w:color w:val="000000"/>
                <w:szCs w:val="24"/>
              </w:rPr>
              <w:t>灵敏度：88dB/W/M</w:t>
            </w:r>
          </w:p>
          <w:p>
            <w:pPr>
              <w:textAlignment w:val="center"/>
              <w:rPr>
                <w:rFonts w:ascii="宋体" w:hAnsi="宋体" w:cs="宋体"/>
                <w:color w:val="000000"/>
                <w:szCs w:val="24"/>
              </w:rPr>
            </w:pPr>
            <w:r>
              <w:rPr>
                <w:rFonts w:hint="eastAsia" w:ascii="宋体" w:hAnsi="宋体" w:cs="宋体"/>
                <w:color w:val="000000"/>
                <w:szCs w:val="24"/>
              </w:rPr>
              <w:t>阻抗：8Ω</w:t>
            </w:r>
          </w:p>
          <w:p>
            <w:pPr>
              <w:textAlignment w:val="center"/>
              <w:rPr>
                <w:rFonts w:ascii="宋体" w:hAnsi="宋体" w:cs="宋体"/>
                <w:color w:val="000000"/>
                <w:szCs w:val="24"/>
              </w:rPr>
            </w:pPr>
            <w:r>
              <w:rPr>
                <w:rFonts w:hint="eastAsia" w:ascii="宋体" w:hAnsi="宋体" w:cs="宋体"/>
                <w:color w:val="000000"/>
                <w:szCs w:val="24"/>
              </w:rPr>
              <w:t>功率：10W</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套</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r>
      <w:tr>
        <w:tblPrEx>
          <w:tblCellMar>
            <w:top w:w="0" w:type="dxa"/>
            <w:left w:w="108" w:type="dxa"/>
            <w:bottom w:w="0" w:type="dxa"/>
            <w:right w:w="108" w:type="dxa"/>
          </w:tblCellMar>
        </w:tblPrEx>
        <w:trPr>
          <w:trHeight w:val="155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4</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55</w:t>
            </w:r>
            <w:r>
              <w:rPr>
                <w:rFonts w:hint="eastAsia" w:ascii="宋体" w:hAnsi="宋体" w:cs="宋体"/>
                <w:color w:val="000000"/>
                <w:szCs w:val="24"/>
              </w:rPr>
              <w:t>寸触摸屏</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00"/>
                <w:szCs w:val="24"/>
              </w:rPr>
            </w:pPr>
            <w:r>
              <w:rPr>
                <w:color w:val="000000"/>
                <w:szCs w:val="24"/>
              </w:rPr>
              <w:t>1、屏幕参数：55寸LG面板S-IPS，常黑透射式屏幕，像素排列RGB垂直条状。显示尺寸：1428(H) ×803(V) mm，屏幕分辨率1920*1080，亮度350cd/㎡，对比度1400：1，显示色彩16.7M, 68% NTSC ，可视角度89°/89°/89°/89°，响应时间8ms，刷新频率60HZ。W-LED背光模组。</w:t>
            </w:r>
          </w:p>
          <w:p>
            <w:pPr>
              <w:textAlignment w:val="center"/>
              <w:rPr>
                <w:color w:val="000000"/>
                <w:szCs w:val="24"/>
              </w:rPr>
            </w:pPr>
            <w:r>
              <w:rPr>
                <w:color w:val="000000"/>
                <w:szCs w:val="24"/>
              </w:rPr>
              <w:t>2、触摸技术：电容式10点电容触摸屏，显示区内无可视触摸线路，触摸精度：≥1.5mm，响应时间6ms,Linearity线性度≥1.5mm,超低方阻15-20Ω,sensor:厚度0.45-0.5mm，窄边宽度16mm,支持手指、电容笔、棉质手套、橡胶手套等介质触摸。玻璃透过率＞95%，触摸相应时间6ms,通讯接口USB，免驱式即插即用。</w:t>
            </w:r>
          </w:p>
          <w:p>
            <w:pPr>
              <w:textAlignment w:val="center"/>
              <w:rPr>
                <w:color w:val="000000"/>
                <w:szCs w:val="24"/>
              </w:rPr>
            </w:pPr>
            <w:r>
              <w:rPr>
                <w:color w:val="000000"/>
                <w:szCs w:val="24"/>
              </w:rPr>
              <w:t>3、电脑HDMI支持3840*2160分辨率输出，千兆双网口专工。USB2.0*2 ,USB3.0*2,电脑配置：i5 cpu+8g DDR+128G SSD，支持无线WIFI。</w:t>
            </w:r>
          </w:p>
          <w:p>
            <w:pPr>
              <w:textAlignment w:val="center"/>
              <w:rPr>
                <w:color w:val="000000"/>
                <w:szCs w:val="24"/>
              </w:rPr>
            </w:pPr>
            <w:r>
              <w:rPr>
                <w:color w:val="000000"/>
                <w:szCs w:val="24"/>
              </w:rPr>
              <w:t>4、嵌入式8Ω10音响级扬声器，电源AC100V～240V，50/60Hz，功率≦200W，待机功耗＜1W,工作温度0℃~50℃，储藏温度-20℃~60℃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台</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4</w:t>
            </w:r>
          </w:p>
        </w:tc>
      </w:tr>
      <w:tr>
        <w:tblPrEx>
          <w:tblCellMar>
            <w:top w:w="0" w:type="dxa"/>
            <w:left w:w="108" w:type="dxa"/>
            <w:bottom w:w="0" w:type="dxa"/>
            <w:right w:w="108" w:type="dxa"/>
          </w:tblCellMar>
        </w:tblPrEx>
        <w:trPr>
          <w:trHeight w:val="315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5</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工作展示区</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75</w:t>
            </w:r>
            <w:r>
              <w:rPr>
                <w:rFonts w:hint="eastAsia" w:ascii="宋体" w:hAnsi="宋体" w:cs="宋体"/>
                <w:color w:val="000000"/>
                <w:szCs w:val="24"/>
              </w:rPr>
              <w:t>寸触控一体机</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00"/>
                <w:szCs w:val="24"/>
              </w:rPr>
            </w:pPr>
            <w:r>
              <w:rPr>
                <w:color w:val="000000"/>
                <w:szCs w:val="24"/>
              </w:rPr>
              <w:t>1、整机尺寸：75寸</w:t>
            </w:r>
          </w:p>
          <w:p>
            <w:pPr>
              <w:textAlignment w:val="center"/>
              <w:rPr>
                <w:color w:val="000000"/>
                <w:szCs w:val="24"/>
              </w:rPr>
            </w:pPr>
            <w:r>
              <w:rPr>
                <w:color w:val="000000"/>
                <w:szCs w:val="24"/>
              </w:rPr>
              <w:t>2、 电脑I5/DDR4/ssd128G电容触摸，采用户外专用高亮度液晶屏，亮度1500-2500nit，强光下可视，设计寿命50000小时 ，高清晰画质，屏幕分辨率：1920X1080 。高动态对比度，画面更清晰，可视角度178°，智能感光系统，能根据环境自动调节屏幕亮度，使用者在不同时刻均可清晰/舒适观看节目，保护眼睛 。智能色彩校准，自动校准对比色或手动微调，呈现完美画面 。</w:t>
            </w:r>
          </w:p>
          <w:p>
            <w:pPr>
              <w:textAlignment w:val="center"/>
              <w:rPr>
                <w:color w:val="000000"/>
                <w:szCs w:val="24"/>
              </w:rPr>
            </w:pPr>
            <w:r>
              <w:rPr>
                <w:color w:val="000000"/>
                <w:szCs w:val="24"/>
              </w:rPr>
              <w:t>3、外壳设计：外壳采用1.0-2.5mm镀锌板，喷户外专用粉末，户外防腐7年以上。外壳结构设计防水槽及进出风孔防水迷宫，满足IP55防护等级。</w:t>
            </w:r>
          </w:p>
          <w:p>
            <w:pPr>
              <w:textAlignment w:val="center"/>
              <w:rPr>
                <w:color w:val="000000"/>
                <w:szCs w:val="24"/>
              </w:rPr>
            </w:pPr>
            <w:r>
              <w:rPr>
                <w:color w:val="000000"/>
                <w:szCs w:val="24"/>
              </w:rPr>
              <w:t>4：WINDOWS7/10中英文系统、LINUX乌班图系统</w:t>
            </w:r>
          </w:p>
          <w:p>
            <w:pPr>
              <w:textAlignment w:val="center"/>
              <w:rPr>
                <w:color w:val="000000"/>
                <w:szCs w:val="24"/>
              </w:rPr>
            </w:pPr>
            <w:r>
              <w:rPr>
                <w:color w:val="000000"/>
                <w:szCs w:val="24"/>
              </w:rPr>
              <w:t>解码分辨率：支持1920X1080及以上分辨率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台</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r>
      <w:tr>
        <w:tblPrEx>
          <w:tblCellMar>
            <w:top w:w="0" w:type="dxa"/>
            <w:left w:w="108" w:type="dxa"/>
            <w:bottom w:w="0" w:type="dxa"/>
            <w:right w:w="108" w:type="dxa"/>
          </w:tblCellMar>
        </w:tblPrEx>
        <w:trPr>
          <w:trHeight w:val="228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6</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音响功放</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szCs w:val="24"/>
              </w:rPr>
              <w:t>功放*1，音响*2</w:t>
            </w:r>
          </w:p>
          <w:p>
            <w:pPr>
              <w:textAlignment w:val="center"/>
              <w:rPr>
                <w:rFonts w:ascii="宋体" w:hAnsi="宋体" w:cs="宋体"/>
                <w:color w:val="000000"/>
                <w:szCs w:val="24"/>
              </w:rPr>
            </w:pPr>
            <w:r>
              <w:rPr>
                <w:rFonts w:ascii="宋体" w:hAnsi="宋体"/>
              </w:rPr>
              <w:sym w:font="Wingdings" w:char="F0AB"/>
            </w:r>
            <w:r>
              <w:rPr>
                <w:rFonts w:hint="eastAsia" w:ascii="宋体" w:hAnsi="宋体" w:cs="宋体"/>
                <w:color w:val="000000"/>
                <w:szCs w:val="24"/>
              </w:rPr>
              <w:t>1.两声道功放有三档输入灵敏度选择（支持0.775V/1V/1.44V），可轻松接纳宽幅度范围信号源输入(出具满足该参数的第三方权威机构检测报告，提供相关证明材料)</w:t>
            </w:r>
          </w:p>
          <w:p>
            <w:pPr>
              <w:textAlignment w:val="center"/>
              <w:rPr>
                <w:rFonts w:ascii="宋体" w:hAnsi="宋体" w:cs="宋体"/>
                <w:color w:val="000000"/>
                <w:szCs w:val="24"/>
              </w:rPr>
            </w:pPr>
            <w:r>
              <w:rPr>
                <w:rFonts w:hint="eastAsia" w:ascii="宋体" w:hAnsi="宋体" w:cs="宋体"/>
                <w:color w:val="000000"/>
                <w:szCs w:val="24"/>
              </w:rPr>
              <w:t>2.采用智能控制强制散热设计</w:t>
            </w:r>
          </w:p>
          <w:p>
            <w:pPr>
              <w:textAlignment w:val="center"/>
              <w:rPr>
                <w:rFonts w:ascii="宋体" w:hAnsi="宋体" w:cs="宋体"/>
                <w:color w:val="000000"/>
                <w:szCs w:val="24"/>
              </w:rPr>
            </w:pPr>
            <w:r>
              <w:rPr>
                <w:rFonts w:hint="eastAsia" w:ascii="宋体" w:hAnsi="宋体" w:cs="宋体"/>
                <w:color w:val="000000"/>
                <w:szCs w:val="24"/>
              </w:rPr>
              <w:t>3.输出功率:立体声/并联8Ω:≥500W*2、立体声/并联4Ω:≥730W*2、桥接8Ω:≥1460W。</w:t>
            </w:r>
          </w:p>
          <w:p>
            <w:pPr>
              <w:textAlignment w:val="center"/>
              <w:rPr>
                <w:rFonts w:ascii="宋体" w:hAnsi="宋体" w:cs="宋体"/>
                <w:color w:val="000000"/>
                <w:szCs w:val="24"/>
              </w:rPr>
            </w:pPr>
            <w:r>
              <w:rPr>
                <w:rFonts w:hint="eastAsia" w:ascii="宋体" w:hAnsi="宋体" w:cs="宋体"/>
                <w:color w:val="000000"/>
                <w:szCs w:val="24"/>
              </w:rPr>
              <w:t>4.采用标准XLR+TRS1/4"复合多功能输入接口。智能削峰限幅器，控制功率模块及扬声器系统在安全范围内工作。</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套</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r>
      <w:tr>
        <w:tblPrEx>
          <w:tblCellMar>
            <w:top w:w="0" w:type="dxa"/>
            <w:left w:w="108" w:type="dxa"/>
            <w:bottom w:w="0" w:type="dxa"/>
            <w:right w:w="108" w:type="dxa"/>
          </w:tblCellMar>
        </w:tblPrEx>
        <w:trPr>
          <w:trHeight w:val="841"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7</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智慧屿头展区</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43</w:t>
            </w:r>
            <w:r>
              <w:rPr>
                <w:rFonts w:hint="eastAsia" w:ascii="宋体" w:hAnsi="宋体" w:cs="宋体"/>
                <w:color w:val="000000"/>
                <w:szCs w:val="24"/>
              </w:rPr>
              <w:t>寸触摸屏</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00"/>
                <w:szCs w:val="24"/>
              </w:rPr>
            </w:pPr>
            <w:r>
              <w:rPr>
                <w:color w:val="000000"/>
                <w:szCs w:val="24"/>
              </w:rPr>
              <w:t>1、屏幕参数：43寸LG面板S-IPS，常黑透射式屏幕，像素排列RGB垂直条状。显示尺寸：941(H) ×529(V) mm，屏幕分辨率1920*1080，亮度350cd/㎡，对比度1400：1，显示色彩16.7M, 68% NTSC ，可视角度89°/89°/89°/89°，响应时间8ms，刷新频率60HZ。W-LED背光模组。</w:t>
            </w:r>
          </w:p>
          <w:p>
            <w:pPr>
              <w:textAlignment w:val="center"/>
              <w:rPr>
                <w:color w:val="000000"/>
                <w:szCs w:val="24"/>
              </w:rPr>
            </w:pPr>
            <w:r>
              <w:rPr>
                <w:color w:val="000000"/>
                <w:szCs w:val="24"/>
              </w:rPr>
              <w:t>2、触摸技术：电容式10点电容触摸屏，显示区内无可视触摸线路，触摸精度：≥1.5mm，响应时间6ms,Linearity线性度≥1.5mm,超低方阻15-20Ω,sensor:厚度0.45-0.5mm，窄边宽度16mm,支持手指、电容笔、棉质手套、橡胶手套等介质触摸。玻璃透过率＞95%，触摸相应时间6ms,通讯接口USB，免驱式即插即用。</w:t>
            </w:r>
          </w:p>
          <w:p>
            <w:pPr>
              <w:textAlignment w:val="center"/>
              <w:rPr>
                <w:color w:val="000000"/>
                <w:szCs w:val="24"/>
              </w:rPr>
            </w:pPr>
            <w:r>
              <w:rPr>
                <w:color w:val="000000"/>
                <w:szCs w:val="24"/>
              </w:rPr>
              <w:t>3、电脑HDMI支持3840*2160分辨率输出，千兆双网口专工。USB2.0*2 ,USB3.0*2,电脑配置：i5 cpu+8g DDR+128G SSD，支持无线WIFI。</w:t>
            </w:r>
          </w:p>
          <w:p>
            <w:pPr>
              <w:textAlignment w:val="center"/>
              <w:rPr>
                <w:color w:val="000000"/>
                <w:szCs w:val="24"/>
              </w:rPr>
            </w:pPr>
            <w:r>
              <w:rPr>
                <w:color w:val="000000"/>
                <w:szCs w:val="24"/>
              </w:rPr>
              <w:t>4、嵌入式8Ω10音响级扬声器，电源AC100V～240V，50/60Hz，功率≦150W，待机功耗＜1W,工作温度0℃~50℃，储藏温度-20℃~60℃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台</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2</w:t>
            </w:r>
          </w:p>
        </w:tc>
      </w:tr>
      <w:tr>
        <w:tblPrEx>
          <w:tblCellMar>
            <w:top w:w="0" w:type="dxa"/>
            <w:left w:w="108" w:type="dxa"/>
            <w:bottom w:w="0" w:type="dxa"/>
            <w:right w:w="108" w:type="dxa"/>
          </w:tblCellMar>
        </w:tblPrEx>
        <w:trPr>
          <w:trHeight w:val="228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8</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音响功放</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szCs w:val="24"/>
              </w:rPr>
              <w:t>功放*1，音响*2</w:t>
            </w:r>
          </w:p>
          <w:p>
            <w:pPr>
              <w:textAlignment w:val="center"/>
              <w:rPr>
                <w:rFonts w:ascii="宋体" w:hAnsi="宋体" w:cs="宋体"/>
                <w:color w:val="000000"/>
                <w:szCs w:val="24"/>
              </w:rPr>
            </w:pPr>
            <w:r>
              <w:rPr>
                <w:rFonts w:ascii="宋体" w:hAnsi="宋体"/>
              </w:rPr>
              <w:sym w:font="Wingdings" w:char="F0AB"/>
            </w:r>
            <w:r>
              <w:rPr>
                <w:rFonts w:hint="eastAsia" w:ascii="宋体" w:hAnsi="宋体" w:cs="宋体"/>
                <w:color w:val="000000"/>
                <w:szCs w:val="24"/>
              </w:rPr>
              <w:t>1.两声道功放有三档输入灵敏度选择（支持0.775V/1V/1.44V），可轻松接纳宽幅度范围信号源输入(出具满足该参数的第三方权威机构检测报告，提供相关证明材料)</w:t>
            </w:r>
          </w:p>
          <w:p>
            <w:pPr>
              <w:textAlignment w:val="center"/>
              <w:rPr>
                <w:rFonts w:ascii="宋体" w:hAnsi="宋体" w:cs="宋体"/>
                <w:color w:val="000000"/>
                <w:szCs w:val="24"/>
              </w:rPr>
            </w:pPr>
            <w:r>
              <w:rPr>
                <w:rFonts w:hint="eastAsia" w:ascii="宋体" w:hAnsi="宋体" w:cs="宋体"/>
                <w:color w:val="000000"/>
                <w:szCs w:val="24"/>
              </w:rPr>
              <w:t>2.采用智能控制强制散热设计</w:t>
            </w:r>
          </w:p>
          <w:p>
            <w:pPr>
              <w:textAlignment w:val="center"/>
              <w:rPr>
                <w:rFonts w:ascii="宋体" w:hAnsi="宋体" w:cs="宋体"/>
                <w:color w:val="000000"/>
                <w:szCs w:val="24"/>
              </w:rPr>
            </w:pPr>
            <w:r>
              <w:rPr>
                <w:rFonts w:hint="eastAsia" w:ascii="宋体" w:hAnsi="宋体" w:cs="宋体"/>
                <w:color w:val="000000"/>
                <w:szCs w:val="24"/>
              </w:rPr>
              <w:t>3.输出功率:立体声/并联8Ω:≥500W*2、立体声/并联4Ω:≥730W*2、桥接8Ω:≥1460W。</w:t>
            </w:r>
          </w:p>
          <w:p>
            <w:pPr>
              <w:textAlignment w:val="center"/>
              <w:rPr>
                <w:rFonts w:ascii="宋体" w:hAnsi="宋体" w:cs="宋体"/>
                <w:color w:val="000000"/>
                <w:szCs w:val="24"/>
              </w:rPr>
            </w:pPr>
            <w:r>
              <w:rPr>
                <w:rFonts w:hint="eastAsia" w:ascii="宋体" w:hAnsi="宋体" w:cs="宋体"/>
                <w:color w:val="000000"/>
                <w:szCs w:val="24"/>
              </w:rPr>
              <w:t>4.采用标准XLR+TRS1/4"复合多功能输入接口。智能削峰限幅器，控制功率模块及扬声器系统在安全范围内工作。</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套</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r>
      <w:tr>
        <w:tblPrEx>
          <w:tblCellMar>
            <w:top w:w="0" w:type="dxa"/>
            <w:left w:w="108" w:type="dxa"/>
            <w:bottom w:w="0" w:type="dxa"/>
            <w:right w:w="108" w:type="dxa"/>
          </w:tblCellMar>
        </w:tblPrEx>
        <w:trPr>
          <w:trHeight w:val="441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9</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富美屿头展区</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55</w:t>
            </w:r>
            <w:r>
              <w:rPr>
                <w:rFonts w:hint="eastAsia" w:ascii="宋体" w:hAnsi="宋体" w:cs="宋体"/>
                <w:color w:val="000000"/>
                <w:szCs w:val="24"/>
              </w:rPr>
              <w:t>寸拍照签名一体机</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00"/>
                <w:szCs w:val="24"/>
              </w:rPr>
            </w:pPr>
            <w:r>
              <w:rPr>
                <w:color w:val="000000"/>
                <w:szCs w:val="24"/>
              </w:rPr>
              <w:t>55英寸屏幕，高清分辨率1920*1080，多点触控，具备外接摄像头功能，带通电自启功能。</w:t>
            </w:r>
          </w:p>
          <w:p>
            <w:pPr>
              <w:textAlignment w:val="center"/>
              <w:rPr>
                <w:color w:val="000000"/>
                <w:szCs w:val="24"/>
              </w:rPr>
            </w:pPr>
            <w:r>
              <w:rPr>
                <w:color w:val="000000"/>
                <w:szCs w:val="24"/>
              </w:rPr>
              <w:t>1、屏幕参数：55寸LG面板S-IPS，常黑透射式屏幕，像素排列RGB垂直条状。显示尺寸：1210(H) ×680(V) mm，屏幕分辨率1920*1080，亮度350cd/㎡，对比度1400：1，显示色彩16.7M, 68% NTSC ，可视角度89°/89°/89°/89°，响应时间8ms，刷新频率60HZ。W-LED背光模组。</w:t>
            </w:r>
          </w:p>
          <w:p>
            <w:pPr>
              <w:textAlignment w:val="center"/>
              <w:rPr>
                <w:color w:val="000000"/>
                <w:szCs w:val="24"/>
              </w:rPr>
            </w:pPr>
            <w:r>
              <w:rPr>
                <w:color w:val="000000"/>
                <w:szCs w:val="24"/>
              </w:rPr>
              <w:t>2、触摸技术：电容式40点高通道电容触摸屏，显示区内无可视触摸线路，触摸精度：≥1.5mm，响应时间6ms,Linearity线性度≥1.5mm,超低方阻15-20Ω,sensor:厚度0.45-0.5mm，窄边宽度16mm,支持手指、电容笔、棉质手套、橡胶手套等介质触摸。玻璃透过率＞95%，触摸相应时间6ms,通讯接口USB，免驱式即插即用。</w:t>
            </w:r>
          </w:p>
          <w:p>
            <w:pPr>
              <w:textAlignment w:val="center"/>
              <w:rPr>
                <w:color w:val="000000"/>
                <w:szCs w:val="24"/>
              </w:rPr>
            </w:pPr>
            <w:r>
              <w:rPr>
                <w:color w:val="000000"/>
                <w:szCs w:val="24"/>
              </w:rPr>
              <w:t>3、嵌入式8Ω10音响级扬声器，电源AC100V～240V，50/60Hz，功率≦300W，待机功耗＜1W,工作温度0℃~50℃，储藏温度-20℃~60℃</w:t>
            </w:r>
          </w:p>
          <w:p>
            <w:pPr>
              <w:textAlignment w:val="center"/>
              <w:rPr>
                <w:color w:val="000000"/>
                <w:szCs w:val="24"/>
              </w:rPr>
            </w:pPr>
            <w:r>
              <w:rPr>
                <w:color w:val="000000"/>
                <w:szCs w:val="24"/>
              </w:rPr>
              <w:t>4、电脑HDMI支持3840*2160分辨率输出，千兆双网口专工。USB2.0*2USB3.0*2,电脑配置：i5 cpu+8g DDR+128G SSD，可支持显卡扩展，支持无线WIFI。</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台</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r>
      <w:tr>
        <w:tblPrEx>
          <w:tblCellMar>
            <w:top w:w="0" w:type="dxa"/>
            <w:left w:w="108" w:type="dxa"/>
            <w:bottom w:w="0" w:type="dxa"/>
            <w:right w:w="108" w:type="dxa"/>
          </w:tblCellMar>
        </w:tblPrEx>
        <w:trPr>
          <w:trHeight w:val="409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10</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70</w:t>
            </w:r>
            <w:r>
              <w:rPr>
                <w:rFonts w:hint="eastAsia" w:ascii="宋体" w:hAnsi="宋体" w:cs="宋体"/>
                <w:color w:val="000000"/>
                <w:szCs w:val="24"/>
              </w:rPr>
              <w:t>寸电视机</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00"/>
                <w:szCs w:val="24"/>
              </w:rPr>
            </w:pPr>
            <w:r>
              <w:rPr>
                <w:color w:val="000000"/>
                <w:szCs w:val="24"/>
              </w:rPr>
              <w:t>70</w:t>
            </w:r>
            <w:r>
              <w:rPr>
                <w:rFonts w:hint="eastAsia" w:ascii="宋体" w:hAnsi="宋体" w:cs="宋体"/>
                <w:color w:val="000000"/>
                <w:szCs w:val="24"/>
              </w:rPr>
              <w:t>寸电视机，屏幕分辨率</w:t>
            </w:r>
            <w:r>
              <w:rPr>
                <w:color w:val="000000"/>
                <w:szCs w:val="24"/>
              </w:rPr>
              <w:t>3840*2160</w:t>
            </w:r>
            <w:r>
              <w:rPr>
                <w:rFonts w:hint="eastAsia" w:ascii="宋体" w:hAnsi="宋体" w:cs="宋体"/>
                <w:color w:val="000000"/>
                <w:szCs w:val="24"/>
              </w:rPr>
              <w:t>，支持</w:t>
            </w:r>
            <w:r>
              <w:rPr>
                <w:color w:val="000000"/>
                <w:szCs w:val="24"/>
              </w:rPr>
              <w:t>HDMI</w:t>
            </w:r>
            <w:r>
              <w:rPr>
                <w:rFonts w:hint="eastAsia" w:ascii="宋体" w:hAnsi="宋体" w:cs="宋体"/>
                <w:color w:val="000000"/>
                <w:szCs w:val="24"/>
              </w:rPr>
              <w:t>高清输入</w:t>
            </w:r>
            <w:r>
              <w:rPr>
                <w:color w:val="000000"/>
                <w:szCs w:val="24"/>
              </w:rPr>
              <w:t>,</w:t>
            </w:r>
            <w:r>
              <w:rPr>
                <w:rFonts w:hint="eastAsia" w:ascii="宋体" w:hAnsi="宋体" w:cs="宋体"/>
                <w:color w:val="000000"/>
                <w:szCs w:val="24"/>
              </w:rPr>
              <w:t>单屏尺寸</w:t>
            </w:r>
            <w:r>
              <w:rPr>
                <w:color w:val="000000"/>
                <w:szCs w:val="24"/>
              </w:rPr>
              <w:t>1563*906*72</w:t>
            </w:r>
          </w:p>
          <w:p>
            <w:pPr>
              <w:textAlignment w:val="center"/>
              <w:rPr>
                <w:rFonts w:ascii="宋体" w:hAnsi="宋体" w:cs="宋体"/>
                <w:color w:val="000000"/>
                <w:szCs w:val="24"/>
              </w:rPr>
            </w:pPr>
            <w:r>
              <w:rPr>
                <w:rFonts w:hint="eastAsia" w:ascii="宋体" w:hAnsi="宋体" w:cs="宋体"/>
                <w:color w:val="000000"/>
                <w:szCs w:val="24"/>
              </w:rPr>
              <w:t>钣金面框，银白色丝印</w:t>
            </w:r>
          </w:p>
          <w:p>
            <w:pPr>
              <w:textAlignment w:val="center"/>
              <w:rPr>
                <w:rFonts w:ascii="宋体" w:hAnsi="宋体" w:cs="宋体"/>
                <w:color w:val="000000"/>
                <w:szCs w:val="24"/>
              </w:rPr>
            </w:pPr>
            <w:r>
              <w:rPr>
                <w:rFonts w:hint="eastAsia" w:ascii="宋体" w:hAnsi="宋体" w:cs="宋体"/>
                <w:color w:val="000000"/>
                <w:szCs w:val="24"/>
              </w:rPr>
              <w:t>夏普：直下式</w:t>
            </w:r>
            <w:r>
              <w:rPr>
                <w:color w:val="000000"/>
                <w:szCs w:val="24"/>
              </w:rPr>
              <w:t>2160p/1080p/1080i/720p</w:t>
            </w:r>
            <w:r>
              <w:rPr>
                <w:rFonts w:hint="eastAsia" w:ascii="宋体" w:hAnsi="宋体" w:cs="宋体"/>
                <w:color w:val="000000"/>
                <w:szCs w:val="24"/>
              </w:rPr>
              <w:t>；</w:t>
            </w:r>
            <w:r>
              <w:rPr>
                <w:color w:val="000000"/>
                <w:szCs w:val="24"/>
              </w:rPr>
              <w:t>60HZ</w:t>
            </w:r>
            <w:r>
              <w:rPr>
                <w:rFonts w:hint="eastAsia" w:ascii="宋体" w:hAnsi="宋体" w:cs="宋体"/>
                <w:color w:val="000000"/>
                <w:szCs w:val="24"/>
              </w:rPr>
              <w:t>逐行扫描</w:t>
            </w:r>
            <w:r>
              <w:rPr>
                <w:color w:val="000000"/>
                <w:szCs w:val="24"/>
              </w:rPr>
              <w:t xml:space="preserve"> 16:9 176 8ms</w:t>
            </w:r>
            <w:r>
              <w:rPr>
                <w:rFonts w:hint="eastAsia" w:ascii="宋体" w:hAnsi="宋体" w:cs="宋体"/>
                <w:color w:val="000000"/>
                <w:szCs w:val="24"/>
              </w:rPr>
              <w:t>不支持</w:t>
            </w:r>
            <w:r>
              <w:rPr>
                <w:color w:val="000000"/>
                <w:szCs w:val="24"/>
              </w:rPr>
              <w:t>10W*2 2</w:t>
            </w:r>
            <w:r>
              <w:rPr>
                <w:rFonts w:hint="eastAsia" w:ascii="宋体" w:hAnsi="宋体" w:cs="宋体"/>
                <w:color w:val="000000"/>
                <w:szCs w:val="24"/>
              </w:rPr>
              <w:t>个</w:t>
            </w:r>
          </w:p>
          <w:p>
            <w:pPr>
              <w:textAlignment w:val="center"/>
              <w:rPr>
                <w:color w:val="000000"/>
                <w:szCs w:val="24"/>
              </w:rPr>
            </w:pPr>
            <w:r>
              <w:rPr>
                <w:rFonts w:hint="eastAsia" w:ascii="宋体" w:hAnsi="宋体" w:cs="宋体"/>
                <w:color w:val="000000"/>
                <w:szCs w:val="24"/>
              </w:rPr>
              <w:t>支持：支持</w:t>
            </w:r>
            <w:r>
              <w:rPr>
                <w:color w:val="000000"/>
                <w:szCs w:val="24"/>
              </w:rPr>
              <w:t>HDR10</w:t>
            </w:r>
            <w:r>
              <w:rPr>
                <w:rFonts w:hint="eastAsia" w:ascii="宋体" w:hAnsi="宋体" w:cs="宋体"/>
                <w:color w:val="000000"/>
                <w:szCs w:val="24"/>
              </w:rPr>
              <w:t>；腾讯</w:t>
            </w:r>
            <w:r>
              <w:rPr>
                <w:color w:val="000000"/>
                <w:szCs w:val="24"/>
              </w:rPr>
              <w:t xml:space="preserve">Android8.0 </w:t>
            </w:r>
            <w:r>
              <w:rPr>
                <w:rFonts w:hint="eastAsia" w:ascii="宋体" w:hAnsi="宋体" w:cs="宋体"/>
                <w:color w:val="000000"/>
                <w:szCs w:val="24"/>
              </w:rPr>
              <w:t>酷开</w:t>
            </w:r>
            <w:r>
              <w:rPr>
                <w:color w:val="000000"/>
                <w:szCs w:val="24"/>
              </w:rPr>
              <w:t>7.0</w:t>
            </w:r>
          </w:p>
          <w:p>
            <w:pPr>
              <w:textAlignment w:val="center"/>
              <w:rPr>
                <w:color w:val="000000"/>
                <w:szCs w:val="24"/>
              </w:rPr>
            </w:pPr>
            <w:r>
              <w:rPr>
                <w:color w:val="000000"/>
                <w:szCs w:val="24"/>
              </w:rPr>
              <w:t xml:space="preserve">RTK15 Cortex A73 </w:t>
            </w:r>
            <w:r>
              <w:rPr>
                <w:rFonts w:hint="eastAsia" w:ascii="宋体" w:hAnsi="宋体" w:cs="宋体"/>
                <w:color w:val="000000"/>
                <w:szCs w:val="24"/>
              </w:rPr>
              <w:t>双核</w:t>
            </w:r>
            <w:r>
              <w:rPr>
                <w:color w:val="000000"/>
                <w:szCs w:val="24"/>
              </w:rPr>
              <w:t xml:space="preserve"> Mali_450 </w:t>
            </w:r>
            <w:r>
              <w:rPr>
                <w:rFonts w:hint="eastAsia" w:ascii="宋体" w:hAnsi="宋体" w:cs="宋体"/>
                <w:color w:val="000000"/>
                <w:szCs w:val="24"/>
              </w:rPr>
              <w:t>五核</w:t>
            </w:r>
            <w:r>
              <w:rPr>
                <w:color w:val="000000"/>
                <w:szCs w:val="24"/>
              </w:rPr>
              <w:t xml:space="preserve"> 2G8GB</w:t>
            </w:r>
          </w:p>
          <w:p>
            <w:pPr>
              <w:textAlignment w:val="center"/>
              <w:rPr>
                <w:color w:val="000000"/>
                <w:szCs w:val="24"/>
              </w:rPr>
            </w:pPr>
            <w:r>
              <w:rPr>
                <w:rFonts w:hint="eastAsia" w:ascii="宋体" w:hAnsi="宋体" w:cs="宋体"/>
                <w:color w:val="000000"/>
                <w:szCs w:val="24"/>
              </w:rPr>
              <w:t>支持</w:t>
            </w:r>
            <w:r>
              <w:rPr>
                <w:color w:val="000000"/>
                <w:szCs w:val="24"/>
              </w:rPr>
              <w:t>2T USB</w:t>
            </w:r>
          </w:p>
          <w:p>
            <w:pPr>
              <w:textAlignment w:val="center"/>
              <w:rPr>
                <w:color w:val="000000"/>
                <w:szCs w:val="24"/>
              </w:rPr>
            </w:pPr>
            <w:r>
              <w:rPr>
                <w:color w:val="000000"/>
                <w:szCs w:val="24"/>
              </w:rPr>
              <w:t>HDMI</w:t>
            </w:r>
            <w:r>
              <w:rPr>
                <w:rFonts w:hint="eastAsia" w:ascii="宋体" w:hAnsi="宋体" w:cs="宋体"/>
                <w:color w:val="000000"/>
                <w:szCs w:val="24"/>
              </w:rPr>
              <w:t>兼容：</w:t>
            </w:r>
            <w:r>
              <w:rPr>
                <w:color w:val="000000"/>
                <w:szCs w:val="24"/>
              </w:rPr>
              <w:t>H264,H265,MPEG2,VC1,VP6,VP8,VP9,MVC,</w:t>
            </w:r>
          </w:p>
          <w:p>
            <w:pPr>
              <w:textAlignment w:val="center"/>
              <w:rPr>
                <w:rFonts w:ascii="宋体" w:hAnsi="宋体" w:cs="宋体"/>
                <w:color w:val="000000"/>
                <w:szCs w:val="24"/>
              </w:rPr>
            </w:pPr>
            <w:r>
              <w:rPr>
                <w:color w:val="000000"/>
                <w:szCs w:val="24"/>
              </w:rPr>
              <w:t>MJPEG,AVS</w:t>
            </w:r>
            <w:r>
              <w:rPr>
                <w:rFonts w:hint="eastAsia" w:ascii="宋体" w:hAnsi="宋体" w:cs="宋体"/>
                <w:color w:val="000000"/>
                <w:szCs w:val="24"/>
              </w:rPr>
              <w:t>，</w:t>
            </w:r>
            <w:r>
              <w:rPr>
                <w:color w:val="000000"/>
                <w:szCs w:val="24"/>
              </w:rPr>
              <w:t>AVS+</w:t>
            </w:r>
            <w:r>
              <w:rPr>
                <w:rFonts w:hint="eastAsia" w:ascii="宋体" w:hAnsi="宋体" w:cs="宋体"/>
                <w:color w:val="000000"/>
                <w:szCs w:val="24"/>
              </w:rPr>
              <w:t>，</w:t>
            </w:r>
            <w:r>
              <w:rPr>
                <w:color w:val="000000"/>
                <w:szCs w:val="24"/>
              </w:rPr>
              <w:t>WMA,MP3,WAV,AAC,AC3,EAC3</w:t>
            </w:r>
            <w:r>
              <w:rPr>
                <w:rFonts w:hint="eastAsia" w:ascii="宋体" w:hAnsi="宋体" w:cs="宋体"/>
                <w:color w:val="000000"/>
                <w:szCs w:val="24"/>
              </w:rPr>
              <w:t>，</w:t>
            </w:r>
          </w:p>
          <w:p>
            <w:pPr>
              <w:textAlignment w:val="center"/>
              <w:rPr>
                <w:color w:val="000000"/>
                <w:szCs w:val="24"/>
              </w:rPr>
            </w:pPr>
            <w:r>
              <w:rPr>
                <w:color w:val="000000"/>
                <w:szCs w:val="24"/>
              </w:rPr>
              <w:t>Vorbis,FLAC,APE,TrueHD</w:t>
            </w:r>
            <w:r>
              <w:rPr>
                <w:rFonts w:hint="eastAsia" w:ascii="宋体" w:hAnsi="宋体" w:cs="宋体"/>
                <w:color w:val="000000"/>
                <w:szCs w:val="24"/>
              </w:rPr>
              <w:t>，</w:t>
            </w:r>
            <w:r>
              <w:rPr>
                <w:color w:val="000000"/>
                <w:szCs w:val="24"/>
              </w:rPr>
              <w:t>DRA</w:t>
            </w:r>
            <w:r>
              <w:rPr>
                <w:rFonts w:hint="eastAsia" w:ascii="宋体" w:hAnsi="宋体" w:cs="宋体"/>
                <w:color w:val="000000"/>
                <w:szCs w:val="24"/>
              </w:rPr>
              <w:t>，</w:t>
            </w:r>
            <w:r>
              <w:rPr>
                <w:color w:val="000000"/>
                <w:szCs w:val="24"/>
              </w:rPr>
              <w:t>DTS</w:t>
            </w:r>
            <w:r>
              <w:rPr>
                <w:rFonts w:hint="eastAsia" w:ascii="宋体" w:hAnsi="宋体" w:cs="宋体"/>
                <w:color w:val="000000"/>
                <w:szCs w:val="24"/>
              </w:rPr>
              <w:t>，</w:t>
            </w:r>
            <w:r>
              <w:rPr>
                <w:color w:val="000000"/>
                <w:szCs w:val="24"/>
              </w:rPr>
              <w:t>DTSHD</w:t>
            </w:r>
          </w:p>
          <w:p>
            <w:pPr>
              <w:textAlignment w:val="center"/>
              <w:rPr>
                <w:color w:val="000000"/>
                <w:szCs w:val="24"/>
              </w:rPr>
            </w:pPr>
            <w:r>
              <w:rPr>
                <w:color w:val="000000"/>
                <w:szCs w:val="24"/>
              </w:rPr>
              <w:t>JPEG</w:t>
            </w:r>
            <w:r>
              <w:rPr>
                <w:rFonts w:hint="eastAsia" w:ascii="宋体" w:hAnsi="宋体" w:cs="宋体"/>
                <w:color w:val="000000"/>
                <w:szCs w:val="24"/>
              </w:rPr>
              <w:t>、</w:t>
            </w:r>
            <w:r>
              <w:rPr>
                <w:color w:val="000000"/>
                <w:szCs w:val="24"/>
              </w:rPr>
              <w:t>PNG</w:t>
            </w:r>
            <w:r>
              <w:rPr>
                <w:rFonts w:hint="eastAsia" w:ascii="宋体" w:hAnsi="宋体" w:cs="宋体"/>
                <w:color w:val="000000"/>
                <w:szCs w:val="24"/>
              </w:rPr>
              <w:t>、</w:t>
            </w:r>
            <w:r>
              <w:rPr>
                <w:color w:val="000000"/>
                <w:szCs w:val="24"/>
              </w:rPr>
              <w:t>BMP</w:t>
            </w:r>
            <w:r>
              <w:rPr>
                <w:rFonts w:hint="eastAsia" w:ascii="宋体" w:hAnsi="宋体" w:cs="宋体"/>
                <w:color w:val="000000"/>
                <w:szCs w:val="24"/>
              </w:rPr>
              <w:t>、</w:t>
            </w:r>
            <w:r>
              <w:rPr>
                <w:color w:val="000000"/>
                <w:szCs w:val="24"/>
              </w:rPr>
              <w:t>JIF</w:t>
            </w:r>
          </w:p>
          <w:p>
            <w:pPr>
              <w:textAlignment w:val="center"/>
              <w:rPr>
                <w:color w:val="000000"/>
                <w:szCs w:val="24"/>
              </w:rPr>
            </w:pPr>
            <w:r>
              <w:rPr>
                <w:color w:val="000000"/>
                <w:szCs w:val="24"/>
              </w:rPr>
              <w:t>1564*72*906</w:t>
            </w:r>
            <w:r>
              <w:rPr>
                <w:rFonts w:hint="eastAsia" w:ascii="宋体" w:hAnsi="宋体" w:cs="宋体"/>
                <w:color w:val="000000"/>
                <w:szCs w:val="24"/>
              </w:rPr>
              <w:t>；</w:t>
            </w:r>
            <w:r>
              <w:rPr>
                <w:color w:val="000000"/>
                <w:szCs w:val="24"/>
              </w:rPr>
              <w:t>1564*336*976</w:t>
            </w:r>
          </w:p>
          <w:p>
            <w:pPr>
              <w:textAlignment w:val="center"/>
              <w:rPr>
                <w:color w:val="000000"/>
                <w:szCs w:val="24"/>
              </w:rPr>
            </w:pPr>
            <w:r>
              <w:rPr>
                <w:color w:val="000000"/>
                <w:szCs w:val="24"/>
              </w:rPr>
              <w:t>24kg</w:t>
            </w:r>
            <w:r>
              <w:rPr>
                <w:rFonts w:hint="eastAsia" w:ascii="宋体" w:hAnsi="宋体" w:cs="宋体"/>
                <w:color w:val="000000"/>
                <w:szCs w:val="24"/>
              </w:rPr>
              <w:t>；</w:t>
            </w:r>
            <w:r>
              <w:rPr>
                <w:color w:val="000000"/>
                <w:szCs w:val="24"/>
              </w:rPr>
              <w:t>24.5kg</w:t>
            </w:r>
          </w:p>
          <w:p>
            <w:pPr>
              <w:textAlignment w:val="center"/>
              <w:rPr>
                <w:color w:val="000000"/>
                <w:szCs w:val="24"/>
              </w:rPr>
            </w:pPr>
            <w:r>
              <w:rPr>
                <w:color w:val="000000"/>
                <w:szCs w:val="24"/>
              </w:rPr>
              <w:t>260W</w:t>
            </w:r>
            <w:r>
              <w:rPr>
                <w:rFonts w:hint="eastAsia" w:ascii="宋体" w:hAnsi="宋体" w:cs="宋体"/>
                <w:color w:val="000000"/>
                <w:szCs w:val="24"/>
              </w:rPr>
              <w:t>；</w:t>
            </w:r>
            <w:r>
              <w:rPr>
                <w:color w:val="000000"/>
                <w:szCs w:val="24"/>
              </w:rPr>
              <w:t>3</w:t>
            </w:r>
            <w:r>
              <w:rPr>
                <w:rFonts w:hint="eastAsia" w:ascii="宋体" w:hAnsi="宋体" w:cs="宋体"/>
                <w:color w:val="000000"/>
                <w:szCs w:val="24"/>
              </w:rPr>
              <w:t>级；</w:t>
            </w:r>
            <w:r>
              <w:rPr>
                <w:color w:val="000000"/>
                <w:szCs w:val="24"/>
              </w:rPr>
              <w:t>≤0.5W</w:t>
            </w:r>
            <w:r>
              <w:rPr>
                <w:rFonts w:hint="eastAsia" w:ascii="宋体" w:hAnsi="宋体" w:cs="宋体"/>
                <w:color w:val="000000"/>
                <w:szCs w:val="24"/>
              </w:rPr>
              <w:t>；</w:t>
            </w:r>
            <w:r>
              <w:rPr>
                <w:color w:val="000000"/>
                <w:szCs w:val="24"/>
              </w:rPr>
              <w:t>220V</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台</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r>
      <w:tr>
        <w:tblPrEx>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11</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机房</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UPS</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szCs w:val="24"/>
              </w:rPr>
              <w:t>稳压、蓄电、防断电功能</w:t>
            </w:r>
            <w:r>
              <w:rPr>
                <w:color w:val="000000"/>
                <w:szCs w:val="24"/>
              </w:rPr>
              <w:t xml:space="preserve"> </w:t>
            </w:r>
            <w:r>
              <w:rPr>
                <w:rFonts w:hint="eastAsia" w:ascii="宋体" w:hAnsi="宋体" w:cs="宋体"/>
                <w:color w:val="000000"/>
                <w:szCs w:val="24"/>
              </w:rPr>
              <w:t>在线式</w:t>
            </w:r>
            <w:r>
              <w:rPr>
                <w:color w:val="000000"/>
                <w:szCs w:val="24"/>
              </w:rPr>
              <w:t>3000VA/2400W</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台</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r>
      <w:tr>
        <w:tblPrEx>
          <w:tblCellMar>
            <w:top w:w="0" w:type="dxa"/>
            <w:left w:w="108" w:type="dxa"/>
            <w:bottom w:w="0" w:type="dxa"/>
            <w:right w:w="108" w:type="dxa"/>
          </w:tblCellMar>
        </w:tblPrEx>
        <w:trPr>
          <w:trHeight w:val="61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12</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防火墙</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color w:val="000000"/>
                <w:szCs w:val="24"/>
              </w:rPr>
              <w:t>1</w:t>
            </w:r>
            <w:r>
              <w:rPr>
                <w:rFonts w:hint="eastAsia" w:ascii="宋体" w:hAnsi="宋体" w:cs="宋体"/>
                <w:color w:val="000000"/>
                <w:szCs w:val="24"/>
              </w:rPr>
              <w:t>、产品性能：整机吞吐量</w:t>
            </w:r>
            <w:r>
              <w:rPr>
                <w:color w:val="000000"/>
                <w:szCs w:val="24"/>
              </w:rPr>
              <w:t>≥5Gbps</w:t>
            </w:r>
            <w:r>
              <w:rPr>
                <w:rFonts w:hint="eastAsia" w:ascii="宋体" w:hAnsi="宋体" w:cs="宋体"/>
                <w:color w:val="000000"/>
                <w:szCs w:val="24"/>
              </w:rPr>
              <w:t>，并发连接数</w:t>
            </w:r>
            <w:r>
              <w:rPr>
                <w:color w:val="000000"/>
                <w:szCs w:val="24"/>
              </w:rPr>
              <w:t>≥100</w:t>
            </w:r>
            <w:r>
              <w:rPr>
                <w:rFonts w:hint="eastAsia" w:ascii="宋体" w:hAnsi="宋体" w:cs="宋体"/>
                <w:color w:val="000000"/>
                <w:szCs w:val="24"/>
              </w:rPr>
              <w:t>万，每秒新建连接数</w:t>
            </w:r>
            <w:r>
              <w:rPr>
                <w:color w:val="000000"/>
                <w:szCs w:val="24"/>
              </w:rPr>
              <w:t>≥5</w:t>
            </w:r>
            <w:r>
              <w:rPr>
                <w:rFonts w:hint="eastAsia" w:ascii="宋体" w:hAnsi="宋体" w:cs="宋体"/>
                <w:color w:val="000000"/>
                <w:szCs w:val="24"/>
              </w:rPr>
              <w:t>万</w:t>
            </w:r>
          </w:p>
          <w:p>
            <w:pPr>
              <w:textAlignment w:val="center"/>
              <w:rPr>
                <w:rFonts w:ascii="宋体" w:hAnsi="宋体" w:cs="宋体"/>
                <w:color w:val="000000"/>
                <w:szCs w:val="24"/>
              </w:rPr>
            </w:pPr>
            <w:r>
              <w:rPr>
                <w:color w:val="000000"/>
                <w:szCs w:val="24"/>
              </w:rPr>
              <w:t>2</w:t>
            </w:r>
            <w:r>
              <w:rPr>
                <w:rFonts w:hint="eastAsia" w:ascii="宋体" w:hAnsi="宋体" w:cs="宋体"/>
                <w:color w:val="000000"/>
                <w:szCs w:val="24"/>
              </w:rPr>
              <w:t>、设备接口：具备</w:t>
            </w:r>
            <w:r>
              <w:rPr>
                <w:color w:val="000000"/>
                <w:szCs w:val="24"/>
              </w:rPr>
              <w:t>8</w:t>
            </w:r>
            <w:r>
              <w:rPr>
                <w:rFonts w:hint="eastAsia" w:ascii="宋体" w:hAnsi="宋体" w:cs="宋体"/>
                <w:color w:val="000000"/>
                <w:szCs w:val="24"/>
              </w:rPr>
              <w:t>个千兆电口，</w:t>
            </w:r>
            <w:r>
              <w:rPr>
                <w:color w:val="000000"/>
                <w:szCs w:val="24"/>
              </w:rPr>
              <w:t>2</w:t>
            </w:r>
            <w:r>
              <w:rPr>
                <w:rFonts w:hint="eastAsia" w:ascii="宋体" w:hAnsi="宋体" w:cs="宋体"/>
                <w:color w:val="000000"/>
                <w:szCs w:val="24"/>
              </w:rPr>
              <w:t>个千兆光，支持</w:t>
            </w:r>
            <w:r>
              <w:rPr>
                <w:color w:val="000000"/>
                <w:szCs w:val="24"/>
              </w:rPr>
              <w:t>2</w:t>
            </w:r>
            <w:r>
              <w:rPr>
                <w:rFonts w:hint="eastAsia" w:ascii="宋体" w:hAnsi="宋体" w:cs="宋体"/>
                <w:color w:val="000000"/>
                <w:szCs w:val="24"/>
              </w:rPr>
              <w:t>个扩展插槽，</w:t>
            </w:r>
            <w:r>
              <w:rPr>
                <w:color w:val="000000"/>
                <w:szCs w:val="24"/>
              </w:rPr>
              <w:t>1U</w:t>
            </w:r>
            <w:r>
              <w:rPr>
                <w:rFonts w:hint="eastAsia" w:ascii="宋体" w:hAnsi="宋体" w:cs="宋体"/>
                <w:color w:val="000000"/>
                <w:szCs w:val="24"/>
              </w:rPr>
              <w:t>，双电源，提供设备配置的实物图片</w:t>
            </w:r>
          </w:p>
          <w:p>
            <w:pPr>
              <w:textAlignment w:val="center"/>
              <w:rPr>
                <w:rFonts w:ascii="宋体" w:hAnsi="宋体" w:cs="宋体"/>
                <w:color w:val="000000"/>
                <w:szCs w:val="24"/>
              </w:rPr>
            </w:pPr>
            <w:r>
              <w:rPr>
                <w:color w:val="000000"/>
                <w:szCs w:val="24"/>
              </w:rPr>
              <w:t>3</w:t>
            </w:r>
            <w:r>
              <w:rPr>
                <w:rFonts w:hint="eastAsia" w:ascii="宋体" w:hAnsi="宋体" w:cs="宋体"/>
                <w:color w:val="000000"/>
                <w:szCs w:val="24"/>
              </w:rPr>
              <w:t>、为便于运维，硬件面板应支持专门的一键重启按键，必要时可在不登录设备的情况下一键重启设备。</w:t>
            </w:r>
          </w:p>
          <w:p>
            <w:pPr>
              <w:textAlignment w:val="center"/>
              <w:rPr>
                <w:rFonts w:ascii="宋体" w:hAnsi="宋体" w:cs="宋体"/>
                <w:color w:val="000000"/>
                <w:szCs w:val="24"/>
              </w:rPr>
            </w:pPr>
            <w:r>
              <w:rPr>
                <w:color w:val="000000"/>
                <w:szCs w:val="24"/>
              </w:rPr>
              <w:t>4</w:t>
            </w:r>
            <w:r>
              <w:rPr>
                <w:rFonts w:hint="eastAsia" w:ascii="宋体" w:hAnsi="宋体" w:cs="宋体"/>
                <w:color w:val="000000"/>
                <w:szCs w:val="24"/>
              </w:rPr>
              <w:t>、基础功能：支持对被保护对象的流量进行分析，通过对流量日志的统计整理，智能生成包过滤策略，提高运维人员工作效率；支持对安全策略进行冗余分析；支持通过命令行的方式对设备内部的数据流进行分析，可快速定位造成故障的防火墙内部功能模块，便于进行故障排查（提供界面截图）；支持针对不同策略、不同流量修改</w:t>
            </w:r>
            <w:r>
              <w:rPr>
                <w:color w:val="000000"/>
                <w:szCs w:val="24"/>
              </w:rPr>
              <w:t>TCP</w:t>
            </w:r>
            <w:r>
              <w:rPr>
                <w:rFonts w:hint="eastAsia" w:ascii="宋体" w:hAnsi="宋体" w:cs="宋体"/>
                <w:color w:val="000000"/>
                <w:szCs w:val="24"/>
              </w:rPr>
              <w:t>，</w:t>
            </w:r>
            <w:r>
              <w:rPr>
                <w:color w:val="000000"/>
                <w:szCs w:val="24"/>
              </w:rPr>
              <w:t>UDP</w:t>
            </w:r>
            <w:r>
              <w:rPr>
                <w:rFonts w:hint="eastAsia" w:ascii="宋体" w:hAnsi="宋体" w:cs="宋体"/>
                <w:color w:val="000000"/>
                <w:szCs w:val="24"/>
              </w:rPr>
              <w:t>和</w:t>
            </w:r>
            <w:r>
              <w:rPr>
                <w:color w:val="000000"/>
                <w:szCs w:val="24"/>
              </w:rPr>
              <w:t>ICMP</w:t>
            </w:r>
            <w:r>
              <w:rPr>
                <w:rFonts w:hint="eastAsia" w:ascii="宋体" w:hAnsi="宋体" w:cs="宋体"/>
                <w:color w:val="000000"/>
                <w:szCs w:val="24"/>
              </w:rPr>
              <w:t>协议的连接超时时间；支持自动和手动备份，至少能够保存</w:t>
            </w:r>
            <w:r>
              <w:rPr>
                <w:color w:val="000000"/>
                <w:szCs w:val="24"/>
              </w:rPr>
              <w:t>10</w:t>
            </w:r>
            <w:r>
              <w:rPr>
                <w:rFonts w:hint="eastAsia" w:ascii="宋体" w:hAnsi="宋体" w:cs="宋体"/>
                <w:color w:val="000000"/>
                <w:szCs w:val="24"/>
              </w:rPr>
              <w:t>个的文件，支持配置回滚；支持</w:t>
            </w:r>
            <w:r>
              <w:rPr>
                <w:color w:val="000000"/>
                <w:szCs w:val="24"/>
              </w:rPr>
              <w:t>NTP</w:t>
            </w:r>
            <w:r>
              <w:rPr>
                <w:rFonts w:hint="eastAsia" w:ascii="宋体" w:hAnsi="宋体" w:cs="宋体"/>
                <w:color w:val="000000"/>
                <w:szCs w:val="24"/>
              </w:rPr>
              <w:t>协议，可作为</w:t>
            </w:r>
            <w:r>
              <w:rPr>
                <w:color w:val="000000"/>
                <w:szCs w:val="24"/>
              </w:rPr>
              <w:t>NTP Server</w:t>
            </w:r>
            <w:r>
              <w:rPr>
                <w:rFonts w:hint="eastAsia" w:ascii="宋体" w:hAnsi="宋体" w:cs="宋体"/>
                <w:color w:val="000000"/>
                <w:szCs w:val="24"/>
              </w:rPr>
              <w:t>，也可作为</w:t>
            </w:r>
            <w:r>
              <w:rPr>
                <w:color w:val="000000"/>
                <w:szCs w:val="24"/>
              </w:rPr>
              <w:t>Client</w:t>
            </w:r>
            <w:r>
              <w:rPr>
                <w:rFonts w:hint="eastAsia" w:ascii="宋体" w:hAnsi="宋体" w:cs="宋体"/>
                <w:color w:val="000000"/>
                <w:szCs w:val="24"/>
              </w:rPr>
              <w:t>设备；支持多虚一部署，可将两台物理设备虚拟化成一台逻辑上的设备，再将一台逻辑上的设备虚拟化成多个虚拟防火墙（提供界面截图）；</w:t>
            </w:r>
          </w:p>
          <w:p>
            <w:pPr>
              <w:textAlignment w:val="center"/>
              <w:rPr>
                <w:rFonts w:ascii="宋体" w:hAnsi="宋体" w:cs="宋体"/>
                <w:color w:val="000000"/>
                <w:szCs w:val="24"/>
              </w:rPr>
            </w:pPr>
            <w:r>
              <w:rPr>
                <w:color w:val="000000"/>
                <w:szCs w:val="24"/>
              </w:rPr>
              <w:t>7</w:t>
            </w:r>
            <w:r>
              <w:rPr>
                <w:rFonts w:hint="eastAsia" w:ascii="宋体" w:hAnsi="宋体" w:cs="宋体"/>
                <w:color w:val="000000"/>
                <w:szCs w:val="24"/>
              </w:rPr>
              <w:t>、产品资质：具备《计算机信息系统安全专用产品销售许可证</w:t>
            </w:r>
            <w:r>
              <w:rPr>
                <w:color w:val="000000"/>
                <w:szCs w:val="24"/>
              </w:rPr>
              <w:t>-</w:t>
            </w:r>
            <w:r>
              <w:rPr>
                <w:rFonts w:hint="eastAsia" w:ascii="宋体" w:hAnsi="宋体" w:cs="宋体"/>
                <w:color w:val="000000"/>
                <w:szCs w:val="24"/>
              </w:rPr>
              <w:t>增强级》；具备国家版权局颁发的《计算机软件著作权登记证书》；具备</w:t>
            </w:r>
            <w:r>
              <w:rPr>
                <w:color w:val="000000"/>
                <w:szCs w:val="24"/>
              </w:rPr>
              <w:t>IPv6 Forum</w:t>
            </w:r>
            <w:r>
              <w:rPr>
                <w:rFonts w:hint="eastAsia" w:ascii="宋体" w:hAnsi="宋体" w:cs="宋体"/>
                <w:color w:val="000000"/>
                <w:szCs w:val="24"/>
              </w:rPr>
              <w:t>《</w:t>
            </w:r>
            <w:r>
              <w:rPr>
                <w:color w:val="000000"/>
                <w:szCs w:val="24"/>
              </w:rPr>
              <w:t>IPv6 Ready Logo</w:t>
            </w:r>
            <w:r>
              <w:rPr>
                <w:rFonts w:hint="eastAsia" w:ascii="宋体" w:hAnsi="宋体" w:cs="宋体"/>
                <w:color w:val="000000"/>
                <w:szCs w:val="24"/>
              </w:rPr>
              <w:t>（</w:t>
            </w:r>
            <w:r>
              <w:rPr>
                <w:color w:val="000000"/>
                <w:szCs w:val="24"/>
              </w:rPr>
              <w:t>Phase-2</w:t>
            </w:r>
            <w:r>
              <w:rPr>
                <w:rFonts w:hint="eastAsia" w:ascii="宋体" w:hAnsi="宋体" w:cs="宋体"/>
                <w:color w:val="000000"/>
                <w:szCs w:val="24"/>
              </w:rPr>
              <w:t>）》资质；具有中国国家信息安全测评认证中心颁发的《信息技术产品安全测评证书－</w:t>
            </w:r>
            <w:r>
              <w:rPr>
                <w:color w:val="000000"/>
                <w:szCs w:val="24"/>
              </w:rPr>
              <w:t>EAL4+</w:t>
            </w:r>
            <w:r>
              <w:rPr>
                <w:rFonts w:hint="eastAsia" w:ascii="宋体" w:hAnsi="宋体" w:cs="宋体"/>
                <w:color w:val="000000"/>
                <w:szCs w:val="24"/>
              </w:rPr>
              <w:t>（千兆）》；具有中国信息安全认证中心颁发的《中国国家信息安全产品认证证书（</w:t>
            </w:r>
            <w:r>
              <w:rPr>
                <w:color w:val="000000"/>
                <w:szCs w:val="24"/>
              </w:rPr>
              <w:t>ISCCC</w:t>
            </w:r>
            <w:r>
              <w:rPr>
                <w:rFonts w:hint="eastAsia" w:ascii="宋体" w:hAnsi="宋体" w:cs="宋体"/>
                <w:color w:val="000000"/>
                <w:szCs w:val="24"/>
              </w:rPr>
              <w:t>千兆）》。</w:t>
            </w:r>
          </w:p>
          <w:p>
            <w:pPr>
              <w:textAlignment w:val="center"/>
              <w:rPr>
                <w:color w:val="000000"/>
                <w:szCs w:val="24"/>
              </w:rPr>
            </w:pPr>
            <w:r>
              <w:rPr>
                <w:color w:val="000000"/>
                <w:szCs w:val="24"/>
              </w:rPr>
              <w:t>10</w:t>
            </w:r>
            <w:r>
              <w:rPr>
                <w:rFonts w:hint="eastAsia" w:ascii="宋体" w:hAnsi="宋体" w:cs="宋体"/>
                <w:color w:val="000000"/>
                <w:szCs w:val="24"/>
              </w:rPr>
              <w:t>、其他：为统一管理及方便运维，需要与交换机同一品牌。</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台</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r>
      <w:tr>
        <w:tblPrEx>
          <w:tblCellMar>
            <w:top w:w="0" w:type="dxa"/>
            <w:left w:w="108" w:type="dxa"/>
            <w:bottom w:w="0" w:type="dxa"/>
            <w:right w:w="108" w:type="dxa"/>
          </w:tblCellMar>
        </w:tblPrEx>
        <w:trPr>
          <w:trHeight w:val="34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13</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机柜</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00"/>
                <w:szCs w:val="24"/>
              </w:rPr>
            </w:pPr>
            <w:r>
              <w:rPr>
                <w:color w:val="000000"/>
                <w:szCs w:val="24"/>
              </w:rPr>
              <w:t>42U</w:t>
            </w:r>
            <w:r>
              <w:rPr>
                <w:rFonts w:hint="eastAsia" w:ascii="宋体" w:hAnsi="宋体" w:cs="宋体"/>
                <w:color w:val="000000"/>
                <w:szCs w:val="24"/>
              </w:rPr>
              <w:t>机柜</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套</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2</w:t>
            </w:r>
          </w:p>
        </w:tc>
      </w:tr>
      <w:tr>
        <w:tblPrEx>
          <w:tblCellMar>
            <w:top w:w="0" w:type="dxa"/>
            <w:left w:w="108" w:type="dxa"/>
            <w:bottom w:w="0" w:type="dxa"/>
            <w:right w:w="108" w:type="dxa"/>
          </w:tblCellMar>
        </w:tblPrEx>
        <w:trPr>
          <w:trHeight w:val="6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14</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机柜</w:t>
            </w:r>
            <w:r>
              <w:rPr>
                <w:color w:val="000000"/>
                <w:szCs w:val="24"/>
              </w:rPr>
              <w:t>PDU</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szCs w:val="24"/>
              </w:rPr>
              <w:t>国标专业机柜电源</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个</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8</w:t>
            </w:r>
          </w:p>
        </w:tc>
      </w:tr>
      <w:tr>
        <w:tblPrEx>
          <w:tblCellMar>
            <w:top w:w="0" w:type="dxa"/>
            <w:left w:w="108" w:type="dxa"/>
            <w:bottom w:w="0" w:type="dxa"/>
            <w:right w:w="108" w:type="dxa"/>
          </w:tblCellMar>
        </w:tblPrEx>
        <w:trPr>
          <w:trHeight w:val="94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15</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交换机</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00"/>
                <w:szCs w:val="24"/>
              </w:rPr>
            </w:pPr>
            <w:r>
              <w:rPr>
                <w:color w:val="000000"/>
                <w:szCs w:val="24"/>
              </w:rPr>
              <w:t>1、产品性能：交换容量≥598Gbps，整机转发性能≥174Mpps  配置：千兆电口≥24个；万兆光口≥6个</w:t>
            </w:r>
          </w:p>
          <w:p>
            <w:pPr>
              <w:textAlignment w:val="center"/>
              <w:rPr>
                <w:color w:val="000000"/>
                <w:szCs w:val="24"/>
              </w:rPr>
            </w:pPr>
            <w:r>
              <w:rPr>
                <w:color w:val="000000"/>
                <w:szCs w:val="24"/>
              </w:rPr>
              <w:t>2、节能环保：为节能环保考虑，整机功耗≤60W</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台</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2</w:t>
            </w:r>
          </w:p>
        </w:tc>
      </w:tr>
      <w:tr>
        <w:tblPrEx>
          <w:tblCellMar>
            <w:top w:w="0" w:type="dxa"/>
            <w:left w:w="108" w:type="dxa"/>
            <w:bottom w:w="0" w:type="dxa"/>
            <w:right w:w="108" w:type="dxa"/>
          </w:tblCellMar>
        </w:tblPrEx>
        <w:trPr>
          <w:trHeight w:val="38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16</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平板</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00"/>
                <w:szCs w:val="24"/>
              </w:rPr>
            </w:pPr>
            <w:r>
              <w:rPr>
                <w:color w:val="000000"/>
                <w:szCs w:val="24"/>
              </w:rPr>
              <w:t>8.4</w:t>
            </w:r>
            <w:r>
              <w:rPr>
                <w:rFonts w:hint="eastAsia" w:ascii="宋体" w:hAnsi="宋体" w:cs="宋体"/>
                <w:color w:val="000000"/>
                <w:szCs w:val="24"/>
              </w:rPr>
              <w:t>英寸、</w:t>
            </w:r>
            <w:r>
              <w:rPr>
                <w:color w:val="000000"/>
                <w:szCs w:val="24"/>
              </w:rPr>
              <w:t>WIFI</w:t>
            </w:r>
            <w:r>
              <w:rPr>
                <w:rFonts w:hint="eastAsia" w:ascii="宋体" w:hAnsi="宋体" w:cs="宋体"/>
                <w:color w:val="000000"/>
                <w:szCs w:val="24"/>
              </w:rPr>
              <w:t>、</w:t>
            </w:r>
            <w:r>
              <w:rPr>
                <w:color w:val="000000"/>
                <w:szCs w:val="24"/>
              </w:rPr>
              <w:t>128G</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台</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r>
      <w:tr>
        <w:tblPrEx>
          <w:tblCellMar>
            <w:top w:w="0" w:type="dxa"/>
            <w:left w:w="108" w:type="dxa"/>
            <w:bottom w:w="0" w:type="dxa"/>
            <w:right w:w="108" w:type="dxa"/>
          </w:tblCellMar>
        </w:tblPrEx>
        <w:trPr>
          <w:trHeight w:val="157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17</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无线控制器</w:t>
            </w:r>
            <w:r>
              <w:rPr>
                <w:color w:val="000000"/>
                <w:szCs w:val="24"/>
              </w:rPr>
              <w:t>AC</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00"/>
                <w:szCs w:val="24"/>
              </w:rPr>
            </w:pPr>
            <w:r>
              <w:rPr>
                <w:color w:val="000000"/>
                <w:szCs w:val="24"/>
              </w:rPr>
              <w:t>1、端口要求：千兆电口≥8；千兆光口≥2；</w:t>
            </w:r>
          </w:p>
          <w:p>
            <w:pPr>
              <w:textAlignment w:val="center"/>
              <w:rPr>
                <w:color w:val="000000"/>
                <w:szCs w:val="24"/>
              </w:rPr>
            </w:pPr>
            <w:r>
              <w:rPr>
                <w:color w:val="000000"/>
                <w:szCs w:val="24"/>
              </w:rPr>
              <w:t>2、功能要求： 支持最大管理AP数量≥128，本次配置无线接入点管理授权≥32；支持集中式和本地转发模式；                                     3、工作温度：-10℃-55℃,；</w:t>
            </w:r>
          </w:p>
          <w:p>
            <w:pPr>
              <w:textAlignment w:val="center"/>
              <w:rPr>
                <w:color w:val="000000"/>
                <w:szCs w:val="24"/>
              </w:rPr>
            </w:pPr>
            <w:r>
              <w:rPr>
                <w:color w:val="000000"/>
                <w:szCs w:val="24"/>
              </w:rPr>
              <w:t>4、路由协议：支持静态路由、RIP、OSPF、BGP</w:t>
            </w:r>
          </w:p>
          <w:p>
            <w:pPr>
              <w:textAlignment w:val="center"/>
              <w:rPr>
                <w:color w:val="000000"/>
                <w:szCs w:val="24"/>
              </w:rPr>
            </w:pPr>
            <w:r>
              <w:rPr>
                <w:color w:val="000000"/>
                <w:szCs w:val="24"/>
              </w:rPr>
              <w:t>5、转发模式：支持集中式和分布式转发模式</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台</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r>
      <w:tr>
        <w:tblPrEx>
          <w:tblCellMar>
            <w:top w:w="0" w:type="dxa"/>
            <w:left w:w="108" w:type="dxa"/>
            <w:bottom w:w="0" w:type="dxa"/>
            <w:right w:w="108" w:type="dxa"/>
          </w:tblCellMar>
        </w:tblPrEx>
        <w:trPr>
          <w:trHeight w:val="66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18</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无限</w:t>
            </w:r>
            <w:r>
              <w:rPr>
                <w:color w:val="000000"/>
                <w:szCs w:val="24"/>
              </w:rPr>
              <w:t>AP</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00"/>
                <w:szCs w:val="24"/>
              </w:rPr>
            </w:pPr>
            <w:r>
              <w:rPr>
                <w:color w:val="000000"/>
                <w:szCs w:val="24"/>
              </w:rPr>
              <w:t>1、配置要求：提供不少于1个千兆RJ45接口</w:t>
            </w:r>
          </w:p>
          <w:p>
            <w:pPr>
              <w:textAlignment w:val="center"/>
              <w:rPr>
                <w:color w:val="000000"/>
                <w:szCs w:val="24"/>
              </w:rPr>
            </w:pPr>
            <w:r>
              <w:rPr>
                <w:color w:val="000000"/>
                <w:szCs w:val="24"/>
              </w:rPr>
              <w:t>2、技术要求：支持IEEE 802.11a/b/g/n/ac,2×2 MIMO技术，内置天线可工作在2.4G和5G频段,最大理论速率不小于1.167Gbps</w:t>
            </w:r>
          </w:p>
          <w:p>
            <w:pPr>
              <w:textAlignment w:val="center"/>
              <w:rPr>
                <w:color w:val="000000"/>
                <w:szCs w:val="24"/>
              </w:rPr>
            </w:pPr>
            <w:r>
              <w:rPr>
                <w:color w:val="000000"/>
                <w:szCs w:val="24"/>
              </w:rPr>
              <w:t>3、用户隔离：实现同一AP下用户隔离，隔离用户不能相互访问；能够和无线控制器协调实现不同AP下用户的隔离功能</w:t>
            </w:r>
          </w:p>
          <w:p>
            <w:pPr>
              <w:textAlignment w:val="center"/>
              <w:rPr>
                <w:color w:val="000000"/>
                <w:szCs w:val="24"/>
              </w:rPr>
            </w:pPr>
            <w:r>
              <w:rPr>
                <w:color w:val="000000"/>
                <w:szCs w:val="24"/>
              </w:rPr>
              <w:t>4、速率限制：可自定义配置802.11a/b/g/n/ac无线速率集，禁止低速率如11b等用户连接，提供配置界面截图</w:t>
            </w:r>
          </w:p>
          <w:p>
            <w:pPr>
              <w:textAlignment w:val="center"/>
              <w:rPr>
                <w:color w:val="000000"/>
                <w:szCs w:val="24"/>
              </w:rPr>
            </w:pPr>
            <w:r>
              <w:rPr>
                <w:color w:val="000000"/>
                <w:szCs w:val="24"/>
              </w:rPr>
              <w:t>5、频谱导航：支持双频工作的客户端优先接入5GHz射频，提高网性能，提供配置界面截图</w:t>
            </w:r>
          </w:p>
          <w:p>
            <w:pPr>
              <w:textAlignment w:val="center"/>
              <w:rPr>
                <w:color w:val="000000"/>
                <w:szCs w:val="24"/>
              </w:rPr>
            </w:pPr>
            <w:r>
              <w:rPr>
                <w:color w:val="000000"/>
                <w:szCs w:val="24"/>
              </w:rPr>
              <w:t>6、AC、AP跨NAT关联：AC和AP之间只要路由可达，就能关联上线</w:t>
            </w:r>
          </w:p>
          <w:p>
            <w:pPr>
              <w:textAlignment w:val="center"/>
              <w:rPr>
                <w:color w:val="000000"/>
                <w:szCs w:val="24"/>
              </w:rPr>
            </w:pPr>
            <w:r>
              <w:rPr>
                <w:color w:val="000000"/>
                <w:szCs w:val="24"/>
              </w:rPr>
              <w:t>7、无线流控：可以对用户进行流控限速，防止某一用户流量过大，影响其他用户的上网体验，提供配置界面截图</w:t>
            </w:r>
          </w:p>
          <w:p>
            <w:pPr>
              <w:textAlignment w:val="center"/>
              <w:rPr>
                <w:color w:val="000000"/>
                <w:szCs w:val="24"/>
              </w:rPr>
            </w:pPr>
            <w:r>
              <w:rPr>
                <w:color w:val="000000"/>
                <w:szCs w:val="24"/>
              </w:rPr>
              <w:t>8、组播转单播：AC上开启组播转单播功能后，AP自动将组播报文转为单播报文发送给每个用户，有效提高组播报文发送速率，提供配置界面截图</w:t>
            </w:r>
          </w:p>
          <w:p>
            <w:pPr>
              <w:textAlignment w:val="center"/>
              <w:rPr>
                <w:color w:val="000000"/>
                <w:szCs w:val="24"/>
              </w:rPr>
            </w:pPr>
            <w:r>
              <w:rPr>
                <w:color w:val="000000"/>
                <w:szCs w:val="24"/>
              </w:rPr>
              <w:t xml:space="preserve">9、SSID定时：SSID可以自定义开启与关闭时间，提供配置界面截图                    </w:t>
            </w:r>
          </w:p>
          <w:p>
            <w:pPr>
              <w:textAlignment w:val="center"/>
              <w:rPr>
                <w:color w:val="000000"/>
                <w:szCs w:val="24"/>
              </w:rPr>
            </w:pPr>
            <w:r>
              <w:rPr>
                <w:color w:val="000000"/>
                <w:szCs w:val="24"/>
              </w:rPr>
              <w:t>10、网络模式选择：支持ADSL路由模式、AP模式、中继模式、终端模式，提供配置界面截图</w:t>
            </w:r>
          </w:p>
          <w:p>
            <w:pPr>
              <w:textAlignment w:val="center"/>
              <w:rPr>
                <w:color w:val="000000"/>
                <w:szCs w:val="24"/>
              </w:rPr>
            </w:pPr>
            <w:r>
              <w:rPr>
                <w:color w:val="000000"/>
                <w:szCs w:val="24"/>
              </w:rPr>
              <w:t>11、电子围栏：可扫描到设备周围连接WIFI的移动终端MAC地址，上报给电子围栏服务器，提供配置界面截图</w:t>
            </w:r>
          </w:p>
          <w:p>
            <w:pPr>
              <w:textAlignment w:val="center"/>
              <w:rPr>
                <w:color w:val="000000"/>
                <w:szCs w:val="24"/>
              </w:rPr>
            </w:pPr>
            <w:r>
              <w:rPr>
                <w:color w:val="000000"/>
                <w:szCs w:val="24"/>
              </w:rPr>
              <w:t>12、电源：支持48V电源适配器供电；支持PoE供电</w:t>
            </w:r>
          </w:p>
          <w:p>
            <w:pPr>
              <w:textAlignment w:val="center"/>
              <w:rPr>
                <w:color w:val="000000"/>
                <w:szCs w:val="24"/>
              </w:rPr>
            </w:pPr>
            <w:r>
              <w:rPr>
                <w:color w:val="000000"/>
                <w:szCs w:val="24"/>
              </w:rPr>
              <w:t>13、安装：提供吸顶式或壁挂式安装</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台</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10</w:t>
            </w:r>
          </w:p>
        </w:tc>
      </w:tr>
      <w:tr>
        <w:tblPrEx>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19</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显示器</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00"/>
                <w:szCs w:val="24"/>
              </w:rPr>
            </w:pPr>
            <w:r>
              <w:rPr>
                <w:color w:val="000000"/>
                <w:szCs w:val="24"/>
              </w:rPr>
              <w:t>21.5</w:t>
            </w:r>
            <w:r>
              <w:rPr>
                <w:rFonts w:hint="eastAsia" w:ascii="宋体" w:hAnsi="宋体" w:cs="宋体"/>
                <w:color w:val="000000"/>
                <w:szCs w:val="24"/>
              </w:rPr>
              <w:t>寸，高清分辨率</w:t>
            </w:r>
            <w:r>
              <w:rPr>
                <w:color w:val="000000"/>
                <w:szCs w:val="24"/>
              </w:rPr>
              <w:t>1920*1080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台</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r>
      <w:tr>
        <w:tblPrEx>
          <w:tblCellMar>
            <w:top w:w="0" w:type="dxa"/>
            <w:left w:w="108" w:type="dxa"/>
            <w:bottom w:w="0" w:type="dxa"/>
            <w:right w:w="108" w:type="dxa"/>
          </w:tblCellMar>
        </w:tblPrEx>
        <w:trPr>
          <w:trHeight w:val="6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20</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无线键鼠</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szCs w:val="24"/>
              </w:rPr>
              <w:t>联想无线键鼠</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套</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r>
      <w:tr>
        <w:tblPrEx>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21</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智能电箱</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szCs w:val="24"/>
              </w:rPr>
              <w:t>智能电箱</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台</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r>
      <w:tr>
        <w:tblPrEx>
          <w:tblCellMar>
            <w:top w:w="0" w:type="dxa"/>
            <w:left w:w="108" w:type="dxa"/>
            <w:bottom w:w="0" w:type="dxa"/>
            <w:right w:w="108" w:type="dxa"/>
          </w:tblCellMar>
        </w:tblPrEx>
        <w:trPr>
          <w:trHeight w:val="8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22</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中控服务器</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szCs w:val="24"/>
              </w:rPr>
              <w:t>功能：支持对展厅硬件设备的管理和控制，支持云端素材同步</w:t>
            </w:r>
          </w:p>
          <w:p>
            <w:pPr>
              <w:textAlignment w:val="center"/>
              <w:rPr>
                <w:rFonts w:ascii="宋体" w:hAnsi="宋体" w:cs="宋体"/>
                <w:color w:val="000000"/>
                <w:szCs w:val="24"/>
              </w:rPr>
            </w:pPr>
            <w:r>
              <w:rPr>
                <w:rFonts w:hint="eastAsia" w:ascii="宋体" w:hAnsi="宋体" w:cs="宋体"/>
                <w:color w:val="000000"/>
                <w:szCs w:val="24"/>
              </w:rPr>
              <w:t>设备配置：高配，支持64路播控，256路终端控制，512G多媒体存储</w:t>
            </w:r>
          </w:p>
          <w:p>
            <w:pPr>
              <w:textAlignment w:val="center"/>
              <w:rPr>
                <w:rFonts w:ascii="宋体" w:hAnsi="宋体" w:cs="宋体"/>
                <w:color w:val="000000"/>
                <w:szCs w:val="24"/>
              </w:rPr>
            </w:pPr>
            <w:r>
              <w:rPr>
                <w:rFonts w:hint="eastAsia" w:ascii="宋体" w:hAnsi="宋体" w:cs="宋体"/>
                <w:color w:val="000000"/>
                <w:szCs w:val="24"/>
              </w:rPr>
              <w:t>通讯方式：8路RJ45接口，支持RS232模式和RS485模式自由转换</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台</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r>
      <w:tr>
        <w:tblPrEx>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23</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辅料</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szCs w:val="24"/>
              </w:rPr>
              <w:t>电源线、网线、管材、线缆、接插件、转接头、信号传输器水晶头等辅材</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套</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r>
      <w:tr>
        <w:tblPrEx>
          <w:tblCellMar>
            <w:top w:w="0" w:type="dxa"/>
            <w:left w:w="108" w:type="dxa"/>
            <w:bottom w:w="0" w:type="dxa"/>
            <w:right w:w="108" w:type="dxa"/>
          </w:tblCellMar>
        </w:tblPrEx>
        <w:trPr>
          <w:trHeight w:val="441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24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中控系统</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标准必选服务</w:t>
            </w: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00"/>
                <w:szCs w:val="24"/>
              </w:rPr>
            </w:pPr>
            <w:r>
              <w:rPr>
                <w:color w:val="000000"/>
                <w:szCs w:val="24"/>
              </w:rPr>
              <w:t>1、具备服务管理功能、集中控制服务功能。实现各功能服务模块管理，启停。设备集中联接，协议转换等。</w:t>
            </w:r>
          </w:p>
          <w:p>
            <w:pPr>
              <w:textAlignment w:val="center"/>
              <w:rPr>
                <w:color w:val="000000"/>
                <w:szCs w:val="24"/>
              </w:rPr>
            </w:pPr>
            <w:r>
              <w:rPr>
                <w:color w:val="000000"/>
                <w:szCs w:val="24"/>
              </w:rPr>
              <w:t>2、根据控制指令，播放不同的媒体内容，如：视频、图片、程序、网址，PPT等。并对音量，视频进度进行控制。支持播控内容一键切换。</w:t>
            </w:r>
          </w:p>
          <w:p>
            <w:pPr>
              <w:textAlignment w:val="center"/>
              <w:rPr>
                <w:color w:val="000000"/>
                <w:szCs w:val="24"/>
              </w:rPr>
            </w:pPr>
            <w:r>
              <w:rPr>
                <w:color w:val="000000"/>
                <w:szCs w:val="24"/>
              </w:rPr>
              <w:t>3、系统后台预案编辑功能包括：对展厅多媒体素材和播放形式进行设置，配置屏幕显示形式等。</w:t>
            </w:r>
          </w:p>
          <w:p>
            <w:pPr>
              <w:textAlignment w:val="center"/>
              <w:rPr>
                <w:color w:val="000000"/>
                <w:szCs w:val="24"/>
              </w:rPr>
            </w:pPr>
            <w:r>
              <w:rPr>
                <w:color w:val="000000"/>
                <w:szCs w:val="24"/>
              </w:rPr>
              <w:t>4、系统设备管理功能，对设备进行控制并可对运行状态进行监控。</w:t>
            </w:r>
          </w:p>
          <w:p>
            <w:pPr>
              <w:textAlignment w:val="center"/>
              <w:rPr>
                <w:color w:val="000000"/>
                <w:szCs w:val="24"/>
              </w:rPr>
            </w:pPr>
            <w:r>
              <w:rPr>
                <w:color w:val="000000"/>
                <w:szCs w:val="24"/>
              </w:rPr>
              <w:t>5、多媒体素材管理。</w:t>
            </w:r>
          </w:p>
          <w:p>
            <w:pPr>
              <w:textAlignment w:val="center"/>
              <w:rPr>
                <w:color w:val="000000"/>
                <w:szCs w:val="24"/>
              </w:rPr>
            </w:pPr>
            <w:r>
              <w:rPr>
                <w:color w:val="000000"/>
                <w:szCs w:val="24"/>
              </w:rPr>
              <w:t>6、第三方设备协议存储、转换功能：对第三方设备提供接口接入，对第三方协议进行存储，管理。</w:t>
            </w:r>
          </w:p>
          <w:p>
            <w:pPr>
              <w:textAlignment w:val="center"/>
              <w:rPr>
                <w:color w:val="000000"/>
                <w:szCs w:val="24"/>
              </w:rPr>
            </w:pPr>
            <w:r>
              <w:rPr>
                <w:color w:val="000000"/>
                <w:szCs w:val="24"/>
              </w:rPr>
              <w:t>7、支持多预案，可支持主题设置，一键切换主题。展区所有设备播放内容依据设定主题同时更换播放内容。</w:t>
            </w:r>
          </w:p>
          <w:p>
            <w:pPr>
              <w:textAlignment w:val="center"/>
              <w:rPr>
                <w:color w:val="000000"/>
                <w:szCs w:val="24"/>
              </w:rPr>
            </w:pPr>
            <w:r>
              <w:rPr>
                <w:color w:val="000000"/>
                <w:szCs w:val="24"/>
              </w:rPr>
              <w:t>8、支持虚拟键鼠功能。</w:t>
            </w:r>
          </w:p>
          <w:p>
            <w:pPr>
              <w:textAlignment w:val="center"/>
              <w:rPr>
                <w:color w:val="000000"/>
                <w:szCs w:val="24"/>
              </w:rPr>
            </w:pPr>
            <w:r>
              <w:rPr>
                <w:color w:val="000000"/>
                <w:szCs w:val="24"/>
              </w:rPr>
              <w:t>9、支持欢迎词编辑。</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套</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r>
      <w:tr>
        <w:tblPrEx>
          <w:tblCellMar>
            <w:top w:w="0" w:type="dxa"/>
            <w:left w:w="108" w:type="dxa"/>
            <w:bottom w:w="0" w:type="dxa"/>
            <w:right w:w="108" w:type="dxa"/>
          </w:tblCellMar>
        </w:tblPrEx>
        <w:trPr>
          <w:trHeight w:val="314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27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系统集成</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4"/>
              </w:rPr>
            </w:pPr>
          </w:p>
        </w:tc>
        <w:tc>
          <w:tcPr>
            <w:tcW w:w="300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szCs w:val="24"/>
              </w:rPr>
              <w:t>单点系统部署：安装、调测，环境变量配置等；</w:t>
            </w:r>
          </w:p>
          <w:p>
            <w:pPr>
              <w:textAlignment w:val="center"/>
              <w:rPr>
                <w:rFonts w:ascii="宋体" w:hAnsi="宋体" w:cs="宋体"/>
                <w:color w:val="000000"/>
                <w:szCs w:val="24"/>
              </w:rPr>
            </w:pPr>
            <w:r>
              <w:rPr>
                <w:rFonts w:hint="eastAsia" w:ascii="宋体" w:hAnsi="宋体" w:cs="宋体"/>
                <w:color w:val="000000"/>
                <w:szCs w:val="24"/>
              </w:rPr>
              <w:t>多媒体内容上云管理；</w:t>
            </w:r>
          </w:p>
          <w:p>
            <w:pPr>
              <w:textAlignment w:val="center"/>
              <w:rPr>
                <w:rFonts w:ascii="宋体" w:hAnsi="宋体" w:cs="宋体"/>
                <w:color w:val="000000"/>
                <w:szCs w:val="24"/>
              </w:rPr>
            </w:pPr>
            <w:r>
              <w:rPr>
                <w:rFonts w:hint="eastAsia" w:ascii="宋体" w:hAnsi="宋体" w:cs="宋体"/>
                <w:color w:val="000000"/>
                <w:szCs w:val="24"/>
              </w:rPr>
              <w:t>单套预案编辑，场景设置；</w:t>
            </w:r>
          </w:p>
          <w:p>
            <w:pPr>
              <w:textAlignment w:val="center"/>
              <w:rPr>
                <w:rFonts w:ascii="宋体" w:hAnsi="宋体" w:cs="宋体"/>
                <w:color w:val="000000"/>
                <w:szCs w:val="24"/>
              </w:rPr>
            </w:pPr>
            <w:r>
              <w:rPr>
                <w:rFonts w:hint="eastAsia" w:ascii="宋体" w:hAnsi="宋体" w:cs="宋体"/>
                <w:color w:val="000000"/>
                <w:szCs w:val="24"/>
              </w:rPr>
              <w:t>系统组网联调；</w:t>
            </w:r>
          </w:p>
          <w:p>
            <w:pPr>
              <w:textAlignment w:val="center"/>
              <w:rPr>
                <w:rFonts w:ascii="宋体" w:hAnsi="宋体" w:cs="宋体"/>
                <w:color w:val="000000"/>
                <w:szCs w:val="24"/>
              </w:rPr>
            </w:pPr>
            <w:r>
              <w:rPr>
                <w:rFonts w:hint="eastAsia" w:ascii="宋体" w:hAnsi="宋体" w:cs="宋体"/>
                <w:color w:val="000000"/>
                <w:szCs w:val="24"/>
              </w:rPr>
              <w:t>控制端配套调测（如有定制开发费用另计）；</w:t>
            </w:r>
          </w:p>
          <w:p>
            <w:pPr>
              <w:textAlignment w:val="center"/>
              <w:rPr>
                <w:rFonts w:ascii="宋体" w:hAnsi="宋体" w:cs="宋体"/>
                <w:color w:val="000000"/>
                <w:szCs w:val="24"/>
              </w:rPr>
            </w:pPr>
            <w:r>
              <w:rPr>
                <w:rFonts w:hint="eastAsia" w:ascii="宋体" w:hAnsi="宋体" w:cs="宋体"/>
                <w:color w:val="000000"/>
                <w:szCs w:val="24"/>
              </w:rPr>
              <w:t>三方程序对接调测（如有定制开发费用另计）；</w:t>
            </w:r>
          </w:p>
          <w:p>
            <w:pPr>
              <w:textAlignment w:val="center"/>
              <w:rPr>
                <w:rFonts w:ascii="宋体" w:hAnsi="宋体" w:cs="宋体"/>
                <w:color w:val="000000"/>
                <w:szCs w:val="24"/>
              </w:rPr>
            </w:pPr>
            <w:r>
              <w:rPr>
                <w:rFonts w:hint="eastAsia" w:ascii="宋体" w:hAnsi="宋体" w:cs="宋体"/>
                <w:color w:val="000000"/>
                <w:szCs w:val="24"/>
              </w:rPr>
              <w:t>三方设备对接调测（如有定制开发费用另计）；</w:t>
            </w:r>
          </w:p>
          <w:p>
            <w:pPr>
              <w:textAlignment w:val="center"/>
              <w:rPr>
                <w:rFonts w:ascii="宋体" w:hAnsi="宋体" w:cs="宋体"/>
                <w:color w:val="000000"/>
                <w:szCs w:val="24"/>
              </w:rPr>
            </w:pPr>
            <w:r>
              <w:rPr>
                <w:rFonts w:hint="eastAsia" w:ascii="宋体" w:hAnsi="宋体" w:cs="宋体"/>
                <w:color w:val="000000"/>
                <w:szCs w:val="24"/>
              </w:rPr>
              <w:t>现场培训。</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szCs w:val="24"/>
              </w:rPr>
              <w:t>套</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1</w:t>
            </w:r>
          </w:p>
        </w:tc>
      </w:tr>
    </w:tbl>
    <w:p>
      <w:r>
        <w:rPr>
          <w:rFonts w:hint="eastAsia"/>
        </w:rPr>
        <w:t>7、服务器及网络专线</w:t>
      </w:r>
    </w:p>
    <w:tbl>
      <w:tblPr>
        <w:tblStyle w:val="27"/>
        <w:tblW w:w="5393" w:type="pct"/>
        <w:tblInd w:w="-5" w:type="dxa"/>
        <w:tblLayout w:type="fixed"/>
        <w:tblCellMar>
          <w:top w:w="0" w:type="dxa"/>
          <w:left w:w="108" w:type="dxa"/>
          <w:bottom w:w="0" w:type="dxa"/>
          <w:right w:w="108" w:type="dxa"/>
        </w:tblCellMar>
      </w:tblPr>
      <w:tblGrid>
        <w:gridCol w:w="637"/>
        <w:gridCol w:w="753"/>
        <w:gridCol w:w="793"/>
        <w:gridCol w:w="5673"/>
        <w:gridCol w:w="725"/>
        <w:gridCol w:w="1020"/>
      </w:tblGrid>
      <w:tr>
        <w:tblPrEx>
          <w:tblCellMar>
            <w:top w:w="0" w:type="dxa"/>
            <w:left w:w="108" w:type="dxa"/>
            <w:bottom w:w="0" w:type="dxa"/>
            <w:right w:w="108" w:type="dxa"/>
          </w:tblCellMar>
        </w:tblPrEx>
        <w:trPr>
          <w:trHeight w:val="96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序号</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设备名称</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用途</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规格配置详细说明</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单位</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数量</w:t>
            </w:r>
          </w:p>
        </w:tc>
      </w:tr>
      <w:tr>
        <w:tblPrEx>
          <w:tblCellMar>
            <w:top w:w="0" w:type="dxa"/>
            <w:left w:w="108" w:type="dxa"/>
            <w:bottom w:w="0" w:type="dxa"/>
            <w:right w:w="108" w:type="dxa"/>
          </w:tblCellMar>
        </w:tblPrEx>
        <w:trPr>
          <w:trHeight w:val="740" w:hRule="atLeast"/>
        </w:trPr>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1</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政府云服务器</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存储服务器</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00"/>
                <w:szCs w:val="24"/>
              </w:rPr>
            </w:pPr>
            <w:r>
              <w:rPr>
                <w:color w:val="000000"/>
                <w:kern w:val="0"/>
                <w:sz w:val="24"/>
                <w:szCs w:val="24"/>
              </w:rPr>
              <w:t>CPU</w:t>
            </w:r>
            <w:r>
              <w:rPr>
                <w:rFonts w:hint="eastAsia" w:ascii="宋体" w:hAnsi="宋体" w:cs="宋体"/>
                <w:color w:val="000000"/>
                <w:kern w:val="0"/>
                <w:sz w:val="24"/>
                <w:szCs w:val="24"/>
              </w:rPr>
              <w:t>：</w:t>
            </w:r>
            <w:r>
              <w:rPr>
                <w:color w:val="000000"/>
                <w:kern w:val="0"/>
                <w:sz w:val="24"/>
                <w:szCs w:val="24"/>
              </w:rPr>
              <w:t>4</w:t>
            </w:r>
            <w:r>
              <w:rPr>
                <w:rFonts w:hint="eastAsia" w:ascii="宋体" w:hAnsi="宋体" w:cs="宋体"/>
                <w:color w:val="000000"/>
                <w:kern w:val="0"/>
                <w:sz w:val="24"/>
                <w:szCs w:val="24"/>
              </w:rPr>
              <w:t>核；内存：</w:t>
            </w:r>
            <w:r>
              <w:rPr>
                <w:color w:val="000000"/>
                <w:kern w:val="0"/>
                <w:sz w:val="24"/>
                <w:szCs w:val="24"/>
              </w:rPr>
              <w:t>8G</w:t>
            </w:r>
            <w:r>
              <w:rPr>
                <w:rFonts w:hint="eastAsia" w:ascii="宋体" w:hAnsi="宋体" w:cs="宋体"/>
                <w:color w:val="000000"/>
                <w:kern w:val="0"/>
                <w:sz w:val="24"/>
                <w:szCs w:val="24"/>
              </w:rPr>
              <w:t>；磁盘：数据盘</w:t>
            </w:r>
            <w:r>
              <w:rPr>
                <w:color w:val="000000"/>
                <w:kern w:val="0"/>
                <w:sz w:val="24"/>
                <w:szCs w:val="24"/>
              </w:rPr>
              <w:t>300G</w:t>
            </w:r>
            <w:r>
              <w:rPr>
                <w:rFonts w:hint="eastAsia" w:ascii="宋体" w:hAnsi="宋体" w:cs="宋体"/>
                <w:color w:val="000000"/>
                <w:kern w:val="0"/>
                <w:sz w:val="24"/>
                <w:szCs w:val="24"/>
              </w:rPr>
              <w:t>；带宽：</w:t>
            </w:r>
            <w:r>
              <w:rPr>
                <w:color w:val="000000"/>
                <w:kern w:val="0"/>
                <w:sz w:val="24"/>
                <w:szCs w:val="24"/>
              </w:rPr>
              <w:t>5M</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年</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3</w:t>
            </w:r>
          </w:p>
        </w:tc>
      </w:tr>
      <w:tr>
        <w:tblPrEx>
          <w:tblCellMar>
            <w:top w:w="0" w:type="dxa"/>
            <w:left w:w="108" w:type="dxa"/>
            <w:bottom w:w="0" w:type="dxa"/>
            <w:right w:w="108" w:type="dxa"/>
          </w:tblCellMar>
        </w:tblPrEx>
        <w:trPr>
          <w:trHeight w:val="740" w:hRule="atLeast"/>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4"/>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应用服务器</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00"/>
                <w:szCs w:val="24"/>
              </w:rPr>
            </w:pPr>
            <w:r>
              <w:rPr>
                <w:color w:val="000000"/>
                <w:kern w:val="0"/>
                <w:sz w:val="24"/>
                <w:szCs w:val="24"/>
              </w:rPr>
              <w:t>CPU</w:t>
            </w:r>
            <w:r>
              <w:rPr>
                <w:rFonts w:hint="eastAsia" w:ascii="宋体" w:hAnsi="宋体" w:cs="宋体"/>
                <w:color w:val="000000"/>
                <w:kern w:val="0"/>
                <w:sz w:val="24"/>
                <w:szCs w:val="24"/>
              </w:rPr>
              <w:t>：</w:t>
            </w:r>
            <w:r>
              <w:rPr>
                <w:color w:val="000000"/>
                <w:kern w:val="0"/>
                <w:sz w:val="24"/>
                <w:szCs w:val="24"/>
              </w:rPr>
              <w:t>4</w:t>
            </w:r>
            <w:r>
              <w:rPr>
                <w:rFonts w:hint="eastAsia" w:ascii="宋体" w:hAnsi="宋体" w:cs="宋体"/>
                <w:color w:val="000000"/>
                <w:kern w:val="0"/>
                <w:sz w:val="24"/>
                <w:szCs w:val="24"/>
              </w:rPr>
              <w:t>核；内存：</w:t>
            </w:r>
            <w:r>
              <w:rPr>
                <w:color w:val="000000"/>
                <w:kern w:val="0"/>
                <w:sz w:val="24"/>
                <w:szCs w:val="24"/>
              </w:rPr>
              <w:t>32G</w:t>
            </w:r>
            <w:r>
              <w:rPr>
                <w:rFonts w:hint="eastAsia" w:ascii="宋体" w:hAnsi="宋体" w:cs="宋体"/>
                <w:color w:val="000000"/>
                <w:kern w:val="0"/>
                <w:sz w:val="24"/>
                <w:szCs w:val="24"/>
              </w:rPr>
              <w:t>；磁盘：系统盘</w:t>
            </w:r>
            <w:r>
              <w:rPr>
                <w:color w:val="000000"/>
                <w:kern w:val="0"/>
                <w:sz w:val="24"/>
                <w:szCs w:val="24"/>
              </w:rPr>
              <w:t xml:space="preserve">40G </w:t>
            </w:r>
            <w:r>
              <w:rPr>
                <w:rFonts w:hint="eastAsia" w:ascii="宋体" w:hAnsi="宋体" w:cs="宋体"/>
                <w:color w:val="000000"/>
                <w:kern w:val="0"/>
                <w:sz w:val="24"/>
                <w:szCs w:val="24"/>
              </w:rPr>
              <w:t>数据盘</w:t>
            </w:r>
            <w:r>
              <w:rPr>
                <w:color w:val="000000"/>
                <w:kern w:val="0"/>
                <w:sz w:val="24"/>
                <w:szCs w:val="24"/>
              </w:rPr>
              <w:t>500G</w:t>
            </w:r>
            <w:r>
              <w:rPr>
                <w:rFonts w:hint="eastAsia" w:ascii="宋体" w:hAnsi="宋体" w:cs="宋体"/>
                <w:color w:val="000000"/>
                <w:kern w:val="0"/>
                <w:sz w:val="24"/>
                <w:szCs w:val="24"/>
              </w:rPr>
              <w:t>；带宽：</w:t>
            </w:r>
            <w:r>
              <w:rPr>
                <w:color w:val="000000"/>
                <w:kern w:val="0"/>
                <w:sz w:val="24"/>
                <w:szCs w:val="24"/>
              </w:rPr>
              <w:t>5M</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年</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3</w:t>
            </w:r>
          </w:p>
        </w:tc>
      </w:tr>
      <w:tr>
        <w:tblPrEx>
          <w:tblCellMar>
            <w:top w:w="0" w:type="dxa"/>
            <w:left w:w="108" w:type="dxa"/>
            <w:bottom w:w="0" w:type="dxa"/>
            <w:right w:w="108" w:type="dxa"/>
          </w:tblCellMar>
        </w:tblPrEx>
        <w:trPr>
          <w:trHeight w:val="1240" w:hRule="atLeast"/>
        </w:trPr>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2</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本地存储服务器</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低碳实验本地数据存储</w:t>
            </w:r>
          </w:p>
        </w:tc>
        <w:tc>
          <w:tcPr>
            <w:tcW w:w="295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00"/>
                <w:szCs w:val="24"/>
              </w:rPr>
            </w:pPr>
            <w:r>
              <w:rPr>
                <w:color w:val="000000"/>
                <w:kern w:val="0"/>
                <w:sz w:val="24"/>
                <w:szCs w:val="24"/>
              </w:rPr>
              <w:t>E-2224/16G/2T SATA</w:t>
            </w:r>
            <w:r>
              <w:rPr>
                <w:rFonts w:hint="eastAsia" w:ascii="宋体" w:hAnsi="宋体" w:cs="宋体"/>
                <w:color w:val="000000"/>
                <w:kern w:val="0"/>
                <w:sz w:val="24"/>
                <w:szCs w:val="24"/>
              </w:rPr>
              <w:t>企业级</w:t>
            </w:r>
            <w:r>
              <w:rPr>
                <w:color w:val="000000"/>
                <w:kern w:val="0"/>
                <w:sz w:val="24"/>
                <w:szCs w:val="24"/>
              </w:rPr>
              <w:t>×2/DVD/</w:t>
            </w:r>
            <w:r>
              <w:rPr>
                <w:rFonts w:hint="eastAsia" w:ascii="宋体" w:hAnsi="宋体" w:cs="宋体"/>
                <w:color w:val="000000"/>
                <w:kern w:val="0"/>
                <w:sz w:val="24"/>
                <w:szCs w:val="24"/>
              </w:rPr>
              <w:t>集成</w:t>
            </w:r>
            <w:r>
              <w:rPr>
                <w:color w:val="000000"/>
                <w:kern w:val="0"/>
                <w:sz w:val="24"/>
                <w:szCs w:val="24"/>
              </w:rPr>
              <w:t>2</w:t>
            </w:r>
            <w:r>
              <w:rPr>
                <w:rFonts w:hint="eastAsia" w:ascii="宋体" w:hAnsi="宋体" w:cs="宋体"/>
                <w:color w:val="000000"/>
                <w:kern w:val="0"/>
                <w:sz w:val="24"/>
                <w:szCs w:val="24"/>
              </w:rPr>
              <w:t>口千兆网卡</w:t>
            </w:r>
            <w:r>
              <w:rPr>
                <w:color w:val="000000"/>
                <w:kern w:val="0"/>
                <w:sz w:val="24"/>
                <w:szCs w:val="24"/>
              </w:rPr>
              <w:t>/250W/</w:t>
            </w:r>
            <w:r>
              <w:rPr>
                <w:rFonts w:hint="eastAsia" w:ascii="宋体" w:hAnsi="宋体" w:cs="宋体"/>
                <w:color w:val="000000"/>
                <w:kern w:val="0"/>
                <w:sz w:val="24"/>
                <w:szCs w:val="24"/>
              </w:rPr>
              <w:t>导轨</w:t>
            </w:r>
            <w:r>
              <w:rPr>
                <w:color w:val="000000"/>
                <w:kern w:val="0"/>
                <w:sz w:val="24"/>
                <w:szCs w:val="24"/>
              </w:rPr>
              <w:t>/1U</w:t>
            </w:r>
            <w:r>
              <w:rPr>
                <w:rFonts w:hint="eastAsia" w:ascii="宋体" w:hAnsi="宋体" w:cs="宋体"/>
                <w:color w:val="000000"/>
                <w:kern w:val="0"/>
                <w:sz w:val="24"/>
                <w:szCs w:val="24"/>
              </w:rPr>
              <w:t>机架式</w:t>
            </w:r>
            <w:r>
              <w:rPr>
                <w:color w:val="000000"/>
                <w:kern w:val="0"/>
                <w:sz w:val="24"/>
                <w:szCs w:val="24"/>
              </w:rPr>
              <w:t>/3</w:t>
            </w:r>
            <w:r>
              <w:rPr>
                <w:rFonts w:hint="eastAsia" w:ascii="宋体" w:hAnsi="宋体" w:cs="宋体"/>
                <w:color w:val="000000"/>
                <w:kern w:val="0"/>
                <w:sz w:val="24"/>
                <w:szCs w:val="24"/>
              </w:rPr>
              <w:t>年保修</w:t>
            </w:r>
            <w:r>
              <w:rPr>
                <w:color w:val="000000"/>
                <w:kern w:val="0"/>
                <w:sz w:val="24"/>
                <w:szCs w:val="24"/>
              </w:rPr>
              <w:t>/2</w:t>
            </w:r>
            <w:r>
              <w:rPr>
                <w:rFonts w:hint="eastAsia" w:ascii="宋体" w:hAnsi="宋体" w:cs="宋体"/>
                <w:color w:val="000000"/>
                <w:kern w:val="0"/>
                <w:sz w:val="24"/>
                <w:szCs w:val="24"/>
              </w:rPr>
              <w:t>盘位</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台</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1</w:t>
            </w:r>
          </w:p>
        </w:tc>
      </w:tr>
      <w:tr>
        <w:tblPrEx>
          <w:tblCellMar>
            <w:top w:w="0" w:type="dxa"/>
            <w:left w:w="108" w:type="dxa"/>
            <w:bottom w:w="0" w:type="dxa"/>
            <w:right w:w="108" w:type="dxa"/>
          </w:tblCellMar>
        </w:tblPrEx>
        <w:trPr>
          <w:trHeight w:val="1740" w:hRule="atLeast"/>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4"/>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4"/>
              </w:rPr>
            </w:pPr>
          </w:p>
        </w:tc>
        <w:tc>
          <w:tcPr>
            <w:tcW w:w="413" w:type="pc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低碳实验设备、应用本地系统安装</w:t>
            </w:r>
          </w:p>
        </w:tc>
        <w:tc>
          <w:tcPr>
            <w:tcW w:w="2954" w:type="pct"/>
            <w:tcBorders>
              <w:top w:val="single" w:color="000000" w:sz="4" w:space="0"/>
              <w:left w:val="single" w:color="000000" w:sz="4" w:space="0"/>
              <w:bottom w:val="nil"/>
              <w:right w:val="single" w:color="000000" w:sz="4" w:space="0"/>
            </w:tcBorders>
            <w:shd w:val="clear" w:color="auto" w:fill="auto"/>
            <w:vAlign w:val="center"/>
          </w:tcPr>
          <w:p>
            <w:pPr>
              <w:textAlignment w:val="center"/>
              <w:rPr>
                <w:rFonts w:ascii="宋体" w:hAnsi="宋体" w:cs="宋体"/>
                <w:color w:val="000000"/>
                <w:szCs w:val="24"/>
              </w:rPr>
            </w:pPr>
            <w:r>
              <w:rPr>
                <w:rFonts w:hint="eastAsia" w:ascii="宋体" w:hAnsi="宋体" w:cs="宋体"/>
                <w:color w:val="000000"/>
                <w:kern w:val="0"/>
                <w:sz w:val="24"/>
                <w:szCs w:val="24"/>
              </w:rPr>
              <w:t>配置：英特尔</w:t>
            </w:r>
            <w:r>
              <w:rPr>
                <w:color w:val="000000"/>
                <w:kern w:val="0"/>
                <w:sz w:val="24"/>
                <w:szCs w:val="24"/>
              </w:rPr>
              <w:t xml:space="preserve"> </w:t>
            </w:r>
            <w:r>
              <w:rPr>
                <w:rFonts w:hint="eastAsia" w:ascii="宋体" w:hAnsi="宋体" w:cs="宋体"/>
                <w:color w:val="000000"/>
                <w:kern w:val="0"/>
                <w:sz w:val="24"/>
                <w:szCs w:val="24"/>
              </w:rPr>
              <w:t>至强</w:t>
            </w:r>
            <w:r>
              <w:rPr>
                <w:color w:val="000000"/>
                <w:kern w:val="0"/>
                <w:sz w:val="24"/>
                <w:szCs w:val="24"/>
              </w:rPr>
              <w:t xml:space="preserve"> </w:t>
            </w:r>
            <w:r>
              <w:rPr>
                <w:rFonts w:hint="eastAsia" w:ascii="宋体" w:hAnsi="宋体" w:cs="宋体"/>
                <w:color w:val="000000"/>
                <w:kern w:val="0"/>
                <w:sz w:val="24"/>
                <w:szCs w:val="24"/>
              </w:rPr>
              <w:t>银牌</w:t>
            </w:r>
            <w:r>
              <w:rPr>
                <w:color w:val="000000"/>
                <w:kern w:val="0"/>
                <w:sz w:val="24"/>
                <w:szCs w:val="24"/>
              </w:rPr>
              <w:t xml:space="preserve"> 4210R</w:t>
            </w:r>
            <w:r>
              <w:rPr>
                <w:rFonts w:hint="eastAsia" w:ascii="宋体" w:hAnsi="宋体" w:cs="宋体"/>
                <w:color w:val="000000"/>
                <w:kern w:val="0"/>
                <w:sz w:val="24"/>
                <w:szCs w:val="24"/>
              </w:rPr>
              <w:t xml:space="preserve">（ </w:t>
            </w:r>
            <w:r>
              <w:rPr>
                <w:color w:val="000000"/>
                <w:kern w:val="0"/>
                <w:sz w:val="24"/>
                <w:szCs w:val="24"/>
              </w:rPr>
              <w:t>2.4G, 10C/20T</w:t>
            </w:r>
            <w:r>
              <w:rPr>
                <w:rFonts w:hint="eastAsia" w:ascii="宋体" w:hAnsi="宋体" w:cs="宋体"/>
                <w:color w:val="000000"/>
                <w:kern w:val="0"/>
                <w:sz w:val="24"/>
                <w:szCs w:val="24"/>
              </w:rPr>
              <w:t>）</w:t>
            </w:r>
            <w:r>
              <w:rPr>
                <w:color w:val="000000"/>
                <w:kern w:val="0"/>
                <w:sz w:val="24"/>
                <w:szCs w:val="24"/>
              </w:rPr>
              <w:t>×2/16G×2/2T SAS 7.2K×2/H750 8G/DVD/</w:t>
            </w:r>
            <w:r>
              <w:rPr>
                <w:rFonts w:hint="eastAsia" w:ascii="宋体" w:hAnsi="宋体" w:cs="宋体"/>
                <w:color w:val="000000"/>
                <w:kern w:val="0"/>
                <w:sz w:val="24"/>
                <w:szCs w:val="24"/>
              </w:rPr>
              <w:t>集成</w:t>
            </w:r>
            <w:r>
              <w:rPr>
                <w:color w:val="000000"/>
                <w:kern w:val="0"/>
                <w:sz w:val="24"/>
                <w:szCs w:val="24"/>
              </w:rPr>
              <w:t>4</w:t>
            </w:r>
            <w:r>
              <w:rPr>
                <w:rFonts w:hint="eastAsia" w:ascii="宋体" w:hAnsi="宋体" w:cs="宋体"/>
                <w:color w:val="000000"/>
                <w:kern w:val="0"/>
                <w:sz w:val="24"/>
                <w:szCs w:val="24"/>
              </w:rPr>
              <w:t>口千兆网卡</w:t>
            </w:r>
            <w:r>
              <w:rPr>
                <w:color w:val="000000"/>
                <w:kern w:val="0"/>
                <w:sz w:val="24"/>
                <w:szCs w:val="24"/>
              </w:rPr>
              <w:t>/750W</w:t>
            </w:r>
            <w:r>
              <w:rPr>
                <w:rFonts w:hint="eastAsia" w:ascii="宋体" w:hAnsi="宋体" w:cs="宋体"/>
                <w:color w:val="000000"/>
                <w:kern w:val="0"/>
                <w:sz w:val="24"/>
                <w:szCs w:val="24"/>
              </w:rPr>
              <w:t>双电源</w:t>
            </w:r>
            <w:r>
              <w:rPr>
                <w:color w:val="000000"/>
                <w:kern w:val="0"/>
                <w:sz w:val="24"/>
                <w:szCs w:val="24"/>
              </w:rPr>
              <w:t>/</w:t>
            </w:r>
            <w:r>
              <w:rPr>
                <w:rFonts w:hint="eastAsia" w:ascii="宋体" w:hAnsi="宋体" w:cs="宋体"/>
                <w:color w:val="000000"/>
                <w:kern w:val="0"/>
                <w:sz w:val="24"/>
                <w:szCs w:val="24"/>
              </w:rPr>
              <w:t>导轨</w:t>
            </w:r>
            <w:r>
              <w:rPr>
                <w:color w:val="000000"/>
                <w:kern w:val="0"/>
                <w:sz w:val="24"/>
                <w:szCs w:val="24"/>
              </w:rPr>
              <w:t>/2U</w:t>
            </w:r>
            <w:r>
              <w:rPr>
                <w:rFonts w:hint="eastAsia" w:ascii="宋体" w:hAnsi="宋体" w:cs="宋体"/>
                <w:color w:val="000000"/>
                <w:kern w:val="0"/>
                <w:sz w:val="24"/>
                <w:szCs w:val="24"/>
              </w:rPr>
              <w:t>机架式</w:t>
            </w:r>
            <w:r>
              <w:rPr>
                <w:color w:val="000000"/>
                <w:kern w:val="0"/>
                <w:sz w:val="24"/>
                <w:szCs w:val="24"/>
              </w:rPr>
              <w:t>/3</w:t>
            </w:r>
          </w:p>
        </w:tc>
        <w:tc>
          <w:tcPr>
            <w:tcW w:w="378" w:type="pc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台</w:t>
            </w:r>
          </w:p>
        </w:tc>
        <w:tc>
          <w:tcPr>
            <w:tcW w:w="531" w:type="pc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1</w:t>
            </w:r>
          </w:p>
        </w:tc>
      </w:tr>
      <w:tr>
        <w:tblPrEx>
          <w:tblCellMar>
            <w:top w:w="0" w:type="dxa"/>
            <w:left w:w="108" w:type="dxa"/>
            <w:bottom w:w="0" w:type="dxa"/>
            <w:right w:w="108" w:type="dxa"/>
          </w:tblCellMar>
        </w:tblPrEx>
        <w:trPr>
          <w:trHeight w:val="1040" w:hRule="atLeast"/>
        </w:trPr>
        <w:tc>
          <w:tcPr>
            <w:tcW w:w="332" w:type="pc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szCs w:val="24"/>
              </w:rPr>
              <w:t>3</w:t>
            </w:r>
          </w:p>
        </w:tc>
        <w:tc>
          <w:tcPr>
            <w:tcW w:w="39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网络专线</w:t>
            </w:r>
          </w:p>
        </w:tc>
        <w:tc>
          <w:tcPr>
            <w:tcW w:w="413"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固定IP，3年费用</w:t>
            </w:r>
          </w:p>
        </w:tc>
        <w:tc>
          <w:tcPr>
            <w:tcW w:w="295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一条用于未来乡村特色应用云服务部署、智能设备联网；</w:t>
            </w:r>
          </w:p>
          <w:p>
            <w:pPr>
              <w:jc w:val="center"/>
              <w:textAlignment w:val="center"/>
              <w:rPr>
                <w:rFonts w:ascii="宋体" w:hAnsi="宋体" w:cs="宋体"/>
                <w:color w:val="000000"/>
                <w:szCs w:val="24"/>
              </w:rPr>
            </w:pPr>
            <w:r>
              <w:rPr>
                <w:rFonts w:hint="eastAsia" w:ascii="宋体" w:hAnsi="宋体" w:cs="宋体"/>
                <w:color w:val="000000"/>
                <w:kern w:val="0"/>
                <w:sz w:val="24"/>
                <w:szCs w:val="24"/>
              </w:rPr>
              <w:t>一条用于东坞低碳的应用部署、硬件以及后期实验的数据存储。</w:t>
            </w:r>
          </w:p>
        </w:tc>
        <w:tc>
          <w:tcPr>
            <w:tcW w:w="378"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4"/>
              </w:rPr>
            </w:pPr>
            <w:r>
              <w:rPr>
                <w:rFonts w:hint="eastAsia" w:ascii="宋体" w:hAnsi="宋体" w:cs="宋体"/>
                <w:color w:val="000000"/>
                <w:kern w:val="0"/>
                <w:sz w:val="24"/>
                <w:szCs w:val="24"/>
              </w:rPr>
              <w:t>条</w:t>
            </w:r>
          </w:p>
        </w:tc>
        <w:tc>
          <w:tcPr>
            <w:tcW w:w="531"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Cs w:val="24"/>
              </w:rPr>
            </w:pPr>
            <w:r>
              <w:rPr>
                <w:color w:val="000000"/>
                <w:kern w:val="0"/>
                <w:sz w:val="24"/>
                <w:szCs w:val="24"/>
              </w:rPr>
              <w:t>2</w:t>
            </w:r>
          </w:p>
        </w:tc>
      </w:tr>
    </w:tbl>
    <w:p>
      <w:pPr>
        <w:pStyle w:val="2"/>
      </w:pPr>
      <w:r>
        <w:rPr>
          <w:rFonts w:hint="eastAsia"/>
        </w:rPr>
        <w:t>8、其他</w:t>
      </w:r>
      <w:r>
        <w:t>费用</w:t>
      </w:r>
    </w:p>
    <w:tbl>
      <w:tblPr>
        <w:tblStyle w:val="27"/>
        <w:tblW w:w="9360" w:type="dxa"/>
        <w:tblInd w:w="93" w:type="dxa"/>
        <w:shd w:val="clear" w:color="auto" w:fill="FFFFFF"/>
        <w:tblLayout w:type="autofit"/>
        <w:tblCellMar>
          <w:top w:w="0" w:type="dxa"/>
          <w:left w:w="108" w:type="dxa"/>
          <w:bottom w:w="0" w:type="dxa"/>
          <w:right w:w="108" w:type="dxa"/>
        </w:tblCellMar>
      </w:tblPr>
      <w:tblGrid>
        <w:gridCol w:w="1057"/>
        <w:gridCol w:w="3227"/>
        <w:gridCol w:w="2663"/>
        <w:gridCol w:w="802"/>
        <w:gridCol w:w="1611"/>
      </w:tblGrid>
      <w:tr>
        <w:tblPrEx>
          <w:shd w:val="clear" w:color="auto" w:fill="FFFFFF"/>
          <w:tblCellMar>
            <w:top w:w="0" w:type="dxa"/>
            <w:left w:w="108" w:type="dxa"/>
            <w:bottom w:w="0" w:type="dxa"/>
            <w:right w:w="108" w:type="dxa"/>
          </w:tblCellMar>
        </w:tblPrEx>
        <w:trPr>
          <w:trHeight w:val="48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Cs w:val="24"/>
              </w:rPr>
            </w:pPr>
            <w:r>
              <w:rPr>
                <w:rFonts w:hint="eastAsia"/>
                <w:color w:val="000000"/>
                <w:szCs w:val="24"/>
              </w:rPr>
              <w:t>序号</w:t>
            </w:r>
          </w:p>
        </w:tc>
        <w:tc>
          <w:tcPr>
            <w:tcW w:w="3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Cs w:val="24"/>
              </w:rPr>
            </w:pPr>
            <w:r>
              <w:rPr>
                <w:rFonts w:hint="eastAsia"/>
                <w:color w:val="000000"/>
                <w:szCs w:val="24"/>
              </w:rPr>
              <w:t>项目内容</w:t>
            </w:r>
          </w:p>
        </w:tc>
        <w:tc>
          <w:tcPr>
            <w:tcW w:w="2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Cs w:val="24"/>
              </w:rPr>
            </w:pPr>
            <w:r>
              <w:rPr>
                <w:rFonts w:hint="eastAsia"/>
                <w:color w:val="000000"/>
                <w:szCs w:val="24"/>
              </w:rPr>
              <w:t>数量</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Cs w:val="24"/>
              </w:rPr>
            </w:pPr>
            <w:r>
              <w:rPr>
                <w:rFonts w:hint="eastAsia"/>
                <w:color w:val="000000"/>
                <w:szCs w:val="24"/>
              </w:rPr>
              <w:t>单位</w:t>
            </w:r>
          </w:p>
        </w:tc>
        <w:tc>
          <w:tcPr>
            <w:tcW w:w="1611" w:type="dxa"/>
            <w:tcBorders>
              <w:top w:val="single" w:color="000000" w:sz="4" w:space="0"/>
              <w:left w:val="single" w:color="000000" w:sz="4" w:space="0"/>
              <w:bottom w:val="single" w:color="000000" w:sz="4" w:space="0"/>
              <w:right w:val="single" w:color="000000" w:sz="4" w:space="0"/>
            </w:tcBorders>
            <w:shd w:val="clear" w:color="auto" w:fill="FFFFFF"/>
          </w:tcPr>
          <w:p>
            <w:pPr>
              <w:jc w:val="center"/>
              <w:rPr>
                <w:color w:val="000000"/>
                <w:szCs w:val="24"/>
              </w:rPr>
            </w:pPr>
            <w:r>
              <w:rPr>
                <w:rFonts w:hint="eastAsia"/>
                <w:color w:val="000000"/>
                <w:szCs w:val="24"/>
              </w:rPr>
              <w:t>备注</w:t>
            </w:r>
          </w:p>
        </w:tc>
      </w:tr>
      <w:tr>
        <w:tblPrEx>
          <w:shd w:val="clear" w:color="auto" w:fill="FFFFFF"/>
          <w:tblCellMar>
            <w:top w:w="0" w:type="dxa"/>
            <w:left w:w="108" w:type="dxa"/>
            <w:bottom w:w="0" w:type="dxa"/>
            <w:right w:w="108" w:type="dxa"/>
          </w:tblCellMar>
        </w:tblPrEx>
        <w:trPr>
          <w:trHeight w:val="1209"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Cs w:val="24"/>
              </w:rPr>
            </w:pPr>
            <w:r>
              <w:rPr>
                <w:color w:val="000000"/>
                <w:szCs w:val="24"/>
              </w:rPr>
              <w:t>1</w:t>
            </w:r>
          </w:p>
        </w:tc>
        <w:tc>
          <w:tcPr>
            <w:tcW w:w="3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Cs w:val="24"/>
              </w:rPr>
            </w:pPr>
            <w:r>
              <w:rPr>
                <w:rFonts w:hint="eastAsia"/>
                <w:color w:val="000000"/>
                <w:szCs w:val="24"/>
              </w:rPr>
              <w:t>设计服务费</w:t>
            </w:r>
          </w:p>
        </w:tc>
        <w:tc>
          <w:tcPr>
            <w:tcW w:w="2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Cs w:val="24"/>
              </w:rPr>
            </w:pPr>
            <w:r>
              <w:rPr>
                <w:rFonts w:hint="eastAsia"/>
                <w:color w:val="000000"/>
                <w:szCs w:val="24"/>
              </w:rPr>
              <w:t>1</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Cs w:val="24"/>
              </w:rPr>
            </w:pPr>
            <w:r>
              <w:rPr>
                <w:rFonts w:hint="eastAsia"/>
                <w:color w:val="000000"/>
                <w:szCs w:val="24"/>
              </w:rPr>
              <w:t>项</w:t>
            </w:r>
          </w:p>
        </w:tc>
        <w:tc>
          <w:tcPr>
            <w:tcW w:w="1611" w:type="dxa"/>
            <w:vMerge w:val="restart"/>
            <w:tcBorders>
              <w:top w:val="single" w:color="000000" w:sz="4" w:space="0"/>
              <w:left w:val="single" w:color="000000" w:sz="4" w:space="0"/>
              <w:right w:val="single" w:color="000000" w:sz="4" w:space="0"/>
            </w:tcBorders>
            <w:shd w:val="clear" w:color="auto" w:fill="FFFFFF"/>
          </w:tcPr>
          <w:p>
            <w:pPr>
              <w:jc w:val="center"/>
              <w:rPr>
                <w:color w:val="000000"/>
                <w:szCs w:val="24"/>
              </w:rPr>
            </w:pPr>
            <w:r>
              <w:rPr>
                <w:rFonts w:hint="eastAsia"/>
                <w:color w:val="000000"/>
                <w:szCs w:val="24"/>
              </w:rPr>
              <w:t>包含为完成投标时设计成果（含效果图）和招标文件要求的所有费用（包含设备、装饰装修）</w:t>
            </w:r>
          </w:p>
        </w:tc>
      </w:tr>
      <w:tr>
        <w:tblPrEx>
          <w:shd w:val="clear" w:color="auto" w:fill="FFFFFF"/>
          <w:tblCellMar>
            <w:top w:w="0" w:type="dxa"/>
            <w:left w:w="108" w:type="dxa"/>
            <w:bottom w:w="0" w:type="dxa"/>
            <w:right w:w="108" w:type="dxa"/>
          </w:tblCellMar>
        </w:tblPrEx>
        <w:trPr>
          <w:trHeight w:val="48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Cs w:val="24"/>
              </w:rPr>
            </w:pPr>
            <w:r>
              <w:rPr>
                <w:color w:val="000000"/>
                <w:szCs w:val="24"/>
              </w:rPr>
              <w:t>2</w:t>
            </w:r>
          </w:p>
        </w:tc>
        <w:tc>
          <w:tcPr>
            <w:tcW w:w="3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Cs w:val="24"/>
              </w:rPr>
            </w:pPr>
            <w:r>
              <w:rPr>
                <w:rFonts w:hint="eastAsia"/>
                <w:color w:val="000000"/>
                <w:szCs w:val="24"/>
              </w:rPr>
              <w:t>布展配套</w:t>
            </w:r>
          </w:p>
        </w:tc>
        <w:tc>
          <w:tcPr>
            <w:tcW w:w="2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Cs w:val="24"/>
              </w:rPr>
            </w:pPr>
            <w:r>
              <w:rPr>
                <w:rFonts w:hint="eastAsia"/>
                <w:color w:val="000000"/>
                <w:szCs w:val="24"/>
              </w:rPr>
              <w:t>1</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Cs w:val="24"/>
              </w:rPr>
            </w:pPr>
            <w:r>
              <w:rPr>
                <w:rFonts w:hint="eastAsia"/>
                <w:color w:val="000000"/>
                <w:szCs w:val="24"/>
              </w:rPr>
              <w:t>项</w:t>
            </w:r>
          </w:p>
        </w:tc>
        <w:tc>
          <w:tcPr>
            <w:tcW w:w="1611" w:type="dxa"/>
            <w:vMerge w:val="continue"/>
            <w:tcBorders>
              <w:left w:val="single" w:color="000000" w:sz="4" w:space="0"/>
              <w:bottom w:val="single" w:color="000000" w:sz="4" w:space="0"/>
              <w:right w:val="single" w:color="000000" w:sz="4" w:space="0"/>
            </w:tcBorders>
            <w:shd w:val="clear" w:color="auto" w:fill="FFFFFF"/>
          </w:tcPr>
          <w:p>
            <w:pPr>
              <w:jc w:val="center"/>
              <w:rPr>
                <w:color w:val="000000"/>
                <w:szCs w:val="24"/>
              </w:rPr>
            </w:pPr>
          </w:p>
        </w:tc>
      </w:tr>
    </w:tbl>
    <w:p>
      <w:pPr>
        <w:pStyle w:val="4"/>
        <w:spacing w:before="0" w:after="0" w:line="444" w:lineRule="exact"/>
        <w:rPr>
          <w:rFonts w:ascii="宋体" w:hAnsi="宋体" w:cs="宋体"/>
          <w:b/>
          <w:bCs/>
          <w:sz w:val="24"/>
          <w:szCs w:val="24"/>
        </w:rPr>
      </w:pPr>
      <w:r>
        <w:rPr>
          <w:rFonts w:hint="eastAsia" w:ascii="宋体" w:hAnsi="宋体" w:cs="宋体"/>
          <w:b/>
          <w:bCs/>
          <w:sz w:val="24"/>
          <w:szCs w:val="24"/>
        </w:rPr>
        <w:t>三、商务要求</w:t>
      </w:r>
    </w:p>
    <w:p>
      <w:pPr>
        <w:snapToGrid w:val="0"/>
        <w:spacing w:line="444" w:lineRule="exact"/>
        <w:ind w:firstLine="420"/>
        <w:rPr>
          <w:rFonts w:ascii="宋体" w:hAnsi="宋体" w:cs="宋体"/>
          <w:bCs/>
          <w:sz w:val="24"/>
          <w:szCs w:val="32"/>
        </w:rPr>
      </w:pPr>
      <w:r>
        <w:rPr>
          <w:rFonts w:hint="eastAsia" w:ascii="宋体" w:hAnsi="宋体" w:cs="宋体"/>
          <w:bCs/>
          <w:sz w:val="24"/>
          <w:szCs w:val="32"/>
        </w:rPr>
        <w:t>1、服务期</w:t>
      </w:r>
    </w:p>
    <w:p>
      <w:pPr>
        <w:snapToGrid w:val="0"/>
        <w:spacing w:line="444" w:lineRule="exact"/>
        <w:ind w:firstLine="420"/>
        <w:rPr>
          <w:rFonts w:ascii="宋体" w:hAnsi="宋体" w:cs="宋体"/>
          <w:bCs/>
          <w:sz w:val="24"/>
          <w:szCs w:val="32"/>
        </w:rPr>
      </w:pPr>
      <w:r>
        <w:rPr>
          <w:rFonts w:hint="eastAsia" w:ascii="宋体" w:hAnsi="宋体" w:cs="宋体"/>
          <w:bCs/>
          <w:sz w:val="24"/>
          <w:szCs w:val="32"/>
        </w:rPr>
        <w:t>合同签订以后90日历天内完成开发、系统部署、上线运行</w:t>
      </w:r>
    </w:p>
    <w:p>
      <w:pPr>
        <w:snapToGrid w:val="0"/>
        <w:spacing w:line="444" w:lineRule="exact"/>
        <w:ind w:firstLine="420"/>
        <w:rPr>
          <w:rFonts w:ascii="宋体" w:hAnsi="宋体" w:cs="宋体"/>
          <w:bCs/>
          <w:sz w:val="24"/>
          <w:szCs w:val="32"/>
        </w:rPr>
      </w:pPr>
      <w:r>
        <w:rPr>
          <w:rFonts w:hint="eastAsia" w:ascii="宋体" w:hAnsi="宋体" w:cs="宋体"/>
          <w:bCs/>
          <w:sz w:val="24"/>
          <w:szCs w:val="32"/>
        </w:rPr>
        <w:t>2、</w:t>
      </w:r>
      <w:r>
        <w:rPr>
          <w:rFonts w:hint="eastAsia" w:ascii="宋体" w:hAnsi="宋体" w:cs="宋体"/>
          <w:bCs/>
          <w:sz w:val="24"/>
          <w:szCs w:val="32"/>
          <w:lang w:val="en-US" w:eastAsia="zh-CN"/>
        </w:rPr>
        <w:t>运维</w:t>
      </w:r>
      <w:r>
        <w:rPr>
          <w:rFonts w:hint="eastAsia" w:ascii="宋体" w:hAnsi="宋体" w:cs="宋体"/>
          <w:bCs/>
          <w:sz w:val="24"/>
          <w:szCs w:val="32"/>
        </w:rPr>
        <w:t>期</w:t>
      </w:r>
    </w:p>
    <w:p>
      <w:pPr>
        <w:snapToGrid w:val="0"/>
        <w:spacing w:line="444" w:lineRule="exact"/>
        <w:ind w:firstLine="420"/>
        <w:rPr>
          <w:rFonts w:ascii="宋体" w:hAnsi="宋体" w:cs="宋体"/>
          <w:bCs/>
          <w:sz w:val="24"/>
          <w:szCs w:val="32"/>
        </w:rPr>
      </w:pPr>
      <w:r>
        <w:rPr>
          <w:rFonts w:hint="eastAsia" w:ascii="宋体" w:hAnsi="宋体" w:cs="宋体"/>
          <w:bCs/>
          <w:sz w:val="24"/>
          <w:szCs w:val="32"/>
          <w:lang w:val="en-US" w:eastAsia="zh-CN"/>
        </w:rPr>
        <w:t>运维期</w:t>
      </w:r>
      <w:r>
        <w:rPr>
          <w:rFonts w:hint="eastAsia" w:ascii="宋体" w:hAnsi="宋体" w:cs="宋体"/>
          <w:bCs/>
          <w:sz w:val="24"/>
          <w:szCs w:val="32"/>
        </w:rPr>
        <w:t>为3年，质量保证期从验收合格且正常试运行1个月后开始计算。质保期内中标供应商须提供相关平台技术服务，包括技术指导、数据维护、系统更新、资源更新等。除非采购人另有要求，质保期内的服务均为免费上门服务。</w:t>
      </w:r>
    </w:p>
    <w:p>
      <w:pPr>
        <w:snapToGrid w:val="0"/>
        <w:spacing w:line="444" w:lineRule="exact"/>
        <w:ind w:firstLine="420"/>
        <w:rPr>
          <w:rFonts w:ascii="宋体" w:hAnsi="宋体" w:cs="宋体"/>
          <w:bCs/>
          <w:sz w:val="24"/>
          <w:szCs w:val="32"/>
        </w:rPr>
      </w:pPr>
      <w:r>
        <w:rPr>
          <w:rFonts w:hint="eastAsia" w:ascii="宋体" w:hAnsi="宋体" w:cs="宋体"/>
          <w:bCs/>
          <w:sz w:val="24"/>
          <w:szCs w:val="32"/>
        </w:rPr>
        <w:t>3、付款方式</w:t>
      </w:r>
    </w:p>
    <w:p>
      <w:pPr>
        <w:snapToGrid w:val="0"/>
        <w:spacing w:line="444" w:lineRule="exact"/>
        <w:ind w:firstLine="420"/>
        <w:rPr>
          <w:rFonts w:ascii="宋体" w:hAnsi="宋体" w:cs="宋体"/>
          <w:bCs/>
          <w:sz w:val="24"/>
          <w:szCs w:val="32"/>
        </w:rPr>
      </w:pPr>
      <w:r>
        <w:rPr>
          <w:rFonts w:ascii="宋体" w:hAnsi="宋体" w:cs="宋体"/>
          <w:bCs/>
          <w:sz w:val="24"/>
          <w:szCs w:val="32"/>
        </w:rPr>
        <w:t>3</w:t>
      </w:r>
      <w:r>
        <w:rPr>
          <w:rFonts w:hint="eastAsia" w:ascii="宋体" w:hAnsi="宋体" w:cs="宋体"/>
          <w:bCs/>
          <w:sz w:val="24"/>
          <w:szCs w:val="32"/>
        </w:rPr>
        <w:t>.1履约保证金：中标方在收到中标通知书5个工作日内，需向业主方提供合同总金额的1%为履约保证金。中标方以银行、保险公司出具保函形式提交履约保证金的，业主方不得拒收。以现金形式提交履约保证金的，业主方需在项目验收结束后及时退还。</w:t>
      </w:r>
    </w:p>
    <w:p>
      <w:pPr>
        <w:spacing w:line="444" w:lineRule="exact"/>
        <w:ind w:firstLine="480" w:firstLineChars="200"/>
        <w:rPr>
          <w:rFonts w:hint="eastAsia" w:ascii="宋体" w:hAnsi="宋体" w:cs="宋体"/>
          <w:bCs/>
          <w:sz w:val="24"/>
          <w:szCs w:val="32"/>
        </w:rPr>
      </w:pPr>
      <w:r>
        <w:rPr>
          <w:rFonts w:ascii="宋体" w:hAnsi="宋体" w:cs="宋体"/>
          <w:bCs/>
          <w:sz w:val="24"/>
          <w:szCs w:val="32"/>
        </w:rPr>
        <w:t>3</w:t>
      </w:r>
      <w:r>
        <w:rPr>
          <w:rFonts w:hint="eastAsia" w:ascii="宋体" w:hAnsi="宋体" w:cs="宋体"/>
          <w:bCs/>
          <w:sz w:val="24"/>
          <w:szCs w:val="32"/>
        </w:rPr>
        <w:t>.2付款条件：合同</w:t>
      </w:r>
      <w:r>
        <w:rPr>
          <w:rFonts w:hint="eastAsia" w:ascii="宋体" w:hAnsi="宋体" w:cs="宋体"/>
          <w:bCs/>
          <w:sz w:val="24"/>
          <w:szCs w:val="32"/>
          <w:lang w:val="en-US" w:eastAsia="zh-CN"/>
        </w:rPr>
        <w:t>生效及具备实施条件后7个工作日内</w:t>
      </w:r>
      <w:r>
        <w:rPr>
          <w:rFonts w:hint="eastAsia" w:ascii="宋体" w:hAnsi="宋体" w:cs="宋体"/>
          <w:bCs/>
          <w:sz w:val="24"/>
          <w:szCs w:val="32"/>
        </w:rPr>
        <w:t>预付合同金额的</w:t>
      </w:r>
      <w:r>
        <w:rPr>
          <w:rFonts w:hint="eastAsia" w:ascii="宋体" w:hAnsi="宋体" w:cs="宋体"/>
          <w:bCs/>
          <w:sz w:val="24"/>
          <w:szCs w:val="32"/>
          <w:lang w:val="en-US" w:eastAsia="zh-CN"/>
        </w:rPr>
        <w:t>3</w:t>
      </w:r>
      <w:r>
        <w:rPr>
          <w:rFonts w:hint="eastAsia" w:ascii="宋体" w:hAnsi="宋体" w:cs="宋体"/>
          <w:bCs/>
          <w:sz w:val="24"/>
          <w:szCs w:val="32"/>
        </w:rPr>
        <w:t>0%，</w:t>
      </w:r>
      <w:r>
        <w:rPr>
          <w:rFonts w:hint="eastAsia" w:ascii="宋体" w:hAnsi="宋体" w:cs="宋体"/>
          <w:bCs/>
          <w:sz w:val="24"/>
          <w:szCs w:val="32"/>
          <w:lang w:val="en-US" w:eastAsia="zh-CN"/>
        </w:rPr>
        <w:t>设备进场</w:t>
      </w:r>
      <w:r>
        <w:rPr>
          <w:rFonts w:hint="eastAsia" w:ascii="宋体" w:hAnsi="宋体" w:cs="宋体"/>
          <w:bCs/>
          <w:sz w:val="24"/>
          <w:szCs w:val="32"/>
        </w:rPr>
        <w:t>后支付总价的</w:t>
      </w:r>
      <w:r>
        <w:rPr>
          <w:rFonts w:hint="eastAsia" w:ascii="宋体" w:hAnsi="宋体" w:cs="宋体"/>
          <w:bCs/>
          <w:sz w:val="24"/>
          <w:szCs w:val="32"/>
          <w:lang w:val="en-US" w:eastAsia="zh-CN"/>
        </w:rPr>
        <w:t>3</w:t>
      </w:r>
      <w:r>
        <w:rPr>
          <w:rFonts w:hint="eastAsia" w:ascii="宋体" w:hAnsi="宋体" w:cs="宋体"/>
          <w:bCs/>
          <w:sz w:val="24"/>
          <w:szCs w:val="32"/>
        </w:rPr>
        <w:t>0%，全部设备安装调试通过并验收合格后支付总价的20%，结算经审定后付至结算价的</w:t>
      </w:r>
      <w:r>
        <w:rPr>
          <w:rFonts w:hint="eastAsia" w:ascii="宋体" w:hAnsi="宋体" w:cs="宋体"/>
          <w:bCs/>
          <w:sz w:val="24"/>
          <w:szCs w:val="32"/>
          <w:lang w:val="en-US" w:eastAsia="zh-CN"/>
        </w:rPr>
        <w:t>96</w:t>
      </w:r>
      <w:r>
        <w:rPr>
          <w:rFonts w:hint="eastAsia" w:ascii="宋体" w:hAnsi="宋体" w:cs="宋体"/>
          <w:bCs/>
          <w:sz w:val="24"/>
          <w:szCs w:val="32"/>
        </w:rPr>
        <w:t>%</w:t>
      </w:r>
      <w:r>
        <w:rPr>
          <w:rFonts w:hint="eastAsia" w:ascii="宋体" w:hAnsi="宋体" w:cs="宋体"/>
          <w:bCs/>
          <w:sz w:val="24"/>
          <w:szCs w:val="32"/>
          <w:lang w:eastAsia="zh-CN"/>
        </w:rPr>
        <w:t>，</w:t>
      </w:r>
      <w:r>
        <w:rPr>
          <w:rFonts w:hint="eastAsia" w:ascii="宋体" w:hAnsi="宋体" w:cs="宋体"/>
          <w:bCs/>
          <w:sz w:val="24"/>
          <w:szCs w:val="32"/>
          <w:lang w:val="en-US" w:eastAsia="zh-CN"/>
        </w:rPr>
        <w:t>余4%待运维期结束后支付</w:t>
      </w:r>
      <w:r>
        <w:rPr>
          <w:rFonts w:hint="eastAsia" w:ascii="宋体" w:hAnsi="宋体" w:cs="宋体"/>
          <w:bCs/>
          <w:sz w:val="24"/>
          <w:szCs w:val="32"/>
        </w:rPr>
        <w:t>。正式税务发票(增值税专用发票)应随付款进度及时提供。</w:t>
      </w:r>
    </w:p>
    <w:p>
      <w:pPr>
        <w:snapToGrid w:val="0"/>
        <w:spacing w:line="444" w:lineRule="exact"/>
        <w:ind w:firstLine="420"/>
        <w:rPr>
          <w:rFonts w:ascii="宋体" w:hAnsi="宋体" w:cs="宋体"/>
          <w:bCs/>
          <w:sz w:val="24"/>
          <w:szCs w:val="32"/>
        </w:rPr>
      </w:pPr>
      <w:r>
        <w:rPr>
          <w:rFonts w:hint="eastAsia" w:ascii="宋体" w:hAnsi="宋体" w:cs="宋体"/>
          <w:bCs/>
          <w:sz w:val="24"/>
          <w:szCs w:val="32"/>
        </w:rPr>
        <w:t>4、验收标准</w:t>
      </w:r>
    </w:p>
    <w:p>
      <w:pPr>
        <w:snapToGrid w:val="0"/>
        <w:spacing w:line="444" w:lineRule="exact"/>
        <w:ind w:firstLine="420"/>
        <w:rPr>
          <w:rFonts w:ascii="宋体" w:hAnsi="宋体" w:cs="宋体"/>
          <w:bCs/>
          <w:sz w:val="24"/>
          <w:szCs w:val="32"/>
        </w:rPr>
      </w:pPr>
      <w:r>
        <w:rPr>
          <w:rFonts w:ascii="宋体" w:hAnsi="宋体" w:cs="宋体"/>
          <w:bCs/>
          <w:sz w:val="24"/>
          <w:szCs w:val="32"/>
        </w:rPr>
        <w:t>4</w:t>
      </w:r>
      <w:r>
        <w:rPr>
          <w:rFonts w:hint="eastAsia" w:ascii="宋体" w:hAnsi="宋体" w:cs="宋体"/>
          <w:bCs/>
          <w:sz w:val="24"/>
          <w:szCs w:val="32"/>
        </w:rPr>
        <w:t>.1.验收由采购人负责实施；</w:t>
      </w:r>
    </w:p>
    <w:p>
      <w:pPr>
        <w:snapToGrid w:val="0"/>
        <w:spacing w:line="444" w:lineRule="exact"/>
        <w:ind w:firstLine="420"/>
        <w:rPr>
          <w:rFonts w:ascii="宋体" w:hAnsi="宋体" w:cs="宋体"/>
          <w:bCs/>
          <w:sz w:val="24"/>
          <w:szCs w:val="32"/>
        </w:rPr>
      </w:pPr>
      <w:r>
        <w:rPr>
          <w:rFonts w:ascii="宋体" w:hAnsi="宋体" w:cs="宋体"/>
          <w:bCs/>
          <w:sz w:val="24"/>
          <w:szCs w:val="32"/>
        </w:rPr>
        <w:t>4</w:t>
      </w:r>
      <w:r>
        <w:rPr>
          <w:rFonts w:hint="eastAsia" w:ascii="宋体" w:hAnsi="宋体" w:cs="宋体"/>
          <w:bCs/>
          <w:sz w:val="24"/>
          <w:szCs w:val="32"/>
        </w:rPr>
        <w:t>.2.验收依据：</w:t>
      </w:r>
    </w:p>
    <w:p>
      <w:pPr>
        <w:snapToGrid w:val="0"/>
        <w:spacing w:line="444" w:lineRule="exact"/>
        <w:ind w:firstLine="420"/>
        <w:rPr>
          <w:rFonts w:ascii="宋体" w:hAnsi="宋体" w:cs="宋体"/>
          <w:bCs/>
          <w:sz w:val="24"/>
          <w:szCs w:val="32"/>
        </w:rPr>
      </w:pPr>
      <w:r>
        <w:rPr>
          <w:rFonts w:ascii="宋体" w:hAnsi="宋体" w:cs="宋体"/>
          <w:bCs/>
          <w:sz w:val="24"/>
          <w:szCs w:val="32"/>
        </w:rPr>
        <w:t>4</w:t>
      </w:r>
      <w:r>
        <w:rPr>
          <w:rFonts w:hint="eastAsia" w:ascii="宋体" w:hAnsi="宋体" w:cs="宋体"/>
          <w:bCs/>
          <w:sz w:val="24"/>
          <w:szCs w:val="32"/>
        </w:rPr>
        <w:t>.2.1合同、招标文件、投标文件；</w:t>
      </w:r>
    </w:p>
    <w:p>
      <w:pPr>
        <w:snapToGrid w:val="0"/>
        <w:spacing w:line="444" w:lineRule="exact"/>
        <w:ind w:firstLine="420"/>
        <w:rPr>
          <w:rFonts w:ascii="宋体" w:hAnsi="宋体" w:cs="宋体"/>
          <w:bCs/>
          <w:sz w:val="24"/>
          <w:szCs w:val="32"/>
        </w:rPr>
      </w:pPr>
      <w:r>
        <w:rPr>
          <w:rFonts w:ascii="宋体" w:hAnsi="宋体" w:cs="宋体"/>
          <w:bCs/>
          <w:sz w:val="24"/>
          <w:szCs w:val="32"/>
        </w:rPr>
        <w:t>4</w:t>
      </w:r>
      <w:r>
        <w:rPr>
          <w:rFonts w:hint="eastAsia" w:ascii="宋体" w:hAnsi="宋体" w:cs="宋体"/>
          <w:bCs/>
          <w:sz w:val="24"/>
          <w:szCs w:val="32"/>
        </w:rPr>
        <w:t>.2.2供应商提供的技术规格、经采购人认可的合同产品的有效检验文件；</w:t>
      </w:r>
    </w:p>
    <w:p>
      <w:pPr>
        <w:snapToGrid w:val="0"/>
        <w:spacing w:line="444" w:lineRule="exact"/>
        <w:ind w:firstLine="420"/>
        <w:rPr>
          <w:rFonts w:ascii="宋体" w:hAnsi="宋体" w:cs="宋体"/>
          <w:bCs/>
          <w:sz w:val="24"/>
          <w:szCs w:val="32"/>
        </w:rPr>
      </w:pPr>
      <w:r>
        <w:rPr>
          <w:rFonts w:ascii="宋体" w:hAnsi="宋体" w:cs="宋体"/>
          <w:bCs/>
          <w:sz w:val="24"/>
          <w:szCs w:val="32"/>
        </w:rPr>
        <w:t>4</w:t>
      </w:r>
      <w:r>
        <w:rPr>
          <w:rFonts w:hint="eastAsia" w:ascii="宋体" w:hAnsi="宋体" w:cs="宋体"/>
          <w:bCs/>
          <w:sz w:val="24"/>
          <w:szCs w:val="32"/>
        </w:rPr>
        <w:t>.2.3供应商投标文件中提供的经采购人认可的合同产品的验收标准（符合中国有关的国家、地方、行业标准）和检测办法及相应检测手段。</w:t>
      </w:r>
    </w:p>
    <w:p>
      <w:pPr>
        <w:snapToGrid w:val="0"/>
        <w:spacing w:line="444" w:lineRule="exact"/>
        <w:ind w:firstLine="420"/>
        <w:rPr>
          <w:rFonts w:ascii="宋体" w:hAnsi="宋体" w:cs="宋体"/>
          <w:bCs/>
          <w:sz w:val="24"/>
          <w:szCs w:val="32"/>
        </w:rPr>
      </w:pPr>
      <w:r>
        <w:rPr>
          <w:rFonts w:ascii="宋体" w:hAnsi="宋体" w:cs="宋体"/>
          <w:bCs/>
          <w:sz w:val="24"/>
          <w:szCs w:val="32"/>
        </w:rPr>
        <w:t>4</w:t>
      </w:r>
      <w:r>
        <w:rPr>
          <w:rFonts w:hint="eastAsia" w:ascii="宋体" w:hAnsi="宋体" w:cs="宋体"/>
          <w:bCs/>
          <w:sz w:val="24"/>
          <w:szCs w:val="32"/>
        </w:rPr>
        <w:t>.3.供应商应派员在所供产品到采购人处时进行到货验收，若发现任何质量或功能问题，供应商负责妥善处理直至采购人满意，由此产生的费用由供应商承担。</w:t>
      </w:r>
    </w:p>
    <w:p>
      <w:pPr>
        <w:snapToGrid w:val="0"/>
        <w:spacing w:line="444" w:lineRule="exact"/>
        <w:ind w:firstLine="420"/>
        <w:rPr>
          <w:rFonts w:ascii="宋体" w:hAnsi="宋体" w:cs="宋体"/>
          <w:bCs/>
          <w:sz w:val="24"/>
          <w:szCs w:val="32"/>
        </w:rPr>
      </w:pPr>
      <w:r>
        <w:rPr>
          <w:rFonts w:ascii="宋体" w:hAnsi="宋体" w:cs="宋体"/>
          <w:bCs/>
          <w:sz w:val="24"/>
          <w:szCs w:val="32"/>
        </w:rPr>
        <w:t>4</w:t>
      </w:r>
      <w:r>
        <w:rPr>
          <w:rFonts w:hint="eastAsia" w:ascii="宋体" w:hAnsi="宋体" w:cs="宋体"/>
          <w:bCs/>
          <w:sz w:val="24"/>
          <w:szCs w:val="32"/>
        </w:rPr>
        <w:t>.4.验收合格的条件：</w:t>
      </w:r>
    </w:p>
    <w:p>
      <w:pPr>
        <w:snapToGrid w:val="0"/>
        <w:spacing w:line="444" w:lineRule="exact"/>
        <w:ind w:firstLine="420"/>
        <w:rPr>
          <w:rFonts w:ascii="宋体" w:hAnsi="宋体" w:cs="宋体"/>
          <w:bCs/>
          <w:sz w:val="24"/>
          <w:szCs w:val="32"/>
        </w:rPr>
      </w:pPr>
      <w:r>
        <w:rPr>
          <w:rFonts w:ascii="宋体" w:hAnsi="宋体" w:cs="宋体"/>
          <w:bCs/>
          <w:sz w:val="24"/>
          <w:szCs w:val="32"/>
        </w:rPr>
        <w:t>4</w:t>
      </w:r>
      <w:r>
        <w:rPr>
          <w:rFonts w:hint="eastAsia" w:ascii="宋体" w:hAnsi="宋体" w:cs="宋体"/>
          <w:bCs/>
          <w:sz w:val="24"/>
          <w:szCs w:val="32"/>
        </w:rPr>
        <w:t>.4.1所供产品符合产品标准和合同的要求；</w:t>
      </w:r>
    </w:p>
    <w:p>
      <w:pPr>
        <w:snapToGrid w:val="0"/>
        <w:spacing w:line="444" w:lineRule="exact"/>
        <w:ind w:firstLine="420"/>
        <w:rPr>
          <w:rFonts w:ascii="宋体" w:hAnsi="宋体" w:cs="宋体"/>
          <w:bCs/>
          <w:sz w:val="24"/>
          <w:szCs w:val="32"/>
        </w:rPr>
      </w:pPr>
      <w:r>
        <w:rPr>
          <w:rFonts w:hint="eastAsia" w:ascii="宋体" w:hAnsi="宋体" w:cs="宋体"/>
          <w:bCs/>
          <w:sz w:val="24"/>
          <w:szCs w:val="32"/>
        </w:rPr>
        <w:t>5.4.2在进行测试和验收过程中发现的问题已被解决并得到采购人的认可；</w:t>
      </w:r>
    </w:p>
    <w:p>
      <w:pPr>
        <w:snapToGrid w:val="0"/>
        <w:spacing w:line="444" w:lineRule="exact"/>
        <w:ind w:firstLine="420"/>
        <w:rPr>
          <w:rFonts w:ascii="宋体" w:hAnsi="宋体" w:cs="宋体"/>
          <w:bCs/>
          <w:sz w:val="24"/>
          <w:szCs w:val="32"/>
        </w:rPr>
      </w:pPr>
      <w:r>
        <w:rPr>
          <w:rFonts w:hint="eastAsia" w:ascii="宋体" w:hAnsi="宋体" w:cs="宋体"/>
          <w:bCs/>
          <w:sz w:val="24"/>
          <w:szCs w:val="32"/>
        </w:rPr>
        <w:t>5.4.3合同中规定的所有产品资料均已交付；</w:t>
      </w:r>
    </w:p>
    <w:p>
      <w:pPr>
        <w:snapToGrid w:val="0"/>
        <w:spacing w:line="444" w:lineRule="exact"/>
        <w:ind w:firstLine="420"/>
        <w:rPr>
          <w:rFonts w:ascii="宋体" w:hAnsi="宋体" w:cs="宋体"/>
          <w:bCs/>
          <w:sz w:val="24"/>
          <w:szCs w:val="32"/>
        </w:rPr>
      </w:pPr>
      <w:r>
        <w:rPr>
          <w:rFonts w:hint="eastAsia" w:ascii="宋体" w:hAnsi="宋体" w:cs="宋体"/>
          <w:bCs/>
          <w:sz w:val="24"/>
          <w:szCs w:val="32"/>
        </w:rPr>
        <w:t>5.4.4所供产品已通过使用单位组织的验收；</w:t>
      </w:r>
    </w:p>
    <w:p>
      <w:pPr>
        <w:snapToGrid w:val="0"/>
        <w:spacing w:line="444" w:lineRule="exact"/>
        <w:ind w:firstLine="420"/>
        <w:rPr>
          <w:rFonts w:ascii="宋体" w:hAnsi="宋体" w:cs="宋体"/>
          <w:bCs/>
          <w:sz w:val="24"/>
          <w:szCs w:val="32"/>
        </w:rPr>
      </w:pPr>
      <w:r>
        <w:rPr>
          <w:rFonts w:hint="eastAsia" w:ascii="宋体" w:hAnsi="宋体" w:cs="宋体"/>
          <w:bCs/>
          <w:sz w:val="24"/>
          <w:szCs w:val="32"/>
        </w:rPr>
        <w:t>5.4.5所有相关的技术文件及资料均已提交并得到接受。</w:t>
      </w:r>
    </w:p>
    <w:p>
      <w:pPr>
        <w:snapToGrid w:val="0"/>
        <w:spacing w:line="444" w:lineRule="exact"/>
        <w:ind w:firstLine="420"/>
        <w:rPr>
          <w:rFonts w:ascii="宋体" w:hAnsi="宋体" w:cs="宋体"/>
          <w:bCs/>
          <w:sz w:val="24"/>
          <w:szCs w:val="32"/>
        </w:rPr>
      </w:pPr>
      <w:r>
        <w:rPr>
          <w:rFonts w:hint="eastAsia" w:ascii="宋体" w:hAnsi="宋体" w:cs="宋体"/>
          <w:bCs/>
          <w:sz w:val="24"/>
          <w:szCs w:val="32"/>
        </w:rPr>
        <w:t>5.5、其他条款详见《第五章  合同主要条款》。</w:t>
      </w:r>
    </w:p>
    <w:p>
      <w:pPr>
        <w:snapToGrid w:val="0"/>
        <w:spacing w:line="444" w:lineRule="exact"/>
        <w:ind w:firstLine="420"/>
        <w:rPr>
          <w:rFonts w:ascii="宋体" w:hAnsi="宋体" w:cs="宋体"/>
          <w:bCs/>
          <w:sz w:val="24"/>
          <w:szCs w:val="32"/>
        </w:rPr>
      </w:pPr>
      <w:r>
        <w:rPr>
          <w:rFonts w:hint="eastAsia" w:ascii="宋体" w:hAnsi="宋体" w:cs="宋体"/>
          <w:bCs/>
          <w:sz w:val="24"/>
          <w:szCs w:val="32"/>
        </w:rPr>
        <w:t>6、其他</w:t>
      </w:r>
    </w:p>
    <w:p>
      <w:pPr>
        <w:snapToGrid w:val="0"/>
        <w:spacing w:line="444" w:lineRule="exact"/>
        <w:ind w:firstLine="420"/>
        <w:rPr>
          <w:rFonts w:ascii="宋体" w:hAnsi="宋体" w:cs="宋体"/>
          <w:bCs/>
          <w:sz w:val="24"/>
          <w:szCs w:val="32"/>
        </w:rPr>
      </w:pPr>
      <w:r>
        <w:rPr>
          <w:rFonts w:hint="eastAsia" w:ascii="宋体" w:hAnsi="宋体" w:cs="宋体"/>
          <w:bCs/>
          <w:sz w:val="24"/>
          <w:szCs w:val="32"/>
        </w:rPr>
        <w:t>6.1现场勘察：本项目不组织答疑会或现场踏勘，如投标人认为有必要可自行前往现场踏勘。</w:t>
      </w:r>
    </w:p>
    <w:p>
      <w:pPr>
        <w:snapToGrid w:val="0"/>
        <w:spacing w:line="444" w:lineRule="exact"/>
        <w:ind w:firstLine="420"/>
        <w:rPr>
          <w:rFonts w:ascii="宋体" w:hAnsi="宋体" w:cs="宋体"/>
          <w:bCs/>
          <w:sz w:val="24"/>
          <w:szCs w:val="32"/>
        </w:rPr>
      </w:pPr>
      <w:r>
        <w:rPr>
          <w:rFonts w:hint="eastAsia" w:ascii="宋体" w:hAnsi="宋体" w:cs="宋体"/>
          <w:bCs/>
          <w:sz w:val="24"/>
          <w:szCs w:val="32"/>
        </w:rPr>
        <w:t>6.2卖方应保证，买方在中华人民共和国使用该产品任何一部分时，免受第三方提出的侵犯其专利权、商标权或其他知识产权的起诉。如发生此类纠纷，由卖方承担一切责任。</w:t>
      </w:r>
    </w:p>
    <w:p>
      <w:pPr>
        <w:snapToGrid w:val="0"/>
        <w:spacing w:line="444" w:lineRule="exact"/>
        <w:ind w:firstLine="420"/>
        <w:rPr>
          <w:rFonts w:ascii="宋体" w:hAnsi="宋体" w:cs="宋体"/>
          <w:sz w:val="24"/>
          <w:szCs w:val="24"/>
        </w:rPr>
      </w:pPr>
      <w:r>
        <w:rPr>
          <w:rFonts w:hint="eastAsia" w:ascii="宋体" w:hAnsi="宋体" w:cs="宋体"/>
          <w:bCs/>
          <w:sz w:val="24"/>
          <w:szCs w:val="32"/>
        </w:rPr>
        <w:t>6.3卖方为执行本合同而提供的技术资料的使用权归买方所有。</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b/>
          <w:bCs/>
          <w:sz w:val="36"/>
          <w:szCs w:val="36"/>
        </w:rPr>
      </w:pPr>
      <w:r>
        <w:rPr>
          <w:rFonts w:hint="eastAsia" w:ascii="宋体" w:hAnsi="宋体" w:cs="宋体"/>
          <w:b/>
          <w:bCs/>
          <w:sz w:val="36"/>
          <w:szCs w:val="36"/>
        </w:rPr>
        <w:t>第五章  合同主要条款</w:t>
      </w:r>
    </w:p>
    <w:p>
      <w:pPr>
        <w:spacing w:line="360" w:lineRule="auto"/>
        <w:rPr>
          <w:rFonts w:ascii="宋体" w:hAnsi="宋体" w:cs="宋体"/>
          <w:sz w:val="24"/>
          <w:szCs w:val="24"/>
        </w:rPr>
      </w:pPr>
    </w:p>
    <w:p>
      <w:pPr>
        <w:spacing w:line="360" w:lineRule="auto"/>
        <w:rPr>
          <w:rFonts w:ascii="宋体" w:hAnsi="宋体" w:cs="宋体"/>
          <w:sz w:val="24"/>
          <w:szCs w:val="24"/>
          <w:u w:val="single"/>
        </w:rPr>
      </w:pPr>
      <w:r>
        <w:rPr>
          <w:rFonts w:hint="eastAsia" w:ascii="宋体" w:hAnsi="宋体" w:cs="宋体"/>
          <w:b/>
          <w:bCs/>
          <w:sz w:val="24"/>
          <w:szCs w:val="24"/>
        </w:rPr>
        <w:t>项目名称：</w:t>
      </w:r>
      <w:r>
        <w:rPr>
          <w:rFonts w:hint="eastAsia" w:ascii="宋体" w:hAnsi="宋体" w:cs="宋体"/>
          <w:sz w:val="24"/>
          <w:szCs w:val="24"/>
          <w:u w:val="single"/>
        </w:rPr>
        <w:t>黄岩区屿头未来乡村及低碳适用技术集成化应用项目</w:t>
      </w:r>
    </w:p>
    <w:p>
      <w:pPr>
        <w:spacing w:line="360" w:lineRule="auto"/>
        <w:rPr>
          <w:rFonts w:ascii="宋体" w:hAnsi="宋体" w:cs="宋体"/>
          <w:b/>
          <w:bCs/>
          <w:sz w:val="24"/>
          <w:szCs w:val="24"/>
        </w:rPr>
      </w:pPr>
      <w:r>
        <w:rPr>
          <w:rFonts w:hint="eastAsia" w:ascii="宋体" w:hAnsi="宋体" w:cs="宋体"/>
          <w:b/>
          <w:bCs/>
          <w:sz w:val="24"/>
          <w:szCs w:val="24"/>
        </w:rPr>
        <w:t>项目编号：</w:t>
      </w:r>
      <w:r>
        <w:rPr>
          <w:rFonts w:hint="eastAsia" w:ascii="宋体" w:hAnsi="宋体" w:cs="宋体"/>
          <w:sz w:val="24"/>
          <w:szCs w:val="24"/>
          <w:u w:val="single"/>
        </w:rPr>
        <w:t xml:space="preserve">JC-GK2022-047 </w:t>
      </w:r>
    </w:p>
    <w:p>
      <w:pPr>
        <w:spacing w:line="360" w:lineRule="auto"/>
        <w:rPr>
          <w:rFonts w:ascii="宋体" w:hAnsi="宋体" w:cs="宋体"/>
          <w:b/>
          <w:bCs/>
          <w:sz w:val="24"/>
          <w:szCs w:val="24"/>
        </w:rPr>
      </w:pPr>
      <w:r>
        <w:rPr>
          <w:rFonts w:hint="eastAsia" w:ascii="宋体" w:hAnsi="宋体" w:cs="宋体"/>
          <w:b/>
          <w:bCs/>
          <w:sz w:val="24"/>
          <w:szCs w:val="24"/>
        </w:rPr>
        <w:t>甲方（采购人）：</w:t>
      </w:r>
      <w:r>
        <w:rPr>
          <w:rFonts w:hint="eastAsia" w:ascii="宋体" w:hAnsi="宋体" w:cs="宋体"/>
          <w:sz w:val="24"/>
          <w:szCs w:val="24"/>
          <w:u w:val="single"/>
        </w:rPr>
        <w:t xml:space="preserve">台州市黄岩区屿头乡人民政府 </w:t>
      </w:r>
    </w:p>
    <w:p>
      <w:pPr>
        <w:spacing w:line="360" w:lineRule="auto"/>
        <w:rPr>
          <w:rFonts w:ascii="宋体" w:hAnsi="宋体" w:cs="宋体"/>
          <w:b/>
          <w:bCs/>
          <w:sz w:val="24"/>
          <w:szCs w:val="24"/>
          <w:u w:val="single"/>
        </w:rPr>
      </w:pPr>
      <w:r>
        <w:rPr>
          <w:rFonts w:hint="eastAsia" w:ascii="宋体" w:hAnsi="宋体" w:cs="宋体"/>
          <w:b/>
          <w:bCs/>
          <w:sz w:val="24"/>
          <w:szCs w:val="24"/>
        </w:rPr>
        <w:t>乙方（中标人）：</w:t>
      </w:r>
      <w:r>
        <w:rPr>
          <w:rFonts w:hint="eastAsia" w:ascii="宋体" w:hAnsi="宋体" w:cs="宋体"/>
          <w:b/>
          <w:bCs/>
          <w:sz w:val="24"/>
          <w:szCs w:val="24"/>
          <w:u w:val="single"/>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根据黄岩区屿头未来乡村及低碳适用技术集成化应用项目的招标结果，经双方协商一致，达成以下条款：</w:t>
      </w:r>
    </w:p>
    <w:p>
      <w:pPr>
        <w:spacing w:line="360" w:lineRule="auto"/>
        <w:rPr>
          <w:rFonts w:ascii="宋体" w:hAnsi="宋体" w:cs="宋体"/>
          <w:b/>
          <w:bCs/>
          <w:sz w:val="24"/>
          <w:szCs w:val="24"/>
        </w:rPr>
      </w:pPr>
      <w:r>
        <w:rPr>
          <w:rFonts w:hint="eastAsia" w:ascii="宋体" w:hAnsi="宋体" w:cs="宋体"/>
          <w:b/>
          <w:bCs/>
          <w:sz w:val="24"/>
          <w:szCs w:val="24"/>
        </w:rPr>
        <w:t>第一条：承包内容</w:t>
      </w:r>
    </w:p>
    <w:p>
      <w:pPr>
        <w:spacing w:line="360" w:lineRule="auto"/>
        <w:ind w:firstLine="480" w:firstLineChars="200"/>
        <w:rPr>
          <w:rFonts w:ascii="宋体" w:hAnsi="宋体" w:cs="宋体"/>
          <w:sz w:val="24"/>
          <w:szCs w:val="24"/>
        </w:rPr>
      </w:pPr>
      <w:r>
        <w:rPr>
          <w:rFonts w:hint="eastAsia" w:ascii="宋体" w:hAnsi="宋体" w:cs="宋体"/>
          <w:sz w:val="24"/>
          <w:szCs w:val="24"/>
        </w:rPr>
        <w:t>黄岩区屿头未来乡村及低碳适用技术集成化应用项目，包括项目建设、实施、直至验收合格及售后服务等。</w:t>
      </w:r>
    </w:p>
    <w:p>
      <w:pPr>
        <w:spacing w:line="360" w:lineRule="auto"/>
        <w:rPr>
          <w:rFonts w:ascii="宋体" w:hAnsi="宋体" w:cs="宋体"/>
          <w:b/>
          <w:bCs/>
          <w:sz w:val="24"/>
          <w:szCs w:val="24"/>
        </w:rPr>
      </w:pPr>
      <w:r>
        <w:rPr>
          <w:rFonts w:hint="eastAsia" w:ascii="宋体" w:hAnsi="宋体" w:cs="宋体"/>
          <w:b/>
          <w:bCs/>
          <w:sz w:val="24"/>
          <w:szCs w:val="24"/>
        </w:rPr>
        <w:t>第二条：合同金额</w:t>
      </w:r>
    </w:p>
    <w:p>
      <w:pPr>
        <w:spacing w:line="360" w:lineRule="auto"/>
        <w:ind w:firstLine="480" w:firstLineChars="200"/>
        <w:rPr>
          <w:rFonts w:ascii="宋体" w:hAnsi="宋体" w:cs="宋体"/>
          <w:sz w:val="24"/>
        </w:rPr>
      </w:pPr>
      <w:r>
        <w:rPr>
          <w:rFonts w:hint="eastAsia" w:ascii="宋体" w:hAnsi="宋体" w:cs="宋体"/>
          <w:sz w:val="24"/>
        </w:rPr>
        <w:t>本合同金额为（大写）：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元）人民币。</w:t>
      </w:r>
    </w:p>
    <w:p>
      <w:pPr>
        <w:spacing w:line="360" w:lineRule="auto"/>
        <w:rPr>
          <w:rFonts w:ascii="宋体" w:hAnsi="宋体" w:cs="宋体"/>
          <w:b/>
          <w:bCs/>
          <w:sz w:val="24"/>
        </w:rPr>
      </w:pPr>
      <w:r>
        <w:rPr>
          <w:rFonts w:hint="eastAsia" w:ascii="宋体" w:hAnsi="宋体" w:cs="宋体"/>
          <w:b/>
          <w:bCs/>
          <w:sz w:val="24"/>
        </w:rPr>
        <w:t>第三条：建设工期、验收方式及地点</w:t>
      </w:r>
    </w:p>
    <w:p>
      <w:pPr>
        <w:widowControl/>
        <w:numPr>
          <w:ilvl w:val="0"/>
          <w:numId w:val="10"/>
        </w:numPr>
        <w:snapToGrid w:val="0"/>
        <w:spacing w:line="360" w:lineRule="auto"/>
        <w:ind w:left="420"/>
        <w:jc w:val="left"/>
        <w:rPr>
          <w:rFonts w:ascii="宋体" w:hAnsi="宋体" w:cs="宋体"/>
          <w:sz w:val="24"/>
        </w:rPr>
      </w:pPr>
      <w:r>
        <w:rPr>
          <w:rFonts w:hint="eastAsia" w:ascii="宋体" w:hAnsi="宋体" w:cs="宋体"/>
          <w:sz w:val="24"/>
        </w:rPr>
        <w:t>建设工期：</w:t>
      </w:r>
      <w:r>
        <w:rPr>
          <w:rFonts w:hint="default" w:ascii="宋体" w:hAnsi="宋体" w:eastAsia="宋体" w:cs="宋体"/>
          <w:b w:val="0"/>
          <w:bCs w:val="0"/>
          <w:i w:val="0"/>
          <w:iCs w:val="0"/>
          <w:color w:val="auto"/>
          <w:kern w:val="2"/>
          <w:sz w:val="24"/>
          <w:szCs w:val="24"/>
          <w:highlight w:val="none"/>
          <w:vertAlign w:val="baseline"/>
          <w:lang w:val="en-US" w:eastAsia="zh-CN"/>
        </w:rPr>
        <w:t>合同签订以后90日历天内完成开发、系统部署和上线</w:t>
      </w:r>
      <w:r>
        <w:rPr>
          <w:rFonts w:hint="eastAsia" w:ascii="宋体" w:hAnsi="宋体" w:eastAsia="宋体" w:cs="宋体"/>
          <w:b w:val="0"/>
          <w:bCs w:val="0"/>
          <w:i w:val="0"/>
          <w:iCs w:val="0"/>
          <w:color w:val="auto"/>
          <w:kern w:val="2"/>
          <w:sz w:val="24"/>
          <w:szCs w:val="24"/>
          <w:highlight w:val="none"/>
          <w:vertAlign w:val="baseline"/>
          <w:lang w:val="en-US" w:eastAsia="zh-CN"/>
        </w:rPr>
        <w:t>运行</w:t>
      </w:r>
      <w:r>
        <w:rPr>
          <w:rFonts w:hint="eastAsia" w:ascii="宋体" w:hAnsi="宋体" w:cs="宋体"/>
          <w:b w:val="0"/>
          <w:bCs w:val="0"/>
          <w:i w:val="0"/>
          <w:iCs w:val="0"/>
          <w:color w:val="auto"/>
          <w:kern w:val="2"/>
          <w:sz w:val="24"/>
          <w:szCs w:val="24"/>
          <w:highlight w:val="none"/>
          <w:vertAlign w:val="baseline"/>
          <w:lang w:val="en-US" w:eastAsia="zh-CN"/>
        </w:rPr>
        <w:t>（其中2022年10月30日前完成“未来乡村”部分建设工作并通过验收 ）</w:t>
      </w:r>
    </w:p>
    <w:p>
      <w:pPr>
        <w:spacing w:line="360" w:lineRule="auto"/>
        <w:ind w:firstLine="480" w:firstLineChars="200"/>
        <w:rPr>
          <w:rFonts w:ascii="宋体" w:hAnsi="宋体" w:cs="宋体"/>
          <w:sz w:val="24"/>
        </w:rPr>
      </w:pPr>
      <w:r>
        <w:rPr>
          <w:rFonts w:hint="eastAsia" w:ascii="宋体" w:hAnsi="宋体" w:cs="宋体"/>
          <w:sz w:val="24"/>
        </w:rPr>
        <w:t>2.验收方式及地点：按台州市黄岩区屿头乡人民政府指定的方式、地点验收。</w:t>
      </w:r>
    </w:p>
    <w:p>
      <w:pPr>
        <w:spacing w:line="360" w:lineRule="auto"/>
        <w:rPr>
          <w:rFonts w:ascii="宋体" w:hAnsi="宋体" w:cs="宋体"/>
          <w:b/>
          <w:bCs/>
          <w:sz w:val="24"/>
        </w:rPr>
      </w:pPr>
      <w:r>
        <w:rPr>
          <w:rFonts w:hint="eastAsia" w:ascii="宋体" w:hAnsi="宋体" w:cs="宋体"/>
          <w:b/>
          <w:bCs/>
          <w:sz w:val="24"/>
        </w:rPr>
        <w:t>第四条：</w:t>
      </w:r>
      <w:r>
        <w:rPr>
          <w:rFonts w:hint="eastAsia" w:ascii="宋体" w:hAnsi="宋体" w:cs="宋体"/>
          <w:b/>
          <w:bCs/>
          <w:sz w:val="24"/>
          <w:lang w:val="en-US" w:eastAsia="zh-CN"/>
        </w:rPr>
        <w:t>运维</w:t>
      </w:r>
      <w:r>
        <w:rPr>
          <w:rFonts w:hint="eastAsia" w:ascii="宋体" w:hAnsi="宋体" w:cs="宋体"/>
          <w:b/>
          <w:bCs/>
          <w:sz w:val="24"/>
        </w:rPr>
        <w:t>期</w:t>
      </w:r>
    </w:p>
    <w:p>
      <w:pPr>
        <w:pStyle w:val="16"/>
        <w:snapToGrid w:val="0"/>
        <w:spacing w:before="120" w:after="120" w:line="360" w:lineRule="auto"/>
        <w:ind w:firstLine="480" w:firstLineChars="200"/>
        <w:rPr>
          <w:rFonts w:hAnsi="宋体"/>
          <w:sz w:val="24"/>
        </w:rPr>
      </w:pPr>
      <w:r>
        <w:rPr>
          <w:rFonts w:hint="eastAsia" w:hAnsi="宋体"/>
          <w:sz w:val="24"/>
          <w:lang w:val="en-US" w:eastAsia="zh-CN"/>
        </w:rPr>
        <w:t>运维</w:t>
      </w:r>
      <w:r>
        <w:rPr>
          <w:rFonts w:hint="eastAsia" w:hAnsi="宋体"/>
          <w:sz w:val="24"/>
        </w:rPr>
        <w:t>期：</w:t>
      </w:r>
      <w:r>
        <w:rPr>
          <w:rFonts w:hint="eastAsia" w:hAnsi="宋体"/>
          <w:sz w:val="24"/>
          <w:u w:val="single"/>
        </w:rPr>
        <w:t xml:space="preserve">    </w:t>
      </w:r>
      <w:r>
        <w:rPr>
          <w:rFonts w:hint="eastAsia" w:hAnsi="宋体"/>
          <w:sz w:val="24"/>
        </w:rPr>
        <w:t>年。（</w:t>
      </w:r>
      <w:r>
        <w:rPr>
          <w:rFonts w:hint="eastAsia" w:hAnsi="宋体"/>
          <w:bCs/>
          <w:sz w:val="24"/>
          <w:szCs w:val="32"/>
        </w:rPr>
        <w:t>从验收合格且正常试运行1个月后开始计算</w:t>
      </w:r>
      <w:r>
        <w:rPr>
          <w:rFonts w:hint="eastAsia" w:hAnsi="宋体"/>
          <w:sz w:val="24"/>
        </w:rPr>
        <w:t>，因人为因素出现的故障不在免费保修范围内。超过免费维保期，提供终生维修，维修时只收部件成本费。）</w:t>
      </w:r>
    </w:p>
    <w:p>
      <w:pPr>
        <w:pStyle w:val="5"/>
        <w:spacing w:line="360" w:lineRule="auto"/>
        <w:ind w:right="210"/>
        <w:rPr>
          <w:rFonts w:ascii="宋体" w:hAnsi="宋体" w:cs="宋体"/>
          <w:sz w:val="24"/>
          <w:szCs w:val="21"/>
          <w:lang w:val="zh-CN"/>
        </w:rPr>
      </w:pPr>
      <w:r>
        <w:rPr>
          <w:rFonts w:hint="eastAsia" w:ascii="宋体" w:hAnsi="宋体" w:cs="宋体"/>
          <w:sz w:val="24"/>
          <w:szCs w:val="21"/>
        </w:rPr>
        <w:t>第五条：</w:t>
      </w:r>
      <w:r>
        <w:rPr>
          <w:rFonts w:hint="eastAsia" w:ascii="宋体" w:hAnsi="宋体" w:cs="宋体"/>
          <w:sz w:val="24"/>
          <w:szCs w:val="21"/>
          <w:lang w:val="zh-CN"/>
        </w:rPr>
        <w:t>技术资料</w:t>
      </w:r>
    </w:p>
    <w:p>
      <w:pPr>
        <w:pStyle w:val="16"/>
        <w:snapToGrid w:val="0"/>
        <w:spacing w:before="120" w:after="120" w:line="360" w:lineRule="auto"/>
        <w:ind w:firstLine="480" w:firstLineChars="200"/>
        <w:rPr>
          <w:rFonts w:hAnsi="宋体"/>
          <w:sz w:val="24"/>
        </w:rPr>
      </w:pPr>
      <w:r>
        <w:rPr>
          <w:rFonts w:hAnsi="宋体"/>
          <w:sz w:val="24"/>
        </w:rPr>
        <w:t>1</w:t>
      </w:r>
      <w:r>
        <w:rPr>
          <w:rFonts w:hint="eastAsia" w:hAnsi="宋体"/>
          <w:sz w:val="24"/>
        </w:rPr>
        <w:t>.</w:t>
      </w:r>
      <w:r>
        <w:rPr>
          <w:rFonts w:hAnsi="宋体"/>
          <w:sz w:val="24"/>
        </w:rPr>
        <w:t>乙方应按</w:t>
      </w:r>
      <w:r>
        <w:rPr>
          <w:rFonts w:hint="eastAsia" w:hAnsi="宋体"/>
          <w:sz w:val="24"/>
        </w:rPr>
        <w:t>招标文件</w:t>
      </w:r>
      <w:r>
        <w:rPr>
          <w:rFonts w:hAnsi="宋体"/>
          <w:sz w:val="24"/>
        </w:rPr>
        <w:t>规定的时间向甲方提供</w:t>
      </w:r>
      <w:r>
        <w:rPr>
          <w:rFonts w:hint="eastAsia" w:hAnsi="宋体"/>
          <w:sz w:val="24"/>
        </w:rPr>
        <w:t>产品、服务及指导</w:t>
      </w:r>
      <w:r>
        <w:rPr>
          <w:rFonts w:hAnsi="宋体"/>
          <w:sz w:val="24"/>
        </w:rPr>
        <w:t>。</w:t>
      </w:r>
    </w:p>
    <w:p>
      <w:pPr>
        <w:pStyle w:val="16"/>
        <w:snapToGrid w:val="0"/>
        <w:spacing w:before="120" w:after="120" w:line="360" w:lineRule="auto"/>
        <w:ind w:firstLine="480" w:firstLineChars="200"/>
        <w:rPr>
          <w:rFonts w:hAnsi="宋体"/>
          <w:sz w:val="24"/>
        </w:rPr>
      </w:pPr>
      <w:r>
        <w:rPr>
          <w:rFonts w:hAnsi="宋体"/>
          <w:sz w:val="24"/>
        </w:rPr>
        <w:t>2</w:t>
      </w:r>
      <w:r>
        <w:rPr>
          <w:rFonts w:hint="eastAsia" w:hAnsi="宋体"/>
          <w:sz w:val="24"/>
        </w:rPr>
        <w:t>.</w:t>
      </w:r>
      <w:r>
        <w:rPr>
          <w:rFonts w:hAnsi="宋体"/>
          <w:sz w:val="24"/>
        </w:rPr>
        <w:t>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pStyle w:val="5"/>
        <w:spacing w:line="360" w:lineRule="auto"/>
        <w:ind w:right="210"/>
        <w:rPr>
          <w:rFonts w:ascii="宋体" w:hAnsi="宋体" w:cs="宋体"/>
          <w:sz w:val="24"/>
          <w:szCs w:val="21"/>
          <w:lang w:val="zh-CN"/>
        </w:rPr>
      </w:pPr>
      <w:r>
        <w:rPr>
          <w:rFonts w:hint="eastAsia" w:ascii="宋体" w:hAnsi="宋体" w:cs="宋体"/>
          <w:sz w:val="24"/>
          <w:szCs w:val="21"/>
        </w:rPr>
        <w:t>第六条：</w:t>
      </w:r>
      <w:r>
        <w:rPr>
          <w:rFonts w:hint="eastAsia" w:ascii="宋体" w:hAnsi="宋体" w:cs="宋体"/>
          <w:sz w:val="24"/>
          <w:szCs w:val="21"/>
          <w:lang w:val="zh-CN"/>
        </w:rPr>
        <w:t>知识产权</w:t>
      </w:r>
    </w:p>
    <w:p>
      <w:pPr>
        <w:pStyle w:val="16"/>
        <w:snapToGrid w:val="0"/>
        <w:spacing w:before="120" w:after="120" w:line="360" w:lineRule="auto"/>
        <w:ind w:firstLine="480" w:firstLineChars="200"/>
        <w:rPr>
          <w:rFonts w:hAnsi="宋体"/>
          <w:sz w:val="24"/>
        </w:rPr>
      </w:pPr>
      <w:r>
        <w:rPr>
          <w:rFonts w:hint="eastAsia" w:hAnsi="宋体"/>
          <w:sz w:val="24"/>
        </w:rPr>
        <w:t>1.</w:t>
      </w:r>
      <w:r>
        <w:rPr>
          <w:rFonts w:hAnsi="宋体"/>
          <w:sz w:val="24"/>
        </w:rPr>
        <w:t>乙方应保证所提供的</w:t>
      </w:r>
      <w:r>
        <w:rPr>
          <w:rFonts w:hint="eastAsia" w:hAnsi="宋体"/>
          <w:sz w:val="24"/>
        </w:rPr>
        <w:t>服务、产品</w:t>
      </w:r>
      <w:r>
        <w:rPr>
          <w:rFonts w:hAnsi="宋体"/>
          <w:sz w:val="24"/>
        </w:rPr>
        <w:t>或其任何一部分均不会侵犯任何第三方的知识产权。</w:t>
      </w:r>
    </w:p>
    <w:p>
      <w:pPr>
        <w:pStyle w:val="16"/>
        <w:snapToGrid w:val="0"/>
        <w:spacing w:before="120" w:after="120" w:line="360" w:lineRule="auto"/>
        <w:ind w:firstLine="480" w:firstLineChars="200"/>
        <w:rPr>
          <w:rFonts w:hAnsi="宋体"/>
          <w:sz w:val="24"/>
        </w:rPr>
      </w:pPr>
      <w:r>
        <w:rPr>
          <w:rFonts w:hint="eastAsia" w:hAnsi="宋体"/>
          <w:sz w:val="24"/>
        </w:rPr>
        <w:t>2.若侵犯,由乙方赔偿甲方因此遭受的损失（包括但不限于应对及追偿过程中所支付的律师费、差旅费、诉讼费、保全费、鉴定费、评估费等）。</w:t>
      </w:r>
    </w:p>
    <w:p>
      <w:pPr>
        <w:spacing w:line="360" w:lineRule="auto"/>
        <w:rPr>
          <w:rFonts w:ascii="宋体" w:hAnsi="宋体" w:cs="宋体"/>
          <w:b/>
          <w:bCs/>
          <w:sz w:val="24"/>
        </w:rPr>
      </w:pPr>
      <w:r>
        <w:rPr>
          <w:rFonts w:hint="eastAsia" w:ascii="宋体" w:hAnsi="宋体" w:cs="宋体"/>
          <w:b/>
          <w:bCs/>
          <w:sz w:val="24"/>
        </w:rPr>
        <w:t>第七条：履约保证金</w:t>
      </w:r>
    </w:p>
    <w:p>
      <w:pPr>
        <w:pStyle w:val="92"/>
        <w:spacing w:line="444" w:lineRule="exact"/>
        <w:ind w:firstLine="480" w:firstLineChars="200"/>
        <w:rPr>
          <w:rFonts w:ascii="宋体" w:hAnsi="宋体" w:cs="宋体"/>
          <w:color w:val="auto"/>
          <w:kern w:val="2"/>
          <w:lang w:val="zh-CN"/>
        </w:rPr>
      </w:pPr>
      <w:r>
        <w:rPr>
          <w:rFonts w:hint="eastAsia" w:ascii="宋体" w:hAnsi="宋体" w:cs="宋体"/>
          <w:bCs/>
          <w:color w:val="auto"/>
          <w:lang w:val="zh-CN"/>
        </w:rPr>
        <w:t>签订合同前</w:t>
      </w:r>
      <w:r>
        <w:rPr>
          <w:rFonts w:hint="eastAsia" w:ascii="宋体" w:hAnsi="宋体" w:cs="宋体"/>
          <w:bCs/>
          <w:color w:val="auto"/>
        </w:rPr>
        <w:t>乙方</w:t>
      </w:r>
      <w:r>
        <w:rPr>
          <w:rFonts w:hint="eastAsia" w:ascii="宋体" w:hAnsi="宋体" w:cs="宋体"/>
          <w:bCs/>
          <w:color w:val="auto"/>
          <w:lang w:val="zh-CN"/>
        </w:rPr>
        <w:t>须向</w:t>
      </w:r>
      <w:r>
        <w:rPr>
          <w:rFonts w:hint="eastAsia" w:ascii="宋体" w:hAnsi="宋体" w:cs="宋体"/>
          <w:bCs/>
          <w:color w:val="auto"/>
        </w:rPr>
        <w:t>甲方</w:t>
      </w:r>
      <w:r>
        <w:rPr>
          <w:rFonts w:hint="eastAsia" w:ascii="宋体" w:hAnsi="宋体" w:cs="宋体"/>
          <w:bCs/>
          <w:color w:val="auto"/>
          <w:lang w:val="zh-CN"/>
        </w:rPr>
        <w:t>提交</w:t>
      </w:r>
      <w:r>
        <w:rPr>
          <w:rFonts w:hint="eastAsia" w:ascii="宋体" w:hAnsi="宋体" w:cs="宋体"/>
          <w:bCs/>
          <w:color w:val="auto"/>
        </w:rPr>
        <w:t>合同金额的</w:t>
      </w:r>
      <w:r>
        <w:rPr>
          <w:rFonts w:ascii="宋体" w:hAnsi="宋体" w:cs="宋体"/>
          <w:bCs/>
          <w:color w:val="auto"/>
        </w:rPr>
        <w:t>1</w:t>
      </w:r>
      <w:r>
        <w:rPr>
          <w:rFonts w:hint="eastAsia" w:ascii="宋体" w:hAnsi="宋体" w:cs="宋体"/>
          <w:color w:val="auto"/>
        </w:rPr>
        <w:t>%作为履约</w:t>
      </w:r>
      <w:r>
        <w:rPr>
          <w:rFonts w:hint="eastAsia" w:ascii="宋体" w:hAnsi="宋体" w:cs="宋体"/>
          <w:bCs/>
          <w:color w:val="auto"/>
          <w:lang w:val="zh-CN"/>
        </w:rPr>
        <w:t>保证金</w:t>
      </w:r>
      <w:r>
        <w:rPr>
          <w:rFonts w:hint="eastAsia" w:ascii="宋体" w:hAnsi="宋体" w:cs="宋体"/>
          <w:color w:val="auto"/>
          <w:kern w:val="2"/>
        </w:rPr>
        <w:t>（现金、转账或保函形式均可），项目验收合格</w:t>
      </w:r>
      <w:r>
        <w:rPr>
          <w:rFonts w:hint="eastAsia" w:ascii="宋体" w:hAnsi="宋体" w:cs="宋体"/>
          <w:color w:val="auto"/>
          <w:kern w:val="2"/>
          <w:lang w:val="zh-CN"/>
        </w:rPr>
        <w:t>后7个工作日内退还</w:t>
      </w:r>
      <w:r>
        <w:rPr>
          <w:rFonts w:hint="eastAsia" w:ascii="宋体" w:hAnsi="宋体" w:cs="宋体"/>
          <w:color w:val="auto"/>
          <w:kern w:val="2"/>
        </w:rPr>
        <w:t>或解除保函</w:t>
      </w:r>
      <w:r>
        <w:rPr>
          <w:rFonts w:hint="eastAsia" w:ascii="宋体" w:hAnsi="宋体" w:cs="宋体"/>
          <w:color w:val="auto"/>
          <w:kern w:val="2"/>
          <w:lang w:val="zh-CN"/>
        </w:rPr>
        <w:t>。</w:t>
      </w:r>
    </w:p>
    <w:p>
      <w:pPr>
        <w:pStyle w:val="92"/>
        <w:spacing w:line="360" w:lineRule="auto"/>
        <w:rPr>
          <w:rFonts w:ascii="宋体" w:hAnsi="宋体" w:cs="宋体"/>
          <w:b/>
          <w:bCs/>
          <w:color w:val="auto"/>
        </w:rPr>
      </w:pPr>
      <w:r>
        <w:rPr>
          <w:rFonts w:hint="eastAsia" w:ascii="宋体" w:hAnsi="宋体" w:cs="宋体"/>
          <w:b/>
          <w:bCs/>
          <w:color w:val="auto"/>
        </w:rPr>
        <w:t>第八条：付款方式</w:t>
      </w:r>
    </w:p>
    <w:p>
      <w:pPr>
        <w:spacing w:line="444" w:lineRule="exact"/>
        <w:ind w:firstLine="480" w:firstLineChars="200"/>
        <w:rPr>
          <w:rFonts w:ascii="宋体" w:hAnsi="宋体" w:cs="宋体"/>
          <w:sz w:val="24"/>
          <w:szCs w:val="24"/>
        </w:rPr>
      </w:pPr>
      <w:r>
        <w:rPr>
          <w:rFonts w:hint="eastAsia" w:ascii="宋体" w:hAnsi="宋体" w:cs="宋体"/>
          <w:bCs/>
          <w:sz w:val="24"/>
          <w:szCs w:val="32"/>
        </w:rPr>
        <w:t>合同</w:t>
      </w:r>
      <w:r>
        <w:rPr>
          <w:rFonts w:hint="eastAsia" w:ascii="宋体" w:hAnsi="宋体" w:cs="宋体"/>
          <w:bCs/>
          <w:sz w:val="24"/>
          <w:szCs w:val="32"/>
          <w:lang w:val="en-US" w:eastAsia="zh-CN"/>
        </w:rPr>
        <w:t>生效及具备实施条件后7个工作日内</w:t>
      </w:r>
      <w:r>
        <w:rPr>
          <w:rFonts w:hint="eastAsia" w:ascii="宋体" w:hAnsi="宋体" w:cs="宋体"/>
          <w:bCs/>
          <w:sz w:val="24"/>
          <w:szCs w:val="32"/>
        </w:rPr>
        <w:t>预付合同金额的</w:t>
      </w:r>
      <w:r>
        <w:rPr>
          <w:rFonts w:hint="eastAsia" w:ascii="宋体" w:hAnsi="宋体" w:cs="宋体"/>
          <w:bCs/>
          <w:sz w:val="24"/>
          <w:szCs w:val="32"/>
          <w:lang w:val="en-US" w:eastAsia="zh-CN"/>
        </w:rPr>
        <w:t>3</w:t>
      </w:r>
      <w:r>
        <w:rPr>
          <w:rFonts w:hint="eastAsia" w:ascii="宋体" w:hAnsi="宋体" w:cs="宋体"/>
          <w:bCs/>
          <w:sz w:val="24"/>
          <w:szCs w:val="32"/>
        </w:rPr>
        <w:t>0%，</w:t>
      </w:r>
      <w:r>
        <w:rPr>
          <w:rFonts w:hint="eastAsia" w:ascii="宋体" w:hAnsi="宋体" w:cs="宋体"/>
          <w:bCs/>
          <w:sz w:val="24"/>
          <w:szCs w:val="32"/>
          <w:lang w:val="en-US" w:eastAsia="zh-CN"/>
        </w:rPr>
        <w:t>设备进场</w:t>
      </w:r>
      <w:r>
        <w:rPr>
          <w:rFonts w:hint="eastAsia" w:ascii="宋体" w:hAnsi="宋体" w:cs="宋体"/>
          <w:bCs/>
          <w:sz w:val="24"/>
          <w:szCs w:val="32"/>
        </w:rPr>
        <w:t>后支付总价的</w:t>
      </w:r>
      <w:r>
        <w:rPr>
          <w:rFonts w:hint="eastAsia" w:ascii="宋体" w:hAnsi="宋体" w:cs="宋体"/>
          <w:bCs/>
          <w:sz w:val="24"/>
          <w:szCs w:val="32"/>
          <w:lang w:val="en-US" w:eastAsia="zh-CN"/>
        </w:rPr>
        <w:t>3</w:t>
      </w:r>
      <w:r>
        <w:rPr>
          <w:rFonts w:hint="eastAsia" w:ascii="宋体" w:hAnsi="宋体" w:cs="宋体"/>
          <w:bCs/>
          <w:sz w:val="24"/>
          <w:szCs w:val="32"/>
        </w:rPr>
        <w:t>0%，全部设备安装调试通过并验收合格后支付总价的20%，结算经审定后付至结算价的</w:t>
      </w:r>
      <w:r>
        <w:rPr>
          <w:rFonts w:hint="eastAsia" w:ascii="宋体" w:hAnsi="宋体" w:cs="宋体"/>
          <w:bCs/>
          <w:sz w:val="24"/>
          <w:szCs w:val="32"/>
          <w:lang w:val="en-US" w:eastAsia="zh-CN"/>
        </w:rPr>
        <w:t>96</w:t>
      </w:r>
      <w:r>
        <w:rPr>
          <w:rFonts w:hint="eastAsia" w:ascii="宋体" w:hAnsi="宋体" w:cs="宋体"/>
          <w:bCs/>
          <w:sz w:val="24"/>
          <w:szCs w:val="32"/>
        </w:rPr>
        <w:t>%</w:t>
      </w:r>
      <w:r>
        <w:rPr>
          <w:rFonts w:hint="eastAsia" w:ascii="宋体" w:hAnsi="宋体" w:cs="宋体"/>
          <w:bCs/>
          <w:sz w:val="24"/>
          <w:szCs w:val="32"/>
          <w:lang w:eastAsia="zh-CN"/>
        </w:rPr>
        <w:t>，</w:t>
      </w:r>
      <w:r>
        <w:rPr>
          <w:rFonts w:hint="eastAsia" w:ascii="宋体" w:hAnsi="宋体" w:cs="宋体"/>
          <w:bCs/>
          <w:sz w:val="24"/>
          <w:szCs w:val="32"/>
          <w:lang w:val="en-US" w:eastAsia="zh-CN"/>
        </w:rPr>
        <w:t>余4%待运维期结束后支付</w:t>
      </w:r>
      <w:r>
        <w:rPr>
          <w:rFonts w:hint="eastAsia" w:ascii="宋体" w:hAnsi="宋体" w:cs="宋体"/>
          <w:bCs/>
          <w:sz w:val="24"/>
          <w:szCs w:val="32"/>
        </w:rPr>
        <w:t>。正式税务发票(增值税专用发票)应随付款进度及时提供。</w:t>
      </w:r>
    </w:p>
    <w:p>
      <w:pPr>
        <w:pStyle w:val="5"/>
        <w:spacing w:line="360" w:lineRule="auto"/>
        <w:ind w:right="210"/>
        <w:rPr>
          <w:rFonts w:ascii="宋体" w:hAnsi="宋体" w:cs="宋体"/>
          <w:sz w:val="24"/>
          <w:szCs w:val="24"/>
          <w:lang w:val="zh-CN"/>
        </w:rPr>
      </w:pPr>
      <w:r>
        <w:rPr>
          <w:rFonts w:hint="eastAsia" w:ascii="宋体" w:hAnsi="宋体" w:cs="宋体"/>
          <w:sz w:val="24"/>
          <w:szCs w:val="24"/>
        </w:rPr>
        <w:t>第九条：</w:t>
      </w:r>
      <w:r>
        <w:rPr>
          <w:rFonts w:hint="eastAsia" w:ascii="宋体" w:hAnsi="宋体" w:cs="宋体"/>
          <w:sz w:val="24"/>
          <w:szCs w:val="24"/>
          <w:lang w:val="zh-CN"/>
        </w:rPr>
        <w:t>转包或分包</w:t>
      </w:r>
    </w:p>
    <w:p>
      <w:pPr>
        <w:snapToGrid w:val="0"/>
        <w:spacing w:before="159" w:beforeLines="50" w:after="159" w:afterLines="50" w:line="360" w:lineRule="auto"/>
        <w:ind w:firstLine="480" w:firstLineChars="200"/>
        <w:rPr>
          <w:rFonts w:ascii="宋体" w:hAnsi="宋体" w:cs="宋体"/>
          <w:sz w:val="24"/>
        </w:rPr>
      </w:pPr>
      <w:r>
        <w:rPr>
          <w:rFonts w:hint="eastAsia" w:ascii="宋体" w:hAnsi="宋体" w:cs="宋体"/>
          <w:sz w:val="24"/>
        </w:rPr>
        <w:t>1.本合同范围的产品及服务，应由乙方直接供应，不得转让他人供应；</w:t>
      </w:r>
    </w:p>
    <w:p>
      <w:pPr>
        <w:snapToGrid w:val="0"/>
        <w:spacing w:before="159" w:beforeLines="50" w:after="159" w:afterLines="50" w:line="360" w:lineRule="auto"/>
        <w:ind w:firstLine="480" w:firstLineChars="200"/>
        <w:rPr>
          <w:rFonts w:ascii="宋体" w:hAnsi="宋体" w:cs="宋体"/>
          <w:sz w:val="24"/>
        </w:rPr>
      </w:pPr>
      <w:r>
        <w:rPr>
          <w:rFonts w:hint="eastAsia" w:ascii="宋体" w:hAnsi="宋体" w:cs="宋体"/>
          <w:sz w:val="24"/>
        </w:rPr>
        <w:t>2.除非得到甲方的书面同意，乙方不得将本合同范围的产品及服务全部或部分分包给他人供应；</w:t>
      </w:r>
    </w:p>
    <w:p>
      <w:pPr>
        <w:snapToGrid w:val="0"/>
        <w:spacing w:before="159" w:beforeLines="50" w:after="159" w:afterLines="50" w:line="360" w:lineRule="auto"/>
        <w:ind w:firstLine="480" w:firstLineChars="200"/>
        <w:rPr>
          <w:rFonts w:ascii="宋体" w:hAnsi="宋体" w:cs="宋体"/>
          <w:sz w:val="24"/>
        </w:rPr>
      </w:pPr>
      <w:r>
        <w:rPr>
          <w:rFonts w:hint="eastAsia" w:ascii="宋体" w:hAnsi="宋体" w:cs="宋体"/>
          <w:sz w:val="24"/>
        </w:rPr>
        <w:t>3.如有转让和未经甲方同意的分包行为，甲方有权解除合同，没收履约保证金并追究乙方的违约责任。</w:t>
      </w:r>
    </w:p>
    <w:p>
      <w:pPr>
        <w:pStyle w:val="5"/>
        <w:spacing w:line="360" w:lineRule="auto"/>
        <w:ind w:right="210"/>
        <w:rPr>
          <w:rFonts w:ascii="宋体" w:hAnsi="宋体" w:cs="宋体"/>
          <w:sz w:val="24"/>
        </w:rPr>
      </w:pPr>
      <w:r>
        <w:rPr>
          <w:rFonts w:hint="eastAsia" w:ascii="宋体" w:hAnsi="宋体" w:cs="宋体"/>
          <w:sz w:val="24"/>
          <w:szCs w:val="24"/>
        </w:rPr>
        <w:t>第十条：</w:t>
      </w:r>
      <w:r>
        <w:rPr>
          <w:rFonts w:hint="eastAsia" w:ascii="宋体" w:hAnsi="宋体" w:cs="宋体"/>
          <w:sz w:val="24"/>
          <w:szCs w:val="24"/>
          <w:lang w:val="zh-CN"/>
        </w:rPr>
        <w:t>调试和验收</w:t>
      </w:r>
    </w:p>
    <w:p>
      <w:pPr>
        <w:pStyle w:val="16"/>
        <w:snapToGrid w:val="0"/>
        <w:spacing w:before="120" w:after="120" w:line="360" w:lineRule="auto"/>
        <w:ind w:firstLine="480" w:firstLineChars="200"/>
        <w:rPr>
          <w:rFonts w:hAnsi="宋体"/>
          <w:sz w:val="24"/>
        </w:rPr>
      </w:pPr>
      <w:r>
        <w:rPr>
          <w:rFonts w:hint="eastAsia" w:hAnsi="宋体"/>
          <w:sz w:val="24"/>
        </w:rPr>
        <w:t>1.甲方对乙方提交的产品依据招标文件上的技术规格要求和国家有关质量标准进行现场初步验收，外观、说明书符合招标文件技术要求的，给予签收，初步验收不合格的不予签收。</w:t>
      </w:r>
    </w:p>
    <w:p>
      <w:pPr>
        <w:pStyle w:val="16"/>
        <w:snapToGrid w:val="0"/>
        <w:spacing w:before="120" w:after="120" w:line="360" w:lineRule="auto"/>
        <w:ind w:firstLine="480" w:firstLineChars="200"/>
        <w:rPr>
          <w:rFonts w:hAnsi="宋体"/>
          <w:sz w:val="24"/>
        </w:rPr>
      </w:pPr>
      <w:r>
        <w:rPr>
          <w:rFonts w:hint="eastAsia" w:hAnsi="宋体"/>
          <w:sz w:val="24"/>
        </w:rPr>
        <w:t>2.乙方交付前应对产品做出全面检查和对验收文件进行整理，并列出清单，作为甲方验收和使用的技术条件依据，检验的结果应随产品交甲方。</w:t>
      </w:r>
    </w:p>
    <w:p>
      <w:pPr>
        <w:pStyle w:val="16"/>
        <w:snapToGrid w:val="0"/>
        <w:spacing w:before="120" w:after="120" w:line="360" w:lineRule="auto"/>
        <w:ind w:firstLine="480" w:firstLineChars="200"/>
        <w:rPr>
          <w:rFonts w:hAnsi="宋体"/>
          <w:sz w:val="24"/>
        </w:rPr>
      </w:pPr>
      <w:r>
        <w:rPr>
          <w:rFonts w:hint="eastAsia" w:hAnsi="宋体"/>
          <w:sz w:val="24"/>
        </w:rPr>
        <w:t>3.甲方对乙方提供的产品在使用前进行调试时，乙方需负责安装并培训甲方的使用操作人员，并协助甲方一起调试，直到符合技术要求，系统进入试运行，试运行期满三个月无问题后，甲方才做最终验收。</w:t>
      </w:r>
    </w:p>
    <w:p>
      <w:pPr>
        <w:pStyle w:val="16"/>
        <w:snapToGrid w:val="0"/>
        <w:spacing w:before="120" w:after="120" w:line="360" w:lineRule="auto"/>
        <w:ind w:firstLine="480" w:firstLineChars="200"/>
        <w:rPr>
          <w:rFonts w:hAnsi="宋体"/>
          <w:sz w:val="24"/>
        </w:rPr>
      </w:pPr>
      <w:r>
        <w:rPr>
          <w:rFonts w:hint="eastAsia" w:hAnsi="宋体"/>
          <w:sz w:val="24"/>
        </w:rPr>
        <w:t>4.对技术复杂的产品，甲方应请国家认可的专业检测机构参与初步验收及最终验收，并由其出具质量检测报告。</w:t>
      </w:r>
    </w:p>
    <w:p>
      <w:pPr>
        <w:pStyle w:val="16"/>
        <w:snapToGrid w:val="0"/>
        <w:spacing w:before="120" w:after="120" w:line="360" w:lineRule="auto"/>
        <w:ind w:firstLine="480" w:firstLineChars="200"/>
      </w:pPr>
      <w:r>
        <w:rPr>
          <w:rFonts w:hAnsi="宋体"/>
          <w:sz w:val="24"/>
        </w:rPr>
        <w:t>5</w:t>
      </w:r>
      <w:r>
        <w:rPr>
          <w:rFonts w:hint="eastAsia" w:hAnsi="宋体"/>
          <w:sz w:val="24"/>
        </w:rPr>
        <w:t>.</w:t>
      </w:r>
      <w:r>
        <w:rPr>
          <w:rFonts w:hAnsi="宋体"/>
          <w:sz w:val="24"/>
        </w:rPr>
        <w:t>验收时乙方必须在现场，验收完毕后作出验收结果报告。</w:t>
      </w:r>
    </w:p>
    <w:p>
      <w:pPr>
        <w:spacing w:line="360" w:lineRule="auto"/>
        <w:rPr>
          <w:rFonts w:ascii="宋体" w:hAnsi="宋体" w:cs="宋体"/>
          <w:b/>
          <w:bCs/>
          <w:sz w:val="24"/>
        </w:rPr>
      </w:pPr>
      <w:r>
        <w:rPr>
          <w:rFonts w:hint="eastAsia" w:ascii="宋体" w:hAnsi="宋体" w:cs="宋体"/>
          <w:b/>
          <w:bCs/>
          <w:sz w:val="24"/>
        </w:rPr>
        <w:t>第十一条：违约责任</w:t>
      </w:r>
    </w:p>
    <w:p>
      <w:pPr>
        <w:pStyle w:val="16"/>
        <w:snapToGrid w:val="0"/>
        <w:spacing w:before="120" w:after="120" w:line="360" w:lineRule="auto"/>
        <w:ind w:firstLine="480" w:firstLineChars="200"/>
        <w:rPr>
          <w:rFonts w:hAnsi="宋体"/>
          <w:sz w:val="24"/>
        </w:rPr>
      </w:pPr>
      <w:r>
        <w:rPr>
          <w:rFonts w:hAnsi="宋体"/>
          <w:sz w:val="24"/>
        </w:rPr>
        <w:t>1</w:t>
      </w:r>
      <w:r>
        <w:rPr>
          <w:rFonts w:hint="eastAsia" w:hAnsi="宋体"/>
          <w:sz w:val="24"/>
        </w:rPr>
        <w:t>.</w:t>
      </w:r>
      <w:r>
        <w:rPr>
          <w:rFonts w:hAnsi="宋体"/>
          <w:sz w:val="24"/>
        </w:rPr>
        <w:t>甲方无正当理由拒收</w:t>
      </w:r>
      <w:r>
        <w:rPr>
          <w:rFonts w:hint="eastAsia" w:hAnsi="宋体"/>
          <w:sz w:val="24"/>
        </w:rPr>
        <w:t>产品</w:t>
      </w:r>
      <w:r>
        <w:rPr>
          <w:rFonts w:hAnsi="宋体"/>
          <w:sz w:val="24"/>
        </w:rPr>
        <w:t>的，甲方向乙方偿付拒收</w:t>
      </w:r>
      <w:r>
        <w:rPr>
          <w:rFonts w:hint="eastAsia" w:hAnsi="宋体"/>
          <w:sz w:val="24"/>
        </w:rPr>
        <w:t>合同金额</w:t>
      </w:r>
      <w:r>
        <w:rPr>
          <w:rFonts w:hAnsi="宋体"/>
          <w:sz w:val="24"/>
        </w:rPr>
        <w:t>的</w:t>
      </w:r>
      <w:r>
        <w:rPr>
          <w:rFonts w:hint="eastAsia" w:hAnsi="宋体"/>
          <w:sz w:val="24"/>
          <w:u w:val="single"/>
        </w:rPr>
        <w:t>万</w:t>
      </w:r>
      <w:r>
        <w:rPr>
          <w:rFonts w:hAnsi="宋体"/>
          <w:sz w:val="24"/>
          <w:u w:val="single"/>
        </w:rPr>
        <w:t>分之五</w:t>
      </w:r>
      <w:r>
        <w:rPr>
          <w:rFonts w:hAnsi="宋体"/>
          <w:sz w:val="24"/>
        </w:rPr>
        <w:t>违约金。</w:t>
      </w:r>
    </w:p>
    <w:p>
      <w:pPr>
        <w:pStyle w:val="16"/>
        <w:snapToGrid w:val="0"/>
        <w:spacing w:before="120" w:after="120" w:line="360" w:lineRule="auto"/>
        <w:ind w:firstLine="480" w:firstLineChars="200"/>
        <w:rPr>
          <w:rFonts w:hAnsi="宋体"/>
          <w:sz w:val="24"/>
        </w:rPr>
      </w:pPr>
      <w:r>
        <w:rPr>
          <w:rFonts w:hAnsi="宋体"/>
          <w:sz w:val="24"/>
        </w:rPr>
        <w:t>2</w:t>
      </w:r>
      <w:r>
        <w:rPr>
          <w:rFonts w:hint="eastAsia" w:hAnsi="宋体"/>
          <w:sz w:val="24"/>
        </w:rPr>
        <w:t>.</w:t>
      </w:r>
      <w:r>
        <w:rPr>
          <w:rFonts w:hAnsi="宋体"/>
          <w:sz w:val="24"/>
        </w:rPr>
        <w:t>甲方无故逾期验收和支付手续的,甲方应按逾期付款总额每日</w:t>
      </w:r>
      <w:r>
        <w:rPr>
          <w:rFonts w:hAnsi="宋体"/>
          <w:sz w:val="24"/>
          <w:u w:val="single"/>
        </w:rPr>
        <w:t>万分之五</w:t>
      </w:r>
      <w:r>
        <w:rPr>
          <w:rFonts w:hAnsi="宋体"/>
          <w:sz w:val="24"/>
        </w:rPr>
        <w:t>向乙方支付违约金。</w:t>
      </w:r>
    </w:p>
    <w:p>
      <w:pPr>
        <w:spacing w:line="360" w:lineRule="auto"/>
        <w:ind w:firstLine="480" w:firstLineChars="200"/>
        <w:rPr>
          <w:rFonts w:ascii="宋体" w:hAnsi="宋体" w:cs="宋体"/>
          <w:sz w:val="24"/>
          <w:szCs w:val="32"/>
        </w:rPr>
      </w:pPr>
      <w:r>
        <w:rPr>
          <w:rFonts w:hint="eastAsia" w:ascii="宋体" w:hAnsi="宋体" w:cs="宋体"/>
          <w:sz w:val="24"/>
          <w:szCs w:val="32"/>
        </w:rPr>
        <w:t>3.乙方所交的产品或服务不符合合同规定及招标文件规定标准的，甲方有权拒收该产品或服务；若乙方愿意更换产品或服务，但逾期交付产品或服务的，按乙方逾期交付处理，乙方应按逾期付款总额每日千分之六向甲方支付违约金，由甲方从待付合同款中扣除。逾期超过约定日期10个工作日不能交付的，甲方可解除本合同。乙方拒绝更换产品或服务，或者乙方在合同签订后不能交付的，甲方可单方面解除合同，乙方应向甲方偿付产品或服务总值20%的违约金，且合同履约保证金不予退还。如造成甲方损失超过违约金的，超出部分由乙方继续承担赔偿责任。</w:t>
      </w:r>
    </w:p>
    <w:p>
      <w:pPr>
        <w:spacing w:line="360" w:lineRule="auto"/>
        <w:ind w:firstLine="480" w:firstLineChars="200"/>
        <w:rPr>
          <w:rFonts w:ascii="宋体" w:hAnsi="宋体" w:cs="宋体"/>
          <w:sz w:val="24"/>
          <w:szCs w:val="32"/>
        </w:rPr>
      </w:pPr>
      <w:r>
        <w:rPr>
          <w:rFonts w:hint="eastAsia" w:ascii="宋体" w:hAnsi="宋体" w:cs="宋体"/>
          <w:sz w:val="24"/>
          <w:szCs w:val="32"/>
        </w:rPr>
        <w:t>4.乙方提供的产品质量低于国家标准规定的，由国家相关部门依法处理。若高于国家标准但不符招标文件规定要求的，参照上一条约定情形办理。</w:t>
      </w:r>
    </w:p>
    <w:p>
      <w:pPr>
        <w:spacing w:line="360" w:lineRule="auto"/>
        <w:ind w:firstLine="480" w:firstLineChars="200"/>
        <w:rPr>
          <w:rFonts w:ascii="宋体" w:hAnsi="宋体" w:cs="宋体"/>
          <w:sz w:val="24"/>
          <w:szCs w:val="32"/>
        </w:rPr>
      </w:pPr>
      <w:r>
        <w:rPr>
          <w:rFonts w:hint="eastAsia" w:ascii="宋体" w:hAnsi="宋体" w:cs="宋体"/>
          <w:sz w:val="24"/>
          <w:szCs w:val="32"/>
        </w:rPr>
        <w:t>5.若发生纠纷，由违约方赔偿守约方因纠纷所支付的费用（包括但不限于律师费、差旅费、诉讼费、保全费、鉴定费、评估费等）。</w:t>
      </w:r>
    </w:p>
    <w:p>
      <w:pPr>
        <w:spacing w:line="360" w:lineRule="auto"/>
        <w:rPr>
          <w:rFonts w:ascii="宋体" w:hAnsi="宋体" w:cs="宋体"/>
          <w:b/>
          <w:bCs/>
          <w:sz w:val="24"/>
        </w:rPr>
      </w:pPr>
      <w:r>
        <w:rPr>
          <w:rFonts w:hint="eastAsia" w:ascii="宋体" w:hAnsi="宋体" w:cs="宋体"/>
          <w:b/>
          <w:bCs/>
          <w:sz w:val="24"/>
        </w:rPr>
        <w:t>第十二条：质量保证及售后服务</w:t>
      </w:r>
    </w:p>
    <w:p>
      <w:pPr>
        <w:pStyle w:val="16"/>
        <w:snapToGrid w:val="0"/>
        <w:spacing w:before="120" w:after="120" w:line="360" w:lineRule="auto"/>
        <w:ind w:firstLine="480" w:firstLineChars="200"/>
        <w:rPr>
          <w:rFonts w:hAnsi="宋体"/>
          <w:sz w:val="24"/>
        </w:rPr>
      </w:pPr>
      <w:r>
        <w:rPr>
          <w:rFonts w:hint="eastAsia" w:hAnsi="宋体"/>
          <w:sz w:val="24"/>
        </w:rPr>
        <w:t>1.乙方应按招标文件规定的产品性能、技术要求、质量标准向甲方提供未经使用的全新产品。同时提供服务质量保证书、技术性能说明书、有关部门的检测测试报告、质量标准认证证书等相关材料。</w:t>
      </w:r>
    </w:p>
    <w:p>
      <w:pPr>
        <w:pStyle w:val="16"/>
        <w:snapToGrid w:val="0"/>
        <w:spacing w:before="120" w:after="120" w:line="360" w:lineRule="auto"/>
        <w:ind w:firstLine="480" w:firstLineChars="200"/>
        <w:rPr>
          <w:rFonts w:hAnsi="宋体"/>
          <w:sz w:val="24"/>
        </w:rPr>
      </w:pPr>
      <w:r>
        <w:rPr>
          <w:rFonts w:hint="eastAsia" w:hAnsi="宋体"/>
          <w:sz w:val="24"/>
        </w:rPr>
        <w:t>2.乙方提供的产品在免费维保期内因产品本身的质量问题发生故障，乙方应负责免费更换。对达不到技术要求者，根据实际情况，经双方协商，可按以下办法处理：</w:t>
      </w:r>
    </w:p>
    <w:p>
      <w:pPr>
        <w:pStyle w:val="16"/>
        <w:snapToGrid w:val="0"/>
        <w:spacing w:before="120" w:after="120" w:line="360" w:lineRule="auto"/>
        <w:ind w:firstLine="480" w:firstLineChars="200"/>
        <w:rPr>
          <w:rFonts w:hAnsi="宋体"/>
          <w:sz w:val="24"/>
        </w:rPr>
      </w:pPr>
      <w:r>
        <w:rPr>
          <w:rFonts w:hint="eastAsia" w:hAnsi="宋体"/>
          <w:sz w:val="24"/>
        </w:rPr>
        <w:t>⑴更换：由乙方承担所发生的全部费用。</w:t>
      </w:r>
    </w:p>
    <w:p>
      <w:pPr>
        <w:pStyle w:val="16"/>
        <w:snapToGrid w:val="0"/>
        <w:spacing w:before="120" w:after="120" w:line="360" w:lineRule="auto"/>
        <w:ind w:firstLine="480" w:firstLineChars="200"/>
        <w:rPr>
          <w:rFonts w:hAnsi="宋体"/>
          <w:sz w:val="24"/>
        </w:rPr>
      </w:pPr>
      <w:r>
        <w:rPr>
          <w:rFonts w:hint="eastAsia" w:hAnsi="宋体"/>
          <w:sz w:val="24"/>
        </w:rPr>
        <w:t>⑵贬值处理：由甲乙双方合议定价。</w:t>
      </w:r>
    </w:p>
    <w:p>
      <w:pPr>
        <w:pStyle w:val="16"/>
        <w:snapToGrid w:val="0"/>
        <w:spacing w:before="120" w:after="120" w:line="360" w:lineRule="auto"/>
        <w:ind w:firstLine="480" w:firstLineChars="200"/>
        <w:rPr>
          <w:rFonts w:hAnsi="宋体"/>
          <w:sz w:val="24"/>
        </w:rPr>
      </w:pPr>
      <w:r>
        <w:rPr>
          <w:rFonts w:hint="eastAsia" w:hAnsi="宋体"/>
          <w:sz w:val="24"/>
        </w:rPr>
        <w:t>⑶退货处理：乙方应退还甲方支付的合同款，同时应承担该产品的直接费用（运输、保险、检验、利息及银行手续费等）。</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质保期内，投标人保证提供工作时间内的服务响应，在接到系统故障通知后，投标人必须在2小时内响应。对于影响平台系统正常运行的严重故障，投标人工程师及其它相关技术人员必须在接到故障通知后6小时内赶到现场，查找原因，提出解决方案，并工作直至故障维修完全恢复正常服务为止，一般要求保证系统在24小时之内修复。</w:t>
      </w:r>
    </w:p>
    <w:p>
      <w:pPr>
        <w:snapToGrid w:val="0"/>
        <w:spacing w:line="360" w:lineRule="auto"/>
        <w:ind w:firstLine="420"/>
        <w:rPr>
          <w:rFonts w:ascii="宋体" w:hAnsi="宋体" w:cs="宋体"/>
          <w:sz w:val="24"/>
          <w:szCs w:val="24"/>
        </w:rPr>
      </w:pPr>
      <w:r>
        <w:rPr>
          <w:rFonts w:hint="eastAsia" w:ascii="宋体" w:hAnsi="宋体" w:cs="宋体"/>
          <w:sz w:val="24"/>
          <w:szCs w:val="24"/>
        </w:rPr>
        <w:t>4.在质保期内，对用户提出的技术问题进行咨询解答服务，对项目运行过程中发现的技术缺陷予以修改。要求为本项目提供完备的服务体系，多样化的服务手段，包括现场服务、远程服务、应急服务等。</w:t>
      </w:r>
    </w:p>
    <w:p>
      <w:pPr>
        <w:snapToGrid w:val="0"/>
        <w:spacing w:line="460" w:lineRule="exact"/>
        <w:ind w:firstLine="420"/>
        <w:rPr>
          <w:rFonts w:hAnsi="宋体"/>
          <w:sz w:val="24"/>
        </w:rPr>
      </w:pPr>
      <w:r>
        <w:rPr>
          <w:rFonts w:hint="eastAsia" w:ascii="宋体" w:hAnsi="宋体" w:cs="宋体"/>
          <w:sz w:val="24"/>
          <w:szCs w:val="24"/>
        </w:rPr>
        <w:t>5.</w:t>
      </w:r>
      <w:r>
        <w:rPr>
          <w:rFonts w:hint="eastAsia" w:hAnsi="宋体"/>
          <w:sz w:val="24"/>
        </w:rPr>
        <w:t>在质保期内,乙方应对出现的质量及安全问题负责处理解决并承担一切费用。提供免费的维修及技术咨询服务。</w:t>
      </w:r>
    </w:p>
    <w:p>
      <w:pPr>
        <w:pStyle w:val="16"/>
        <w:snapToGrid w:val="0"/>
        <w:spacing w:before="120" w:after="120" w:line="360" w:lineRule="auto"/>
        <w:ind w:firstLine="480" w:firstLineChars="200"/>
      </w:pPr>
      <w:r>
        <w:rPr>
          <w:rFonts w:hint="eastAsia" w:hAnsi="宋体"/>
          <w:sz w:val="24"/>
        </w:rPr>
        <w:t>6.培训：为使甲方对本系统能够有效使用和正确操作、维护，乙方有责任对甲方指派的操作、维护人员进行培训，培训内容包括理论培训和实际操作培训。培训内容包括维护、常见故障的排除等。</w:t>
      </w:r>
    </w:p>
    <w:p>
      <w:pPr>
        <w:pStyle w:val="5"/>
        <w:spacing w:line="360" w:lineRule="auto"/>
        <w:ind w:left="6" w:right="210"/>
        <w:rPr>
          <w:rFonts w:ascii="宋体" w:hAnsi="宋体" w:cs="宋体"/>
          <w:sz w:val="24"/>
        </w:rPr>
      </w:pPr>
      <w:r>
        <w:rPr>
          <w:rFonts w:hint="eastAsia" w:ascii="宋体" w:hAnsi="宋体" w:cs="宋体"/>
          <w:sz w:val="24"/>
        </w:rPr>
        <w:t>第十三条：</w:t>
      </w:r>
      <w:r>
        <w:rPr>
          <w:rFonts w:hint="eastAsia" w:ascii="宋体" w:hAnsi="宋体" w:cs="宋体"/>
          <w:sz w:val="24"/>
          <w:lang w:val="zh-CN"/>
        </w:rPr>
        <w:t>不可抗力事件处理</w:t>
      </w:r>
    </w:p>
    <w:p>
      <w:pPr>
        <w:pStyle w:val="5"/>
        <w:spacing w:line="360" w:lineRule="auto"/>
        <w:ind w:left="6" w:right="210" w:firstLine="480" w:firstLineChars="200"/>
        <w:rPr>
          <w:rFonts w:ascii="宋体" w:hAnsi="宋体" w:cs="宋体"/>
          <w:b w:val="0"/>
          <w:bCs w:val="0"/>
          <w:sz w:val="24"/>
          <w:szCs w:val="22"/>
        </w:rPr>
      </w:pPr>
      <w:r>
        <w:rPr>
          <w:rFonts w:hint="eastAsia" w:ascii="宋体" w:hAnsi="宋体" w:cs="宋体"/>
          <w:b w:val="0"/>
          <w:bCs w:val="0"/>
          <w:sz w:val="24"/>
          <w:szCs w:val="22"/>
        </w:rPr>
        <w:t>1.在合同有效期内，任何一方因不可抗力事件导致不能履行合同，则合同履行期可延长，其延长期与不可抗力影响期相同。</w:t>
      </w:r>
    </w:p>
    <w:p>
      <w:pPr>
        <w:pStyle w:val="16"/>
        <w:snapToGrid w:val="0"/>
        <w:spacing w:before="120" w:after="120" w:line="360" w:lineRule="auto"/>
        <w:ind w:firstLine="480" w:firstLineChars="200"/>
        <w:rPr>
          <w:rFonts w:hAnsi="宋体"/>
          <w:sz w:val="24"/>
        </w:rPr>
      </w:pPr>
      <w:r>
        <w:rPr>
          <w:rFonts w:hint="eastAsia" w:hAnsi="宋体"/>
          <w:sz w:val="24"/>
        </w:rPr>
        <w:t>2.不可抗力事件发生后，应立即通知对方，并寄送有关权威机构出具的证明。</w:t>
      </w:r>
    </w:p>
    <w:p>
      <w:pPr>
        <w:pStyle w:val="16"/>
        <w:snapToGrid w:val="0"/>
        <w:spacing w:before="120" w:after="120" w:line="360" w:lineRule="auto"/>
        <w:ind w:firstLine="480" w:firstLineChars="200"/>
        <w:rPr>
          <w:rFonts w:hAnsi="宋体"/>
          <w:sz w:val="24"/>
        </w:rPr>
      </w:pPr>
      <w:r>
        <w:rPr>
          <w:rFonts w:hint="eastAsia" w:hAnsi="宋体"/>
          <w:sz w:val="24"/>
        </w:rPr>
        <w:t>3.不可抗力事件延续120天以上，双方应通过友好协商，确定是否继续履行合同。</w:t>
      </w:r>
    </w:p>
    <w:p>
      <w:pPr>
        <w:pStyle w:val="5"/>
        <w:spacing w:line="360" w:lineRule="auto"/>
        <w:ind w:left="6" w:right="210"/>
        <w:rPr>
          <w:rFonts w:ascii="宋体" w:hAnsi="宋体" w:cs="宋体"/>
          <w:sz w:val="24"/>
          <w:lang w:val="zh-CN"/>
        </w:rPr>
      </w:pPr>
      <w:r>
        <w:rPr>
          <w:rFonts w:hint="eastAsia" w:ascii="宋体" w:hAnsi="宋体" w:cs="宋体"/>
          <w:sz w:val="24"/>
        </w:rPr>
        <w:t>第十四条：</w:t>
      </w:r>
      <w:r>
        <w:rPr>
          <w:rFonts w:hint="eastAsia" w:ascii="宋体" w:hAnsi="宋体" w:cs="宋体"/>
          <w:sz w:val="24"/>
          <w:lang w:val="zh-CN"/>
        </w:rPr>
        <w:t>解决争议的方法</w:t>
      </w:r>
    </w:p>
    <w:p>
      <w:pPr>
        <w:spacing w:line="360" w:lineRule="auto"/>
        <w:ind w:firstLine="480" w:firstLineChars="200"/>
        <w:rPr>
          <w:rFonts w:ascii="宋体" w:hAnsi="宋体" w:cs="宋体"/>
          <w:sz w:val="24"/>
        </w:rPr>
      </w:pPr>
      <w:r>
        <w:rPr>
          <w:rFonts w:hint="eastAsia" w:ascii="宋体" w:hAnsi="宋体" w:cs="宋体"/>
          <w:sz w:val="24"/>
        </w:rPr>
        <w:t xml:space="preserve">如双方在履行合同时发生纠纷，应协商解决；协商不成时，可依法向甲方所在地人民法院提起诉讼。 </w:t>
      </w:r>
    </w:p>
    <w:p>
      <w:pPr>
        <w:pStyle w:val="5"/>
        <w:spacing w:line="360" w:lineRule="auto"/>
        <w:ind w:left="6" w:right="210"/>
        <w:rPr>
          <w:rFonts w:hAnsi="宋体" w:cs="宋体"/>
        </w:rPr>
      </w:pPr>
      <w:r>
        <w:rPr>
          <w:rFonts w:hint="eastAsia" w:ascii="宋体" w:hAnsi="宋体" w:cs="宋体"/>
          <w:sz w:val="24"/>
        </w:rPr>
        <w:t>第十五条：</w:t>
      </w:r>
      <w:r>
        <w:rPr>
          <w:rFonts w:hint="eastAsia" w:ascii="宋体" w:hAnsi="宋体" w:cs="宋体"/>
          <w:sz w:val="24"/>
          <w:lang w:val="zh-CN"/>
        </w:rPr>
        <w:t>合同生效及其它</w:t>
      </w:r>
      <w:r>
        <w:rPr>
          <w:rFonts w:hint="eastAsia" w:hAnsi="宋体" w:cs="宋体"/>
        </w:rPr>
        <w:tab/>
      </w:r>
    </w:p>
    <w:p>
      <w:pPr>
        <w:pStyle w:val="12"/>
        <w:spacing w:line="360" w:lineRule="auto"/>
        <w:ind w:right="-88" w:firstLine="480" w:firstLineChars="200"/>
        <w:rPr>
          <w:rFonts w:ascii="宋体" w:hAnsi="宋体" w:cs="宋体"/>
        </w:rPr>
      </w:pPr>
      <w:r>
        <w:rPr>
          <w:rFonts w:hint="eastAsia" w:ascii="宋体" w:hAnsi="宋体" w:cs="宋体"/>
        </w:rPr>
        <w:t>1.合同经双方法定代表人或授权代表签字并加盖单位公章后生效。</w:t>
      </w:r>
    </w:p>
    <w:p>
      <w:pPr>
        <w:pStyle w:val="12"/>
        <w:spacing w:line="360" w:lineRule="auto"/>
        <w:ind w:right="-88" w:firstLine="480" w:firstLineChars="200"/>
        <w:rPr>
          <w:rFonts w:ascii="宋体" w:hAnsi="宋体" w:cs="宋体"/>
        </w:rPr>
      </w:pPr>
      <w:r>
        <w:rPr>
          <w:rFonts w:hint="eastAsia" w:ascii="宋体" w:hAnsi="宋体" w:cs="宋体"/>
        </w:rPr>
        <w:t>2.本合同未尽事宜，遵照《中华人民共和国民法典》有关条文执行。</w:t>
      </w:r>
    </w:p>
    <w:p>
      <w:pPr>
        <w:pStyle w:val="12"/>
        <w:spacing w:line="360" w:lineRule="auto"/>
        <w:ind w:right="-88" w:firstLine="480" w:firstLineChars="200"/>
        <w:rPr>
          <w:rFonts w:ascii="宋体" w:hAnsi="宋体" w:cs="宋体"/>
        </w:rPr>
      </w:pPr>
      <w:r>
        <w:rPr>
          <w:rFonts w:hint="eastAsia" w:ascii="宋体" w:hAnsi="宋体" w:cs="宋体"/>
        </w:rPr>
        <w:t>3.本合同一式八份。甲、乙双方及牵头单位各执两份，采购组织机构及同级人民政府财政采购监管部门各执一份。</w:t>
      </w:r>
    </w:p>
    <w:p>
      <w:pPr>
        <w:pStyle w:val="12"/>
        <w:spacing w:line="360" w:lineRule="auto"/>
        <w:ind w:right="-88" w:firstLine="480" w:firstLineChars="200"/>
        <w:rPr>
          <w:rFonts w:ascii="宋体" w:hAnsi="宋体" w:cs="宋体"/>
        </w:rPr>
      </w:pPr>
      <w:r>
        <w:rPr>
          <w:rFonts w:hint="eastAsia" w:ascii="宋体" w:hAnsi="宋体" w:cs="宋体"/>
        </w:rPr>
        <w:t>4.本项目未尽事宜以招标文件、投标文件及澄清文件等为准，本合同中如有未尽事宜，由双方协商另行解决。</w:t>
      </w:r>
    </w:p>
    <w:p>
      <w:pPr>
        <w:spacing w:line="360" w:lineRule="auto"/>
        <w:ind w:firstLine="480" w:firstLineChars="200"/>
        <w:rPr>
          <w:rFonts w:ascii="宋体" w:hAnsi="宋体" w:cs="宋体"/>
          <w:sz w:val="24"/>
        </w:rPr>
      </w:pPr>
    </w:p>
    <w:p>
      <w:pPr>
        <w:pStyle w:val="92"/>
        <w:spacing w:line="360" w:lineRule="auto"/>
        <w:rPr>
          <w:color w:val="auto"/>
        </w:rPr>
      </w:pPr>
    </w:p>
    <w:p>
      <w:pPr>
        <w:pStyle w:val="92"/>
        <w:spacing w:line="360" w:lineRule="auto"/>
        <w:rPr>
          <w:color w:val="auto"/>
        </w:rPr>
      </w:pPr>
    </w:p>
    <w:p>
      <w:pPr>
        <w:spacing w:line="360" w:lineRule="auto"/>
        <w:jc w:val="left"/>
        <w:rPr>
          <w:rFonts w:ascii="宋体" w:hAnsi="宋体" w:cs="宋体"/>
          <w:sz w:val="24"/>
          <w:szCs w:val="32"/>
        </w:rPr>
      </w:pPr>
      <w:r>
        <w:rPr>
          <w:rFonts w:hint="eastAsia" w:ascii="宋体" w:hAnsi="宋体" w:cs="宋体"/>
          <w:sz w:val="24"/>
          <w:szCs w:val="32"/>
        </w:rPr>
        <w:t>甲     方（公章）：　　                乙     方（公章）：</w:t>
      </w:r>
    </w:p>
    <w:p>
      <w:pPr>
        <w:spacing w:line="360" w:lineRule="auto"/>
        <w:jc w:val="left"/>
        <w:rPr>
          <w:rFonts w:ascii="宋体" w:hAnsi="宋体" w:cs="宋体"/>
          <w:sz w:val="24"/>
          <w:szCs w:val="32"/>
        </w:rPr>
      </w:pPr>
      <w:r>
        <w:rPr>
          <w:rFonts w:hint="eastAsia" w:ascii="宋体" w:hAnsi="宋体" w:cs="宋体"/>
          <w:sz w:val="24"/>
          <w:szCs w:val="32"/>
        </w:rPr>
        <w:t>法定代表人（签章）：　                 法定代表人（签章）：</w:t>
      </w:r>
    </w:p>
    <w:p>
      <w:pPr>
        <w:spacing w:line="360" w:lineRule="auto"/>
        <w:jc w:val="left"/>
        <w:rPr>
          <w:rFonts w:ascii="宋体" w:hAnsi="宋体" w:cs="宋体"/>
          <w:sz w:val="24"/>
          <w:szCs w:val="32"/>
        </w:rPr>
      </w:pPr>
      <w:r>
        <w:rPr>
          <w:rFonts w:hint="eastAsia" w:ascii="宋体" w:hAnsi="宋体" w:cs="宋体"/>
          <w:sz w:val="24"/>
          <w:szCs w:val="32"/>
        </w:rPr>
        <w:t>委托代理人（签章）：　　               委托代理人（签章）：</w:t>
      </w:r>
    </w:p>
    <w:p>
      <w:pPr>
        <w:spacing w:line="360" w:lineRule="auto"/>
        <w:jc w:val="left"/>
        <w:rPr>
          <w:rFonts w:ascii="宋体" w:hAnsi="宋体" w:cs="宋体"/>
          <w:sz w:val="24"/>
          <w:szCs w:val="32"/>
        </w:rPr>
      </w:pPr>
      <w:r>
        <w:rPr>
          <w:rFonts w:hint="eastAsia" w:ascii="宋体" w:hAnsi="宋体" w:cs="宋体"/>
          <w:sz w:val="24"/>
          <w:szCs w:val="32"/>
        </w:rPr>
        <w:t>经办人（签章）：                       经办人（签章）：</w:t>
      </w:r>
    </w:p>
    <w:p>
      <w:pPr>
        <w:spacing w:line="360" w:lineRule="auto"/>
        <w:jc w:val="left"/>
        <w:rPr>
          <w:rFonts w:ascii="宋体" w:hAnsi="宋体" w:cs="宋体"/>
          <w:sz w:val="24"/>
          <w:szCs w:val="32"/>
        </w:rPr>
      </w:pPr>
      <w:r>
        <w:rPr>
          <w:rFonts w:hint="eastAsia" w:ascii="宋体" w:hAnsi="宋体" w:cs="宋体"/>
          <w:sz w:val="24"/>
          <w:szCs w:val="32"/>
        </w:rPr>
        <w:t>电     话：                            电     话：</w:t>
      </w:r>
    </w:p>
    <w:p>
      <w:pPr>
        <w:spacing w:line="360" w:lineRule="auto"/>
        <w:jc w:val="left"/>
        <w:rPr>
          <w:rFonts w:ascii="宋体" w:hAnsi="宋体" w:cs="宋体"/>
          <w:sz w:val="24"/>
          <w:szCs w:val="32"/>
        </w:rPr>
      </w:pPr>
      <w:r>
        <w:rPr>
          <w:rFonts w:hint="eastAsia" w:ascii="宋体" w:hAnsi="宋体" w:cs="宋体"/>
          <w:sz w:val="24"/>
          <w:szCs w:val="32"/>
        </w:rPr>
        <w:t>传     真：                            传     真：</w:t>
      </w:r>
    </w:p>
    <w:p>
      <w:pPr>
        <w:spacing w:line="360" w:lineRule="auto"/>
        <w:jc w:val="left"/>
        <w:rPr>
          <w:rFonts w:ascii="宋体" w:hAnsi="宋体" w:cs="宋体"/>
          <w:sz w:val="24"/>
          <w:szCs w:val="32"/>
        </w:rPr>
      </w:pPr>
      <w:r>
        <w:rPr>
          <w:rFonts w:hint="eastAsia" w:ascii="宋体" w:hAnsi="宋体" w:cs="宋体"/>
          <w:sz w:val="24"/>
          <w:szCs w:val="32"/>
        </w:rPr>
        <w:t xml:space="preserve">开户 银行：                            开户 银行（必填）： </w:t>
      </w:r>
    </w:p>
    <w:p>
      <w:pPr>
        <w:spacing w:line="360" w:lineRule="auto"/>
        <w:jc w:val="left"/>
        <w:rPr>
          <w:rFonts w:ascii="宋体" w:hAnsi="宋体" w:cs="宋体"/>
          <w:sz w:val="24"/>
          <w:szCs w:val="32"/>
        </w:rPr>
      </w:pPr>
      <w:r>
        <w:rPr>
          <w:rFonts w:hint="eastAsia" w:ascii="宋体" w:hAnsi="宋体" w:cs="宋体"/>
          <w:sz w:val="24"/>
          <w:szCs w:val="32"/>
        </w:rPr>
        <w:t>账     号：                            账     号（必填）：</w:t>
      </w:r>
    </w:p>
    <w:p>
      <w:pPr>
        <w:spacing w:line="360" w:lineRule="auto"/>
        <w:jc w:val="left"/>
        <w:rPr>
          <w:rFonts w:ascii="宋体" w:hAnsi="宋体" w:cs="宋体"/>
          <w:sz w:val="24"/>
          <w:szCs w:val="32"/>
        </w:rPr>
      </w:pPr>
      <w:r>
        <w:rPr>
          <w:rFonts w:hint="eastAsia" w:ascii="宋体" w:hAnsi="宋体" w:cs="宋体"/>
          <w:sz w:val="24"/>
          <w:szCs w:val="32"/>
        </w:rPr>
        <w:t>日     期：                            日     期：</w:t>
      </w:r>
    </w:p>
    <w:p>
      <w:pPr>
        <w:spacing w:line="360" w:lineRule="auto"/>
        <w:jc w:val="left"/>
        <w:rPr>
          <w:rFonts w:ascii="宋体" w:hAnsi="宋体" w:cs="宋体"/>
          <w:sz w:val="24"/>
          <w:szCs w:val="32"/>
        </w:rPr>
      </w:pPr>
    </w:p>
    <w:p>
      <w:pPr>
        <w:spacing w:line="360" w:lineRule="auto"/>
        <w:jc w:val="left"/>
        <w:rPr>
          <w:rFonts w:ascii="宋体" w:hAnsi="宋体" w:cs="宋体"/>
          <w:sz w:val="24"/>
          <w:szCs w:val="32"/>
        </w:rPr>
      </w:pPr>
    </w:p>
    <w:p>
      <w:pPr>
        <w:spacing w:line="360" w:lineRule="auto"/>
        <w:jc w:val="left"/>
        <w:rPr>
          <w:rFonts w:ascii="宋体" w:hAnsi="宋体" w:cs="宋体"/>
          <w:b/>
          <w:bCs/>
          <w:sz w:val="32"/>
          <w:szCs w:val="32"/>
        </w:rPr>
      </w:pPr>
    </w:p>
    <w:p>
      <w:pPr>
        <w:pStyle w:val="34"/>
        <w:rPr>
          <w:rFonts w:ascii="宋体" w:hAnsi="宋体" w:cs="宋体"/>
          <w:b/>
          <w:bCs/>
          <w:sz w:val="32"/>
          <w:szCs w:val="32"/>
        </w:rPr>
      </w:pPr>
    </w:p>
    <w:p>
      <w:pPr>
        <w:spacing w:line="360" w:lineRule="auto"/>
        <w:jc w:val="center"/>
        <w:rPr>
          <w:rFonts w:ascii="宋体"/>
          <w:b/>
          <w:bCs/>
          <w:sz w:val="36"/>
          <w:szCs w:val="36"/>
        </w:rPr>
      </w:pPr>
      <w:r>
        <w:rPr>
          <w:rFonts w:hint="eastAsia" w:ascii="宋体" w:hAnsi="宋体" w:cs="宋体"/>
          <w:b/>
          <w:bCs/>
          <w:sz w:val="36"/>
          <w:szCs w:val="36"/>
        </w:rPr>
        <w:t>第六章  投标文件格式附件</w:t>
      </w:r>
    </w:p>
    <w:p>
      <w:pPr>
        <w:rPr>
          <w:rFonts w:ascii="宋体"/>
          <w:b/>
          <w:bCs/>
          <w:kern w:val="0"/>
          <w:sz w:val="28"/>
          <w:szCs w:val="28"/>
        </w:rPr>
      </w:pPr>
      <w:r>
        <w:rPr>
          <w:rFonts w:hint="eastAsia" w:ascii="宋体" w:hAnsi="宋体" w:cs="宋体"/>
          <w:b/>
          <w:bCs/>
          <w:sz w:val="28"/>
          <w:szCs w:val="28"/>
        </w:rPr>
        <w:t>附件</w:t>
      </w:r>
      <w:r>
        <w:rPr>
          <w:rFonts w:ascii="宋体" w:hAnsi="宋体" w:cs="宋体"/>
          <w:b/>
          <w:bCs/>
          <w:sz w:val="28"/>
          <w:szCs w:val="28"/>
        </w:rPr>
        <w:t>1</w:t>
      </w:r>
      <w:r>
        <w:rPr>
          <w:rFonts w:hint="eastAsia" w:ascii="宋体" w:hAnsi="宋体" w:cs="宋体"/>
          <w:b/>
          <w:bCs/>
          <w:sz w:val="28"/>
          <w:szCs w:val="28"/>
        </w:rPr>
        <w:t>　</w:t>
      </w:r>
      <w:r>
        <w:rPr>
          <w:rFonts w:hint="eastAsia" w:ascii="宋体" w:hAnsi="宋体" w:cs="宋体"/>
          <w:sz w:val="30"/>
          <w:szCs w:val="30"/>
        </w:rPr>
        <w:t>　                                        　</w:t>
      </w:r>
      <w:r>
        <w:rPr>
          <w:rFonts w:hint="eastAsia" w:ascii="宋体" w:hAnsi="宋体" w:cs="宋体"/>
          <w:sz w:val="24"/>
          <w:szCs w:val="24"/>
        </w:rPr>
        <w:t>本</w:t>
      </w:r>
    </w:p>
    <w:p>
      <w:pPr>
        <w:spacing w:line="360" w:lineRule="auto"/>
        <w:rPr>
          <w:rFonts w:ascii="宋体"/>
          <w:b/>
          <w:bCs/>
          <w:sz w:val="30"/>
          <w:szCs w:val="30"/>
        </w:rPr>
      </w:pPr>
    </w:p>
    <w:p>
      <w:pPr>
        <w:spacing w:line="360" w:lineRule="auto"/>
        <w:jc w:val="center"/>
        <w:rPr>
          <w:rFonts w:ascii="宋体"/>
          <w:spacing w:val="40"/>
          <w:sz w:val="52"/>
          <w:szCs w:val="52"/>
        </w:rPr>
      </w:pPr>
      <w:r>
        <w:rPr>
          <w:rFonts w:hint="eastAsia" w:ascii="宋体" w:hAnsi="宋体" w:cs="宋体"/>
          <w:spacing w:val="40"/>
          <w:sz w:val="52"/>
          <w:szCs w:val="52"/>
        </w:rPr>
        <w:t>项目名称</w:t>
      </w:r>
    </w:p>
    <w:p>
      <w:pPr>
        <w:spacing w:line="360" w:lineRule="auto"/>
        <w:jc w:val="center"/>
        <w:rPr>
          <w:rFonts w:ascii="宋体"/>
          <w:sz w:val="36"/>
          <w:szCs w:val="36"/>
        </w:rPr>
      </w:pPr>
      <w:r>
        <w:rPr>
          <w:rFonts w:hint="eastAsia" w:ascii="宋体" w:hAnsi="宋体" w:cs="宋体"/>
          <w:sz w:val="36"/>
          <w:szCs w:val="36"/>
        </w:rPr>
        <w:t>项目编号：</w:t>
      </w:r>
    </w:p>
    <w:p>
      <w:pPr>
        <w:autoSpaceDE w:val="0"/>
        <w:autoSpaceDN w:val="0"/>
        <w:adjustRightInd w:val="0"/>
        <w:spacing w:line="360" w:lineRule="auto"/>
        <w:jc w:val="center"/>
        <w:rPr>
          <w:rFonts w:ascii="宋体"/>
          <w:sz w:val="84"/>
          <w:szCs w:val="84"/>
          <w:lang w:val="zh-CN"/>
        </w:rPr>
      </w:pPr>
    </w:p>
    <w:p>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件</w:t>
      </w:r>
    </w:p>
    <w:p>
      <w:pPr>
        <w:autoSpaceDE w:val="0"/>
        <w:autoSpaceDN w:val="0"/>
        <w:adjustRightInd w:val="0"/>
        <w:spacing w:line="360" w:lineRule="auto"/>
        <w:rPr>
          <w:rFonts w:ascii="宋体"/>
          <w:sz w:val="36"/>
          <w:szCs w:val="36"/>
        </w:rPr>
      </w:pPr>
    </w:p>
    <w:p>
      <w:pPr>
        <w:autoSpaceDE w:val="0"/>
        <w:autoSpaceDN w:val="0"/>
        <w:adjustRightInd w:val="0"/>
        <w:spacing w:line="360" w:lineRule="auto"/>
        <w:jc w:val="center"/>
        <w:rPr>
          <w:rFonts w:ascii="宋体"/>
          <w:b/>
          <w:bCs/>
          <w:spacing w:val="40"/>
          <w:sz w:val="36"/>
          <w:szCs w:val="36"/>
        </w:rPr>
      </w:pPr>
      <w:r>
        <w:rPr>
          <w:rFonts w:hint="eastAsia" w:ascii="宋体" w:hAnsi="宋体" w:cs="宋体"/>
          <w:sz w:val="36"/>
          <w:szCs w:val="36"/>
          <w:lang w:val="zh-CN"/>
        </w:rPr>
        <w:t>（资格及商务技术文件</w:t>
      </w:r>
      <w:r>
        <w:rPr>
          <w:rFonts w:hint="eastAsia" w:ascii="宋体" w:hAnsi="宋体" w:cs="宋体"/>
          <w:spacing w:val="40"/>
          <w:sz w:val="36"/>
          <w:szCs w:val="36"/>
        </w:rPr>
        <w:t>）</w:t>
      </w:r>
    </w:p>
    <w:p>
      <w:pPr>
        <w:autoSpaceDE w:val="0"/>
        <w:autoSpaceDN w:val="0"/>
        <w:adjustRightInd w:val="0"/>
        <w:spacing w:line="360" w:lineRule="auto"/>
        <w:rPr>
          <w:rFonts w:ascii="宋体"/>
          <w:sz w:val="36"/>
          <w:szCs w:val="36"/>
        </w:rPr>
      </w:pPr>
    </w:p>
    <w:p>
      <w:pPr>
        <w:autoSpaceDE w:val="0"/>
        <w:autoSpaceDN w:val="0"/>
        <w:adjustRightInd w:val="0"/>
        <w:spacing w:line="360" w:lineRule="auto"/>
        <w:rPr>
          <w:rFonts w:ascii="宋体"/>
          <w:sz w:val="36"/>
          <w:szCs w:val="36"/>
        </w:rPr>
      </w:pPr>
      <w:r>
        <w:rPr>
          <w:rFonts w:hint="eastAsia" w:ascii="宋体" w:hAnsi="宋体" w:cs="宋体"/>
          <w:sz w:val="36"/>
          <w:szCs w:val="36"/>
        </w:rPr>
        <w:t>投标人全称（公章）：</w:t>
      </w:r>
    </w:p>
    <w:p>
      <w:pPr>
        <w:autoSpaceDE w:val="0"/>
        <w:autoSpaceDN w:val="0"/>
        <w:adjustRightInd w:val="0"/>
        <w:spacing w:line="360" w:lineRule="auto"/>
        <w:rPr>
          <w:rFonts w:ascii="宋体"/>
          <w:sz w:val="36"/>
          <w:szCs w:val="36"/>
        </w:rPr>
      </w:pPr>
      <w:r>
        <w:rPr>
          <w:rFonts w:hint="eastAsia" w:ascii="宋体" w:hAnsi="宋体" w:cs="宋体"/>
          <w:sz w:val="36"/>
          <w:szCs w:val="36"/>
        </w:rPr>
        <w:t>地址：</w:t>
      </w:r>
    </w:p>
    <w:p>
      <w:pPr>
        <w:autoSpaceDE w:val="0"/>
        <w:autoSpaceDN w:val="0"/>
        <w:adjustRightInd w:val="0"/>
        <w:spacing w:line="360" w:lineRule="auto"/>
        <w:rPr>
          <w:rFonts w:ascii="宋体"/>
          <w:sz w:val="36"/>
          <w:szCs w:val="36"/>
        </w:rPr>
      </w:pPr>
      <w:r>
        <w:rPr>
          <w:rFonts w:hint="eastAsia" w:ascii="宋体" w:hAnsi="宋体" w:cs="宋体"/>
          <w:sz w:val="36"/>
          <w:szCs w:val="36"/>
        </w:rPr>
        <w:t>时间：</w:t>
      </w:r>
    </w:p>
    <w:p>
      <w:pPr>
        <w:spacing w:line="360" w:lineRule="auto"/>
        <w:jc w:val="center"/>
        <w:rPr>
          <w:b/>
          <w:bCs/>
          <w:sz w:val="36"/>
          <w:szCs w:val="44"/>
        </w:rPr>
      </w:pPr>
      <w:r>
        <w:rPr>
          <w:rFonts w:hint="eastAsia"/>
          <w:b/>
          <w:bCs/>
          <w:sz w:val="36"/>
          <w:szCs w:val="44"/>
        </w:rPr>
        <w:t>资格及商务技术文件目录</w:t>
      </w:r>
    </w:p>
    <w:p>
      <w:pPr>
        <w:spacing w:line="360" w:lineRule="auto"/>
        <w:jc w:val="center"/>
        <w:rPr>
          <w:rFonts w:ascii="宋体" w:hAnsi="宋体" w:cs="宋体"/>
          <w:b/>
          <w:bCs/>
          <w:sz w:val="28"/>
          <w:szCs w:val="36"/>
        </w:rPr>
      </w:pPr>
      <w:r>
        <w:rPr>
          <w:rFonts w:hint="eastAsia" w:ascii="宋体" w:hAnsi="宋体" w:cs="宋体"/>
          <w:b/>
          <w:bCs/>
          <w:sz w:val="28"/>
          <w:szCs w:val="36"/>
        </w:rPr>
        <w:t>第一部分 资格证明文件目录</w:t>
      </w:r>
    </w:p>
    <w:p>
      <w:pPr>
        <w:spacing w:line="360" w:lineRule="auto"/>
        <w:ind w:firstLine="480" w:firstLineChars="20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投标声明书（附件2）；</w:t>
      </w:r>
    </w:p>
    <w:p>
      <w:pPr>
        <w:spacing w:line="360" w:lineRule="auto"/>
        <w:ind w:firstLine="480" w:firstLineChars="20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授权委托书（附件3）；（法定代表人亲自办理投标事宜的，则无需提交）；</w:t>
      </w:r>
    </w:p>
    <w:p>
      <w:pPr>
        <w:spacing w:line="360" w:lineRule="auto"/>
        <w:ind w:firstLine="480" w:firstLineChars="200"/>
        <w:rPr>
          <w:rFonts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法人或者其他组织的营业执照等证明文件，自然人的身份证明；</w:t>
      </w:r>
    </w:p>
    <w:p>
      <w:pPr>
        <w:spacing w:line="360" w:lineRule="auto"/>
        <w:ind w:firstLine="480" w:firstLineChars="2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良好财务状况，依法缴纳税收和社会保障资金的相关证明材料（附件</w:t>
      </w:r>
      <w:r>
        <w:rPr>
          <w:rFonts w:hint="eastAsia" w:ascii="宋体" w:hAnsi="宋体" w:cs="宋体"/>
          <w:sz w:val="24"/>
          <w:szCs w:val="24"/>
        </w:rPr>
        <w:t>4</w:t>
      </w:r>
      <w:r>
        <w:rPr>
          <w:rFonts w:hint="eastAsia" w:ascii="宋体" w:hAnsi="宋体" w:cs="宋体"/>
          <w:sz w:val="24"/>
          <w:szCs w:val="24"/>
          <w:lang w:val="zh-CN"/>
        </w:rPr>
        <w:t>）；</w:t>
      </w:r>
    </w:p>
    <w:p>
      <w:pPr>
        <w:spacing w:line="360" w:lineRule="auto"/>
        <w:ind w:firstLine="480" w:firstLineChars="200"/>
        <w:rPr>
          <w:rFonts w:ascii="宋体" w:hAnsi="宋体" w:cs="宋体"/>
          <w:sz w:val="24"/>
          <w:szCs w:val="24"/>
          <w:lang w:val="zh-CN"/>
        </w:rPr>
      </w:pPr>
      <w:r>
        <w:rPr>
          <w:rFonts w:ascii="宋体" w:hAnsi="宋体" w:cs="宋体"/>
          <w:sz w:val="24"/>
          <w:szCs w:val="24"/>
        </w:rPr>
        <w:t>5</w:t>
      </w:r>
      <w:r>
        <w:rPr>
          <w:rFonts w:hint="eastAsia" w:ascii="宋体" w:hAnsi="宋体" w:cs="宋体"/>
          <w:sz w:val="24"/>
          <w:szCs w:val="24"/>
        </w:rPr>
        <w:t>、提供采购公告中符合供应商特定条件的有效资质证书复印件（投标供应商特定条件中有要求的必须提供），以及需要说明的其他资料</w:t>
      </w:r>
      <w:r>
        <w:rPr>
          <w:rFonts w:hint="eastAsia" w:ascii="宋体" w:hAnsi="宋体" w:cs="宋体"/>
          <w:sz w:val="24"/>
          <w:szCs w:val="24"/>
          <w:lang w:val="zh-CN"/>
        </w:rPr>
        <w:t>。</w:t>
      </w:r>
    </w:p>
    <w:p>
      <w:pPr>
        <w:spacing w:line="360" w:lineRule="auto"/>
        <w:rPr>
          <w:rFonts w:ascii="宋体" w:hAnsi="宋体" w:cs="宋体"/>
          <w:sz w:val="24"/>
          <w:szCs w:val="32"/>
          <w:lang w:val="zh-CN"/>
        </w:rPr>
      </w:pPr>
    </w:p>
    <w:p>
      <w:pPr>
        <w:spacing w:line="360" w:lineRule="auto"/>
        <w:rPr>
          <w:rFonts w:ascii="宋体" w:hAnsi="宋体" w:cs="宋体"/>
          <w:sz w:val="24"/>
          <w:szCs w:val="32"/>
          <w:lang w:val="zh-CN"/>
        </w:rPr>
      </w:pPr>
    </w:p>
    <w:p>
      <w:pPr>
        <w:spacing w:line="360" w:lineRule="auto"/>
        <w:rPr>
          <w:rFonts w:ascii="宋体" w:hAnsi="宋体" w:cs="宋体"/>
          <w:sz w:val="24"/>
          <w:szCs w:val="32"/>
          <w:lang w:val="zh-CN"/>
        </w:rPr>
      </w:pPr>
    </w:p>
    <w:p>
      <w:pPr>
        <w:spacing w:line="360" w:lineRule="auto"/>
        <w:rPr>
          <w:rFonts w:ascii="宋体" w:hAnsi="宋体" w:cs="宋体"/>
          <w:sz w:val="24"/>
          <w:szCs w:val="32"/>
          <w:lang w:val="zh-CN"/>
        </w:rPr>
      </w:pPr>
    </w:p>
    <w:p>
      <w:pPr>
        <w:spacing w:line="360" w:lineRule="auto"/>
        <w:rPr>
          <w:rFonts w:ascii="宋体" w:hAnsi="宋体" w:cs="宋体"/>
          <w:sz w:val="24"/>
          <w:szCs w:val="32"/>
          <w:lang w:val="zh-CN"/>
        </w:rPr>
      </w:pPr>
    </w:p>
    <w:p>
      <w:pPr>
        <w:spacing w:line="360" w:lineRule="auto"/>
        <w:rPr>
          <w:rFonts w:ascii="宋体" w:hAnsi="宋体" w:cs="宋体"/>
          <w:sz w:val="24"/>
          <w:szCs w:val="32"/>
          <w:lang w:val="zh-CN"/>
        </w:rPr>
      </w:pPr>
    </w:p>
    <w:p>
      <w:pPr>
        <w:spacing w:line="360" w:lineRule="auto"/>
        <w:rPr>
          <w:rFonts w:ascii="宋体" w:hAnsi="宋体" w:cs="宋体"/>
          <w:sz w:val="24"/>
          <w:szCs w:val="32"/>
          <w:lang w:val="zh-CN"/>
        </w:rPr>
      </w:pPr>
    </w:p>
    <w:p>
      <w:pPr>
        <w:spacing w:line="360" w:lineRule="auto"/>
        <w:rPr>
          <w:rFonts w:ascii="宋体" w:hAnsi="宋体" w:cs="宋体"/>
          <w:sz w:val="24"/>
          <w:szCs w:val="32"/>
          <w:lang w:val="zh-CN"/>
        </w:rPr>
      </w:pPr>
    </w:p>
    <w:p>
      <w:pPr>
        <w:spacing w:line="360" w:lineRule="auto"/>
        <w:rPr>
          <w:rFonts w:ascii="宋体" w:hAnsi="宋体" w:cs="宋体"/>
          <w:sz w:val="24"/>
          <w:szCs w:val="32"/>
          <w:lang w:val="zh-CN"/>
        </w:rPr>
      </w:pPr>
    </w:p>
    <w:p>
      <w:pPr>
        <w:spacing w:line="360" w:lineRule="auto"/>
        <w:rPr>
          <w:rFonts w:ascii="宋体" w:hAnsi="宋体" w:cs="宋体"/>
          <w:sz w:val="24"/>
          <w:szCs w:val="32"/>
          <w:lang w:val="zh-CN"/>
        </w:rPr>
      </w:pPr>
    </w:p>
    <w:p>
      <w:pPr>
        <w:spacing w:line="360" w:lineRule="auto"/>
        <w:rPr>
          <w:rFonts w:ascii="宋体" w:hAnsi="宋体" w:cs="宋体"/>
          <w:sz w:val="24"/>
          <w:szCs w:val="32"/>
          <w:lang w:val="zh-CN"/>
        </w:rPr>
      </w:pPr>
    </w:p>
    <w:p>
      <w:pPr>
        <w:spacing w:line="360" w:lineRule="auto"/>
        <w:rPr>
          <w:rFonts w:ascii="宋体" w:hAnsi="宋体" w:cs="宋体"/>
          <w:sz w:val="24"/>
          <w:szCs w:val="32"/>
          <w:lang w:val="zh-CN"/>
        </w:rPr>
      </w:pPr>
    </w:p>
    <w:p>
      <w:pPr>
        <w:spacing w:line="360" w:lineRule="auto"/>
        <w:rPr>
          <w:rFonts w:ascii="宋体" w:hAnsi="宋体" w:cs="宋体"/>
          <w:sz w:val="24"/>
          <w:szCs w:val="32"/>
          <w:lang w:val="zh-CN"/>
        </w:rPr>
      </w:pPr>
    </w:p>
    <w:p>
      <w:pPr>
        <w:pStyle w:val="12"/>
        <w:rPr>
          <w:rFonts w:ascii="宋体" w:hAnsi="宋体" w:cs="宋体"/>
          <w:szCs w:val="32"/>
          <w:lang w:val="zh-CN"/>
        </w:rPr>
      </w:pPr>
    </w:p>
    <w:p>
      <w:pPr>
        <w:pStyle w:val="13"/>
        <w:rPr>
          <w:rFonts w:ascii="宋体" w:hAnsi="宋体" w:cs="宋体"/>
          <w:sz w:val="24"/>
          <w:szCs w:val="32"/>
          <w:lang w:val="zh-CN"/>
        </w:rPr>
      </w:pPr>
    </w:p>
    <w:p>
      <w:pPr>
        <w:pStyle w:val="14"/>
        <w:rPr>
          <w:lang w:val="zh-CN"/>
        </w:rPr>
      </w:pPr>
    </w:p>
    <w:p>
      <w:pPr>
        <w:rPr>
          <w:lang w:val="zh-CN"/>
        </w:rPr>
      </w:pPr>
    </w:p>
    <w:p>
      <w:pPr>
        <w:spacing w:line="360" w:lineRule="auto"/>
        <w:rPr>
          <w:rFonts w:ascii="宋体" w:hAnsi="宋体" w:cs="宋体"/>
          <w:sz w:val="24"/>
          <w:szCs w:val="32"/>
          <w:lang w:val="zh-CN"/>
        </w:rPr>
      </w:pPr>
    </w:p>
    <w:p>
      <w:pPr>
        <w:pStyle w:val="2"/>
        <w:rPr>
          <w:lang w:val="zh-CN"/>
        </w:rPr>
      </w:pPr>
    </w:p>
    <w:p>
      <w:pPr>
        <w:rPr>
          <w:lang w:val="zh-CN"/>
        </w:rPr>
      </w:pPr>
    </w:p>
    <w:p>
      <w:pPr>
        <w:pStyle w:val="2"/>
        <w:rPr>
          <w:lang w:val="zh-CN"/>
        </w:rPr>
      </w:pPr>
    </w:p>
    <w:p>
      <w:pPr>
        <w:rPr>
          <w:rFonts w:hint="eastAsia"/>
          <w:lang w:val="zh-CN"/>
        </w:rPr>
      </w:pPr>
    </w:p>
    <w:p>
      <w:pPr>
        <w:spacing w:line="360" w:lineRule="auto"/>
        <w:rPr>
          <w:rFonts w:ascii="宋体"/>
          <w:b/>
          <w:bCs/>
          <w:kern w:val="0"/>
          <w:sz w:val="32"/>
          <w:szCs w:val="32"/>
          <w:lang w:val="zh-CN"/>
        </w:rPr>
      </w:pPr>
      <w:r>
        <w:rPr>
          <w:rFonts w:hint="eastAsia" w:ascii="宋体" w:hAnsi="宋体" w:cs="宋体"/>
          <w:b/>
          <w:bCs/>
          <w:sz w:val="28"/>
          <w:szCs w:val="28"/>
        </w:rPr>
        <w:t>附件</w:t>
      </w:r>
      <w:r>
        <w:rPr>
          <w:rFonts w:ascii="宋体" w:hAnsi="宋体" w:cs="宋体"/>
          <w:b/>
          <w:bCs/>
          <w:sz w:val="28"/>
          <w:szCs w:val="28"/>
        </w:rPr>
        <w:t xml:space="preserve">2                  </w:t>
      </w:r>
      <w:r>
        <w:rPr>
          <w:rFonts w:hint="eastAsia" w:ascii="宋体" w:hAnsi="宋体" w:cs="宋体"/>
          <w:b/>
          <w:bCs/>
          <w:kern w:val="0"/>
          <w:sz w:val="32"/>
          <w:szCs w:val="32"/>
          <w:lang w:val="zh-CN"/>
        </w:rPr>
        <w:t>投标声明书</w:t>
      </w:r>
    </w:p>
    <w:p>
      <w:pPr>
        <w:spacing w:line="440" w:lineRule="exact"/>
        <w:rPr>
          <w:rFonts w:ascii="宋体"/>
          <w:sz w:val="24"/>
          <w:szCs w:val="24"/>
        </w:rPr>
      </w:pPr>
      <w:r>
        <w:rPr>
          <w:rFonts w:hint="eastAsia" w:ascii="宋体" w:hAnsi="宋体" w:cs="宋体"/>
          <w:sz w:val="24"/>
          <w:szCs w:val="24"/>
          <w:u w:val="single"/>
        </w:rPr>
        <w:t>台州市玖诚工程管理有限公司</w:t>
      </w:r>
      <w:r>
        <w:rPr>
          <w:rFonts w:hint="eastAsia" w:ascii="宋体" w:hAnsi="宋体" w:cs="宋体"/>
          <w:sz w:val="24"/>
          <w:szCs w:val="24"/>
        </w:rPr>
        <w:t>（采购代理机构名称）：</w:t>
      </w:r>
    </w:p>
    <w:p>
      <w:pPr>
        <w:spacing w:line="440" w:lineRule="exact"/>
        <w:ind w:firstLine="480" w:firstLineChars="200"/>
        <w:rPr>
          <w:rFonts w:ascii="宋体"/>
          <w:sz w:val="24"/>
          <w:szCs w:val="24"/>
        </w:rPr>
      </w:pPr>
      <w:r>
        <w:rPr>
          <w:rFonts w:hint="eastAsia" w:ascii="宋体" w:hAnsi="宋体" w:cs="宋体"/>
          <w:sz w:val="24"/>
          <w:szCs w:val="24"/>
          <w:u w:val="single"/>
        </w:rPr>
        <w:t>（投标人名称）</w:t>
      </w:r>
      <w:r>
        <w:rPr>
          <w:rFonts w:hint="eastAsia" w:ascii="宋体" w:hAnsi="宋体" w:cs="宋体"/>
          <w:sz w:val="24"/>
          <w:szCs w:val="24"/>
        </w:rPr>
        <w:t>系中华人民共和国合法企业，经营地址。</w:t>
      </w:r>
    </w:p>
    <w:p>
      <w:pPr>
        <w:spacing w:line="440" w:lineRule="exact"/>
        <w:ind w:firstLine="480" w:firstLineChars="200"/>
        <w:rPr>
          <w:rFonts w:ascii="宋体"/>
          <w:sz w:val="24"/>
          <w:szCs w:val="24"/>
        </w:rPr>
      </w:pPr>
      <w:r>
        <w:rPr>
          <w:rFonts w:hint="eastAsia" w:ascii="宋体" w:hAnsi="宋体" w:cs="宋体"/>
          <w:sz w:val="24"/>
          <w:szCs w:val="24"/>
        </w:rPr>
        <w:t>我（</w:t>
      </w:r>
      <w:r>
        <w:rPr>
          <w:rFonts w:hint="eastAsia" w:ascii="宋体" w:hAnsi="宋体" w:cs="宋体"/>
          <w:sz w:val="24"/>
          <w:szCs w:val="24"/>
          <w:u w:val="single"/>
        </w:rPr>
        <w:t>姓名</w:t>
      </w:r>
      <w:r>
        <w:rPr>
          <w:rFonts w:hint="eastAsia" w:ascii="宋体" w:hAnsi="宋体" w:cs="宋体"/>
          <w:sz w:val="24"/>
          <w:szCs w:val="24"/>
        </w:rPr>
        <w:t>）系（</w:t>
      </w:r>
      <w:r>
        <w:rPr>
          <w:rFonts w:hint="eastAsia" w:ascii="宋体" w:hAnsi="宋体" w:cs="宋体"/>
          <w:sz w:val="24"/>
          <w:szCs w:val="24"/>
          <w:u w:val="single"/>
        </w:rPr>
        <w:t>投标人名称</w:t>
      </w:r>
      <w:r>
        <w:rPr>
          <w:rFonts w:hint="eastAsia" w:ascii="宋体" w:hAnsi="宋体" w:cs="宋体"/>
          <w:sz w:val="24"/>
          <w:szCs w:val="24"/>
        </w:rPr>
        <w:t>）的法定代表人，我公司自愿参加贵方组织的（</w:t>
      </w:r>
      <w:r>
        <w:rPr>
          <w:rFonts w:hint="eastAsia" w:ascii="宋体" w:hAnsi="宋体" w:cs="宋体"/>
          <w:sz w:val="24"/>
          <w:szCs w:val="24"/>
          <w:u w:val="single"/>
        </w:rPr>
        <w:t>黄岩区屿头未来乡村及低碳适用技术集成化应用项目</w:t>
      </w:r>
      <w:r>
        <w:rPr>
          <w:rFonts w:hint="eastAsia" w:ascii="宋体" w:hAnsi="宋体" w:cs="宋体"/>
          <w:sz w:val="24"/>
          <w:szCs w:val="24"/>
        </w:rPr>
        <w:t>）（编号为：</w:t>
      </w:r>
      <w:r>
        <w:rPr>
          <w:rFonts w:hint="eastAsia" w:ascii="宋体" w:hAnsi="宋体" w:cs="宋体"/>
          <w:sz w:val="24"/>
          <w:szCs w:val="24"/>
          <w:u w:val="single"/>
        </w:rPr>
        <w:t xml:space="preserve">JC-GK2022-047 </w:t>
      </w:r>
      <w:r>
        <w:rPr>
          <w:rFonts w:hint="eastAsia" w:ascii="宋体" w:hAnsi="宋体" w:cs="宋体"/>
          <w:sz w:val="24"/>
          <w:szCs w:val="24"/>
        </w:rPr>
        <w:t>）的投标，为此，我公司就本次投标有关事项郑重声明如下：</w:t>
      </w:r>
    </w:p>
    <w:p>
      <w:pPr>
        <w:spacing w:line="440" w:lineRule="exact"/>
        <w:ind w:firstLine="480" w:firstLineChars="200"/>
        <w:rPr>
          <w:rFonts w:ascii="宋体"/>
          <w:sz w:val="24"/>
          <w:szCs w:val="24"/>
          <w:lang w:val="zh-CN"/>
        </w:rPr>
      </w:pPr>
      <w:r>
        <w:rPr>
          <w:rFonts w:hint="eastAsia" w:ascii="宋体"/>
          <w:sz w:val="24"/>
          <w:szCs w:val="24"/>
          <w:lang w:val="zh-CN"/>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440" w:lineRule="exact"/>
        <w:ind w:firstLine="480" w:firstLineChars="200"/>
        <w:rPr>
          <w:rFonts w:ascii="宋体"/>
          <w:sz w:val="24"/>
          <w:szCs w:val="24"/>
          <w:lang w:val="zh-CN"/>
        </w:rPr>
      </w:pPr>
      <w:r>
        <w:rPr>
          <w:rFonts w:hint="eastAsia" w:ascii="宋体"/>
          <w:sz w:val="24"/>
          <w:szCs w:val="24"/>
          <w:lang w:val="zh-CN"/>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440" w:lineRule="exact"/>
        <w:ind w:firstLine="480" w:firstLineChars="200"/>
        <w:rPr>
          <w:rFonts w:ascii="宋体"/>
          <w:sz w:val="24"/>
          <w:szCs w:val="24"/>
          <w:lang w:val="zh-CN"/>
        </w:rPr>
      </w:pPr>
      <w:r>
        <w:rPr>
          <w:rFonts w:hint="eastAsia" w:ascii="宋体"/>
          <w:sz w:val="24"/>
          <w:szCs w:val="24"/>
          <w:lang w:val="zh-CN"/>
        </w:rPr>
        <w:t>3、我公司不是采购人的附属机构；在获知本项目采购信息后，与采购人聘请的为此项目提供咨询服务的公司及其附属机构没有任何联系。</w:t>
      </w:r>
    </w:p>
    <w:p>
      <w:pPr>
        <w:spacing w:line="440" w:lineRule="exact"/>
        <w:ind w:firstLine="480" w:firstLineChars="200"/>
        <w:rPr>
          <w:rFonts w:ascii="宋体"/>
          <w:sz w:val="24"/>
          <w:szCs w:val="24"/>
          <w:lang w:val="zh-CN"/>
        </w:rPr>
      </w:pPr>
      <w:r>
        <w:rPr>
          <w:rFonts w:hint="eastAsia" w:ascii="宋体"/>
          <w:sz w:val="24"/>
          <w:szCs w:val="24"/>
          <w:lang w:val="zh-CN"/>
        </w:rPr>
        <w:t>4、我公司保证，采购人在中华人民共和国境内使用我公司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440" w:lineRule="exact"/>
        <w:ind w:firstLine="480" w:firstLineChars="200"/>
        <w:rPr>
          <w:rFonts w:ascii="宋体"/>
          <w:sz w:val="24"/>
          <w:szCs w:val="24"/>
          <w:lang w:val="zh-CN"/>
        </w:rPr>
      </w:pPr>
      <w:r>
        <w:rPr>
          <w:rFonts w:hint="eastAsia" w:ascii="宋体"/>
          <w:sz w:val="24"/>
          <w:szCs w:val="24"/>
          <w:lang w:val="zh-CN"/>
        </w:rPr>
        <w:t>5、我公司严格履行政府采购合同，不降低合同约定的产品质量和服务，不擅自变更、中止、终止合同，或拒绝履行合同义务；</w:t>
      </w:r>
    </w:p>
    <w:p>
      <w:pPr>
        <w:spacing w:line="440" w:lineRule="exact"/>
        <w:ind w:firstLine="480" w:firstLineChars="200"/>
        <w:rPr>
          <w:rFonts w:ascii="宋体"/>
          <w:sz w:val="24"/>
          <w:szCs w:val="24"/>
          <w:lang w:val="zh-CN"/>
        </w:rPr>
      </w:pPr>
      <w:r>
        <w:rPr>
          <w:rFonts w:hint="eastAsia" w:ascii="宋体"/>
          <w:sz w:val="24"/>
          <w:szCs w:val="24"/>
          <w:lang w:val="zh-CN"/>
        </w:rPr>
        <w:t>6、以上事项如有虚假或隐瞒，我公司愿意承担一切后果，并不再寻求任何旨在减轻或免除法律责任的辩解。</w:t>
      </w:r>
    </w:p>
    <w:p>
      <w:pPr>
        <w:spacing w:line="440" w:lineRule="exact"/>
        <w:ind w:firstLine="480" w:firstLineChars="200"/>
        <w:rPr>
          <w:rFonts w:ascii="宋体"/>
          <w:sz w:val="24"/>
          <w:szCs w:val="24"/>
          <w:lang w:val="zh-CN"/>
        </w:rPr>
      </w:pPr>
      <w:r>
        <w:rPr>
          <w:rFonts w:hint="eastAsia" w:ascii="宋体"/>
          <w:sz w:val="24"/>
          <w:szCs w:val="24"/>
          <w:lang w:val="zh-CN"/>
        </w:rPr>
        <w:t>本单位若违反以上承诺，将无条件接受项目主管部门和有关监督管理部门的调查，并愿意承担取消中标资格及限制在本地区参与投标等一切法律责任。</w:t>
      </w:r>
    </w:p>
    <w:p>
      <w:pPr>
        <w:spacing w:line="440" w:lineRule="exact"/>
        <w:ind w:firstLine="4800" w:firstLineChars="2000"/>
        <w:rPr>
          <w:rFonts w:ascii="宋体"/>
          <w:sz w:val="24"/>
          <w:szCs w:val="24"/>
          <w:lang w:val="zh-CN"/>
        </w:rPr>
      </w:pPr>
      <w:r>
        <w:rPr>
          <w:rFonts w:hint="eastAsia" w:ascii="宋体" w:hAnsi="宋体" w:cs="宋体"/>
          <w:sz w:val="24"/>
          <w:szCs w:val="24"/>
          <w:lang w:val="zh-CN"/>
        </w:rPr>
        <w:t>投标人名称</w:t>
      </w:r>
      <w:r>
        <w:rPr>
          <w:rFonts w:ascii="宋体" w:hAnsi="宋体" w:cs="宋体"/>
          <w:sz w:val="24"/>
          <w:szCs w:val="24"/>
          <w:lang w:val="zh-CN"/>
        </w:rPr>
        <w:t>(</w:t>
      </w:r>
      <w:r>
        <w:rPr>
          <w:rFonts w:hint="eastAsia" w:ascii="宋体" w:hAnsi="宋体" w:cs="宋体"/>
          <w:sz w:val="24"/>
          <w:szCs w:val="24"/>
          <w:lang w:val="zh-CN"/>
        </w:rPr>
        <w:t>公章</w:t>
      </w:r>
      <w:r>
        <w:rPr>
          <w:rFonts w:ascii="宋体" w:hAnsi="宋体" w:cs="宋体"/>
          <w:sz w:val="24"/>
          <w:szCs w:val="24"/>
          <w:lang w:val="zh-CN"/>
        </w:rPr>
        <w:t>)</w:t>
      </w:r>
      <w:r>
        <w:rPr>
          <w:rFonts w:hint="eastAsia" w:ascii="宋体" w:hAnsi="宋体" w:cs="宋体"/>
          <w:sz w:val="24"/>
          <w:szCs w:val="24"/>
          <w:lang w:val="zh-CN"/>
        </w:rPr>
        <w:t>：</w:t>
      </w:r>
    </w:p>
    <w:p>
      <w:pPr>
        <w:spacing w:line="440" w:lineRule="exact"/>
        <w:ind w:firstLine="4800" w:firstLineChars="2000"/>
        <w:rPr>
          <w:rFonts w:ascii="宋体"/>
          <w:sz w:val="24"/>
          <w:szCs w:val="24"/>
          <w:lang w:val="zh-CN"/>
        </w:rPr>
      </w:pPr>
      <w:r>
        <w:rPr>
          <w:rFonts w:hint="eastAsia" w:ascii="宋体" w:hAnsi="宋体" w:cs="宋体"/>
          <w:sz w:val="24"/>
          <w:szCs w:val="24"/>
          <w:lang w:val="zh-CN"/>
        </w:rPr>
        <w:t>法定代表人或授权委托人</w:t>
      </w:r>
      <w:r>
        <w:rPr>
          <w:rFonts w:ascii="宋体" w:hAnsi="宋体" w:cs="宋体"/>
          <w:sz w:val="24"/>
          <w:szCs w:val="24"/>
          <w:lang w:val="zh-CN"/>
        </w:rPr>
        <w:t>(</w:t>
      </w:r>
      <w:r>
        <w:rPr>
          <w:rFonts w:hint="eastAsia" w:ascii="宋体" w:hAnsi="宋体" w:cs="宋体"/>
          <w:sz w:val="24"/>
          <w:szCs w:val="24"/>
          <w:lang w:val="zh-CN"/>
        </w:rPr>
        <w:t>签字</w:t>
      </w:r>
      <w:r>
        <w:rPr>
          <w:rFonts w:ascii="宋体" w:hAnsi="宋体" w:cs="宋体"/>
          <w:sz w:val="24"/>
          <w:szCs w:val="24"/>
          <w:lang w:val="zh-CN"/>
        </w:rPr>
        <w:t>)</w:t>
      </w:r>
      <w:r>
        <w:rPr>
          <w:rFonts w:hint="eastAsia" w:ascii="宋体" w:hAnsi="宋体" w:cs="宋体"/>
          <w:sz w:val="24"/>
          <w:szCs w:val="24"/>
          <w:lang w:val="zh-CN"/>
        </w:rPr>
        <w:t>：</w:t>
      </w:r>
    </w:p>
    <w:p>
      <w:pPr>
        <w:spacing w:line="440" w:lineRule="exact"/>
        <w:ind w:firstLine="4800" w:firstLineChars="2000"/>
        <w:rPr>
          <w:rFonts w:ascii="宋体"/>
          <w:sz w:val="24"/>
          <w:szCs w:val="24"/>
        </w:rPr>
      </w:pPr>
      <w:r>
        <w:rPr>
          <w:rFonts w:hint="eastAsia" w:ascii="宋体" w:hAnsi="宋体" w:cs="宋体"/>
          <w:sz w:val="24"/>
          <w:szCs w:val="24"/>
          <w:lang w:val="zh-CN"/>
        </w:rPr>
        <w:t>日期：年月日</w:t>
      </w:r>
    </w:p>
    <w:p>
      <w:pPr>
        <w:spacing w:line="360" w:lineRule="auto"/>
        <w:rPr>
          <w:rFonts w:ascii="宋体" w:hAnsi="宋体" w:cs="宋体"/>
          <w:b/>
          <w:bCs/>
          <w:sz w:val="28"/>
          <w:szCs w:val="28"/>
        </w:rPr>
      </w:pPr>
    </w:p>
    <w:p>
      <w:pPr>
        <w:spacing w:line="360" w:lineRule="auto"/>
        <w:rPr>
          <w:rFonts w:ascii="宋体"/>
          <w:b/>
          <w:bCs/>
          <w:sz w:val="28"/>
          <w:szCs w:val="28"/>
        </w:rPr>
      </w:pPr>
      <w:r>
        <w:rPr>
          <w:rFonts w:hint="eastAsia" w:ascii="宋体" w:hAnsi="宋体" w:cs="宋体"/>
          <w:b/>
          <w:bCs/>
          <w:sz w:val="28"/>
          <w:szCs w:val="28"/>
        </w:rPr>
        <w:t>附件</w:t>
      </w:r>
      <w:r>
        <w:rPr>
          <w:rFonts w:ascii="宋体" w:hAnsi="宋体" w:cs="宋体"/>
          <w:b/>
          <w:bCs/>
          <w:sz w:val="28"/>
          <w:szCs w:val="28"/>
        </w:rPr>
        <w:t xml:space="preserve">3                   </w:t>
      </w:r>
      <w:r>
        <w:rPr>
          <w:rFonts w:hint="eastAsia" w:ascii="宋体" w:hAnsi="宋体" w:cs="宋体"/>
          <w:b/>
          <w:bCs/>
          <w:sz w:val="28"/>
          <w:szCs w:val="28"/>
        </w:rPr>
        <w:t>授权委托书</w:t>
      </w:r>
    </w:p>
    <w:p>
      <w:pPr>
        <w:spacing w:line="360" w:lineRule="auto"/>
        <w:jc w:val="left"/>
        <w:rPr>
          <w:rFonts w:ascii="宋体"/>
          <w:sz w:val="24"/>
          <w:szCs w:val="24"/>
        </w:rPr>
      </w:pPr>
      <w:r>
        <w:rPr>
          <w:rFonts w:hint="eastAsia" w:ascii="宋体" w:hAnsi="宋体" w:cs="宋体"/>
          <w:sz w:val="24"/>
          <w:szCs w:val="24"/>
          <w:u w:val="single"/>
        </w:rPr>
        <w:t>台州市玖诚工程管理有限公司</w:t>
      </w:r>
      <w:r>
        <w:rPr>
          <w:rFonts w:hint="eastAsia" w:ascii="宋体" w:hAnsi="宋体" w:cs="宋体"/>
          <w:sz w:val="24"/>
          <w:szCs w:val="24"/>
        </w:rPr>
        <w:t>（采购代理机构名称）：</w:t>
      </w:r>
    </w:p>
    <w:p>
      <w:pPr>
        <w:spacing w:line="360" w:lineRule="auto"/>
        <w:ind w:firstLine="480" w:firstLineChars="200"/>
        <w:rPr>
          <w:rFonts w:ascii="宋体"/>
          <w:sz w:val="24"/>
          <w:szCs w:val="24"/>
        </w:rPr>
      </w:pPr>
      <w:r>
        <w:rPr>
          <w:rFonts w:hint="eastAsia" w:ascii="宋体" w:hAnsi="宋体" w:cs="宋体"/>
          <w:sz w:val="24"/>
          <w:szCs w:val="24"/>
          <w:u w:val="single"/>
        </w:rPr>
        <w:t>（投标人全称）</w:t>
      </w:r>
      <w:r>
        <w:rPr>
          <w:rFonts w:hint="eastAsia" w:ascii="宋体" w:hAnsi="宋体" w:cs="宋体"/>
          <w:sz w:val="24"/>
          <w:szCs w:val="24"/>
        </w:rPr>
        <w:t>法定代表人（或营业执照中单位负责人）</w:t>
      </w:r>
      <w:r>
        <w:rPr>
          <w:rFonts w:ascii="宋体"/>
          <w:sz w:val="24"/>
          <w:szCs w:val="24"/>
          <w:u w:val="single"/>
        </w:rPr>
        <w:tab/>
      </w:r>
      <w:r>
        <w:rPr>
          <w:rFonts w:hint="eastAsia" w:ascii="宋体" w:hAnsi="宋体" w:cs="宋体"/>
          <w:sz w:val="24"/>
          <w:szCs w:val="24"/>
          <w:u w:val="single"/>
        </w:rPr>
        <w:t>（法定代表人或营业执照中单位负责人姓名）</w:t>
      </w:r>
      <w:r>
        <w:rPr>
          <w:rFonts w:hint="eastAsia" w:ascii="宋体" w:hAnsi="宋体" w:cs="宋体"/>
          <w:sz w:val="24"/>
          <w:szCs w:val="24"/>
        </w:rPr>
        <w:t>授权</w:t>
      </w:r>
      <w:r>
        <w:rPr>
          <w:rFonts w:hint="eastAsia" w:ascii="宋体" w:hAnsi="宋体" w:cs="宋体"/>
          <w:sz w:val="24"/>
          <w:szCs w:val="24"/>
          <w:u w:val="single"/>
        </w:rPr>
        <w:t>（授权委托代理人姓名）</w:t>
      </w:r>
      <w:r>
        <w:rPr>
          <w:rFonts w:hint="eastAsia" w:ascii="宋体" w:hAnsi="宋体" w:cs="宋体"/>
          <w:sz w:val="24"/>
          <w:szCs w:val="24"/>
        </w:rPr>
        <w:t>为授权委托代理人，参加贵单位组织的</w:t>
      </w:r>
      <w:r>
        <w:rPr>
          <w:rFonts w:hint="eastAsia" w:ascii="宋体" w:hAnsi="宋体" w:cs="宋体"/>
          <w:sz w:val="24"/>
          <w:szCs w:val="24"/>
          <w:u w:val="single"/>
        </w:rPr>
        <w:t>黄岩区屿头未来乡村及低碳适用技术集成化应用项目</w:t>
      </w:r>
      <w:r>
        <w:rPr>
          <w:rFonts w:hint="eastAsia" w:ascii="宋体" w:hAnsi="宋体" w:cs="宋体"/>
          <w:sz w:val="24"/>
          <w:szCs w:val="24"/>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sz w:val="24"/>
          <w:szCs w:val="24"/>
        </w:rPr>
      </w:pPr>
      <w:r>
        <w:rPr>
          <w:rFonts w:hint="eastAsia" w:ascii="宋体" w:hAnsi="宋体" w:cs="宋体"/>
          <w:sz w:val="24"/>
          <w:szCs w:val="24"/>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sz w:val="24"/>
          <w:szCs w:val="24"/>
        </w:rPr>
      </w:pPr>
      <w:r>
        <w:rPr>
          <w:rFonts w:hint="eastAsia" w:ascii="宋体" w:hAnsi="宋体" w:cs="宋体"/>
          <w:sz w:val="24"/>
          <w:szCs w:val="24"/>
        </w:rPr>
        <w:t>授权委托代理人无转委托权，特此委托。</w:t>
      </w:r>
    </w:p>
    <w:p>
      <w:pPr>
        <w:spacing w:line="360" w:lineRule="auto"/>
        <w:ind w:firstLine="480" w:firstLineChars="200"/>
        <w:rPr>
          <w:rFonts w:ascii="宋体"/>
          <w:sz w:val="24"/>
          <w:szCs w:val="24"/>
        </w:rPr>
      </w:pPr>
    </w:p>
    <w:p>
      <w:pPr>
        <w:spacing w:line="360" w:lineRule="auto"/>
        <w:rPr>
          <w:rFonts w:ascii="宋体"/>
          <w:sz w:val="24"/>
          <w:szCs w:val="24"/>
        </w:rPr>
      </w:pPr>
      <w:r>
        <w:rPr>
          <w:rFonts w:hint="eastAsia" w:ascii="宋体" w:hAnsi="宋体" w:cs="宋体"/>
          <w:sz w:val="24"/>
          <w:szCs w:val="24"/>
        </w:rPr>
        <w:t>法定代表人签字或盖章：</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投标人全称（公章）：日期：</w:t>
      </w:r>
    </w:p>
    <w:p>
      <w:pPr>
        <w:spacing w:line="360" w:lineRule="auto"/>
        <w:ind w:firstLine="480" w:firstLineChars="200"/>
        <w:rPr>
          <w:rFonts w:ascii="宋体"/>
          <w:sz w:val="24"/>
          <w:szCs w:val="24"/>
        </w:rPr>
      </w:pPr>
    </w:p>
    <w:p>
      <w:pPr>
        <w:spacing w:line="360" w:lineRule="auto"/>
        <w:rPr>
          <w:rFonts w:ascii="宋体"/>
          <w:b/>
          <w:bCs/>
          <w:sz w:val="24"/>
          <w:szCs w:val="24"/>
        </w:rPr>
      </w:pPr>
      <w:r>
        <w:rPr>
          <w:rFonts w:hint="eastAsia" w:ascii="宋体" w:hAnsi="宋体" w:cs="宋体"/>
          <w:b/>
          <w:bCs/>
          <w:sz w:val="24"/>
          <w:szCs w:val="24"/>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vAlign w:val="center"/>
          </w:tcPr>
          <w:p>
            <w:pPr>
              <w:spacing w:line="360" w:lineRule="auto"/>
              <w:jc w:val="center"/>
              <w:rPr>
                <w:rFonts w:ascii="宋体"/>
                <w:b/>
                <w:bCs/>
                <w:sz w:val="24"/>
                <w:szCs w:val="24"/>
              </w:rPr>
            </w:pPr>
            <w:r>
              <w:rPr>
                <w:rFonts w:hint="eastAsia" w:ascii="宋体" w:hAnsi="宋体" w:cs="宋体"/>
                <w:b/>
                <w:bCs/>
                <w:sz w:val="24"/>
                <w:szCs w:val="24"/>
              </w:rPr>
              <w:t>法定代表身份证复印件粘帖处</w:t>
            </w:r>
          </w:p>
        </w:tc>
      </w:tr>
    </w:tbl>
    <w:p>
      <w:pPr>
        <w:spacing w:line="360" w:lineRule="auto"/>
        <w:rPr>
          <w:rFonts w:ascii="宋体"/>
          <w:sz w:val="24"/>
          <w:szCs w:val="24"/>
        </w:rPr>
      </w:pPr>
      <w:r>
        <w:rPr>
          <w:rFonts w:hint="eastAsia" w:ascii="宋体" w:hAnsi="宋体" w:cs="宋体"/>
          <w:sz w:val="24"/>
          <w:szCs w:val="24"/>
        </w:rPr>
        <w:t>法定代表人姓名：</w:t>
      </w:r>
    </w:p>
    <w:p>
      <w:pPr>
        <w:spacing w:line="360" w:lineRule="auto"/>
        <w:rPr>
          <w:rFonts w:ascii="宋体"/>
          <w:sz w:val="24"/>
          <w:szCs w:val="24"/>
        </w:rPr>
      </w:pPr>
      <w:r>
        <w:rPr>
          <w:rFonts w:hint="eastAsia" w:ascii="宋体" w:hAnsi="宋体" w:cs="宋体"/>
          <w:sz w:val="24"/>
          <w:szCs w:val="24"/>
        </w:rPr>
        <w:t>传真：</w:t>
      </w:r>
    </w:p>
    <w:p>
      <w:pPr>
        <w:spacing w:line="360" w:lineRule="auto"/>
        <w:rPr>
          <w:rFonts w:ascii="宋体"/>
          <w:sz w:val="24"/>
          <w:szCs w:val="24"/>
        </w:rPr>
      </w:pPr>
      <w:r>
        <w:rPr>
          <w:rFonts w:hint="eastAsia" w:ascii="宋体" w:hAnsi="宋体" w:cs="宋体"/>
          <w:sz w:val="24"/>
          <w:szCs w:val="24"/>
        </w:rPr>
        <w:t>手机：</w:t>
      </w:r>
    </w:p>
    <w:p>
      <w:pPr>
        <w:spacing w:line="360" w:lineRule="auto"/>
        <w:rPr>
          <w:rFonts w:ascii="宋体"/>
          <w:sz w:val="24"/>
          <w:szCs w:val="24"/>
        </w:rPr>
      </w:pPr>
      <w:r>
        <w:rPr>
          <w:rFonts w:hint="eastAsia" w:ascii="宋体" w:hAnsi="宋体" w:cs="宋体"/>
          <w:sz w:val="24"/>
          <w:szCs w:val="24"/>
        </w:rPr>
        <w:t>详细通讯地址：</w:t>
      </w:r>
    </w:p>
    <w:p>
      <w:pPr>
        <w:spacing w:line="360" w:lineRule="auto"/>
        <w:rPr>
          <w:rFonts w:ascii="宋体"/>
          <w:sz w:val="24"/>
          <w:szCs w:val="24"/>
        </w:rPr>
      </w:pPr>
      <w:r>
        <w:rPr>
          <w:rFonts w:hint="eastAsia" w:ascii="宋体" w:hAnsi="宋体" w:cs="宋体"/>
          <w:sz w:val="24"/>
          <w:szCs w:val="24"/>
        </w:rPr>
        <w:t>邮政编码：</w:t>
      </w:r>
    </w:p>
    <w:p>
      <w:pPr>
        <w:spacing w:line="360" w:lineRule="auto"/>
        <w:rPr>
          <w:rFonts w:ascii="宋体"/>
          <w:b/>
          <w:bCs/>
          <w:sz w:val="24"/>
          <w:szCs w:val="24"/>
        </w:rPr>
      </w:pP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bCs/>
                <w:sz w:val="24"/>
                <w:szCs w:val="24"/>
              </w:rPr>
            </w:pPr>
            <w:r>
              <w:rPr>
                <w:rFonts w:hint="eastAsia" w:ascii="宋体" w:hAnsi="宋体" w:cs="宋体"/>
                <w:b/>
                <w:bCs/>
                <w:sz w:val="24"/>
                <w:szCs w:val="24"/>
              </w:rPr>
              <w:t>授权委托代理人身份证复印件粘帖处</w:t>
            </w:r>
          </w:p>
        </w:tc>
      </w:tr>
    </w:tbl>
    <w:p>
      <w:pPr>
        <w:spacing w:line="360" w:lineRule="auto"/>
        <w:rPr>
          <w:rFonts w:ascii="宋体"/>
          <w:sz w:val="24"/>
          <w:szCs w:val="24"/>
        </w:rPr>
      </w:pPr>
      <w:r>
        <w:rPr>
          <w:rFonts w:hint="eastAsia" w:ascii="宋体" w:hAnsi="宋体" w:cs="宋体"/>
          <w:sz w:val="24"/>
          <w:szCs w:val="24"/>
        </w:rPr>
        <w:t>授权委托代理人姓名：</w:t>
      </w:r>
    </w:p>
    <w:p>
      <w:pPr>
        <w:spacing w:line="360" w:lineRule="auto"/>
        <w:rPr>
          <w:rFonts w:ascii="宋体"/>
          <w:sz w:val="24"/>
          <w:szCs w:val="24"/>
        </w:rPr>
      </w:pPr>
      <w:r>
        <w:rPr>
          <w:rFonts w:hint="eastAsia" w:ascii="宋体" w:hAnsi="宋体" w:cs="宋体"/>
          <w:sz w:val="24"/>
          <w:szCs w:val="24"/>
        </w:rPr>
        <w:t>职务：</w:t>
      </w:r>
    </w:p>
    <w:p>
      <w:pPr>
        <w:spacing w:line="360" w:lineRule="auto"/>
        <w:rPr>
          <w:rFonts w:ascii="宋体"/>
          <w:sz w:val="24"/>
          <w:szCs w:val="24"/>
        </w:rPr>
      </w:pPr>
      <w:r>
        <w:rPr>
          <w:rFonts w:hint="eastAsia" w:ascii="宋体" w:hAnsi="宋体" w:cs="宋体"/>
          <w:sz w:val="24"/>
          <w:szCs w:val="24"/>
        </w:rPr>
        <w:t>传真：</w:t>
      </w:r>
    </w:p>
    <w:p>
      <w:pPr>
        <w:spacing w:line="360" w:lineRule="auto"/>
        <w:rPr>
          <w:rFonts w:ascii="宋体"/>
          <w:sz w:val="24"/>
          <w:szCs w:val="24"/>
        </w:rPr>
      </w:pPr>
      <w:r>
        <w:rPr>
          <w:rFonts w:hint="eastAsia" w:ascii="宋体" w:hAnsi="宋体" w:cs="宋体"/>
          <w:sz w:val="24"/>
          <w:szCs w:val="24"/>
        </w:rPr>
        <w:t>手机：</w:t>
      </w:r>
    </w:p>
    <w:p>
      <w:pPr>
        <w:spacing w:line="360" w:lineRule="auto"/>
        <w:rPr>
          <w:rFonts w:ascii="宋体"/>
          <w:sz w:val="24"/>
          <w:szCs w:val="24"/>
        </w:rPr>
      </w:pPr>
      <w:r>
        <w:rPr>
          <w:rFonts w:hint="eastAsia" w:ascii="宋体" w:hAnsi="宋体" w:cs="宋体"/>
          <w:sz w:val="24"/>
          <w:szCs w:val="24"/>
        </w:rPr>
        <w:t>详细通讯地址：</w:t>
      </w:r>
    </w:p>
    <w:p>
      <w:pPr>
        <w:spacing w:line="360" w:lineRule="auto"/>
        <w:rPr>
          <w:rFonts w:ascii="宋体"/>
          <w:sz w:val="24"/>
          <w:szCs w:val="24"/>
        </w:rPr>
      </w:pPr>
      <w:r>
        <w:rPr>
          <w:rFonts w:hint="eastAsia" w:ascii="宋体" w:hAnsi="宋体" w:cs="宋体"/>
          <w:sz w:val="24"/>
          <w:szCs w:val="24"/>
        </w:rPr>
        <w:t>邮政编码：</w:t>
      </w:r>
    </w:p>
    <w:p>
      <w:pPr>
        <w:spacing w:line="360" w:lineRule="auto"/>
        <w:rPr>
          <w:rFonts w:ascii="宋体" w:hAnsi="宋体" w:cs="宋体"/>
          <w:b/>
          <w:bCs/>
          <w:sz w:val="28"/>
          <w:szCs w:val="36"/>
        </w:rPr>
      </w:pPr>
      <w:r>
        <w:rPr>
          <w:rFonts w:hint="eastAsia" w:ascii="宋体" w:hAnsi="宋体" w:cs="宋体"/>
          <w:b/>
          <w:bCs/>
          <w:sz w:val="28"/>
          <w:szCs w:val="36"/>
        </w:rPr>
        <w:t>附件4</w:t>
      </w:r>
    </w:p>
    <w:p>
      <w:pPr>
        <w:spacing w:before="159" w:beforeLines="50" w:after="159" w:afterLines="50"/>
        <w:jc w:val="center"/>
        <w:rPr>
          <w:rFonts w:ascii="宋体" w:hAnsi="宋体" w:cs="宋体"/>
          <w:b/>
          <w:sz w:val="32"/>
          <w:szCs w:val="32"/>
        </w:rPr>
      </w:pPr>
      <w:r>
        <w:rPr>
          <w:rFonts w:hint="eastAsia" w:ascii="宋体" w:hAnsi="宋体" w:cs="宋体"/>
          <w:b/>
          <w:sz w:val="32"/>
          <w:szCs w:val="32"/>
        </w:rPr>
        <w:t>良好财务状况相关证明材料</w:t>
      </w:r>
    </w:p>
    <w:p>
      <w:pPr>
        <w:snapToGrid w:val="0"/>
        <w:spacing w:before="50" w:after="50" w:line="360" w:lineRule="auto"/>
        <w:jc w:val="center"/>
        <w:rPr>
          <w:rFonts w:ascii="宋体" w:hAnsi="宋体" w:cs="宋体"/>
          <w:b/>
          <w:bCs/>
          <w:sz w:val="32"/>
          <w:szCs w:val="32"/>
          <w:lang w:val="zh-CN"/>
        </w:rPr>
      </w:pPr>
    </w:p>
    <w:p>
      <w:pPr>
        <w:snapToGrid w:val="0"/>
        <w:spacing w:before="50" w:after="50" w:line="360" w:lineRule="auto"/>
        <w:jc w:val="center"/>
        <w:rPr>
          <w:rFonts w:ascii="宋体" w:hAnsi="宋体" w:cs="宋体"/>
          <w:b/>
          <w:bCs/>
          <w:sz w:val="32"/>
          <w:szCs w:val="32"/>
          <w:lang w:val="zh-CN"/>
        </w:rPr>
      </w:pPr>
    </w:p>
    <w:p>
      <w:pPr>
        <w:spacing w:line="360" w:lineRule="auto"/>
        <w:jc w:val="center"/>
        <w:rPr>
          <w:rFonts w:ascii="宋体" w:hAnsi="宋体" w:cs="宋体"/>
          <w:b/>
          <w:sz w:val="32"/>
          <w:szCs w:val="32"/>
        </w:rPr>
      </w:pPr>
      <w:r>
        <w:rPr>
          <w:rFonts w:hint="eastAsia" w:ascii="宋体" w:hAnsi="宋体" w:cs="宋体"/>
          <w:b/>
          <w:sz w:val="32"/>
          <w:szCs w:val="32"/>
        </w:rPr>
        <w:t>依法缴纳税收和社会保障资金</w:t>
      </w:r>
    </w:p>
    <w:p>
      <w:pPr>
        <w:pStyle w:val="90"/>
        <w:spacing w:line="360" w:lineRule="auto"/>
        <w:rPr>
          <w:rFonts w:ascii="宋体" w:hAnsi="宋体" w:cs="宋体"/>
          <w:b/>
          <w:sz w:val="24"/>
          <w:szCs w:val="24"/>
        </w:rPr>
      </w:pPr>
      <w:r>
        <w:rPr>
          <w:rFonts w:hint="eastAsia" w:ascii="宋体" w:hAnsi="宋体" w:cs="宋体"/>
          <w:b/>
          <w:sz w:val="24"/>
          <w:szCs w:val="24"/>
        </w:rPr>
        <w:t>依法缴纳税收和社会保障资金的相关材料要求：</w:t>
      </w:r>
    </w:p>
    <w:p>
      <w:pPr>
        <w:pStyle w:val="90"/>
        <w:spacing w:line="360" w:lineRule="auto"/>
        <w:ind w:firstLine="540" w:firstLineChars="225"/>
        <w:rPr>
          <w:rFonts w:ascii="宋体" w:hAnsi="宋体" w:cs="宋体"/>
          <w:b/>
          <w:sz w:val="24"/>
          <w:szCs w:val="24"/>
        </w:rPr>
      </w:pPr>
      <w:r>
        <w:rPr>
          <w:rFonts w:hint="eastAsia" w:ascii="宋体" w:hAnsi="宋体" w:cs="宋体"/>
          <w:sz w:val="24"/>
          <w:szCs w:val="24"/>
        </w:rPr>
        <w:t>营业执照属于三证合一的，则不需要提供税务登记证复印件。营业执照属于五证合一的，则不需要提供税务登记证和社会保险登记证复印件。</w:t>
      </w:r>
    </w:p>
    <w:p>
      <w:pPr>
        <w:pStyle w:val="90"/>
        <w:spacing w:line="360" w:lineRule="auto"/>
        <w:ind w:firstLine="420"/>
        <w:rPr>
          <w:rFonts w:ascii="宋体" w:hAnsi="宋体" w:cs="宋体"/>
          <w:sz w:val="24"/>
          <w:szCs w:val="24"/>
        </w:rPr>
      </w:pPr>
      <w:r>
        <w:rPr>
          <w:rFonts w:hint="eastAsia" w:ascii="宋体" w:hAnsi="宋体" w:cs="宋体"/>
          <w:sz w:val="24"/>
          <w:szCs w:val="24"/>
        </w:rPr>
        <w:t>1.提供投标人税务登记证（国税、地税）和参加本项目采购活动前近三个月内相应税务机关出具的完税证明，包括缴纳增值税、企业所得税等凭据的复印件；</w:t>
      </w:r>
    </w:p>
    <w:p>
      <w:pPr>
        <w:pStyle w:val="90"/>
        <w:spacing w:line="360" w:lineRule="auto"/>
        <w:ind w:firstLine="420"/>
        <w:rPr>
          <w:rFonts w:ascii="宋体" w:hAnsi="宋体" w:cs="宋体"/>
          <w:sz w:val="24"/>
          <w:szCs w:val="24"/>
        </w:rPr>
      </w:pPr>
      <w:r>
        <w:rPr>
          <w:rFonts w:hint="eastAsia" w:ascii="宋体" w:hAnsi="宋体" w:cs="宋体"/>
          <w:sz w:val="24"/>
          <w:szCs w:val="24"/>
        </w:rPr>
        <w:t>2.提供投标人社会保险登记证和参加政府采购活动前近三个月内缴纳社会保险的凭据（专用收据或社会保险缴纳清单）复印件；</w:t>
      </w:r>
    </w:p>
    <w:p>
      <w:pPr>
        <w:pStyle w:val="90"/>
        <w:spacing w:line="360" w:lineRule="auto"/>
        <w:ind w:firstLine="420"/>
        <w:rPr>
          <w:rFonts w:ascii="宋体" w:hAnsi="宋体" w:cs="宋体"/>
          <w:sz w:val="24"/>
          <w:szCs w:val="24"/>
        </w:rPr>
      </w:pPr>
      <w:r>
        <w:rPr>
          <w:rFonts w:hint="eastAsia" w:ascii="宋体" w:hAnsi="宋体" w:cs="宋体"/>
          <w:sz w:val="24"/>
          <w:szCs w:val="24"/>
        </w:rPr>
        <w:t>3.依法免税或不需要缴纳社会保障资金的投标人，应提供相应文件证明其依法免税或不需要缴纳社会保障资金的材料复印件；</w:t>
      </w:r>
    </w:p>
    <w:p>
      <w:pPr>
        <w:pStyle w:val="90"/>
        <w:spacing w:line="360" w:lineRule="auto"/>
        <w:ind w:firstLine="420"/>
        <w:rPr>
          <w:rFonts w:ascii="宋体" w:hAnsi="宋体" w:cs="宋体"/>
          <w:sz w:val="24"/>
        </w:rPr>
      </w:pPr>
      <w:r>
        <w:rPr>
          <w:rFonts w:hint="eastAsia" w:ascii="宋体" w:hAnsi="宋体" w:cs="宋体"/>
          <w:sz w:val="24"/>
        </w:rPr>
        <w:t>4.复印件需要盖章确认。</w:t>
      </w:r>
    </w:p>
    <w:p>
      <w:pPr>
        <w:spacing w:line="360" w:lineRule="auto"/>
        <w:ind w:firstLine="480" w:firstLineChars="200"/>
        <w:rPr>
          <w:rFonts w:ascii="宋体" w:hAnsi="宋体" w:cs="宋体"/>
          <w:sz w:val="24"/>
          <w:szCs w:val="32"/>
          <w:lang w:val="zh-CN"/>
        </w:rPr>
      </w:pPr>
    </w:p>
    <w:p>
      <w:pPr>
        <w:spacing w:line="360" w:lineRule="auto"/>
        <w:ind w:firstLine="480" w:firstLineChars="200"/>
        <w:rPr>
          <w:rFonts w:ascii="宋体" w:hAnsi="宋体" w:cs="宋体"/>
          <w:sz w:val="24"/>
          <w:szCs w:val="32"/>
          <w:lang w:val="zh-CN"/>
        </w:rPr>
      </w:pPr>
    </w:p>
    <w:p>
      <w:pPr>
        <w:spacing w:line="360" w:lineRule="auto"/>
        <w:ind w:firstLine="480" w:firstLineChars="200"/>
        <w:rPr>
          <w:rFonts w:ascii="宋体" w:hAnsi="宋体" w:cs="宋体"/>
          <w:sz w:val="24"/>
          <w:szCs w:val="32"/>
          <w:lang w:val="zh-CN"/>
        </w:rPr>
      </w:pPr>
    </w:p>
    <w:p>
      <w:pPr>
        <w:spacing w:line="360" w:lineRule="auto"/>
        <w:ind w:firstLine="480" w:firstLineChars="200"/>
        <w:rPr>
          <w:rFonts w:ascii="宋体" w:hAnsi="宋体" w:cs="宋体"/>
          <w:sz w:val="24"/>
          <w:szCs w:val="32"/>
          <w:lang w:val="zh-CN"/>
        </w:rPr>
      </w:pPr>
    </w:p>
    <w:p>
      <w:pPr>
        <w:spacing w:line="360" w:lineRule="auto"/>
        <w:ind w:firstLine="480" w:firstLineChars="200"/>
        <w:rPr>
          <w:rFonts w:ascii="宋体" w:hAnsi="宋体" w:cs="宋体"/>
          <w:sz w:val="24"/>
          <w:szCs w:val="32"/>
          <w:lang w:val="zh-CN"/>
        </w:rPr>
      </w:pPr>
    </w:p>
    <w:p>
      <w:pPr>
        <w:spacing w:line="360" w:lineRule="auto"/>
        <w:ind w:firstLine="480" w:firstLineChars="200"/>
        <w:rPr>
          <w:rFonts w:ascii="宋体" w:hAnsi="宋体" w:cs="宋体"/>
          <w:sz w:val="24"/>
          <w:szCs w:val="32"/>
          <w:lang w:val="zh-CN"/>
        </w:rPr>
      </w:pPr>
    </w:p>
    <w:p>
      <w:pPr>
        <w:pStyle w:val="12"/>
        <w:rPr>
          <w:rFonts w:ascii="宋体" w:hAnsi="宋体" w:cs="宋体"/>
          <w:szCs w:val="32"/>
          <w:lang w:val="zh-CN"/>
        </w:rPr>
      </w:pPr>
    </w:p>
    <w:p>
      <w:pPr>
        <w:pStyle w:val="13"/>
        <w:rPr>
          <w:rFonts w:ascii="宋体" w:hAnsi="宋体" w:cs="宋体"/>
          <w:sz w:val="24"/>
          <w:szCs w:val="32"/>
          <w:lang w:val="zh-CN"/>
        </w:rPr>
      </w:pPr>
    </w:p>
    <w:p>
      <w:pPr>
        <w:pStyle w:val="14"/>
        <w:rPr>
          <w:lang w:val="zh-CN"/>
        </w:rPr>
      </w:pPr>
    </w:p>
    <w:p>
      <w:pPr>
        <w:spacing w:line="360" w:lineRule="auto"/>
        <w:ind w:firstLine="480" w:firstLineChars="200"/>
        <w:rPr>
          <w:rFonts w:ascii="宋体" w:hAnsi="宋体" w:cs="宋体"/>
          <w:sz w:val="24"/>
          <w:szCs w:val="32"/>
          <w:lang w:val="zh-CN"/>
        </w:rPr>
      </w:pPr>
    </w:p>
    <w:p>
      <w:pPr>
        <w:spacing w:line="360" w:lineRule="auto"/>
        <w:jc w:val="center"/>
        <w:rPr>
          <w:rFonts w:ascii="宋体" w:hAnsi="宋体" w:cs="宋体"/>
          <w:b/>
          <w:bCs/>
          <w:sz w:val="32"/>
          <w:szCs w:val="32"/>
          <w:lang w:val="zh-CN"/>
        </w:rPr>
      </w:pPr>
      <w:r>
        <w:rPr>
          <w:rFonts w:hint="eastAsia" w:ascii="宋体" w:hAnsi="宋体" w:cs="宋体"/>
          <w:b/>
          <w:bCs/>
          <w:sz w:val="32"/>
          <w:szCs w:val="32"/>
          <w:lang w:val="zh-CN"/>
        </w:rPr>
        <w:t>第二部分 商务与技术文件目录</w:t>
      </w:r>
    </w:p>
    <w:p>
      <w:pPr>
        <w:snapToGrid w:val="0"/>
        <w:spacing w:line="360" w:lineRule="auto"/>
        <w:ind w:firstLine="480" w:firstLineChars="200"/>
        <w:rPr>
          <w:rFonts w:ascii="宋体" w:hAnsi="宋体" w:cs="宋体"/>
          <w:sz w:val="24"/>
          <w:szCs w:val="24"/>
        </w:rPr>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1、投标人情况介绍（附件5）；</w:t>
      </w:r>
    </w:p>
    <w:p>
      <w:pPr>
        <w:spacing w:line="360" w:lineRule="auto"/>
        <w:ind w:firstLine="480" w:firstLineChars="200"/>
        <w:rPr>
          <w:rFonts w:ascii="宋体" w:hAnsi="宋体" w:cs="宋体"/>
          <w:sz w:val="24"/>
          <w:szCs w:val="24"/>
        </w:rPr>
      </w:pPr>
      <w:r>
        <w:rPr>
          <w:rFonts w:hint="eastAsia" w:ascii="宋体" w:hAnsi="宋体" w:cs="宋体"/>
          <w:sz w:val="24"/>
          <w:szCs w:val="24"/>
        </w:rPr>
        <w:t>2、投标方案描述：</w:t>
      </w:r>
    </w:p>
    <w:p>
      <w:pPr>
        <w:spacing w:line="360" w:lineRule="auto"/>
        <w:ind w:firstLine="480" w:firstLineChars="200"/>
        <w:rPr>
          <w:rFonts w:ascii="宋体" w:hAnsi="宋体" w:cs="宋体"/>
          <w:sz w:val="24"/>
          <w:szCs w:val="24"/>
        </w:rPr>
      </w:pPr>
      <w:r>
        <w:rPr>
          <w:rFonts w:hint="eastAsia" w:ascii="宋体" w:hAnsi="宋体" w:cs="宋体"/>
          <w:sz w:val="24"/>
          <w:szCs w:val="24"/>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ascii="宋体" w:hAnsi="宋体" w:cs="宋体"/>
          <w:sz w:val="24"/>
          <w:szCs w:val="24"/>
        </w:rPr>
      </w:pPr>
      <w:r>
        <w:rPr>
          <w:rFonts w:hint="eastAsia" w:ascii="宋体" w:hAnsi="宋体" w:cs="宋体"/>
          <w:sz w:val="24"/>
          <w:szCs w:val="24"/>
        </w:rPr>
        <w:t>B.项目组织实施方案（包括项目工期、确保项目供货的措施或方案、项目实施进度安排、项目实施人员及项目负责人的资质、类似经验及社保证明等）。</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项目实施人员一览表（附件6）</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项目负责人资格情况表(附件7) </w:t>
      </w:r>
    </w:p>
    <w:p>
      <w:pPr>
        <w:spacing w:line="360" w:lineRule="auto"/>
        <w:ind w:firstLine="480" w:firstLineChars="200"/>
        <w:rPr>
          <w:rFonts w:ascii="宋体" w:hAnsi="宋体" w:cs="宋体"/>
          <w:sz w:val="24"/>
          <w:szCs w:val="24"/>
        </w:rPr>
      </w:pPr>
      <w:r>
        <w:rPr>
          <w:rFonts w:hint="eastAsia" w:ascii="宋体" w:hAnsi="宋体" w:cs="宋体"/>
          <w:sz w:val="24"/>
          <w:szCs w:val="24"/>
        </w:rPr>
        <w:t>C.安装、调试及验收方案（包括项目验收标准和验收方法等）和措施。</w:t>
      </w:r>
    </w:p>
    <w:p>
      <w:pPr>
        <w:spacing w:line="360" w:lineRule="auto"/>
        <w:ind w:firstLine="480" w:firstLineChars="200"/>
        <w:rPr>
          <w:rFonts w:ascii="宋体" w:hAnsi="宋体" w:cs="宋体"/>
          <w:sz w:val="24"/>
          <w:szCs w:val="24"/>
        </w:rPr>
      </w:pPr>
      <w:r>
        <w:rPr>
          <w:rFonts w:hint="eastAsia" w:ascii="宋体" w:hAnsi="宋体" w:cs="宋体"/>
          <w:sz w:val="24"/>
          <w:szCs w:val="24"/>
        </w:rPr>
        <w:t>3、投标产品描述及相关资料：</w:t>
      </w:r>
    </w:p>
    <w:p>
      <w:pPr>
        <w:spacing w:line="360" w:lineRule="auto"/>
        <w:ind w:firstLine="480" w:firstLineChars="200"/>
        <w:rPr>
          <w:rFonts w:ascii="宋体" w:hAnsi="宋体" w:cs="宋体"/>
          <w:sz w:val="24"/>
          <w:szCs w:val="24"/>
        </w:rPr>
      </w:pPr>
      <w:r>
        <w:rPr>
          <w:rFonts w:hint="eastAsia" w:ascii="宋体" w:hAnsi="宋体" w:cs="宋体"/>
          <w:sz w:val="24"/>
          <w:szCs w:val="24"/>
        </w:rPr>
        <w:t>A.产品清单(附件8）</w:t>
      </w:r>
    </w:p>
    <w:p>
      <w:pPr>
        <w:spacing w:line="360" w:lineRule="auto"/>
        <w:ind w:firstLine="480" w:firstLineChars="200"/>
        <w:rPr>
          <w:rFonts w:ascii="宋体" w:hAnsi="宋体" w:cs="宋体"/>
          <w:sz w:val="24"/>
          <w:szCs w:val="24"/>
        </w:rPr>
      </w:pPr>
      <w:r>
        <w:rPr>
          <w:rFonts w:hint="eastAsia" w:ascii="宋体" w:hAnsi="宋体" w:cs="宋体"/>
          <w:sz w:val="24"/>
          <w:szCs w:val="24"/>
        </w:rPr>
        <w:t>B.投标产品技术参数、性能特点以及所遵循的技术规范等内容。</w:t>
      </w:r>
    </w:p>
    <w:p>
      <w:pPr>
        <w:spacing w:line="360" w:lineRule="auto"/>
        <w:ind w:firstLine="480" w:firstLineChars="200"/>
        <w:rPr>
          <w:rFonts w:ascii="宋体" w:hAnsi="宋体" w:cs="宋体"/>
          <w:sz w:val="24"/>
          <w:szCs w:val="24"/>
        </w:rPr>
      </w:pPr>
      <w:r>
        <w:rPr>
          <w:rFonts w:hint="eastAsia" w:ascii="宋体" w:hAnsi="宋体" w:cs="宋体"/>
          <w:sz w:val="24"/>
          <w:szCs w:val="24"/>
        </w:rPr>
        <w:t>4、投标产品相应检测报告；</w:t>
      </w:r>
    </w:p>
    <w:p>
      <w:pPr>
        <w:spacing w:line="360" w:lineRule="auto"/>
        <w:ind w:firstLine="480" w:firstLineChars="200"/>
        <w:rPr>
          <w:rFonts w:ascii="宋体" w:hAnsi="宋体" w:cs="宋体"/>
          <w:sz w:val="24"/>
          <w:szCs w:val="24"/>
        </w:rPr>
      </w:pPr>
      <w:r>
        <w:rPr>
          <w:rFonts w:hint="eastAsia" w:ascii="宋体" w:hAnsi="宋体" w:cs="宋体"/>
          <w:sz w:val="24"/>
          <w:szCs w:val="24"/>
        </w:rPr>
        <w:t>5、投标产品主体列入节能产品证明资料、投标产品主体列入环境标志产品证明资料（如有）；</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6、技术需求响应表（附件9）；</w:t>
      </w:r>
    </w:p>
    <w:p>
      <w:pPr>
        <w:snapToGrid w:val="0"/>
        <w:spacing w:line="360" w:lineRule="auto"/>
        <w:ind w:firstLine="470" w:firstLineChars="196"/>
        <w:rPr>
          <w:rFonts w:ascii="宋体" w:hAnsi="宋体" w:cs="宋体"/>
          <w:sz w:val="24"/>
          <w:szCs w:val="24"/>
        </w:rPr>
      </w:pPr>
      <w:r>
        <w:rPr>
          <w:rFonts w:hint="eastAsia" w:ascii="宋体" w:hAnsi="宋体" w:cs="宋体"/>
          <w:sz w:val="24"/>
          <w:szCs w:val="24"/>
        </w:rPr>
        <w:t>7、证书一览表（附件10）；</w:t>
      </w:r>
    </w:p>
    <w:p>
      <w:pPr>
        <w:snapToGrid w:val="0"/>
        <w:spacing w:line="360" w:lineRule="auto"/>
        <w:ind w:firstLine="470" w:firstLineChars="196"/>
        <w:rPr>
          <w:rFonts w:ascii="宋体" w:hAnsi="宋体" w:cs="宋体"/>
          <w:sz w:val="24"/>
          <w:szCs w:val="24"/>
        </w:rPr>
      </w:pPr>
      <w:r>
        <w:rPr>
          <w:rFonts w:hint="eastAsia" w:ascii="宋体" w:hAnsi="宋体" w:cs="宋体"/>
          <w:sz w:val="24"/>
          <w:szCs w:val="24"/>
        </w:rPr>
        <w:t>8、投标人类似项目实施情况一览表（附件11）；</w:t>
      </w:r>
    </w:p>
    <w:p>
      <w:pPr>
        <w:snapToGrid w:val="0"/>
        <w:spacing w:line="360" w:lineRule="auto"/>
        <w:ind w:firstLine="470" w:firstLineChars="196"/>
        <w:rPr>
          <w:rFonts w:ascii="宋体" w:hAnsi="宋体" w:cs="宋体"/>
          <w:sz w:val="24"/>
          <w:szCs w:val="24"/>
        </w:rPr>
      </w:pPr>
      <w:r>
        <w:rPr>
          <w:rFonts w:hint="eastAsia" w:ascii="宋体" w:hAnsi="宋体" w:cs="宋体"/>
          <w:sz w:val="24"/>
          <w:szCs w:val="24"/>
        </w:rPr>
        <w:t>9、商务需求响应表 （附件12）；</w:t>
      </w:r>
    </w:p>
    <w:p>
      <w:pPr>
        <w:snapToGrid w:val="0"/>
        <w:spacing w:line="360" w:lineRule="auto"/>
        <w:ind w:firstLine="470" w:firstLineChars="196"/>
        <w:rPr>
          <w:rFonts w:ascii="宋体" w:hAnsi="宋体" w:cs="宋体"/>
          <w:sz w:val="24"/>
          <w:szCs w:val="24"/>
        </w:rPr>
      </w:pPr>
      <w:r>
        <w:rPr>
          <w:rFonts w:hint="eastAsia" w:ascii="宋体" w:hAnsi="宋体" w:cs="宋体"/>
          <w:sz w:val="24"/>
          <w:szCs w:val="24"/>
        </w:rPr>
        <w:t>10、售后服务情况表（附件13）；</w:t>
      </w:r>
    </w:p>
    <w:p>
      <w:pPr>
        <w:snapToGrid w:val="0"/>
        <w:spacing w:line="360" w:lineRule="auto"/>
        <w:ind w:firstLine="470" w:firstLineChars="196"/>
        <w:rPr>
          <w:rFonts w:ascii="宋体" w:hAnsi="宋体" w:cs="宋体"/>
          <w:sz w:val="24"/>
          <w:szCs w:val="24"/>
        </w:rPr>
      </w:pPr>
      <w:r>
        <w:rPr>
          <w:rFonts w:hint="eastAsia" w:ascii="宋体" w:hAnsi="宋体" w:cs="宋体"/>
          <w:sz w:val="24"/>
          <w:szCs w:val="24"/>
        </w:rPr>
        <w:t>11、投标人需要说明的其他内容。（包括可能影响投标人商务与技术文件评分的各类证明材料）</w:t>
      </w:r>
    </w:p>
    <w:p>
      <w:pPr>
        <w:rPr>
          <w:rFonts w:ascii="宋体" w:hAnsi="宋体" w:cs="宋体"/>
          <w:b/>
          <w:bCs/>
          <w:sz w:val="28"/>
          <w:szCs w:val="28"/>
        </w:rPr>
      </w:pPr>
    </w:p>
    <w:p>
      <w:pPr>
        <w:pStyle w:val="10"/>
        <w:rPr>
          <w:rFonts w:ascii="宋体" w:hAnsi="宋体" w:cs="宋体"/>
          <w:b/>
          <w:bCs/>
          <w:sz w:val="28"/>
          <w:szCs w:val="28"/>
        </w:rPr>
      </w:pPr>
    </w:p>
    <w:p/>
    <w:p>
      <w:pPr>
        <w:rPr>
          <w:rFonts w:ascii="宋体"/>
          <w:b/>
          <w:bCs/>
          <w:sz w:val="28"/>
          <w:szCs w:val="28"/>
        </w:rPr>
      </w:pPr>
      <w:r>
        <w:rPr>
          <w:rFonts w:hint="eastAsia" w:ascii="宋体" w:hAnsi="宋体" w:cs="宋体"/>
          <w:b/>
          <w:bCs/>
          <w:sz w:val="28"/>
          <w:szCs w:val="28"/>
        </w:rPr>
        <w:t>附件</w:t>
      </w:r>
      <w:r>
        <w:rPr>
          <w:rFonts w:ascii="宋体" w:hAnsi="宋体" w:cs="宋体"/>
          <w:b/>
          <w:bCs/>
          <w:sz w:val="28"/>
          <w:szCs w:val="28"/>
        </w:rPr>
        <w:t>5</w:t>
      </w:r>
    </w:p>
    <w:p>
      <w:pPr>
        <w:spacing w:line="360" w:lineRule="auto"/>
        <w:jc w:val="center"/>
        <w:rPr>
          <w:rFonts w:ascii="宋体"/>
          <w:b/>
          <w:bCs/>
          <w:sz w:val="32"/>
          <w:szCs w:val="32"/>
          <w:lang w:val="zh-CN"/>
        </w:rPr>
      </w:pPr>
      <w:r>
        <w:rPr>
          <w:rFonts w:hint="eastAsia" w:ascii="宋体" w:hAnsi="宋体" w:cs="宋体"/>
          <w:b/>
          <w:bCs/>
          <w:sz w:val="32"/>
          <w:szCs w:val="32"/>
          <w:lang w:val="zh-CN"/>
        </w:rPr>
        <w:t>投标人基本情况表</w:t>
      </w:r>
    </w:p>
    <w:p>
      <w:pPr>
        <w:spacing w:line="360" w:lineRule="auto"/>
        <w:rPr>
          <w:rFonts w:ascii="宋体"/>
          <w:sz w:val="24"/>
          <w:szCs w:val="24"/>
        </w:rPr>
      </w:pPr>
    </w:p>
    <w:tbl>
      <w:tblPr>
        <w:tblStyle w:val="27"/>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spacing w:line="360" w:lineRule="auto"/>
              <w:jc w:val="center"/>
              <w:rPr>
                <w:rFonts w:ascii="宋体"/>
                <w:sz w:val="24"/>
                <w:szCs w:val="24"/>
              </w:rPr>
            </w:pPr>
            <w:r>
              <w:rPr>
                <w:rFonts w:hint="eastAsia" w:ascii="宋体" w:hAnsi="宋体" w:cs="宋体"/>
                <w:sz w:val="24"/>
                <w:szCs w:val="24"/>
              </w:rPr>
              <w:t>企业名称</w:t>
            </w:r>
          </w:p>
        </w:tc>
        <w:tc>
          <w:tcPr>
            <w:tcW w:w="3979" w:type="dxa"/>
            <w:gridSpan w:val="6"/>
            <w:vAlign w:val="center"/>
          </w:tcPr>
          <w:p>
            <w:pPr>
              <w:spacing w:line="360" w:lineRule="auto"/>
              <w:jc w:val="center"/>
              <w:rPr>
                <w:rFonts w:ascii="宋体"/>
                <w:sz w:val="24"/>
                <w:szCs w:val="24"/>
              </w:rPr>
            </w:pPr>
          </w:p>
        </w:tc>
        <w:tc>
          <w:tcPr>
            <w:tcW w:w="2001" w:type="dxa"/>
            <w:gridSpan w:val="3"/>
            <w:vAlign w:val="center"/>
          </w:tcPr>
          <w:p>
            <w:pPr>
              <w:spacing w:line="360" w:lineRule="auto"/>
              <w:jc w:val="center"/>
              <w:rPr>
                <w:rFonts w:ascii="宋体"/>
                <w:sz w:val="24"/>
                <w:szCs w:val="24"/>
              </w:rPr>
            </w:pPr>
            <w:r>
              <w:rPr>
                <w:rFonts w:hint="eastAsia" w:ascii="宋体" w:hAnsi="宋体" w:cs="宋体"/>
                <w:sz w:val="24"/>
                <w:szCs w:val="24"/>
              </w:rPr>
              <w:t>法人代表</w:t>
            </w:r>
          </w:p>
        </w:tc>
        <w:tc>
          <w:tcPr>
            <w:tcW w:w="2151" w:type="dxa"/>
            <w:gridSpan w:val="2"/>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spacing w:line="360" w:lineRule="auto"/>
              <w:jc w:val="center"/>
              <w:rPr>
                <w:rFonts w:ascii="宋体"/>
                <w:sz w:val="24"/>
                <w:szCs w:val="24"/>
              </w:rPr>
            </w:pPr>
            <w:r>
              <w:rPr>
                <w:rFonts w:hint="eastAsia" w:ascii="宋体" w:hAnsi="宋体" w:cs="宋体"/>
                <w:sz w:val="24"/>
                <w:szCs w:val="24"/>
              </w:rPr>
              <w:t>地址</w:t>
            </w:r>
          </w:p>
        </w:tc>
        <w:tc>
          <w:tcPr>
            <w:tcW w:w="3979" w:type="dxa"/>
            <w:gridSpan w:val="6"/>
            <w:vAlign w:val="center"/>
          </w:tcPr>
          <w:p>
            <w:pPr>
              <w:spacing w:line="360" w:lineRule="auto"/>
              <w:jc w:val="center"/>
              <w:rPr>
                <w:rFonts w:ascii="宋体"/>
                <w:sz w:val="24"/>
                <w:szCs w:val="24"/>
              </w:rPr>
            </w:pPr>
          </w:p>
        </w:tc>
        <w:tc>
          <w:tcPr>
            <w:tcW w:w="2001" w:type="dxa"/>
            <w:gridSpan w:val="3"/>
            <w:vAlign w:val="center"/>
          </w:tcPr>
          <w:p>
            <w:pPr>
              <w:spacing w:line="360" w:lineRule="auto"/>
              <w:jc w:val="center"/>
              <w:rPr>
                <w:rFonts w:ascii="宋体"/>
                <w:sz w:val="24"/>
                <w:szCs w:val="24"/>
              </w:rPr>
            </w:pPr>
            <w:r>
              <w:rPr>
                <w:rFonts w:hint="eastAsia" w:ascii="宋体" w:hAnsi="宋体" w:cs="宋体"/>
                <w:sz w:val="24"/>
                <w:szCs w:val="24"/>
              </w:rPr>
              <w:t>企业性质</w:t>
            </w:r>
          </w:p>
        </w:tc>
        <w:tc>
          <w:tcPr>
            <w:tcW w:w="2151" w:type="dxa"/>
            <w:gridSpan w:val="2"/>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spacing w:line="360" w:lineRule="auto"/>
              <w:jc w:val="center"/>
              <w:rPr>
                <w:rFonts w:ascii="宋体"/>
                <w:sz w:val="24"/>
                <w:szCs w:val="24"/>
              </w:rPr>
            </w:pPr>
            <w:r>
              <w:rPr>
                <w:rFonts w:hint="eastAsia" w:ascii="宋体" w:hAnsi="宋体" w:cs="宋体"/>
                <w:sz w:val="24"/>
                <w:szCs w:val="24"/>
              </w:rPr>
              <w:t>股东姓名</w:t>
            </w:r>
          </w:p>
        </w:tc>
        <w:tc>
          <w:tcPr>
            <w:tcW w:w="701" w:type="dxa"/>
            <w:vAlign w:val="center"/>
          </w:tcPr>
          <w:p>
            <w:pPr>
              <w:spacing w:line="360" w:lineRule="auto"/>
              <w:jc w:val="center"/>
              <w:rPr>
                <w:rFonts w:ascii="宋体"/>
                <w:sz w:val="24"/>
                <w:szCs w:val="24"/>
              </w:rPr>
            </w:pPr>
          </w:p>
        </w:tc>
        <w:tc>
          <w:tcPr>
            <w:tcW w:w="910" w:type="dxa"/>
            <w:gridSpan w:val="2"/>
            <w:vAlign w:val="center"/>
          </w:tcPr>
          <w:p>
            <w:pPr>
              <w:spacing w:line="360" w:lineRule="auto"/>
              <w:jc w:val="center"/>
              <w:rPr>
                <w:rFonts w:ascii="宋体"/>
                <w:sz w:val="24"/>
                <w:szCs w:val="24"/>
              </w:rPr>
            </w:pPr>
            <w:r>
              <w:rPr>
                <w:rFonts w:hint="eastAsia" w:ascii="宋体" w:hAnsi="宋体" w:cs="宋体"/>
                <w:sz w:val="24"/>
                <w:szCs w:val="24"/>
              </w:rPr>
              <w:t>股权结构（</w:t>
            </w:r>
            <w:r>
              <w:rPr>
                <w:rFonts w:ascii="宋体" w:hAnsi="宋体" w:cs="宋体"/>
                <w:sz w:val="24"/>
                <w:szCs w:val="24"/>
              </w:rPr>
              <w:t>%</w:t>
            </w:r>
            <w:r>
              <w:rPr>
                <w:rFonts w:hint="eastAsia" w:ascii="宋体" w:hAnsi="宋体" w:cs="宋体"/>
                <w:sz w:val="24"/>
                <w:szCs w:val="24"/>
              </w:rPr>
              <w:t>）</w:t>
            </w:r>
          </w:p>
        </w:tc>
        <w:tc>
          <w:tcPr>
            <w:tcW w:w="2368" w:type="dxa"/>
            <w:gridSpan w:val="3"/>
            <w:vAlign w:val="center"/>
          </w:tcPr>
          <w:p>
            <w:pPr>
              <w:spacing w:line="360" w:lineRule="auto"/>
              <w:jc w:val="center"/>
              <w:rPr>
                <w:rFonts w:ascii="宋体"/>
                <w:sz w:val="24"/>
                <w:szCs w:val="24"/>
              </w:rPr>
            </w:pPr>
          </w:p>
          <w:p>
            <w:pPr>
              <w:spacing w:line="360" w:lineRule="auto"/>
              <w:jc w:val="center"/>
              <w:rPr>
                <w:rFonts w:ascii="宋体"/>
                <w:sz w:val="24"/>
                <w:szCs w:val="24"/>
              </w:rPr>
            </w:pPr>
          </w:p>
        </w:tc>
        <w:tc>
          <w:tcPr>
            <w:tcW w:w="2001" w:type="dxa"/>
            <w:gridSpan w:val="3"/>
            <w:vAlign w:val="center"/>
          </w:tcPr>
          <w:p>
            <w:pPr>
              <w:spacing w:line="360" w:lineRule="auto"/>
              <w:jc w:val="center"/>
              <w:rPr>
                <w:rFonts w:ascii="宋体"/>
                <w:sz w:val="24"/>
                <w:szCs w:val="24"/>
              </w:rPr>
            </w:pPr>
            <w:r>
              <w:rPr>
                <w:rFonts w:hint="eastAsia" w:ascii="宋体" w:hAnsi="宋体" w:cs="宋体"/>
                <w:sz w:val="24"/>
                <w:szCs w:val="24"/>
              </w:rPr>
              <w:t>股东关系</w:t>
            </w:r>
          </w:p>
        </w:tc>
        <w:tc>
          <w:tcPr>
            <w:tcW w:w="2151" w:type="dxa"/>
            <w:gridSpan w:val="2"/>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vAlign w:val="center"/>
          </w:tcPr>
          <w:p>
            <w:pPr>
              <w:spacing w:line="360" w:lineRule="auto"/>
              <w:jc w:val="center"/>
              <w:rPr>
                <w:rFonts w:ascii="宋体"/>
                <w:sz w:val="24"/>
                <w:szCs w:val="24"/>
              </w:rPr>
            </w:pPr>
            <w:r>
              <w:rPr>
                <w:rFonts w:hint="eastAsia" w:ascii="宋体" w:hAnsi="宋体" w:cs="宋体"/>
                <w:sz w:val="24"/>
                <w:szCs w:val="24"/>
              </w:rPr>
              <w:t>联系人姓名</w:t>
            </w:r>
          </w:p>
        </w:tc>
        <w:tc>
          <w:tcPr>
            <w:tcW w:w="701" w:type="dxa"/>
            <w:vMerge w:val="restart"/>
            <w:tcBorders>
              <w:top w:val="nil"/>
            </w:tcBorders>
            <w:vAlign w:val="center"/>
          </w:tcPr>
          <w:p>
            <w:pPr>
              <w:spacing w:line="360" w:lineRule="auto"/>
              <w:jc w:val="center"/>
              <w:rPr>
                <w:rFonts w:ascii="宋体"/>
                <w:sz w:val="24"/>
                <w:szCs w:val="24"/>
              </w:rPr>
            </w:pPr>
          </w:p>
        </w:tc>
        <w:tc>
          <w:tcPr>
            <w:tcW w:w="910" w:type="dxa"/>
            <w:gridSpan w:val="2"/>
            <w:tcBorders>
              <w:top w:val="nil"/>
            </w:tcBorders>
            <w:vAlign w:val="center"/>
          </w:tcPr>
          <w:p>
            <w:pPr>
              <w:spacing w:line="360" w:lineRule="auto"/>
              <w:jc w:val="center"/>
              <w:rPr>
                <w:rFonts w:ascii="宋体"/>
                <w:sz w:val="24"/>
                <w:szCs w:val="24"/>
              </w:rPr>
            </w:pPr>
            <w:r>
              <w:rPr>
                <w:rFonts w:hint="eastAsia" w:ascii="宋体" w:hAnsi="宋体" w:cs="宋体"/>
                <w:sz w:val="24"/>
                <w:szCs w:val="24"/>
              </w:rPr>
              <w:t>固定电话</w:t>
            </w:r>
          </w:p>
        </w:tc>
        <w:tc>
          <w:tcPr>
            <w:tcW w:w="2368" w:type="dxa"/>
            <w:gridSpan w:val="3"/>
            <w:tcBorders>
              <w:top w:val="nil"/>
            </w:tcBorders>
            <w:vAlign w:val="center"/>
          </w:tcPr>
          <w:p>
            <w:pPr>
              <w:spacing w:line="360" w:lineRule="auto"/>
              <w:jc w:val="center"/>
              <w:rPr>
                <w:rFonts w:ascii="宋体"/>
                <w:sz w:val="24"/>
                <w:szCs w:val="24"/>
              </w:rPr>
            </w:pPr>
          </w:p>
          <w:p>
            <w:pPr>
              <w:spacing w:line="360" w:lineRule="auto"/>
              <w:jc w:val="center"/>
              <w:rPr>
                <w:rFonts w:ascii="宋体"/>
                <w:sz w:val="24"/>
                <w:szCs w:val="24"/>
              </w:rPr>
            </w:pPr>
          </w:p>
        </w:tc>
        <w:tc>
          <w:tcPr>
            <w:tcW w:w="2001" w:type="dxa"/>
            <w:gridSpan w:val="3"/>
            <w:vMerge w:val="restart"/>
            <w:vAlign w:val="center"/>
          </w:tcPr>
          <w:p>
            <w:pPr>
              <w:spacing w:line="360" w:lineRule="auto"/>
              <w:jc w:val="center"/>
              <w:rPr>
                <w:rFonts w:ascii="宋体"/>
                <w:sz w:val="24"/>
                <w:szCs w:val="24"/>
              </w:rPr>
            </w:pPr>
            <w:r>
              <w:rPr>
                <w:rFonts w:hint="eastAsia" w:ascii="宋体" w:hAnsi="宋体" w:cs="宋体"/>
                <w:sz w:val="24"/>
                <w:szCs w:val="24"/>
              </w:rPr>
              <w:t>传真</w:t>
            </w:r>
          </w:p>
        </w:tc>
        <w:tc>
          <w:tcPr>
            <w:tcW w:w="2151" w:type="dxa"/>
            <w:gridSpan w:val="2"/>
            <w:vMerge w:val="restart"/>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spacing w:line="360" w:lineRule="auto"/>
              <w:jc w:val="center"/>
              <w:rPr>
                <w:rFonts w:ascii="宋体"/>
                <w:sz w:val="24"/>
                <w:szCs w:val="24"/>
              </w:rPr>
            </w:pPr>
          </w:p>
        </w:tc>
        <w:tc>
          <w:tcPr>
            <w:tcW w:w="701" w:type="dxa"/>
            <w:vMerge w:val="continue"/>
            <w:vAlign w:val="center"/>
          </w:tcPr>
          <w:p>
            <w:pPr>
              <w:spacing w:line="360" w:lineRule="auto"/>
              <w:jc w:val="center"/>
              <w:rPr>
                <w:rFonts w:ascii="宋体"/>
                <w:sz w:val="24"/>
                <w:szCs w:val="24"/>
              </w:rPr>
            </w:pPr>
          </w:p>
        </w:tc>
        <w:tc>
          <w:tcPr>
            <w:tcW w:w="910" w:type="dxa"/>
            <w:gridSpan w:val="2"/>
            <w:vAlign w:val="center"/>
          </w:tcPr>
          <w:p>
            <w:pPr>
              <w:spacing w:line="360" w:lineRule="auto"/>
              <w:jc w:val="center"/>
              <w:rPr>
                <w:rFonts w:ascii="宋体"/>
                <w:sz w:val="24"/>
                <w:szCs w:val="24"/>
              </w:rPr>
            </w:pPr>
            <w:r>
              <w:rPr>
                <w:rFonts w:hint="eastAsia" w:ascii="宋体" w:hAnsi="宋体" w:cs="宋体"/>
                <w:sz w:val="24"/>
                <w:szCs w:val="24"/>
              </w:rPr>
              <w:t>手机</w:t>
            </w:r>
          </w:p>
        </w:tc>
        <w:tc>
          <w:tcPr>
            <w:tcW w:w="2368" w:type="dxa"/>
            <w:gridSpan w:val="3"/>
            <w:vAlign w:val="center"/>
          </w:tcPr>
          <w:p>
            <w:pPr>
              <w:spacing w:line="360" w:lineRule="auto"/>
              <w:jc w:val="center"/>
              <w:rPr>
                <w:rFonts w:ascii="宋体"/>
                <w:sz w:val="24"/>
                <w:szCs w:val="24"/>
              </w:rPr>
            </w:pPr>
          </w:p>
        </w:tc>
        <w:tc>
          <w:tcPr>
            <w:tcW w:w="2001" w:type="dxa"/>
            <w:gridSpan w:val="3"/>
            <w:vMerge w:val="continue"/>
            <w:vAlign w:val="center"/>
          </w:tcPr>
          <w:p>
            <w:pPr>
              <w:spacing w:line="360" w:lineRule="auto"/>
              <w:jc w:val="center"/>
              <w:rPr>
                <w:rFonts w:ascii="宋体"/>
                <w:sz w:val="24"/>
                <w:szCs w:val="24"/>
              </w:rPr>
            </w:pPr>
          </w:p>
        </w:tc>
        <w:tc>
          <w:tcPr>
            <w:tcW w:w="2151" w:type="dxa"/>
            <w:gridSpan w:val="2"/>
            <w:vMerge w:val="continue"/>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vAlign w:val="center"/>
          </w:tcPr>
          <w:p>
            <w:pPr>
              <w:spacing w:line="360" w:lineRule="auto"/>
              <w:jc w:val="center"/>
              <w:rPr>
                <w:rFonts w:ascii="宋体"/>
                <w:sz w:val="24"/>
                <w:szCs w:val="24"/>
              </w:rPr>
            </w:pPr>
            <w:r>
              <w:rPr>
                <w:rFonts w:ascii="宋体" w:hAnsi="宋体" w:cs="宋体"/>
                <w:sz w:val="24"/>
                <w:szCs w:val="24"/>
              </w:rPr>
              <w:t>1.</w:t>
            </w:r>
          </w:p>
          <w:p>
            <w:pPr>
              <w:spacing w:line="360" w:lineRule="auto"/>
              <w:jc w:val="center"/>
              <w:rPr>
                <w:rFonts w:ascii="宋体"/>
                <w:sz w:val="24"/>
                <w:szCs w:val="24"/>
              </w:rPr>
            </w:pPr>
            <w:r>
              <w:rPr>
                <w:rFonts w:hint="eastAsia" w:ascii="宋体" w:hAnsi="宋体" w:cs="宋体"/>
                <w:sz w:val="24"/>
                <w:szCs w:val="24"/>
              </w:rPr>
              <w:t>企</w:t>
            </w:r>
          </w:p>
          <w:p>
            <w:pPr>
              <w:spacing w:line="360" w:lineRule="auto"/>
              <w:jc w:val="center"/>
              <w:rPr>
                <w:rFonts w:ascii="宋体"/>
                <w:sz w:val="24"/>
                <w:szCs w:val="24"/>
              </w:rPr>
            </w:pPr>
            <w:r>
              <w:rPr>
                <w:rFonts w:hint="eastAsia" w:ascii="宋体" w:hAnsi="宋体" w:cs="宋体"/>
                <w:sz w:val="24"/>
                <w:szCs w:val="24"/>
              </w:rPr>
              <w:t>业</w:t>
            </w:r>
          </w:p>
          <w:p>
            <w:pPr>
              <w:spacing w:line="360" w:lineRule="auto"/>
              <w:jc w:val="center"/>
              <w:rPr>
                <w:rFonts w:ascii="宋体"/>
                <w:sz w:val="24"/>
                <w:szCs w:val="24"/>
              </w:rPr>
            </w:pPr>
            <w:r>
              <w:rPr>
                <w:rFonts w:hint="eastAsia" w:ascii="宋体" w:hAnsi="宋体" w:cs="宋体"/>
                <w:sz w:val="24"/>
                <w:szCs w:val="24"/>
              </w:rPr>
              <w:t>概</w:t>
            </w:r>
          </w:p>
          <w:p>
            <w:pPr>
              <w:spacing w:line="360" w:lineRule="auto"/>
              <w:jc w:val="center"/>
              <w:rPr>
                <w:rFonts w:ascii="宋体"/>
                <w:sz w:val="24"/>
                <w:szCs w:val="24"/>
              </w:rPr>
            </w:pPr>
            <w:r>
              <w:rPr>
                <w:rFonts w:hint="eastAsia" w:ascii="宋体" w:hAnsi="宋体" w:cs="宋体"/>
                <w:sz w:val="24"/>
                <w:szCs w:val="24"/>
              </w:rPr>
              <w:t>况</w:t>
            </w:r>
          </w:p>
        </w:tc>
        <w:tc>
          <w:tcPr>
            <w:tcW w:w="701" w:type="dxa"/>
            <w:tcBorders>
              <w:top w:val="nil"/>
            </w:tcBorders>
            <w:vAlign w:val="center"/>
          </w:tcPr>
          <w:p>
            <w:pPr>
              <w:spacing w:line="360" w:lineRule="auto"/>
              <w:jc w:val="center"/>
              <w:rPr>
                <w:rFonts w:ascii="宋体"/>
                <w:sz w:val="24"/>
                <w:szCs w:val="24"/>
              </w:rPr>
            </w:pPr>
            <w:r>
              <w:rPr>
                <w:rFonts w:hint="eastAsia" w:ascii="宋体" w:hAnsi="宋体" w:cs="宋体"/>
                <w:sz w:val="24"/>
                <w:szCs w:val="24"/>
              </w:rPr>
              <w:t>职工人数</w:t>
            </w:r>
          </w:p>
        </w:tc>
        <w:tc>
          <w:tcPr>
            <w:tcW w:w="910" w:type="dxa"/>
            <w:gridSpan w:val="2"/>
            <w:tcBorders>
              <w:top w:val="nil"/>
            </w:tcBorders>
            <w:vAlign w:val="center"/>
          </w:tcPr>
          <w:p>
            <w:pPr>
              <w:spacing w:line="360" w:lineRule="auto"/>
              <w:jc w:val="center"/>
              <w:rPr>
                <w:rFonts w:ascii="宋体"/>
                <w:sz w:val="24"/>
                <w:szCs w:val="24"/>
              </w:rPr>
            </w:pPr>
          </w:p>
        </w:tc>
        <w:tc>
          <w:tcPr>
            <w:tcW w:w="1163" w:type="dxa"/>
            <w:tcBorders>
              <w:top w:val="nil"/>
            </w:tcBorders>
            <w:vAlign w:val="center"/>
          </w:tcPr>
          <w:p>
            <w:pPr>
              <w:spacing w:line="360" w:lineRule="auto"/>
              <w:jc w:val="center"/>
              <w:rPr>
                <w:rFonts w:ascii="宋体"/>
                <w:sz w:val="24"/>
                <w:szCs w:val="24"/>
              </w:rPr>
            </w:pPr>
            <w:r>
              <w:rPr>
                <w:rFonts w:hint="eastAsia" w:ascii="宋体" w:hAnsi="宋体" w:cs="宋体"/>
                <w:sz w:val="24"/>
                <w:szCs w:val="24"/>
              </w:rPr>
              <w:t>具备大专以上学历人数</w:t>
            </w:r>
          </w:p>
        </w:tc>
        <w:tc>
          <w:tcPr>
            <w:tcW w:w="1205" w:type="dxa"/>
            <w:gridSpan w:val="2"/>
            <w:tcBorders>
              <w:top w:val="nil"/>
            </w:tcBorders>
            <w:vAlign w:val="center"/>
          </w:tcPr>
          <w:p>
            <w:pPr>
              <w:spacing w:line="360" w:lineRule="auto"/>
              <w:jc w:val="center"/>
              <w:rPr>
                <w:rFonts w:ascii="宋体"/>
                <w:sz w:val="24"/>
                <w:szCs w:val="24"/>
              </w:rPr>
            </w:pPr>
          </w:p>
          <w:p>
            <w:pPr>
              <w:spacing w:line="360" w:lineRule="auto"/>
              <w:jc w:val="center"/>
              <w:rPr>
                <w:rFonts w:ascii="宋体"/>
                <w:sz w:val="24"/>
                <w:szCs w:val="24"/>
              </w:rPr>
            </w:pPr>
          </w:p>
          <w:p>
            <w:pPr>
              <w:spacing w:line="360" w:lineRule="auto"/>
              <w:jc w:val="center"/>
              <w:rPr>
                <w:rFonts w:ascii="宋体"/>
                <w:sz w:val="24"/>
                <w:szCs w:val="24"/>
              </w:rPr>
            </w:pPr>
          </w:p>
        </w:tc>
        <w:tc>
          <w:tcPr>
            <w:tcW w:w="2001" w:type="dxa"/>
            <w:gridSpan w:val="3"/>
            <w:vAlign w:val="center"/>
          </w:tcPr>
          <w:p>
            <w:pPr>
              <w:spacing w:line="360" w:lineRule="auto"/>
              <w:jc w:val="center"/>
              <w:rPr>
                <w:rFonts w:ascii="宋体"/>
                <w:sz w:val="24"/>
                <w:szCs w:val="24"/>
              </w:rPr>
            </w:pPr>
            <w:r>
              <w:rPr>
                <w:rFonts w:hint="eastAsia" w:ascii="宋体" w:hAnsi="宋体" w:cs="宋体"/>
                <w:sz w:val="24"/>
                <w:szCs w:val="24"/>
              </w:rPr>
              <w:t>国家授予技术职称人数</w:t>
            </w:r>
          </w:p>
        </w:tc>
        <w:tc>
          <w:tcPr>
            <w:tcW w:w="2151" w:type="dxa"/>
            <w:gridSpan w:val="2"/>
            <w:vAlign w:val="center"/>
          </w:tcPr>
          <w:p>
            <w:pPr>
              <w:spacing w:line="360" w:lineRule="auto"/>
              <w:jc w:val="center"/>
              <w:rPr>
                <w:rFonts w:ascii="宋体"/>
                <w:sz w:val="24"/>
                <w:szCs w:val="24"/>
              </w:rPr>
            </w:pPr>
          </w:p>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spacing w:line="360" w:lineRule="auto"/>
              <w:jc w:val="center"/>
              <w:rPr>
                <w:rFonts w:ascii="宋体"/>
                <w:sz w:val="24"/>
                <w:szCs w:val="24"/>
              </w:rPr>
            </w:pPr>
          </w:p>
        </w:tc>
        <w:tc>
          <w:tcPr>
            <w:tcW w:w="701" w:type="dxa"/>
            <w:vAlign w:val="center"/>
          </w:tcPr>
          <w:p>
            <w:pPr>
              <w:spacing w:line="360" w:lineRule="auto"/>
              <w:jc w:val="center"/>
              <w:rPr>
                <w:rFonts w:ascii="宋体"/>
                <w:sz w:val="24"/>
                <w:szCs w:val="24"/>
              </w:rPr>
            </w:pPr>
            <w:r>
              <w:rPr>
                <w:rFonts w:hint="eastAsia" w:ascii="宋体" w:hAnsi="宋体" w:cs="宋体"/>
                <w:sz w:val="24"/>
                <w:szCs w:val="24"/>
              </w:rPr>
              <w:t>占地面积</w:t>
            </w:r>
          </w:p>
        </w:tc>
        <w:tc>
          <w:tcPr>
            <w:tcW w:w="910" w:type="dxa"/>
            <w:gridSpan w:val="2"/>
            <w:vAlign w:val="center"/>
          </w:tcPr>
          <w:p>
            <w:pPr>
              <w:spacing w:line="360" w:lineRule="auto"/>
              <w:jc w:val="center"/>
              <w:rPr>
                <w:rFonts w:ascii="宋体"/>
                <w:sz w:val="24"/>
                <w:szCs w:val="24"/>
              </w:rPr>
            </w:pPr>
          </w:p>
        </w:tc>
        <w:tc>
          <w:tcPr>
            <w:tcW w:w="1163" w:type="dxa"/>
            <w:vAlign w:val="center"/>
          </w:tcPr>
          <w:p>
            <w:pPr>
              <w:spacing w:line="360" w:lineRule="auto"/>
              <w:jc w:val="center"/>
              <w:rPr>
                <w:rFonts w:ascii="宋体"/>
                <w:sz w:val="24"/>
                <w:szCs w:val="24"/>
              </w:rPr>
            </w:pPr>
            <w:r>
              <w:rPr>
                <w:rFonts w:hint="eastAsia" w:ascii="宋体" w:hAnsi="宋体" w:cs="宋体"/>
                <w:sz w:val="24"/>
                <w:szCs w:val="24"/>
              </w:rPr>
              <w:t>建筑面积</w:t>
            </w:r>
          </w:p>
        </w:tc>
        <w:tc>
          <w:tcPr>
            <w:tcW w:w="1205" w:type="dxa"/>
            <w:gridSpan w:val="2"/>
            <w:vAlign w:val="center"/>
          </w:tcPr>
          <w:p>
            <w:pPr>
              <w:spacing w:line="360" w:lineRule="auto"/>
              <w:jc w:val="center"/>
              <w:rPr>
                <w:rFonts w:ascii="宋体"/>
                <w:sz w:val="24"/>
                <w:szCs w:val="24"/>
              </w:rPr>
            </w:pPr>
            <w:r>
              <w:rPr>
                <w:rFonts w:hint="eastAsia" w:ascii="宋体" w:hAnsi="宋体" w:cs="宋体"/>
                <w:sz w:val="24"/>
                <w:szCs w:val="24"/>
              </w:rPr>
              <w:t>平方米</w:t>
            </w:r>
          </w:p>
          <w:p>
            <w:pPr>
              <w:spacing w:line="360" w:lineRule="auto"/>
              <w:jc w:val="center"/>
              <w:rPr>
                <w:rFonts w:ascii="宋体"/>
                <w:sz w:val="24"/>
                <w:szCs w:val="24"/>
              </w:rPr>
            </w:pPr>
            <w:r>
              <w:rPr>
                <w:rFonts w:hint="eastAsia" w:ascii="宋体" w:hAnsi="宋体" w:cs="宋体"/>
                <w:sz w:val="24"/>
                <w:szCs w:val="24"/>
              </w:rPr>
              <w:t>□自有</w:t>
            </w:r>
          </w:p>
          <w:p>
            <w:pPr>
              <w:spacing w:line="360" w:lineRule="auto"/>
              <w:jc w:val="center"/>
              <w:rPr>
                <w:rFonts w:ascii="宋体"/>
                <w:sz w:val="24"/>
                <w:szCs w:val="24"/>
              </w:rPr>
            </w:pPr>
            <w:r>
              <w:rPr>
                <w:rFonts w:hint="eastAsia" w:ascii="宋体" w:hAnsi="宋体" w:cs="宋体"/>
                <w:sz w:val="24"/>
                <w:szCs w:val="24"/>
              </w:rPr>
              <w:t>□租赁</w:t>
            </w:r>
          </w:p>
        </w:tc>
        <w:tc>
          <w:tcPr>
            <w:tcW w:w="2001" w:type="dxa"/>
            <w:gridSpan w:val="3"/>
            <w:vAlign w:val="center"/>
          </w:tcPr>
          <w:p>
            <w:pPr>
              <w:spacing w:line="360" w:lineRule="auto"/>
              <w:jc w:val="center"/>
              <w:rPr>
                <w:rFonts w:ascii="宋体"/>
                <w:sz w:val="24"/>
                <w:szCs w:val="24"/>
              </w:rPr>
            </w:pPr>
            <w:r>
              <w:rPr>
                <w:rFonts w:hint="eastAsia" w:ascii="宋体" w:hAnsi="宋体" w:cs="宋体"/>
                <w:sz w:val="24"/>
                <w:szCs w:val="24"/>
              </w:rPr>
              <w:t>生产经营场所及场所的设施与设备</w:t>
            </w:r>
          </w:p>
        </w:tc>
        <w:tc>
          <w:tcPr>
            <w:tcW w:w="2151" w:type="dxa"/>
            <w:gridSpan w:val="2"/>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spacing w:line="360" w:lineRule="auto"/>
              <w:jc w:val="center"/>
              <w:rPr>
                <w:rFonts w:ascii="宋体"/>
                <w:sz w:val="24"/>
                <w:szCs w:val="24"/>
              </w:rPr>
            </w:pPr>
          </w:p>
        </w:tc>
        <w:tc>
          <w:tcPr>
            <w:tcW w:w="701" w:type="dxa"/>
            <w:vAlign w:val="center"/>
          </w:tcPr>
          <w:p>
            <w:pPr>
              <w:spacing w:line="360" w:lineRule="auto"/>
              <w:jc w:val="center"/>
              <w:rPr>
                <w:rFonts w:ascii="宋体"/>
                <w:sz w:val="24"/>
                <w:szCs w:val="24"/>
              </w:rPr>
            </w:pPr>
            <w:r>
              <w:rPr>
                <w:rFonts w:hint="eastAsia" w:ascii="宋体" w:hAnsi="宋体" w:cs="宋体"/>
                <w:sz w:val="24"/>
                <w:szCs w:val="24"/>
              </w:rPr>
              <w:t>注册资金</w:t>
            </w:r>
          </w:p>
        </w:tc>
        <w:tc>
          <w:tcPr>
            <w:tcW w:w="910" w:type="dxa"/>
            <w:gridSpan w:val="2"/>
            <w:vAlign w:val="center"/>
          </w:tcPr>
          <w:p>
            <w:pPr>
              <w:spacing w:line="360" w:lineRule="auto"/>
              <w:jc w:val="center"/>
              <w:rPr>
                <w:rFonts w:ascii="宋体"/>
                <w:sz w:val="24"/>
                <w:szCs w:val="24"/>
              </w:rPr>
            </w:pPr>
          </w:p>
        </w:tc>
        <w:tc>
          <w:tcPr>
            <w:tcW w:w="1163" w:type="dxa"/>
            <w:vAlign w:val="center"/>
          </w:tcPr>
          <w:p>
            <w:pPr>
              <w:spacing w:line="360" w:lineRule="auto"/>
              <w:jc w:val="center"/>
              <w:rPr>
                <w:rFonts w:ascii="宋体"/>
                <w:sz w:val="24"/>
                <w:szCs w:val="24"/>
              </w:rPr>
            </w:pPr>
            <w:r>
              <w:rPr>
                <w:rFonts w:hint="eastAsia" w:ascii="宋体" w:hAnsi="宋体" w:cs="宋体"/>
                <w:sz w:val="24"/>
                <w:szCs w:val="24"/>
              </w:rPr>
              <w:t>注册发证机关</w:t>
            </w:r>
          </w:p>
        </w:tc>
        <w:tc>
          <w:tcPr>
            <w:tcW w:w="3206" w:type="dxa"/>
            <w:gridSpan w:val="5"/>
            <w:vAlign w:val="center"/>
          </w:tcPr>
          <w:p>
            <w:pPr>
              <w:spacing w:line="360" w:lineRule="auto"/>
              <w:jc w:val="center"/>
              <w:rPr>
                <w:rFonts w:ascii="宋体"/>
                <w:sz w:val="24"/>
                <w:szCs w:val="24"/>
              </w:rPr>
            </w:pPr>
          </w:p>
          <w:p>
            <w:pPr>
              <w:spacing w:line="360" w:lineRule="auto"/>
              <w:jc w:val="center"/>
              <w:rPr>
                <w:rFonts w:ascii="宋体"/>
                <w:sz w:val="24"/>
                <w:szCs w:val="24"/>
              </w:rPr>
            </w:pPr>
          </w:p>
        </w:tc>
        <w:tc>
          <w:tcPr>
            <w:tcW w:w="1218" w:type="dxa"/>
            <w:vAlign w:val="center"/>
          </w:tcPr>
          <w:p>
            <w:pPr>
              <w:spacing w:line="360" w:lineRule="auto"/>
              <w:jc w:val="center"/>
              <w:rPr>
                <w:rFonts w:ascii="宋体"/>
                <w:sz w:val="24"/>
                <w:szCs w:val="24"/>
              </w:rPr>
            </w:pPr>
            <w:r>
              <w:rPr>
                <w:rFonts w:hint="eastAsia" w:ascii="宋体" w:hAnsi="宋体" w:cs="宋体"/>
                <w:sz w:val="24"/>
                <w:szCs w:val="24"/>
              </w:rPr>
              <w:t>公司成立时间</w:t>
            </w:r>
          </w:p>
        </w:tc>
        <w:tc>
          <w:tcPr>
            <w:tcW w:w="933" w:type="dxa"/>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spacing w:line="360" w:lineRule="auto"/>
              <w:jc w:val="center"/>
              <w:rPr>
                <w:rFonts w:ascii="宋体"/>
                <w:sz w:val="24"/>
                <w:szCs w:val="24"/>
              </w:rPr>
            </w:pPr>
          </w:p>
        </w:tc>
        <w:tc>
          <w:tcPr>
            <w:tcW w:w="701" w:type="dxa"/>
            <w:vAlign w:val="center"/>
          </w:tcPr>
          <w:p>
            <w:pPr>
              <w:spacing w:line="360" w:lineRule="auto"/>
              <w:jc w:val="center"/>
              <w:rPr>
                <w:rFonts w:ascii="宋体"/>
                <w:sz w:val="24"/>
                <w:szCs w:val="24"/>
              </w:rPr>
            </w:pPr>
            <w:r>
              <w:rPr>
                <w:rFonts w:hint="eastAsia" w:ascii="宋体" w:hAnsi="宋体" w:cs="宋体"/>
                <w:sz w:val="24"/>
                <w:szCs w:val="24"/>
              </w:rPr>
              <w:t>核准经营范围</w:t>
            </w:r>
          </w:p>
        </w:tc>
        <w:tc>
          <w:tcPr>
            <w:tcW w:w="7430" w:type="dxa"/>
            <w:gridSpan w:val="10"/>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spacing w:line="360" w:lineRule="auto"/>
              <w:jc w:val="center"/>
              <w:rPr>
                <w:rFonts w:ascii="宋体"/>
                <w:sz w:val="24"/>
                <w:szCs w:val="24"/>
              </w:rPr>
            </w:pPr>
          </w:p>
        </w:tc>
        <w:tc>
          <w:tcPr>
            <w:tcW w:w="8131" w:type="dxa"/>
            <w:gridSpan w:val="11"/>
            <w:vAlign w:val="center"/>
          </w:tcPr>
          <w:p>
            <w:pPr>
              <w:spacing w:line="360" w:lineRule="auto"/>
              <w:rPr>
                <w:rFonts w:ascii="宋体"/>
                <w:sz w:val="24"/>
                <w:szCs w:val="24"/>
              </w:rPr>
            </w:pPr>
            <w:r>
              <w:rPr>
                <w:rFonts w:hint="eastAsia" w:ascii="宋体" w:hAnsi="宋体" w:cs="宋体"/>
                <w:sz w:val="24"/>
                <w:szCs w:val="24"/>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vAlign w:val="center"/>
          </w:tcPr>
          <w:p>
            <w:pPr>
              <w:spacing w:line="360" w:lineRule="auto"/>
              <w:jc w:val="center"/>
              <w:rPr>
                <w:rFonts w:ascii="宋体"/>
                <w:sz w:val="24"/>
                <w:szCs w:val="24"/>
              </w:rPr>
            </w:pPr>
            <w:r>
              <w:rPr>
                <w:rFonts w:ascii="宋体" w:hAnsi="宋体" w:cs="宋体"/>
                <w:sz w:val="24"/>
                <w:szCs w:val="24"/>
              </w:rPr>
              <w:t>2</w:t>
            </w:r>
            <w:r>
              <w:rPr>
                <w:rFonts w:hint="eastAsia" w:ascii="宋体" w:hAnsi="宋体" w:cs="宋体"/>
                <w:sz w:val="24"/>
                <w:szCs w:val="24"/>
              </w:rPr>
              <w:t>．</w:t>
            </w:r>
          </w:p>
          <w:p>
            <w:pPr>
              <w:spacing w:line="360" w:lineRule="auto"/>
              <w:jc w:val="center"/>
              <w:rPr>
                <w:rFonts w:ascii="宋体"/>
                <w:sz w:val="24"/>
                <w:szCs w:val="24"/>
              </w:rPr>
            </w:pPr>
            <w:r>
              <w:rPr>
                <w:rFonts w:hint="eastAsia" w:ascii="宋体" w:hAnsi="宋体" w:cs="宋体"/>
                <w:sz w:val="24"/>
                <w:szCs w:val="24"/>
              </w:rPr>
              <w:t>企业有关资质获证情况</w:t>
            </w:r>
          </w:p>
        </w:tc>
        <w:tc>
          <w:tcPr>
            <w:tcW w:w="1553" w:type="dxa"/>
            <w:gridSpan w:val="2"/>
            <w:vMerge w:val="restart"/>
            <w:vAlign w:val="center"/>
          </w:tcPr>
          <w:p>
            <w:pPr>
              <w:spacing w:line="360" w:lineRule="auto"/>
              <w:jc w:val="center"/>
              <w:rPr>
                <w:rFonts w:ascii="宋体"/>
                <w:sz w:val="24"/>
                <w:szCs w:val="24"/>
              </w:rPr>
            </w:pPr>
            <w:r>
              <w:rPr>
                <w:rFonts w:hint="eastAsia" w:ascii="宋体" w:hAnsi="宋体" w:cs="宋体"/>
                <w:sz w:val="24"/>
                <w:szCs w:val="24"/>
              </w:rPr>
              <w:t>产品生产许可证情况（对需获得生产许可证的产品要填写此栏）</w:t>
            </w:r>
          </w:p>
        </w:tc>
        <w:tc>
          <w:tcPr>
            <w:tcW w:w="1333" w:type="dxa"/>
            <w:gridSpan w:val="3"/>
            <w:vAlign w:val="center"/>
          </w:tcPr>
          <w:p>
            <w:pPr>
              <w:spacing w:line="360" w:lineRule="auto"/>
              <w:jc w:val="center"/>
              <w:rPr>
                <w:rFonts w:ascii="宋体"/>
                <w:sz w:val="24"/>
                <w:szCs w:val="24"/>
              </w:rPr>
            </w:pPr>
            <w:r>
              <w:rPr>
                <w:rFonts w:hint="eastAsia" w:ascii="宋体" w:hAnsi="宋体" w:cs="宋体"/>
                <w:sz w:val="24"/>
                <w:szCs w:val="24"/>
              </w:rPr>
              <w:t>产品名称</w:t>
            </w:r>
          </w:p>
        </w:tc>
        <w:tc>
          <w:tcPr>
            <w:tcW w:w="1418" w:type="dxa"/>
            <w:gridSpan w:val="2"/>
            <w:vAlign w:val="center"/>
          </w:tcPr>
          <w:p>
            <w:pPr>
              <w:spacing w:line="360" w:lineRule="auto"/>
              <w:jc w:val="center"/>
              <w:rPr>
                <w:rFonts w:ascii="宋体"/>
                <w:sz w:val="24"/>
                <w:szCs w:val="24"/>
              </w:rPr>
            </w:pPr>
            <w:r>
              <w:rPr>
                <w:rFonts w:hint="eastAsia" w:ascii="宋体" w:hAnsi="宋体" w:cs="宋体"/>
                <w:sz w:val="24"/>
                <w:szCs w:val="24"/>
              </w:rPr>
              <w:t>发证机关</w:t>
            </w:r>
          </w:p>
        </w:tc>
        <w:tc>
          <w:tcPr>
            <w:tcW w:w="1276" w:type="dxa"/>
            <w:vAlign w:val="center"/>
          </w:tcPr>
          <w:p>
            <w:pPr>
              <w:spacing w:line="360" w:lineRule="auto"/>
              <w:jc w:val="center"/>
              <w:rPr>
                <w:rFonts w:ascii="宋体"/>
                <w:sz w:val="24"/>
                <w:szCs w:val="24"/>
              </w:rPr>
            </w:pPr>
            <w:r>
              <w:rPr>
                <w:rFonts w:hint="eastAsia" w:ascii="宋体" w:hAnsi="宋体" w:cs="宋体"/>
                <w:sz w:val="24"/>
                <w:szCs w:val="24"/>
              </w:rPr>
              <w:t>编号</w:t>
            </w:r>
          </w:p>
        </w:tc>
        <w:tc>
          <w:tcPr>
            <w:tcW w:w="1618" w:type="dxa"/>
            <w:gridSpan w:val="2"/>
            <w:vAlign w:val="center"/>
          </w:tcPr>
          <w:p>
            <w:pPr>
              <w:spacing w:line="360" w:lineRule="auto"/>
              <w:jc w:val="center"/>
              <w:rPr>
                <w:rFonts w:ascii="宋体"/>
                <w:sz w:val="24"/>
                <w:szCs w:val="24"/>
              </w:rPr>
            </w:pPr>
            <w:r>
              <w:rPr>
                <w:rFonts w:hint="eastAsia" w:ascii="宋体" w:hAnsi="宋体" w:cs="宋体"/>
                <w:sz w:val="24"/>
                <w:szCs w:val="24"/>
              </w:rPr>
              <w:t>发证时间</w:t>
            </w:r>
          </w:p>
        </w:tc>
        <w:tc>
          <w:tcPr>
            <w:tcW w:w="933" w:type="dxa"/>
            <w:vAlign w:val="center"/>
          </w:tcPr>
          <w:p>
            <w:pPr>
              <w:spacing w:line="360" w:lineRule="auto"/>
              <w:jc w:val="center"/>
              <w:rPr>
                <w:rFonts w:ascii="宋体"/>
                <w:sz w:val="24"/>
                <w:szCs w:val="24"/>
              </w:rPr>
            </w:pPr>
            <w:r>
              <w:rPr>
                <w:rFonts w:hint="eastAsia" w:ascii="宋体" w:hAnsi="宋体" w:cs="宋体"/>
                <w:sz w:val="24"/>
                <w:szCs w:val="24"/>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spacing w:line="360" w:lineRule="auto"/>
              <w:jc w:val="center"/>
              <w:rPr>
                <w:rFonts w:ascii="宋体"/>
                <w:sz w:val="24"/>
                <w:szCs w:val="24"/>
              </w:rPr>
            </w:pPr>
          </w:p>
        </w:tc>
        <w:tc>
          <w:tcPr>
            <w:tcW w:w="1553" w:type="dxa"/>
            <w:gridSpan w:val="2"/>
            <w:vMerge w:val="continue"/>
            <w:vAlign w:val="center"/>
          </w:tcPr>
          <w:p>
            <w:pPr>
              <w:spacing w:line="360" w:lineRule="auto"/>
              <w:jc w:val="center"/>
              <w:rPr>
                <w:rFonts w:ascii="宋体"/>
                <w:sz w:val="24"/>
                <w:szCs w:val="24"/>
              </w:rPr>
            </w:pPr>
          </w:p>
        </w:tc>
        <w:tc>
          <w:tcPr>
            <w:tcW w:w="1333" w:type="dxa"/>
            <w:gridSpan w:val="3"/>
            <w:vAlign w:val="center"/>
          </w:tcPr>
          <w:p>
            <w:pPr>
              <w:spacing w:line="360" w:lineRule="auto"/>
              <w:jc w:val="center"/>
              <w:rPr>
                <w:rFonts w:ascii="宋体"/>
                <w:sz w:val="24"/>
                <w:szCs w:val="24"/>
              </w:rPr>
            </w:pPr>
          </w:p>
        </w:tc>
        <w:tc>
          <w:tcPr>
            <w:tcW w:w="1418" w:type="dxa"/>
            <w:gridSpan w:val="2"/>
            <w:vAlign w:val="center"/>
          </w:tcPr>
          <w:p>
            <w:pPr>
              <w:spacing w:line="360" w:lineRule="auto"/>
              <w:jc w:val="center"/>
              <w:rPr>
                <w:rFonts w:ascii="宋体"/>
                <w:sz w:val="24"/>
                <w:szCs w:val="24"/>
              </w:rPr>
            </w:pPr>
          </w:p>
        </w:tc>
        <w:tc>
          <w:tcPr>
            <w:tcW w:w="1276" w:type="dxa"/>
            <w:vAlign w:val="center"/>
          </w:tcPr>
          <w:p>
            <w:pPr>
              <w:spacing w:line="360" w:lineRule="auto"/>
              <w:jc w:val="center"/>
              <w:rPr>
                <w:rFonts w:ascii="宋体"/>
                <w:sz w:val="24"/>
                <w:szCs w:val="24"/>
              </w:rPr>
            </w:pPr>
          </w:p>
        </w:tc>
        <w:tc>
          <w:tcPr>
            <w:tcW w:w="2551" w:type="dxa"/>
            <w:gridSpan w:val="3"/>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spacing w:line="360" w:lineRule="auto"/>
              <w:jc w:val="center"/>
              <w:rPr>
                <w:rFonts w:ascii="宋体"/>
                <w:sz w:val="24"/>
                <w:szCs w:val="24"/>
              </w:rPr>
            </w:pPr>
          </w:p>
        </w:tc>
        <w:tc>
          <w:tcPr>
            <w:tcW w:w="1553" w:type="dxa"/>
            <w:gridSpan w:val="2"/>
            <w:vAlign w:val="center"/>
          </w:tcPr>
          <w:p>
            <w:pPr>
              <w:spacing w:line="360" w:lineRule="auto"/>
              <w:jc w:val="center"/>
              <w:rPr>
                <w:rFonts w:ascii="宋体"/>
                <w:sz w:val="24"/>
                <w:szCs w:val="24"/>
              </w:rPr>
            </w:pPr>
            <w:r>
              <w:rPr>
                <w:rFonts w:hint="eastAsia" w:ascii="宋体" w:hAnsi="宋体" w:cs="宋体"/>
                <w:sz w:val="24"/>
                <w:szCs w:val="24"/>
              </w:rPr>
              <w:t>企业通过质量体系、环保体系、计量等认证情况</w:t>
            </w:r>
          </w:p>
        </w:tc>
        <w:tc>
          <w:tcPr>
            <w:tcW w:w="6578" w:type="dxa"/>
            <w:gridSpan w:val="9"/>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spacing w:line="360" w:lineRule="auto"/>
              <w:jc w:val="center"/>
              <w:rPr>
                <w:rFonts w:ascii="宋体"/>
                <w:sz w:val="24"/>
                <w:szCs w:val="24"/>
              </w:rPr>
            </w:pPr>
          </w:p>
        </w:tc>
        <w:tc>
          <w:tcPr>
            <w:tcW w:w="1553" w:type="dxa"/>
            <w:gridSpan w:val="2"/>
            <w:vAlign w:val="center"/>
          </w:tcPr>
          <w:p>
            <w:pPr>
              <w:spacing w:line="360" w:lineRule="auto"/>
              <w:jc w:val="center"/>
              <w:rPr>
                <w:rFonts w:ascii="宋体"/>
                <w:sz w:val="24"/>
                <w:szCs w:val="24"/>
              </w:rPr>
            </w:pPr>
            <w:r>
              <w:rPr>
                <w:rFonts w:hint="eastAsia" w:ascii="宋体" w:hAnsi="宋体" w:cs="宋体"/>
                <w:sz w:val="24"/>
                <w:szCs w:val="24"/>
              </w:rPr>
              <w:t>企业获得专利情况</w:t>
            </w:r>
          </w:p>
        </w:tc>
        <w:tc>
          <w:tcPr>
            <w:tcW w:w="6578" w:type="dxa"/>
            <w:gridSpan w:val="9"/>
            <w:vAlign w:val="center"/>
          </w:tcPr>
          <w:p>
            <w:pPr>
              <w:spacing w:line="360" w:lineRule="auto"/>
              <w:jc w:val="center"/>
              <w:rPr>
                <w:rFonts w:ascii="宋体"/>
                <w:sz w:val="24"/>
                <w:szCs w:val="24"/>
              </w:rPr>
            </w:pPr>
          </w:p>
        </w:tc>
      </w:tr>
    </w:tbl>
    <w:p>
      <w:pPr>
        <w:spacing w:line="360" w:lineRule="auto"/>
        <w:rPr>
          <w:rFonts w:ascii="宋体"/>
          <w:sz w:val="24"/>
          <w:szCs w:val="24"/>
        </w:rPr>
      </w:pPr>
    </w:p>
    <w:p>
      <w:pPr>
        <w:spacing w:line="360" w:lineRule="auto"/>
        <w:rPr>
          <w:rFonts w:ascii="宋体"/>
          <w:b/>
          <w:bCs/>
          <w:sz w:val="24"/>
          <w:szCs w:val="24"/>
        </w:rPr>
      </w:pPr>
      <w:r>
        <w:rPr>
          <w:rFonts w:hint="eastAsia" w:ascii="宋体" w:hAnsi="宋体" w:cs="宋体"/>
          <w:b/>
          <w:bCs/>
          <w:sz w:val="24"/>
          <w:szCs w:val="24"/>
        </w:rPr>
        <w:t>要求：</w:t>
      </w:r>
    </w:p>
    <w:p>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姓名栏必须将所有股东都统计在内，若非股份公司此行（第三行）无需填写；</w:t>
      </w:r>
    </w:p>
    <w:p>
      <w:pPr>
        <w:spacing w:line="360" w:lineRule="auto"/>
        <w:rPr>
          <w:rFonts w:ascii="宋体"/>
          <w:sz w:val="24"/>
          <w:szCs w:val="24"/>
        </w:rPr>
      </w:pPr>
    </w:p>
    <w:p>
      <w:pPr>
        <w:spacing w:line="480" w:lineRule="auto"/>
        <w:rPr>
          <w:rFonts w:ascii="宋体"/>
          <w:sz w:val="24"/>
          <w:szCs w:val="24"/>
        </w:rPr>
      </w:pPr>
      <w:r>
        <w:rPr>
          <w:rFonts w:hint="eastAsia" w:ascii="宋体" w:hAnsi="宋体" w:cs="宋体"/>
          <w:sz w:val="24"/>
          <w:szCs w:val="24"/>
        </w:rPr>
        <w:t>投标人名称（盖章）：</w:t>
      </w:r>
    </w:p>
    <w:p>
      <w:pPr>
        <w:spacing w:line="480" w:lineRule="auto"/>
        <w:rPr>
          <w:rFonts w:ascii="宋体"/>
          <w:sz w:val="24"/>
          <w:szCs w:val="24"/>
        </w:rPr>
      </w:pPr>
      <w:r>
        <w:rPr>
          <w:rFonts w:hint="eastAsia" w:ascii="宋体" w:hAnsi="宋体" w:cs="宋体"/>
          <w:sz w:val="24"/>
          <w:szCs w:val="24"/>
        </w:rPr>
        <w:t>授权委托代理人签字或盖章：</w:t>
      </w:r>
    </w:p>
    <w:p>
      <w:pPr>
        <w:spacing w:line="480" w:lineRule="auto"/>
        <w:rPr>
          <w:rFonts w:ascii="宋体"/>
          <w:sz w:val="24"/>
          <w:szCs w:val="24"/>
        </w:rPr>
      </w:pPr>
      <w:r>
        <w:rPr>
          <w:rFonts w:hint="eastAsia" w:ascii="宋体" w:hAnsi="宋体" w:cs="宋体"/>
          <w:sz w:val="24"/>
          <w:szCs w:val="24"/>
        </w:rPr>
        <w:t>日期：</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r>
        <w:rPr>
          <w:rFonts w:hint="eastAsia" w:ascii="宋体" w:hAnsi="宋体" w:cs="宋体"/>
          <w:b/>
          <w:bCs/>
          <w:sz w:val="28"/>
          <w:szCs w:val="28"/>
        </w:rPr>
        <w:t>附件</w:t>
      </w:r>
      <w:r>
        <w:rPr>
          <w:rFonts w:ascii="宋体" w:hAnsi="宋体" w:cs="宋体"/>
          <w:b/>
          <w:bCs/>
          <w:sz w:val="28"/>
          <w:szCs w:val="28"/>
        </w:rPr>
        <w:t>6</w:t>
      </w:r>
    </w:p>
    <w:p>
      <w:pPr>
        <w:spacing w:line="360" w:lineRule="auto"/>
        <w:jc w:val="center"/>
        <w:rPr>
          <w:rFonts w:ascii="宋体"/>
          <w:b/>
          <w:bCs/>
          <w:sz w:val="32"/>
          <w:szCs w:val="32"/>
          <w:lang w:val="zh-CN"/>
        </w:rPr>
      </w:pPr>
      <w:r>
        <w:rPr>
          <w:rFonts w:hint="eastAsia" w:ascii="宋体" w:hAnsi="宋体" w:cs="宋体"/>
          <w:b/>
          <w:bCs/>
          <w:sz w:val="32"/>
          <w:szCs w:val="32"/>
          <w:lang w:val="zh-CN"/>
        </w:rPr>
        <w:t>项目实施人员一览表</w:t>
      </w:r>
    </w:p>
    <w:p>
      <w:pPr>
        <w:spacing w:line="360" w:lineRule="auto"/>
        <w:jc w:val="center"/>
        <w:rPr>
          <w:rFonts w:ascii="宋体"/>
          <w:sz w:val="24"/>
          <w:szCs w:val="24"/>
        </w:rPr>
      </w:pPr>
      <w:r>
        <w:rPr>
          <w:rFonts w:hint="eastAsia" w:ascii="宋体" w:hAnsi="宋体" w:cs="宋体"/>
          <w:sz w:val="24"/>
          <w:szCs w:val="24"/>
        </w:rPr>
        <w:t>（主要从业人员及其技术资格）</w:t>
      </w:r>
    </w:p>
    <w:tbl>
      <w:tblPr>
        <w:tblStyle w:val="27"/>
        <w:tblW w:w="88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b/>
                <w:bCs/>
                <w:sz w:val="24"/>
                <w:szCs w:val="24"/>
              </w:rPr>
            </w:pPr>
            <w:r>
              <w:rPr>
                <w:rFonts w:hint="eastAsia" w:ascii="宋体" w:hAnsi="宋体" w:cs="宋体"/>
                <w:b/>
                <w:bCs/>
                <w:sz w:val="24"/>
                <w:szCs w:val="24"/>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b/>
                <w:bCs/>
                <w:sz w:val="24"/>
                <w:szCs w:val="24"/>
              </w:rPr>
            </w:pPr>
            <w:r>
              <w:rPr>
                <w:rFonts w:hint="eastAsia" w:ascii="宋体" w:hAnsi="宋体" w:cs="宋体"/>
                <w:b/>
                <w:bCs/>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b/>
                <w:bCs/>
                <w:sz w:val="24"/>
                <w:szCs w:val="24"/>
              </w:rPr>
            </w:pPr>
            <w:r>
              <w:rPr>
                <w:rFonts w:hint="eastAsia" w:ascii="宋体" w:hAnsi="宋体" w:cs="宋体"/>
                <w:b/>
                <w:bCs/>
                <w:sz w:val="24"/>
                <w:szCs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b/>
                <w:bCs/>
                <w:sz w:val="24"/>
                <w:szCs w:val="24"/>
              </w:rPr>
            </w:pPr>
            <w:r>
              <w:rPr>
                <w:rFonts w:hint="eastAsia" w:ascii="宋体" w:hAnsi="宋体" w:cs="宋体"/>
                <w:b/>
                <w:bCs/>
                <w:sz w:val="24"/>
                <w:szCs w:val="24"/>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b/>
                <w:bCs/>
                <w:sz w:val="24"/>
                <w:szCs w:val="24"/>
              </w:rPr>
            </w:pPr>
            <w:r>
              <w:rPr>
                <w:rFonts w:hint="eastAsia" w:ascii="宋体" w:hAnsi="宋体" w:cs="宋体"/>
                <w:b/>
                <w:bCs/>
                <w:sz w:val="24"/>
                <w:szCs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b/>
                <w:bCs/>
                <w:sz w:val="24"/>
                <w:szCs w:val="24"/>
              </w:rPr>
            </w:pPr>
            <w:r>
              <w:rPr>
                <w:rFonts w:hint="eastAsia" w:ascii="宋体" w:hAnsi="宋体" w:cs="宋体"/>
                <w:b/>
                <w:bCs/>
                <w:sz w:val="24"/>
                <w:szCs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b/>
                <w:bCs/>
                <w:sz w:val="24"/>
                <w:szCs w:val="24"/>
              </w:rPr>
            </w:pPr>
            <w:r>
              <w:rPr>
                <w:rFonts w:hint="eastAsia" w:ascii="宋体" w:hAnsi="宋体" w:cs="宋体"/>
                <w:b/>
                <w:bCs/>
                <w:sz w:val="24"/>
                <w:szCs w:val="24"/>
              </w:rPr>
              <w:t>参加本单位工作时间</w:t>
            </w:r>
          </w:p>
        </w:tc>
        <w:tc>
          <w:tcPr>
            <w:tcW w:w="2126" w:type="dxa"/>
            <w:tcBorders>
              <w:top w:val="single" w:color="auto" w:sz="4" w:space="0"/>
              <w:left w:val="single" w:color="auto" w:sz="4" w:space="0"/>
              <w:bottom w:val="single" w:color="auto" w:sz="4" w:space="0"/>
            </w:tcBorders>
            <w:vAlign w:val="center"/>
          </w:tcPr>
          <w:p>
            <w:pPr>
              <w:snapToGrid w:val="0"/>
              <w:spacing w:before="159" w:beforeLines="50" w:after="50" w:line="360" w:lineRule="auto"/>
              <w:jc w:val="center"/>
              <w:rPr>
                <w:rFonts w:ascii="宋体"/>
                <w:b/>
                <w:bCs/>
                <w:sz w:val="24"/>
                <w:szCs w:val="24"/>
              </w:rPr>
            </w:pPr>
            <w:r>
              <w:rPr>
                <w:rFonts w:hint="eastAsia" w:ascii="宋体" w:hAnsi="宋体" w:cs="宋体"/>
                <w:b/>
                <w:bCs/>
                <w:sz w:val="24"/>
                <w:szCs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9" w:beforeLines="50" w:after="50" w:line="360" w:lineRule="auto"/>
              <w:rPr>
                <w:rFonts w:ascii="宋体"/>
                <w:sz w:val="24"/>
                <w:szCs w:val="24"/>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2126" w:type="dxa"/>
            <w:tcBorders>
              <w:top w:val="single" w:color="auto" w:sz="4" w:space="0"/>
              <w:left w:val="single" w:color="auto" w:sz="4" w:space="0"/>
              <w:bottom w:val="single" w:color="auto" w:sz="4" w:space="0"/>
            </w:tcBorders>
          </w:tcPr>
          <w:p>
            <w:pPr>
              <w:snapToGrid w:val="0"/>
              <w:spacing w:before="159" w:beforeLines="50" w:after="50" w:line="360" w:lineRule="auto"/>
              <w:rPr>
                <w:rFonts w:ascii="宋体"/>
                <w:b/>
                <w:bCs/>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9" w:beforeLines="50" w:after="50" w:line="360" w:lineRule="auto"/>
              <w:rPr>
                <w:rFonts w:ascii="宋体"/>
                <w:sz w:val="24"/>
                <w:szCs w:val="24"/>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2126" w:type="dxa"/>
            <w:tcBorders>
              <w:top w:val="single" w:color="auto" w:sz="4" w:space="0"/>
              <w:left w:val="single" w:color="auto" w:sz="4" w:space="0"/>
              <w:bottom w:val="single" w:color="auto" w:sz="4" w:space="0"/>
            </w:tcBorders>
          </w:tcPr>
          <w:p>
            <w:pPr>
              <w:snapToGrid w:val="0"/>
              <w:spacing w:before="159" w:beforeLines="50" w:after="50" w:line="360" w:lineRule="auto"/>
              <w:rPr>
                <w:rFonts w:ascii="宋体"/>
                <w:b/>
                <w:bCs/>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9" w:beforeLines="50" w:after="50" w:line="360" w:lineRule="auto"/>
              <w:rPr>
                <w:rFonts w:ascii="宋体"/>
                <w:sz w:val="24"/>
                <w:szCs w:val="24"/>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795" w:type="dxa"/>
            <w:tcBorders>
              <w:top w:val="single" w:color="auto" w:sz="4" w:space="0"/>
              <w:left w:val="single" w:color="auto" w:sz="4" w:space="0"/>
              <w:bottom w:val="single" w:color="auto" w:sz="4" w:space="0"/>
              <w:right w:val="single" w:color="auto" w:sz="4" w:space="0"/>
            </w:tcBorders>
          </w:tcPr>
          <w:p>
            <w:pPr>
              <w:pStyle w:val="17"/>
              <w:snapToGrid w:val="0"/>
              <w:spacing w:before="159" w:beforeLines="50" w:after="50" w:line="360" w:lineRule="auto"/>
              <w:ind w:left="5250"/>
              <w:rPr>
                <w:rFonts w:ascii="宋体" w:hAnsi="宋体" w:eastAsia="宋体" w:cs="Times New Roman"/>
                <w:b/>
                <w:bCs/>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7"/>
              <w:snapToGrid w:val="0"/>
              <w:spacing w:before="159" w:beforeLines="50" w:after="50" w:line="360" w:lineRule="auto"/>
              <w:ind w:left="5250"/>
              <w:rPr>
                <w:rFonts w:ascii="宋体" w:hAnsi="宋体" w:eastAsia="宋体" w:cs="Times New Roman"/>
                <w:b/>
                <w:bCs/>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7"/>
              <w:spacing w:line="360" w:lineRule="auto"/>
              <w:ind w:left="5250"/>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sz w:val="24"/>
                <w:szCs w:val="24"/>
              </w:rPr>
            </w:pPr>
          </w:p>
        </w:tc>
        <w:tc>
          <w:tcPr>
            <w:tcW w:w="2126" w:type="dxa"/>
            <w:tcBorders>
              <w:top w:val="single" w:color="auto" w:sz="4" w:space="0"/>
              <w:left w:val="single" w:color="auto" w:sz="4" w:space="0"/>
              <w:bottom w:val="single" w:color="auto" w:sz="4" w:space="0"/>
            </w:tcBorders>
          </w:tcPr>
          <w:p>
            <w:pPr>
              <w:snapToGrid w:val="0"/>
              <w:spacing w:before="159" w:beforeLines="50" w:after="50" w:line="360" w:lineRule="auto"/>
              <w:rPr>
                <w:rFonts w:ascii="宋体"/>
                <w:b/>
                <w:bCs/>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9" w:beforeLines="50" w:after="50" w:line="360" w:lineRule="auto"/>
              <w:rPr>
                <w:rFonts w:ascii="宋体"/>
                <w:sz w:val="24"/>
                <w:szCs w:val="24"/>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2126" w:type="dxa"/>
            <w:tcBorders>
              <w:top w:val="single" w:color="auto" w:sz="4" w:space="0"/>
              <w:left w:val="single" w:color="auto" w:sz="4" w:space="0"/>
              <w:bottom w:val="single" w:color="auto" w:sz="4" w:space="0"/>
            </w:tcBorders>
          </w:tcPr>
          <w:p>
            <w:pPr>
              <w:snapToGrid w:val="0"/>
              <w:spacing w:before="159" w:beforeLines="50" w:after="50" w:line="360" w:lineRule="auto"/>
              <w:rPr>
                <w:rFonts w:ascii="宋体"/>
                <w:b/>
                <w:bCs/>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9" w:beforeLines="50" w:after="50" w:line="360" w:lineRule="auto"/>
              <w:rPr>
                <w:rFonts w:ascii="宋体"/>
                <w:sz w:val="24"/>
                <w:szCs w:val="24"/>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2126" w:type="dxa"/>
            <w:tcBorders>
              <w:top w:val="single" w:color="auto" w:sz="4" w:space="0"/>
              <w:left w:val="single" w:color="auto" w:sz="4" w:space="0"/>
              <w:bottom w:val="single" w:color="auto" w:sz="4" w:space="0"/>
            </w:tcBorders>
          </w:tcPr>
          <w:p>
            <w:pPr>
              <w:snapToGrid w:val="0"/>
              <w:spacing w:before="159" w:beforeLines="50" w:after="50" w:line="360" w:lineRule="auto"/>
              <w:rPr>
                <w:rFonts w:ascii="宋体"/>
                <w:b/>
                <w:bCs/>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9" w:beforeLines="50" w:after="50" w:line="360" w:lineRule="auto"/>
              <w:rPr>
                <w:rFonts w:ascii="宋体"/>
                <w:sz w:val="24"/>
                <w:szCs w:val="24"/>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2126" w:type="dxa"/>
            <w:tcBorders>
              <w:top w:val="single" w:color="auto" w:sz="4" w:space="0"/>
              <w:left w:val="single" w:color="auto" w:sz="4" w:space="0"/>
              <w:bottom w:val="single" w:color="auto" w:sz="4" w:space="0"/>
            </w:tcBorders>
          </w:tcPr>
          <w:p>
            <w:pPr>
              <w:snapToGrid w:val="0"/>
              <w:spacing w:before="159" w:beforeLines="50" w:after="50" w:line="360" w:lineRule="auto"/>
              <w:rPr>
                <w:rFonts w:ascii="宋体"/>
                <w:b/>
                <w:bCs/>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9" w:beforeLines="50" w:after="50" w:line="360" w:lineRule="auto"/>
              <w:rPr>
                <w:rFonts w:ascii="宋体"/>
                <w:sz w:val="24"/>
                <w:szCs w:val="24"/>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2126" w:type="dxa"/>
            <w:tcBorders>
              <w:top w:val="single" w:color="auto" w:sz="4" w:space="0"/>
              <w:left w:val="single" w:color="auto" w:sz="4" w:space="0"/>
              <w:bottom w:val="single" w:color="auto" w:sz="4" w:space="0"/>
            </w:tcBorders>
          </w:tcPr>
          <w:p>
            <w:pPr>
              <w:snapToGrid w:val="0"/>
              <w:spacing w:before="159" w:beforeLines="50" w:after="50" w:line="360" w:lineRule="auto"/>
              <w:rPr>
                <w:rFonts w:ascii="宋体"/>
                <w:b/>
                <w:bCs/>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9" w:beforeLines="50" w:after="50" w:line="360" w:lineRule="auto"/>
              <w:rPr>
                <w:rFonts w:ascii="宋体"/>
                <w:sz w:val="24"/>
                <w:szCs w:val="24"/>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kern w:val="44"/>
                <w:sz w:val="24"/>
                <w:szCs w:val="24"/>
              </w:rPr>
            </w:pPr>
          </w:p>
        </w:tc>
        <w:tc>
          <w:tcPr>
            <w:tcW w:w="2126" w:type="dxa"/>
            <w:tcBorders>
              <w:top w:val="single" w:color="auto" w:sz="4" w:space="0"/>
              <w:left w:val="single" w:color="auto" w:sz="4" w:space="0"/>
              <w:bottom w:val="single" w:color="auto" w:sz="4" w:space="0"/>
            </w:tcBorders>
          </w:tcPr>
          <w:p>
            <w:pPr>
              <w:snapToGrid w:val="0"/>
              <w:spacing w:before="159" w:beforeLines="50" w:after="50" w:line="360" w:lineRule="auto"/>
              <w:rPr>
                <w:rFonts w:ascii="宋体"/>
                <w:b/>
                <w:bCs/>
                <w:kern w:val="44"/>
                <w:sz w:val="24"/>
                <w:szCs w:val="24"/>
              </w:rPr>
            </w:pPr>
          </w:p>
        </w:tc>
      </w:tr>
    </w:tbl>
    <w:p>
      <w:pPr>
        <w:spacing w:line="360" w:lineRule="auto"/>
        <w:jc w:val="left"/>
        <w:rPr>
          <w:rFonts w:ascii="宋体"/>
          <w:b/>
          <w:bCs/>
          <w:sz w:val="24"/>
          <w:szCs w:val="24"/>
        </w:rPr>
      </w:pPr>
      <w:r>
        <w:rPr>
          <w:rFonts w:hint="eastAsia" w:ascii="宋体" w:hAnsi="宋体" w:cs="宋体"/>
          <w:b/>
          <w:bCs/>
          <w:sz w:val="24"/>
          <w:szCs w:val="24"/>
        </w:rPr>
        <w:t>要求：</w:t>
      </w:r>
    </w:p>
    <w:p>
      <w:pPr>
        <w:spacing w:line="360" w:lineRule="auto"/>
        <w:ind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在填写时，如本表格不适合投标单位的实际情况，可根据本表格式自行划表填写。</w:t>
      </w:r>
    </w:p>
    <w:p>
      <w:pPr>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附人员证书复印件；</w:t>
      </w:r>
    </w:p>
    <w:p>
      <w:pPr>
        <w:spacing w:line="360" w:lineRule="auto"/>
        <w:ind w:firstLine="480" w:firstLineChars="200"/>
        <w:jc w:val="left"/>
        <w:rPr>
          <w:rFonts w:ascii="宋体"/>
          <w:sz w:val="24"/>
          <w:szCs w:val="24"/>
        </w:rPr>
      </w:pPr>
      <w:r>
        <w:rPr>
          <w:rFonts w:ascii="宋体" w:hAnsi="宋体" w:cs="宋体"/>
          <w:sz w:val="24"/>
          <w:szCs w:val="24"/>
        </w:rPr>
        <w:t>3.</w:t>
      </w:r>
      <w:r>
        <w:rPr>
          <w:rFonts w:hint="eastAsia" w:ascii="宋体" w:hAnsi="宋体" w:cs="宋体"/>
          <w:sz w:val="24"/>
          <w:szCs w:val="24"/>
        </w:rPr>
        <w:t>出具上述人员在本单位服务的外部证明，如：投标截止日之前三个月以内的代缴个税税单、参加社会保险的《投保单》或《社会保险参保人员证明》等。</w:t>
      </w:r>
    </w:p>
    <w:p>
      <w:pPr>
        <w:spacing w:line="360" w:lineRule="auto"/>
        <w:rPr>
          <w:rFonts w:ascii="宋体"/>
          <w:sz w:val="24"/>
          <w:szCs w:val="24"/>
        </w:rPr>
      </w:pPr>
      <w:r>
        <w:rPr>
          <w:rFonts w:hint="eastAsia" w:ascii="宋体" w:hAnsi="宋体" w:cs="宋体"/>
          <w:sz w:val="24"/>
          <w:szCs w:val="24"/>
        </w:rPr>
        <w:t>投标人名称（盖章）：</w:t>
      </w:r>
    </w:p>
    <w:p>
      <w:pPr>
        <w:spacing w:line="360" w:lineRule="auto"/>
        <w:rPr>
          <w:rFonts w:ascii="宋体"/>
          <w:sz w:val="24"/>
          <w:szCs w:val="24"/>
        </w:rPr>
      </w:pPr>
      <w:r>
        <w:rPr>
          <w:rFonts w:hint="eastAsia" w:ascii="宋体" w:hAnsi="宋体" w:cs="宋体"/>
          <w:sz w:val="24"/>
          <w:szCs w:val="24"/>
        </w:rPr>
        <w:t>授权委托代理人签字或盖章：</w:t>
      </w:r>
    </w:p>
    <w:p>
      <w:pPr>
        <w:spacing w:line="360" w:lineRule="auto"/>
        <w:rPr>
          <w:rFonts w:ascii="宋体"/>
          <w:sz w:val="24"/>
          <w:szCs w:val="24"/>
        </w:rPr>
      </w:pPr>
      <w:r>
        <w:rPr>
          <w:rFonts w:hint="eastAsia" w:ascii="宋体" w:hAnsi="宋体" w:cs="宋体"/>
          <w:sz w:val="24"/>
          <w:szCs w:val="24"/>
        </w:rPr>
        <w:t>日期：</w:t>
      </w:r>
    </w:p>
    <w:p>
      <w:pPr>
        <w:spacing w:line="360" w:lineRule="auto"/>
        <w:rPr>
          <w:rFonts w:ascii="宋体"/>
          <w:b/>
          <w:bCs/>
          <w:sz w:val="28"/>
          <w:szCs w:val="28"/>
        </w:rPr>
      </w:pPr>
      <w:r>
        <w:rPr>
          <w:rFonts w:hint="eastAsia" w:ascii="宋体" w:hAnsi="宋体" w:cs="宋体"/>
          <w:b/>
          <w:bCs/>
          <w:sz w:val="28"/>
          <w:szCs w:val="28"/>
        </w:rPr>
        <w:t>附件</w:t>
      </w:r>
      <w:r>
        <w:rPr>
          <w:rFonts w:ascii="宋体" w:hAnsi="宋体" w:cs="宋体"/>
          <w:b/>
          <w:bCs/>
          <w:sz w:val="28"/>
          <w:szCs w:val="28"/>
        </w:rPr>
        <w:t>7</w:t>
      </w:r>
    </w:p>
    <w:p>
      <w:pPr>
        <w:spacing w:line="360" w:lineRule="auto"/>
        <w:jc w:val="center"/>
        <w:rPr>
          <w:rFonts w:ascii="宋体"/>
          <w:b/>
          <w:bCs/>
          <w:sz w:val="32"/>
          <w:szCs w:val="32"/>
          <w:lang w:val="zh-CN"/>
        </w:rPr>
      </w:pPr>
      <w:r>
        <w:rPr>
          <w:rFonts w:hint="eastAsia" w:ascii="宋体" w:hAnsi="宋体" w:cs="宋体"/>
          <w:b/>
          <w:bCs/>
          <w:sz w:val="32"/>
          <w:szCs w:val="32"/>
          <w:lang w:val="zh-CN"/>
        </w:rPr>
        <w:t>项目负责人资格情况表</w:t>
      </w:r>
    </w:p>
    <w:p>
      <w:pPr>
        <w:spacing w:line="360" w:lineRule="auto"/>
        <w:rPr>
          <w:rFonts w:ascii="宋体"/>
          <w:sz w:val="24"/>
          <w:szCs w:val="24"/>
        </w:rPr>
      </w:pPr>
      <w:r>
        <w:rPr>
          <w:rFonts w:hint="eastAsia" w:ascii="宋体" w:hAnsi="宋体" w:cs="宋体"/>
          <w:sz w:val="24"/>
          <w:szCs w:val="24"/>
        </w:rPr>
        <w:t>采购项目：采购编号：</w:t>
      </w:r>
    </w:p>
    <w:tbl>
      <w:tblPr>
        <w:tblStyle w:val="27"/>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pPr>
              <w:jc w:val="center"/>
              <w:rPr>
                <w:rFonts w:ascii="宋体"/>
                <w:b/>
                <w:bCs/>
                <w:sz w:val="24"/>
                <w:szCs w:val="24"/>
                <w:lang w:val="zh-CN"/>
              </w:rPr>
            </w:pPr>
            <w:r>
              <w:rPr>
                <w:rFonts w:hint="eastAsia" w:ascii="宋体" w:hAnsi="宋体" w:cs="宋体"/>
                <w:b/>
                <w:bCs/>
                <w:sz w:val="24"/>
                <w:szCs w:val="24"/>
                <w:lang w:val="zh-CN"/>
              </w:rPr>
              <w:t>姓名</w:t>
            </w:r>
          </w:p>
        </w:tc>
        <w:tc>
          <w:tcPr>
            <w:tcW w:w="2967" w:type="dxa"/>
            <w:tcBorders>
              <w:top w:val="single" w:color="auto" w:sz="12" w:space="0"/>
            </w:tcBorders>
            <w:vAlign w:val="center"/>
          </w:tcPr>
          <w:p>
            <w:pPr>
              <w:jc w:val="center"/>
              <w:rPr>
                <w:rFonts w:ascii="宋体"/>
                <w:sz w:val="24"/>
                <w:szCs w:val="24"/>
                <w:lang w:val="zh-CN"/>
              </w:rPr>
            </w:pPr>
          </w:p>
        </w:tc>
        <w:tc>
          <w:tcPr>
            <w:tcW w:w="3685" w:type="dxa"/>
            <w:tcBorders>
              <w:top w:val="single" w:color="auto" w:sz="12" w:space="0"/>
              <w:right w:val="single" w:color="auto" w:sz="12" w:space="0"/>
            </w:tcBorders>
            <w:vAlign w:val="center"/>
          </w:tcPr>
          <w:p>
            <w:pPr>
              <w:jc w:val="center"/>
              <w:rPr>
                <w:rFonts w:ascii="宋体"/>
                <w:sz w:val="24"/>
                <w:szCs w:val="24"/>
                <w:lang w:val="zh-CN"/>
              </w:rPr>
            </w:pPr>
            <w:r>
              <w:rPr>
                <w:rFonts w:hint="eastAsia" w:ascii="宋体" w:hAnsi="宋体" w:cs="宋体"/>
                <w:b/>
                <w:bCs/>
                <w:sz w:val="24"/>
                <w:szCs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sz w:val="24"/>
                <w:szCs w:val="24"/>
                <w:lang w:val="zh-CN"/>
              </w:rPr>
            </w:pPr>
            <w:r>
              <w:rPr>
                <w:rFonts w:hint="eastAsia" w:ascii="宋体" w:hAnsi="宋体" w:cs="宋体"/>
                <w:b/>
                <w:bCs/>
                <w:sz w:val="24"/>
                <w:szCs w:val="24"/>
                <w:lang w:val="zh-CN"/>
              </w:rPr>
              <w:t>性别</w:t>
            </w:r>
          </w:p>
        </w:tc>
        <w:tc>
          <w:tcPr>
            <w:tcW w:w="2967" w:type="dxa"/>
            <w:vAlign w:val="center"/>
          </w:tcPr>
          <w:p>
            <w:pPr>
              <w:jc w:val="center"/>
              <w:rPr>
                <w:rFonts w:ascii="宋体"/>
                <w:sz w:val="24"/>
                <w:szCs w:val="24"/>
                <w:lang w:val="zh-CN"/>
              </w:rPr>
            </w:pPr>
          </w:p>
        </w:tc>
        <w:tc>
          <w:tcPr>
            <w:tcW w:w="3685" w:type="dxa"/>
            <w:vMerge w:val="restart"/>
            <w:tcBorders>
              <w:right w:val="single" w:color="auto" w:sz="12" w:space="0"/>
            </w:tcBorders>
            <w:vAlign w:val="center"/>
          </w:tcPr>
          <w:p>
            <w:pPr>
              <w:jc w:val="center"/>
              <w:rPr>
                <w:rFonts w:ascii="宋体"/>
                <w:sz w:val="24"/>
                <w:szCs w:val="24"/>
              </w:rPr>
            </w:pPr>
            <w:r>
              <w:rPr>
                <w:rFonts w:hint="eastAsia" w:ascii="宋体" w:hAnsi="宋体" w:cs="宋体"/>
                <w:sz w:val="24"/>
                <w:szCs w:val="24"/>
              </w:rPr>
              <w:t>注：业绩证明应提供旁证材料</w:t>
            </w:r>
          </w:p>
          <w:p>
            <w:pPr>
              <w:jc w:val="center"/>
              <w:rPr>
                <w:rFonts w:ascii="宋体"/>
                <w:sz w:val="24"/>
                <w:szCs w:val="24"/>
                <w:lang w:val="zh-CN"/>
              </w:rPr>
            </w:pPr>
            <w:r>
              <w:rPr>
                <w:rFonts w:hint="eastAsia" w:ascii="宋体" w:hAnsi="宋体" w:cs="宋体"/>
                <w:sz w:val="24"/>
                <w:szCs w:val="24"/>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sz w:val="24"/>
                <w:szCs w:val="24"/>
                <w:lang w:val="zh-CN"/>
              </w:rPr>
            </w:pPr>
            <w:r>
              <w:rPr>
                <w:rFonts w:hint="eastAsia" w:ascii="宋体" w:hAnsi="宋体" w:cs="宋体"/>
                <w:b/>
                <w:bCs/>
                <w:sz w:val="24"/>
                <w:szCs w:val="24"/>
                <w:lang w:val="zh-CN"/>
              </w:rPr>
              <w:t>年龄</w:t>
            </w:r>
          </w:p>
        </w:tc>
        <w:tc>
          <w:tcPr>
            <w:tcW w:w="2967" w:type="dxa"/>
            <w:vAlign w:val="center"/>
          </w:tcPr>
          <w:p>
            <w:pPr>
              <w:jc w:val="center"/>
              <w:rPr>
                <w:rFonts w:ascii="宋体"/>
                <w:sz w:val="24"/>
                <w:szCs w:val="24"/>
                <w:lang w:val="zh-CN"/>
              </w:rPr>
            </w:pPr>
          </w:p>
        </w:tc>
        <w:tc>
          <w:tcPr>
            <w:tcW w:w="3685" w:type="dxa"/>
            <w:vMerge w:val="continue"/>
            <w:tcBorders>
              <w:right w:val="single" w:color="auto" w:sz="12" w:space="0"/>
            </w:tcBorders>
            <w:vAlign w:val="center"/>
          </w:tcPr>
          <w:p>
            <w:pPr>
              <w:jc w:val="center"/>
              <w:rPr>
                <w:rFonts w:asci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sz w:val="24"/>
                <w:szCs w:val="24"/>
                <w:lang w:val="zh-CN"/>
              </w:rPr>
            </w:pPr>
            <w:r>
              <w:rPr>
                <w:rFonts w:hint="eastAsia" w:ascii="宋体" w:hAnsi="宋体" w:cs="宋体"/>
                <w:b/>
                <w:bCs/>
                <w:sz w:val="24"/>
                <w:szCs w:val="24"/>
                <w:lang w:val="zh-CN"/>
              </w:rPr>
              <w:t>职称</w:t>
            </w:r>
          </w:p>
        </w:tc>
        <w:tc>
          <w:tcPr>
            <w:tcW w:w="2967" w:type="dxa"/>
            <w:vAlign w:val="center"/>
          </w:tcPr>
          <w:p>
            <w:pPr>
              <w:jc w:val="center"/>
              <w:rPr>
                <w:rFonts w:ascii="宋体"/>
                <w:sz w:val="24"/>
                <w:szCs w:val="24"/>
                <w:lang w:val="zh-CN"/>
              </w:rPr>
            </w:pPr>
          </w:p>
        </w:tc>
        <w:tc>
          <w:tcPr>
            <w:tcW w:w="3685" w:type="dxa"/>
            <w:vMerge w:val="continue"/>
            <w:tcBorders>
              <w:right w:val="single" w:color="auto" w:sz="12" w:space="0"/>
            </w:tcBorders>
            <w:vAlign w:val="center"/>
          </w:tcPr>
          <w:p>
            <w:pPr>
              <w:jc w:val="center"/>
              <w:rPr>
                <w:rFonts w:asci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sz w:val="24"/>
                <w:szCs w:val="24"/>
                <w:lang w:val="zh-CN"/>
              </w:rPr>
            </w:pPr>
            <w:r>
              <w:rPr>
                <w:rFonts w:hint="eastAsia" w:ascii="宋体" w:hAnsi="宋体" w:cs="宋体"/>
                <w:b/>
                <w:bCs/>
                <w:sz w:val="24"/>
                <w:szCs w:val="24"/>
                <w:lang w:val="zh-CN"/>
              </w:rPr>
              <w:t>毕业时间</w:t>
            </w:r>
          </w:p>
        </w:tc>
        <w:tc>
          <w:tcPr>
            <w:tcW w:w="2967" w:type="dxa"/>
            <w:vAlign w:val="center"/>
          </w:tcPr>
          <w:p>
            <w:pPr>
              <w:jc w:val="center"/>
              <w:rPr>
                <w:rFonts w:ascii="宋体"/>
                <w:sz w:val="24"/>
                <w:szCs w:val="24"/>
                <w:lang w:val="zh-CN"/>
              </w:rPr>
            </w:pPr>
          </w:p>
        </w:tc>
        <w:tc>
          <w:tcPr>
            <w:tcW w:w="3685" w:type="dxa"/>
            <w:vMerge w:val="continue"/>
            <w:tcBorders>
              <w:right w:val="single" w:color="auto" w:sz="12" w:space="0"/>
            </w:tcBorders>
            <w:vAlign w:val="center"/>
          </w:tcPr>
          <w:p>
            <w:pPr>
              <w:jc w:val="center"/>
              <w:rPr>
                <w:rFonts w:asci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sz w:val="24"/>
                <w:szCs w:val="24"/>
                <w:lang w:val="zh-CN"/>
              </w:rPr>
            </w:pPr>
            <w:r>
              <w:rPr>
                <w:rFonts w:hint="eastAsia" w:ascii="宋体" w:hAnsi="宋体" w:cs="宋体"/>
                <w:b/>
                <w:bCs/>
                <w:sz w:val="24"/>
                <w:szCs w:val="24"/>
                <w:lang w:val="zh-CN"/>
              </w:rPr>
              <w:t>学校专业</w:t>
            </w:r>
          </w:p>
        </w:tc>
        <w:tc>
          <w:tcPr>
            <w:tcW w:w="2967" w:type="dxa"/>
            <w:vAlign w:val="center"/>
          </w:tcPr>
          <w:p>
            <w:pPr>
              <w:jc w:val="center"/>
              <w:rPr>
                <w:rFonts w:ascii="宋体"/>
                <w:sz w:val="24"/>
                <w:szCs w:val="24"/>
                <w:lang w:val="zh-CN"/>
              </w:rPr>
            </w:pPr>
          </w:p>
        </w:tc>
        <w:tc>
          <w:tcPr>
            <w:tcW w:w="3685" w:type="dxa"/>
            <w:vMerge w:val="continue"/>
            <w:tcBorders>
              <w:right w:val="single" w:color="auto" w:sz="12" w:space="0"/>
            </w:tcBorders>
            <w:vAlign w:val="center"/>
          </w:tcPr>
          <w:p>
            <w:pPr>
              <w:jc w:val="center"/>
              <w:rPr>
                <w:rFonts w:asci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sz w:val="24"/>
                <w:szCs w:val="24"/>
                <w:lang w:val="zh-CN"/>
              </w:rPr>
            </w:pPr>
            <w:r>
              <w:rPr>
                <w:rFonts w:hint="eastAsia" w:ascii="宋体" w:hAnsi="宋体" w:cs="宋体"/>
                <w:b/>
                <w:bCs/>
                <w:sz w:val="24"/>
                <w:szCs w:val="24"/>
                <w:lang w:val="zh-CN"/>
              </w:rPr>
              <w:t>联系电话</w:t>
            </w:r>
          </w:p>
        </w:tc>
        <w:tc>
          <w:tcPr>
            <w:tcW w:w="2967" w:type="dxa"/>
            <w:vAlign w:val="center"/>
          </w:tcPr>
          <w:p>
            <w:pPr>
              <w:jc w:val="center"/>
              <w:rPr>
                <w:rFonts w:ascii="宋体"/>
                <w:sz w:val="24"/>
                <w:szCs w:val="24"/>
                <w:lang w:val="zh-CN"/>
              </w:rPr>
            </w:pPr>
          </w:p>
        </w:tc>
        <w:tc>
          <w:tcPr>
            <w:tcW w:w="3685" w:type="dxa"/>
            <w:vMerge w:val="continue"/>
            <w:tcBorders>
              <w:right w:val="single" w:color="auto" w:sz="12" w:space="0"/>
            </w:tcBorders>
            <w:vAlign w:val="center"/>
          </w:tcPr>
          <w:p>
            <w:pPr>
              <w:jc w:val="center"/>
              <w:rPr>
                <w:rFonts w:asci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sz w:val="24"/>
                <w:szCs w:val="24"/>
                <w:lang w:val="zh-CN"/>
              </w:rPr>
            </w:pPr>
            <w:r>
              <w:rPr>
                <w:rFonts w:hint="eastAsia" w:ascii="宋体" w:hAnsi="宋体" w:cs="宋体"/>
                <w:b/>
                <w:bCs/>
                <w:sz w:val="24"/>
                <w:szCs w:val="24"/>
              </w:rPr>
              <w:t>最近一年工作状况</w:t>
            </w:r>
          </w:p>
        </w:tc>
        <w:tc>
          <w:tcPr>
            <w:tcW w:w="2967" w:type="dxa"/>
            <w:vAlign w:val="center"/>
          </w:tcPr>
          <w:p>
            <w:pPr>
              <w:jc w:val="center"/>
              <w:rPr>
                <w:rFonts w:ascii="宋体"/>
                <w:sz w:val="24"/>
                <w:szCs w:val="24"/>
                <w:lang w:val="zh-CN"/>
              </w:rPr>
            </w:pPr>
          </w:p>
        </w:tc>
        <w:tc>
          <w:tcPr>
            <w:tcW w:w="3685" w:type="dxa"/>
            <w:vMerge w:val="continue"/>
            <w:tcBorders>
              <w:right w:val="single" w:color="auto" w:sz="12" w:space="0"/>
            </w:tcBorders>
            <w:vAlign w:val="center"/>
          </w:tcPr>
          <w:p>
            <w:pPr>
              <w:jc w:val="center"/>
              <w:rPr>
                <w:rFonts w:asci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pPr>
              <w:jc w:val="center"/>
              <w:rPr>
                <w:rFonts w:ascii="宋体"/>
                <w:b/>
                <w:bCs/>
                <w:sz w:val="24"/>
                <w:szCs w:val="24"/>
                <w:lang w:val="zh-CN"/>
              </w:rPr>
            </w:pPr>
            <w:r>
              <w:rPr>
                <w:rFonts w:hint="eastAsia" w:ascii="宋体" w:hAnsi="宋体" w:cs="宋体"/>
                <w:b/>
                <w:bCs/>
                <w:sz w:val="24"/>
                <w:szCs w:val="24"/>
                <w:lang w:val="zh-CN"/>
              </w:rPr>
              <w:t>拟在本项目中担任主要工作</w:t>
            </w:r>
          </w:p>
        </w:tc>
        <w:tc>
          <w:tcPr>
            <w:tcW w:w="6652" w:type="dxa"/>
            <w:gridSpan w:val="2"/>
            <w:tcBorders>
              <w:bottom w:val="single" w:color="auto" w:sz="12" w:space="0"/>
              <w:right w:val="single" w:color="auto" w:sz="12" w:space="0"/>
            </w:tcBorders>
            <w:vAlign w:val="center"/>
          </w:tcPr>
          <w:p>
            <w:pPr>
              <w:jc w:val="center"/>
              <w:rPr>
                <w:rFonts w:ascii="宋体"/>
                <w:sz w:val="24"/>
                <w:szCs w:val="24"/>
                <w:lang w:val="zh-CN"/>
              </w:rPr>
            </w:pPr>
          </w:p>
        </w:tc>
      </w:tr>
    </w:tbl>
    <w:p>
      <w:pPr>
        <w:spacing w:line="360" w:lineRule="auto"/>
        <w:rPr>
          <w:rFonts w:ascii="宋体"/>
          <w:sz w:val="24"/>
          <w:szCs w:val="24"/>
        </w:rPr>
      </w:pPr>
    </w:p>
    <w:p>
      <w:pPr>
        <w:spacing w:line="480" w:lineRule="auto"/>
        <w:rPr>
          <w:rFonts w:ascii="宋体"/>
          <w:sz w:val="24"/>
          <w:szCs w:val="24"/>
        </w:rPr>
      </w:pPr>
      <w:r>
        <w:rPr>
          <w:rFonts w:hint="eastAsia" w:ascii="宋体" w:hAnsi="宋体" w:cs="宋体"/>
          <w:sz w:val="24"/>
          <w:szCs w:val="24"/>
        </w:rPr>
        <w:t>投标人名称（盖章）：</w:t>
      </w:r>
    </w:p>
    <w:p>
      <w:pPr>
        <w:spacing w:line="480" w:lineRule="auto"/>
        <w:rPr>
          <w:rFonts w:ascii="宋体"/>
          <w:sz w:val="24"/>
          <w:szCs w:val="24"/>
        </w:rPr>
      </w:pPr>
      <w:r>
        <w:rPr>
          <w:rFonts w:hint="eastAsia" w:ascii="宋体" w:hAnsi="宋体" w:cs="宋体"/>
          <w:sz w:val="24"/>
          <w:szCs w:val="24"/>
        </w:rPr>
        <w:t>授权委托代理人签字或盖章：</w:t>
      </w:r>
    </w:p>
    <w:p>
      <w:pPr>
        <w:spacing w:line="480" w:lineRule="auto"/>
        <w:rPr>
          <w:rFonts w:ascii="宋体"/>
          <w:sz w:val="24"/>
          <w:szCs w:val="24"/>
        </w:rPr>
      </w:pPr>
      <w:r>
        <w:rPr>
          <w:rFonts w:hint="eastAsia" w:ascii="宋体" w:hAnsi="宋体" w:cs="宋体"/>
          <w:sz w:val="24"/>
          <w:szCs w:val="24"/>
        </w:rPr>
        <w:t>日期：</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pStyle w:val="2"/>
      </w:pPr>
    </w:p>
    <w:p>
      <w:pPr>
        <w:spacing w:line="360" w:lineRule="auto"/>
        <w:jc w:val="left"/>
        <w:rPr>
          <w:rFonts w:ascii="宋体"/>
          <w:b/>
          <w:bCs/>
          <w:sz w:val="28"/>
          <w:szCs w:val="28"/>
        </w:rPr>
      </w:pPr>
      <w:r>
        <w:rPr>
          <w:rFonts w:hint="eastAsia" w:ascii="宋体" w:hAnsi="宋体" w:cs="宋体"/>
          <w:b/>
          <w:bCs/>
          <w:sz w:val="28"/>
          <w:szCs w:val="28"/>
          <w:lang w:val="zh-CN"/>
        </w:rPr>
        <w:t>附件</w:t>
      </w:r>
      <w:r>
        <w:rPr>
          <w:rFonts w:ascii="宋体" w:hAnsi="宋体" w:cs="宋体"/>
          <w:b/>
          <w:bCs/>
          <w:sz w:val="28"/>
          <w:szCs w:val="28"/>
        </w:rPr>
        <w:t>8</w:t>
      </w:r>
    </w:p>
    <w:p>
      <w:pPr>
        <w:spacing w:line="360" w:lineRule="auto"/>
        <w:jc w:val="center"/>
        <w:rPr>
          <w:rFonts w:ascii="宋体" w:hAnsi="宋体" w:cs="宋体"/>
          <w:b/>
          <w:bCs/>
          <w:sz w:val="32"/>
          <w:szCs w:val="32"/>
          <w:lang w:val="zh-CN"/>
        </w:rPr>
      </w:pPr>
      <w:r>
        <w:rPr>
          <w:rFonts w:hint="eastAsia" w:ascii="宋体" w:hAnsi="宋体" w:cs="宋体"/>
          <w:b/>
          <w:bCs/>
          <w:sz w:val="32"/>
          <w:szCs w:val="32"/>
          <w:lang w:val="zh-CN"/>
        </w:rPr>
        <w:t>产品清单</w:t>
      </w:r>
    </w:p>
    <w:p>
      <w:pPr>
        <w:spacing w:line="360" w:lineRule="auto"/>
        <w:rPr>
          <w:rFonts w:ascii="宋体"/>
          <w:sz w:val="24"/>
          <w:szCs w:val="24"/>
        </w:rPr>
      </w:pPr>
      <w:r>
        <w:rPr>
          <w:rFonts w:hint="eastAsia" w:ascii="宋体" w:hAnsi="宋体" w:cs="宋体"/>
          <w:sz w:val="24"/>
          <w:szCs w:val="24"/>
        </w:rPr>
        <w:t>采购项目：</w:t>
      </w:r>
    </w:p>
    <w:p>
      <w:pPr>
        <w:spacing w:line="360" w:lineRule="auto"/>
        <w:rPr>
          <w:rFonts w:ascii="宋体"/>
          <w:sz w:val="24"/>
          <w:szCs w:val="24"/>
        </w:rPr>
      </w:pPr>
      <w:r>
        <w:rPr>
          <w:rFonts w:hint="eastAsia" w:ascii="宋体" w:hAnsi="宋体" w:cs="宋体"/>
          <w:sz w:val="24"/>
          <w:szCs w:val="24"/>
        </w:rPr>
        <w:t>项目编号：</w:t>
      </w:r>
    </w:p>
    <w:tbl>
      <w:tblPr>
        <w:tblStyle w:val="27"/>
        <w:tblW w:w="8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108"/>
        <w:gridCol w:w="1577"/>
        <w:gridCol w:w="118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64" w:type="dxa"/>
            <w:vAlign w:val="center"/>
          </w:tcPr>
          <w:p>
            <w:pPr>
              <w:jc w:val="center"/>
              <w:rPr>
                <w:rFonts w:ascii="宋体"/>
                <w:b/>
                <w:bCs/>
                <w:sz w:val="24"/>
                <w:szCs w:val="24"/>
              </w:rPr>
            </w:pPr>
            <w:r>
              <w:rPr>
                <w:rFonts w:hint="eastAsia" w:ascii="宋体" w:hAnsi="宋体" w:cs="宋体"/>
                <w:b/>
                <w:bCs/>
                <w:sz w:val="24"/>
                <w:szCs w:val="24"/>
              </w:rPr>
              <w:t>序号</w:t>
            </w:r>
          </w:p>
        </w:tc>
        <w:tc>
          <w:tcPr>
            <w:tcW w:w="3108" w:type="dxa"/>
            <w:vAlign w:val="center"/>
          </w:tcPr>
          <w:p>
            <w:pPr>
              <w:jc w:val="center"/>
              <w:rPr>
                <w:rFonts w:ascii="宋体"/>
                <w:b/>
                <w:bCs/>
                <w:sz w:val="24"/>
                <w:szCs w:val="24"/>
              </w:rPr>
            </w:pPr>
            <w:r>
              <w:rPr>
                <w:rFonts w:hint="eastAsia" w:ascii="宋体" w:hAnsi="宋体" w:cs="宋体"/>
                <w:b/>
                <w:bCs/>
                <w:sz w:val="24"/>
                <w:szCs w:val="24"/>
              </w:rPr>
              <w:t>名称</w:t>
            </w:r>
          </w:p>
        </w:tc>
        <w:tc>
          <w:tcPr>
            <w:tcW w:w="1577" w:type="dxa"/>
            <w:vAlign w:val="center"/>
          </w:tcPr>
          <w:p>
            <w:pPr>
              <w:jc w:val="center"/>
              <w:rPr>
                <w:rFonts w:ascii="宋体"/>
                <w:b/>
                <w:bCs/>
                <w:sz w:val="24"/>
                <w:szCs w:val="24"/>
              </w:rPr>
            </w:pPr>
            <w:r>
              <w:rPr>
                <w:rFonts w:hint="eastAsia" w:ascii="宋体" w:hAnsi="宋体" w:cs="宋体"/>
                <w:b/>
                <w:bCs/>
                <w:sz w:val="24"/>
                <w:szCs w:val="24"/>
              </w:rPr>
              <w:t>品牌</w:t>
            </w:r>
          </w:p>
        </w:tc>
        <w:tc>
          <w:tcPr>
            <w:tcW w:w="1183" w:type="dxa"/>
            <w:vAlign w:val="center"/>
          </w:tcPr>
          <w:p>
            <w:pPr>
              <w:jc w:val="center"/>
              <w:rPr>
                <w:rFonts w:ascii="宋体"/>
                <w:b/>
                <w:bCs/>
                <w:sz w:val="24"/>
                <w:szCs w:val="24"/>
              </w:rPr>
            </w:pPr>
            <w:r>
              <w:rPr>
                <w:rFonts w:hint="eastAsia" w:ascii="宋体" w:hAnsi="宋体" w:cs="宋体"/>
                <w:b/>
                <w:bCs/>
                <w:sz w:val="24"/>
                <w:szCs w:val="24"/>
              </w:rPr>
              <w:t>数量</w:t>
            </w:r>
          </w:p>
        </w:tc>
        <w:tc>
          <w:tcPr>
            <w:tcW w:w="1369" w:type="dxa"/>
            <w:vAlign w:val="center"/>
          </w:tcPr>
          <w:p>
            <w:pPr>
              <w:jc w:val="center"/>
              <w:rPr>
                <w:rFonts w:ascii="宋体"/>
                <w:b/>
                <w:bCs/>
                <w:sz w:val="24"/>
                <w:szCs w:val="24"/>
              </w:rPr>
            </w:pPr>
            <w:r>
              <w:rPr>
                <w:rFonts w:hint="eastAsia" w:asci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64" w:type="dxa"/>
            <w:vAlign w:val="center"/>
          </w:tcPr>
          <w:p>
            <w:pPr>
              <w:jc w:val="center"/>
              <w:rPr>
                <w:rFonts w:ascii="宋体"/>
                <w:sz w:val="24"/>
                <w:szCs w:val="24"/>
              </w:rPr>
            </w:pPr>
          </w:p>
        </w:tc>
        <w:tc>
          <w:tcPr>
            <w:tcW w:w="3108" w:type="dxa"/>
            <w:vAlign w:val="center"/>
          </w:tcPr>
          <w:p>
            <w:pPr>
              <w:jc w:val="center"/>
              <w:rPr>
                <w:rFonts w:ascii="宋体"/>
                <w:sz w:val="24"/>
                <w:szCs w:val="24"/>
              </w:rPr>
            </w:pPr>
          </w:p>
        </w:tc>
        <w:tc>
          <w:tcPr>
            <w:tcW w:w="1577" w:type="dxa"/>
            <w:vAlign w:val="center"/>
          </w:tcPr>
          <w:p>
            <w:pPr>
              <w:jc w:val="center"/>
              <w:rPr>
                <w:rFonts w:ascii="宋体"/>
                <w:sz w:val="24"/>
                <w:szCs w:val="24"/>
              </w:rPr>
            </w:pPr>
          </w:p>
        </w:tc>
        <w:tc>
          <w:tcPr>
            <w:tcW w:w="1183" w:type="dxa"/>
            <w:vAlign w:val="center"/>
          </w:tcPr>
          <w:p>
            <w:pPr>
              <w:jc w:val="center"/>
              <w:rPr>
                <w:rFonts w:ascii="宋体"/>
                <w:sz w:val="24"/>
                <w:szCs w:val="24"/>
              </w:rPr>
            </w:pPr>
          </w:p>
        </w:tc>
        <w:tc>
          <w:tcPr>
            <w:tcW w:w="1369"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64" w:type="dxa"/>
            <w:vAlign w:val="center"/>
          </w:tcPr>
          <w:p>
            <w:pPr>
              <w:jc w:val="center"/>
              <w:rPr>
                <w:rFonts w:ascii="宋体"/>
                <w:sz w:val="24"/>
                <w:szCs w:val="24"/>
              </w:rPr>
            </w:pPr>
          </w:p>
        </w:tc>
        <w:tc>
          <w:tcPr>
            <w:tcW w:w="3108" w:type="dxa"/>
            <w:vAlign w:val="center"/>
          </w:tcPr>
          <w:p>
            <w:pPr>
              <w:jc w:val="center"/>
              <w:rPr>
                <w:rFonts w:ascii="宋体"/>
                <w:sz w:val="24"/>
                <w:szCs w:val="24"/>
              </w:rPr>
            </w:pPr>
          </w:p>
        </w:tc>
        <w:tc>
          <w:tcPr>
            <w:tcW w:w="1577" w:type="dxa"/>
            <w:vAlign w:val="center"/>
          </w:tcPr>
          <w:p>
            <w:pPr>
              <w:jc w:val="center"/>
              <w:rPr>
                <w:rFonts w:ascii="宋体"/>
                <w:sz w:val="24"/>
                <w:szCs w:val="24"/>
              </w:rPr>
            </w:pPr>
          </w:p>
        </w:tc>
        <w:tc>
          <w:tcPr>
            <w:tcW w:w="1183" w:type="dxa"/>
            <w:vAlign w:val="center"/>
          </w:tcPr>
          <w:p>
            <w:pPr>
              <w:jc w:val="center"/>
              <w:rPr>
                <w:rFonts w:ascii="宋体"/>
                <w:sz w:val="24"/>
                <w:szCs w:val="24"/>
              </w:rPr>
            </w:pPr>
          </w:p>
        </w:tc>
        <w:tc>
          <w:tcPr>
            <w:tcW w:w="1369"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64" w:type="dxa"/>
            <w:vAlign w:val="center"/>
          </w:tcPr>
          <w:p>
            <w:pPr>
              <w:jc w:val="center"/>
              <w:rPr>
                <w:rFonts w:ascii="宋体"/>
                <w:sz w:val="24"/>
                <w:szCs w:val="24"/>
              </w:rPr>
            </w:pPr>
          </w:p>
        </w:tc>
        <w:tc>
          <w:tcPr>
            <w:tcW w:w="3108" w:type="dxa"/>
            <w:vAlign w:val="center"/>
          </w:tcPr>
          <w:p>
            <w:pPr>
              <w:jc w:val="center"/>
              <w:rPr>
                <w:rFonts w:ascii="宋体"/>
                <w:sz w:val="24"/>
                <w:szCs w:val="24"/>
              </w:rPr>
            </w:pPr>
          </w:p>
        </w:tc>
        <w:tc>
          <w:tcPr>
            <w:tcW w:w="1577" w:type="dxa"/>
            <w:vAlign w:val="center"/>
          </w:tcPr>
          <w:p>
            <w:pPr>
              <w:jc w:val="center"/>
              <w:rPr>
                <w:rFonts w:ascii="宋体"/>
                <w:sz w:val="24"/>
                <w:szCs w:val="24"/>
              </w:rPr>
            </w:pPr>
          </w:p>
        </w:tc>
        <w:tc>
          <w:tcPr>
            <w:tcW w:w="1183" w:type="dxa"/>
            <w:vAlign w:val="center"/>
          </w:tcPr>
          <w:p>
            <w:pPr>
              <w:jc w:val="center"/>
              <w:rPr>
                <w:rFonts w:ascii="宋体"/>
                <w:sz w:val="24"/>
                <w:szCs w:val="24"/>
              </w:rPr>
            </w:pPr>
          </w:p>
        </w:tc>
        <w:tc>
          <w:tcPr>
            <w:tcW w:w="1369"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64" w:type="dxa"/>
            <w:vAlign w:val="center"/>
          </w:tcPr>
          <w:p>
            <w:pPr>
              <w:jc w:val="center"/>
              <w:rPr>
                <w:rFonts w:ascii="宋体"/>
                <w:sz w:val="24"/>
                <w:szCs w:val="24"/>
              </w:rPr>
            </w:pPr>
          </w:p>
        </w:tc>
        <w:tc>
          <w:tcPr>
            <w:tcW w:w="3108" w:type="dxa"/>
            <w:vAlign w:val="center"/>
          </w:tcPr>
          <w:p>
            <w:pPr>
              <w:jc w:val="center"/>
              <w:rPr>
                <w:rFonts w:ascii="宋体"/>
                <w:sz w:val="24"/>
                <w:szCs w:val="24"/>
              </w:rPr>
            </w:pPr>
          </w:p>
        </w:tc>
        <w:tc>
          <w:tcPr>
            <w:tcW w:w="1577" w:type="dxa"/>
            <w:vAlign w:val="center"/>
          </w:tcPr>
          <w:p>
            <w:pPr>
              <w:jc w:val="center"/>
              <w:rPr>
                <w:rFonts w:ascii="宋体"/>
                <w:sz w:val="24"/>
                <w:szCs w:val="24"/>
              </w:rPr>
            </w:pPr>
          </w:p>
        </w:tc>
        <w:tc>
          <w:tcPr>
            <w:tcW w:w="1183" w:type="dxa"/>
            <w:vAlign w:val="center"/>
          </w:tcPr>
          <w:p>
            <w:pPr>
              <w:jc w:val="center"/>
              <w:rPr>
                <w:rFonts w:ascii="宋体"/>
                <w:sz w:val="24"/>
                <w:szCs w:val="24"/>
              </w:rPr>
            </w:pPr>
          </w:p>
        </w:tc>
        <w:tc>
          <w:tcPr>
            <w:tcW w:w="1369"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64" w:type="dxa"/>
            <w:vAlign w:val="center"/>
          </w:tcPr>
          <w:p>
            <w:pPr>
              <w:jc w:val="center"/>
              <w:rPr>
                <w:rFonts w:ascii="宋体"/>
                <w:sz w:val="24"/>
                <w:szCs w:val="24"/>
              </w:rPr>
            </w:pPr>
          </w:p>
        </w:tc>
        <w:tc>
          <w:tcPr>
            <w:tcW w:w="3108" w:type="dxa"/>
            <w:vAlign w:val="center"/>
          </w:tcPr>
          <w:p>
            <w:pPr>
              <w:jc w:val="center"/>
              <w:rPr>
                <w:rFonts w:ascii="宋体"/>
                <w:sz w:val="24"/>
                <w:szCs w:val="24"/>
              </w:rPr>
            </w:pPr>
          </w:p>
        </w:tc>
        <w:tc>
          <w:tcPr>
            <w:tcW w:w="1577" w:type="dxa"/>
            <w:vAlign w:val="center"/>
          </w:tcPr>
          <w:p>
            <w:pPr>
              <w:jc w:val="center"/>
              <w:rPr>
                <w:rFonts w:ascii="宋体"/>
                <w:sz w:val="24"/>
                <w:szCs w:val="24"/>
              </w:rPr>
            </w:pPr>
          </w:p>
        </w:tc>
        <w:tc>
          <w:tcPr>
            <w:tcW w:w="1183" w:type="dxa"/>
            <w:vAlign w:val="center"/>
          </w:tcPr>
          <w:p>
            <w:pPr>
              <w:jc w:val="center"/>
              <w:rPr>
                <w:rFonts w:ascii="宋体"/>
                <w:sz w:val="24"/>
                <w:szCs w:val="24"/>
              </w:rPr>
            </w:pPr>
          </w:p>
        </w:tc>
        <w:tc>
          <w:tcPr>
            <w:tcW w:w="1369"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64" w:type="dxa"/>
            <w:vAlign w:val="center"/>
          </w:tcPr>
          <w:p>
            <w:pPr>
              <w:jc w:val="center"/>
              <w:rPr>
                <w:rFonts w:ascii="宋体"/>
                <w:sz w:val="24"/>
                <w:szCs w:val="24"/>
              </w:rPr>
            </w:pPr>
          </w:p>
        </w:tc>
        <w:tc>
          <w:tcPr>
            <w:tcW w:w="3108" w:type="dxa"/>
            <w:vAlign w:val="center"/>
          </w:tcPr>
          <w:p>
            <w:pPr>
              <w:jc w:val="center"/>
              <w:rPr>
                <w:rFonts w:ascii="宋体"/>
                <w:sz w:val="24"/>
                <w:szCs w:val="24"/>
              </w:rPr>
            </w:pPr>
          </w:p>
        </w:tc>
        <w:tc>
          <w:tcPr>
            <w:tcW w:w="1577" w:type="dxa"/>
            <w:vAlign w:val="center"/>
          </w:tcPr>
          <w:p>
            <w:pPr>
              <w:jc w:val="center"/>
              <w:rPr>
                <w:rFonts w:ascii="宋体"/>
                <w:sz w:val="24"/>
                <w:szCs w:val="24"/>
              </w:rPr>
            </w:pPr>
          </w:p>
        </w:tc>
        <w:tc>
          <w:tcPr>
            <w:tcW w:w="1183" w:type="dxa"/>
            <w:vAlign w:val="center"/>
          </w:tcPr>
          <w:p>
            <w:pPr>
              <w:jc w:val="center"/>
              <w:rPr>
                <w:rFonts w:ascii="宋体"/>
                <w:sz w:val="24"/>
                <w:szCs w:val="24"/>
              </w:rPr>
            </w:pPr>
          </w:p>
        </w:tc>
        <w:tc>
          <w:tcPr>
            <w:tcW w:w="1369"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64" w:type="dxa"/>
            <w:vAlign w:val="center"/>
          </w:tcPr>
          <w:p>
            <w:pPr>
              <w:jc w:val="center"/>
              <w:rPr>
                <w:rFonts w:ascii="宋体"/>
                <w:sz w:val="24"/>
                <w:szCs w:val="24"/>
              </w:rPr>
            </w:pPr>
          </w:p>
        </w:tc>
        <w:tc>
          <w:tcPr>
            <w:tcW w:w="3108" w:type="dxa"/>
            <w:vAlign w:val="center"/>
          </w:tcPr>
          <w:p>
            <w:pPr>
              <w:jc w:val="center"/>
              <w:rPr>
                <w:rFonts w:ascii="宋体"/>
                <w:sz w:val="24"/>
                <w:szCs w:val="24"/>
              </w:rPr>
            </w:pPr>
          </w:p>
        </w:tc>
        <w:tc>
          <w:tcPr>
            <w:tcW w:w="1577" w:type="dxa"/>
            <w:vAlign w:val="center"/>
          </w:tcPr>
          <w:p>
            <w:pPr>
              <w:jc w:val="center"/>
              <w:rPr>
                <w:rFonts w:ascii="宋体"/>
                <w:sz w:val="24"/>
                <w:szCs w:val="24"/>
              </w:rPr>
            </w:pPr>
          </w:p>
        </w:tc>
        <w:tc>
          <w:tcPr>
            <w:tcW w:w="1183" w:type="dxa"/>
            <w:vAlign w:val="center"/>
          </w:tcPr>
          <w:p>
            <w:pPr>
              <w:jc w:val="center"/>
              <w:rPr>
                <w:rFonts w:ascii="宋体"/>
                <w:sz w:val="24"/>
                <w:szCs w:val="24"/>
              </w:rPr>
            </w:pPr>
          </w:p>
        </w:tc>
        <w:tc>
          <w:tcPr>
            <w:tcW w:w="1369" w:type="dxa"/>
            <w:vAlign w:val="center"/>
          </w:tcPr>
          <w:p>
            <w:pPr>
              <w:jc w:val="center"/>
              <w:rPr>
                <w:rFonts w:ascii="宋体"/>
                <w:sz w:val="24"/>
                <w:szCs w:val="24"/>
              </w:rPr>
            </w:pPr>
          </w:p>
        </w:tc>
      </w:tr>
    </w:tbl>
    <w:p>
      <w:pPr>
        <w:spacing w:line="360" w:lineRule="auto"/>
        <w:rPr>
          <w:rFonts w:ascii="宋体"/>
          <w:sz w:val="24"/>
          <w:szCs w:val="24"/>
        </w:rPr>
      </w:pPr>
    </w:p>
    <w:p>
      <w:pPr>
        <w:spacing w:line="360" w:lineRule="auto"/>
        <w:rPr>
          <w:rFonts w:ascii="宋体"/>
          <w:b/>
          <w:bCs/>
          <w:sz w:val="24"/>
        </w:rPr>
      </w:pPr>
      <w:r>
        <w:rPr>
          <w:rFonts w:hint="eastAsia" w:ascii="宋体" w:hAnsi="宋体"/>
          <w:b/>
          <w:bCs/>
          <w:sz w:val="24"/>
        </w:rPr>
        <w:t>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本表中的名称、数量应与报价明细表中相对应的报价名称、数量一致。</w:t>
      </w:r>
    </w:p>
    <w:p>
      <w:pPr>
        <w:spacing w:line="360" w:lineRule="auto"/>
        <w:rPr>
          <w:rFonts w:ascii="宋体"/>
          <w:sz w:val="24"/>
          <w:szCs w:val="24"/>
        </w:rPr>
      </w:pPr>
    </w:p>
    <w:p>
      <w:pPr>
        <w:spacing w:line="480" w:lineRule="auto"/>
        <w:rPr>
          <w:rFonts w:ascii="宋体"/>
          <w:sz w:val="24"/>
          <w:szCs w:val="24"/>
        </w:rPr>
      </w:pPr>
      <w:r>
        <w:rPr>
          <w:rFonts w:hint="eastAsia" w:ascii="宋体" w:hAnsi="宋体" w:cs="宋体"/>
          <w:sz w:val="24"/>
          <w:szCs w:val="24"/>
        </w:rPr>
        <w:t>投标人名称（盖章）：</w:t>
      </w:r>
    </w:p>
    <w:p>
      <w:pPr>
        <w:spacing w:line="480" w:lineRule="auto"/>
        <w:rPr>
          <w:rFonts w:ascii="宋体"/>
          <w:sz w:val="24"/>
          <w:szCs w:val="24"/>
        </w:rPr>
      </w:pPr>
      <w:r>
        <w:rPr>
          <w:rFonts w:hint="eastAsia" w:ascii="宋体" w:hAnsi="宋体" w:cs="宋体"/>
          <w:sz w:val="24"/>
          <w:szCs w:val="24"/>
        </w:rPr>
        <w:t>授权委托代理人签字或盖章：</w:t>
      </w:r>
    </w:p>
    <w:p>
      <w:pPr>
        <w:spacing w:line="480" w:lineRule="auto"/>
        <w:rPr>
          <w:rFonts w:ascii="宋体"/>
          <w:sz w:val="24"/>
          <w:szCs w:val="24"/>
        </w:rPr>
      </w:pPr>
      <w:r>
        <w:rPr>
          <w:rFonts w:hint="eastAsia" w:ascii="宋体" w:hAnsi="宋体" w:cs="宋体"/>
          <w:sz w:val="24"/>
          <w:szCs w:val="24"/>
        </w:rPr>
        <w:t>日期：</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pStyle w:val="12"/>
        <w:rPr>
          <w:rFonts w:ascii="宋体"/>
        </w:rPr>
      </w:pPr>
    </w:p>
    <w:p>
      <w:pPr>
        <w:pStyle w:val="12"/>
        <w:rPr>
          <w:rFonts w:ascii="宋体"/>
        </w:rPr>
      </w:pPr>
    </w:p>
    <w:p>
      <w:pPr>
        <w:spacing w:line="360" w:lineRule="auto"/>
        <w:rPr>
          <w:rFonts w:ascii="宋体"/>
          <w:sz w:val="24"/>
          <w:szCs w:val="24"/>
        </w:rPr>
      </w:pPr>
    </w:p>
    <w:p>
      <w:pPr>
        <w:spacing w:line="360" w:lineRule="auto"/>
        <w:rPr>
          <w:rFonts w:ascii="宋体"/>
          <w:sz w:val="24"/>
          <w:szCs w:val="24"/>
        </w:rPr>
      </w:pPr>
    </w:p>
    <w:p>
      <w:pPr>
        <w:spacing w:line="360" w:lineRule="auto"/>
        <w:jc w:val="left"/>
        <w:rPr>
          <w:rFonts w:ascii="宋体" w:cs="宋体"/>
          <w:b/>
          <w:bCs/>
          <w:sz w:val="28"/>
          <w:szCs w:val="36"/>
        </w:rPr>
      </w:pPr>
      <w:r>
        <w:rPr>
          <w:rFonts w:hint="eastAsia" w:ascii="宋体" w:hAnsi="宋体" w:cs="宋体"/>
          <w:b/>
          <w:bCs/>
          <w:sz w:val="28"/>
          <w:szCs w:val="36"/>
          <w:lang w:val="zh-CN"/>
        </w:rPr>
        <w:t>附件</w:t>
      </w:r>
      <w:r>
        <w:rPr>
          <w:rFonts w:ascii="宋体" w:hAnsi="宋体" w:cs="宋体"/>
          <w:b/>
          <w:bCs/>
          <w:sz w:val="28"/>
          <w:szCs w:val="36"/>
        </w:rPr>
        <w:t>9</w:t>
      </w:r>
    </w:p>
    <w:p>
      <w:pPr>
        <w:spacing w:line="360" w:lineRule="auto"/>
        <w:jc w:val="center"/>
        <w:rPr>
          <w:rFonts w:ascii="宋体"/>
          <w:b/>
          <w:bCs/>
          <w:sz w:val="32"/>
          <w:szCs w:val="32"/>
        </w:rPr>
      </w:pPr>
      <w:r>
        <w:rPr>
          <w:rFonts w:hint="eastAsia" w:ascii="宋体" w:hAnsi="宋体"/>
          <w:b/>
          <w:bCs/>
          <w:kern w:val="0"/>
          <w:sz w:val="32"/>
          <w:szCs w:val="32"/>
        </w:rPr>
        <w:t>技术需求响应表</w:t>
      </w:r>
    </w:p>
    <w:p>
      <w:pPr>
        <w:spacing w:line="360" w:lineRule="auto"/>
        <w:rPr>
          <w:rFonts w:ascii="宋体"/>
          <w:sz w:val="24"/>
        </w:rPr>
      </w:pPr>
    </w:p>
    <w:tbl>
      <w:tblPr>
        <w:tblStyle w:val="27"/>
        <w:tblW w:w="82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560"/>
        <w:gridCol w:w="1401"/>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sz w:val="24"/>
              </w:rPr>
            </w:pPr>
            <w:r>
              <w:rPr>
                <w:rFonts w:hint="eastAsia" w:ascii="宋体" w:hAnsi="宋体"/>
                <w:b/>
                <w:sz w:val="24"/>
              </w:rPr>
              <w:t>序号</w:t>
            </w:r>
          </w:p>
        </w:tc>
        <w:tc>
          <w:tcPr>
            <w:tcW w:w="1785" w:type="dxa"/>
            <w:vAlign w:val="center"/>
          </w:tcPr>
          <w:p>
            <w:pPr>
              <w:spacing w:line="360" w:lineRule="auto"/>
              <w:ind w:left="13" w:leftChars="6" w:firstLine="482" w:firstLineChars="200"/>
              <w:rPr>
                <w:rFonts w:ascii="宋体"/>
                <w:b/>
                <w:sz w:val="24"/>
              </w:rPr>
            </w:pPr>
            <w:r>
              <w:rPr>
                <w:rFonts w:hint="eastAsia" w:ascii="宋体" w:hAnsi="宋体"/>
                <w:b/>
                <w:sz w:val="24"/>
              </w:rPr>
              <w:t>名称</w:t>
            </w:r>
          </w:p>
        </w:tc>
        <w:tc>
          <w:tcPr>
            <w:tcW w:w="1560" w:type="dxa"/>
            <w:vAlign w:val="center"/>
          </w:tcPr>
          <w:p>
            <w:pPr>
              <w:spacing w:line="360" w:lineRule="auto"/>
              <w:ind w:left="152"/>
              <w:rPr>
                <w:rFonts w:ascii="宋体"/>
                <w:b/>
                <w:sz w:val="24"/>
              </w:rPr>
            </w:pPr>
            <w:r>
              <w:rPr>
                <w:rFonts w:hint="eastAsia" w:ascii="宋体" w:hAnsi="宋体"/>
                <w:b/>
                <w:sz w:val="24"/>
              </w:rPr>
              <w:t>招标参数</w:t>
            </w:r>
          </w:p>
        </w:tc>
        <w:tc>
          <w:tcPr>
            <w:tcW w:w="1401" w:type="dxa"/>
            <w:vAlign w:val="center"/>
          </w:tcPr>
          <w:p>
            <w:pPr>
              <w:spacing w:line="360" w:lineRule="auto"/>
              <w:rPr>
                <w:rFonts w:ascii="宋体"/>
                <w:b/>
                <w:sz w:val="24"/>
              </w:rPr>
            </w:pPr>
            <w:r>
              <w:rPr>
                <w:rFonts w:hint="eastAsia" w:ascii="宋体" w:hAnsi="宋体"/>
                <w:b/>
                <w:sz w:val="24"/>
              </w:rPr>
              <w:t>投标参数</w:t>
            </w:r>
          </w:p>
        </w:tc>
        <w:tc>
          <w:tcPr>
            <w:tcW w:w="1365" w:type="dxa"/>
            <w:vAlign w:val="center"/>
          </w:tcPr>
          <w:p>
            <w:pPr>
              <w:spacing w:line="360" w:lineRule="auto"/>
              <w:rPr>
                <w:rFonts w:ascii="宋体"/>
                <w:b/>
                <w:sz w:val="24"/>
              </w:rPr>
            </w:pPr>
            <w:r>
              <w:rPr>
                <w:rFonts w:hint="eastAsia" w:ascii="宋体" w:hAnsi="宋体"/>
                <w:b/>
                <w:sz w:val="24"/>
              </w:rPr>
              <w:t>偏离说明</w:t>
            </w:r>
          </w:p>
        </w:tc>
        <w:tc>
          <w:tcPr>
            <w:tcW w:w="1365"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bl>
    <w:p>
      <w:pPr>
        <w:spacing w:line="360" w:lineRule="auto"/>
        <w:rPr>
          <w:rFonts w:ascii="宋体"/>
          <w:b/>
          <w:bCs/>
          <w:sz w:val="24"/>
        </w:rPr>
      </w:pPr>
      <w:r>
        <w:rPr>
          <w:rFonts w:hint="eastAsia" w:ascii="宋体" w:hAnsi="宋体"/>
          <w:b/>
          <w:bCs/>
          <w:sz w:val="24"/>
        </w:rPr>
        <w:t>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本表参照本招标文件第四章“公开招标需求”内容填制，投标人应根据投标货物的性能指标、服务指标，对照招标文件要求在“偏离情况”栏注明“正偏离”、“负偏离”或“无偏离”。</w:t>
      </w:r>
    </w:p>
    <w:p>
      <w:pPr>
        <w:spacing w:line="360" w:lineRule="auto"/>
        <w:ind w:firstLine="480" w:firstLineChars="200"/>
        <w:rPr>
          <w:rFonts w:ascii="宋体"/>
          <w:sz w:val="24"/>
        </w:rPr>
      </w:pPr>
      <w:r>
        <w:rPr>
          <w:rFonts w:hint="eastAsia" w:ascii="宋体" w:hAnsi="宋体"/>
          <w:sz w:val="24"/>
        </w:rPr>
        <w:t>2</w:t>
      </w:r>
      <w:r>
        <w:rPr>
          <w:rFonts w:ascii="宋体" w:hAnsi="宋体"/>
          <w:sz w:val="24"/>
        </w:rPr>
        <w:t>.</w:t>
      </w:r>
      <w:r>
        <w:rPr>
          <w:rFonts w:hint="eastAsia" w:ascii="宋体" w:hAnsi="宋体"/>
          <w:sz w:val="24"/>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sz w:val="24"/>
        </w:rPr>
      </w:pPr>
    </w:p>
    <w:p>
      <w:pPr>
        <w:spacing w:line="480" w:lineRule="auto"/>
        <w:rPr>
          <w:rFonts w:ascii="宋体"/>
          <w:sz w:val="24"/>
        </w:rPr>
      </w:pPr>
      <w:r>
        <w:rPr>
          <w:rFonts w:hint="eastAsia" w:ascii="宋体" w:hAnsi="宋体"/>
          <w:sz w:val="24"/>
        </w:rPr>
        <w:t>投标人名称（盖章）：</w:t>
      </w:r>
    </w:p>
    <w:p>
      <w:pPr>
        <w:spacing w:line="480" w:lineRule="auto"/>
        <w:rPr>
          <w:rFonts w:ascii="宋体"/>
          <w:sz w:val="24"/>
        </w:rPr>
      </w:pPr>
      <w:r>
        <w:rPr>
          <w:rFonts w:hint="eastAsia" w:ascii="宋体" w:hAnsi="宋体"/>
          <w:sz w:val="24"/>
        </w:rPr>
        <w:t>授权委托代理人签字或盖章：</w:t>
      </w:r>
    </w:p>
    <w:p>
      <w:pPr>
        <w:spacing w:line="480" w:lineRule="auto"/>
        <w:rPr>
          <w:rFonts w:ascii="宋体"/>
          <w:sz w:val="24"/>
        </w:rPr>
      </w:pPr>
      <w:r>
        <w:rPr>
          <w:rFonts w:hint="eastAsia" w:ascii="宋体" w:hAnsi="宋体"/>
          <w:sz w:val="24"/>
        </w:rPr>
        <w:t>日期：</w:t>
      </w:r>
    </w:p>
    <w:p>
      <w:pPr>
        <w:spacing w:line="360" w:lineRule="auto"/>
        <w:rPr>
          <w:rFonts w:ascii="宋体"/>
          <w:sz w:val="24"/>
        </w:rPr>
      </w:pPr>
    </w:p>
    <w:p>
      <w:pPr>
        <w:pStyle w:val="10"/>
      </w:pPr>
    </w:p>
    <w:p>
      <w:pPr>
        <w:spacing w:line="360" w:lineRule="auto"/>
        <w:rPr>
          <w:rFonts w:ascii="宋体"/>
          <w:sz w:val="24"/>
        </w:rPr>
      </w:pPr>
    </w:p>
    <w:p>
      <w:pPr>
        <w:spacing w:line="360" w:lineRule="auto"/>
        <w:rPr>
          <w:rFonts w:ascii="宋体"/>
          <w:sz w:val="24"/>
        </w:rPr>
      </w:pPr>
    </w:p>
    <w:p>
      <w:pPr>
        <w:spacing w:line="360" w:lineRule="auto"/>
        <w:jc w:val="left"/>
        <w:rPr>
          <w:rFonts w:ascii="宋体"/>
          <w:b/>
          <w:bCs/>
          <w:sz w:val="28"/>
          <w:szCs w:val="28"/>
        </w:rPr>
      </w:pPr>
      <w:r>
        <w:rPr>
          <w:rFonts w:hint="eastAsia" w:ascii="宋体" w:hAnsi="宋体" w:cs="宋体"/>
          <w:b/>
          <w:bCs/>
          <w:sz w:val="28"/>
          <w:szCs w:val="28"/>
          <w:lang w:val="zh-CN"/>
        </w:rPr>
        <w:t>附件</w:t>
      </w:r>
      <w:r>
        <w:rPr>
          <w:rFonts w:ascii="宋体" w:hAnsi="宋体" w:cs="宋体"/>
          <w:b/>
          <w:bCs/>
          <w:sz w:val="28"/>
          <w:szCs w:val="28"/>
        </w:rPr>
        <w:t>10</w:t>
      </w:r>
    </w:p>
    <w:p>
      <w:pPr>
        <w:spacing w:line="360" w:lineRule="auto"/>
        <w:jc w:val="center"/>
        <w:rPr>
          <w:rFonts w:ascii="宋体"/>
          <w:b/>
          <w:bCs/>
          <w:sz w:val="32"/>
          <w:szCs w:val="32"/>
          <w:lang w:val="zh-CN"/>
        </w:rPr>
      </w:pPr>
      <w:r>
        <w:rPr>
          <w:rFonts w:hint="eastAsia" w:ascii="宋体" w:hAnsi="宋体" w:cs="宋体"/>
          <w:b/>
          <w:bCs/>
          <w:sz w:val="32"/>
          <w:szCs w:val="32"/>
          <w:lang w:val="zh-CN"/>
        </w:rPr>
        <w:t>证书一览表</w:t>
      </w:r>
    </w:p>
    <w:p>
      <w:pPr>
        <w:spacing w:line="360" w:lineRule="auto"/>
        <w:rPr>
          <w:rFonts w:ascii="宋体"/>
          <w:sz w:val="24"/>
          <w:szCs w:val="24"/>
        </w:rPr>
      </w:pPr>
    </w:p>
    <w:tbl>
      <w:tblPr>
        <w:tblStyle w:val="27"/>
        <w:tblW w:w="843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7" w:type="dxa"/>
            <w:tcBorders>
              <w:top w:val="double" w:color="auto" w:sz="4" w:space="0"/>
              <w:left w:val="single" w:color="auto" w:sz="4" w:space="0"/>
            </w:tcBorders>
            <w:vAlign w:val="center"/>
          </w:tcPr>
          <w:p>
            <w:pPr>
              <w:spacing w:line="360" w:lineRule="auto"/>
              <w:jc w:val="center"/>
              <w:rPr>
                <w:rFonts w:ascii="宋体"/>
                <w:b/>
                <w:bCs/>
                <w:sz w:val="24"/>
                <w:szCs w:val="24"/>
              </w:rPr>
            </w:pPr>
            <w:r>
              <w:rPr>
                <w:rFonts w:hint="eastAsia" w:ascii="宋体" w:hAnsi="宋体" w:cs="宋体"/>
                <w:b/>
                <w:bCs/>
                <w:sz w:val="24"/>
                <w:szCs w:val="24"/>
              </w:rPr>
              <w:t>证书名称</w:t>
            </w:r>
          </w:p>
        </w:tc>
        <w:tc>
          <w:tcPr>
            <w:tcW w:w="2258" w:type="dxa"/>
            <w:tcBorders>
              <w:top w:val="double" w:color="auto" w:sz="4" w:space="0"/>
            </w:tcBorders>
            <w:vAlign w:val="center"/>
          </w:tcPr>
          <w:p>
            <w:pPr>
              <w:spacing w:line="360" w:lineRule="auto"/>
              <w:jc w:val="center"/>
              <w:rPr>
                <w:rFonts w:ascii="宋体"/>
                <w:b/>
                <w:bCs/>
                <w:sz w:val="24"/>
                <w:szCs w:val="24"/>
              </w:rPr>
            </w:pPr>
            <w:r>
              <w:rPr>
                <w:rFonts w:hint="eastAsia" w:ascii="宋体" w:hAnsi="宋体" w:cs="宋体"/>
                <w:b/>
                <w:bCs/>
                <w:sz w:val="24"/>
                <w:szCs w:val="24"/>
              </w:rPr>
              <w:t>发证单位</w:t>
            </w:r>
          </w:p>
        </w:tc>
        <w:tc>
          <w:tcPr>
            <w:tcW w:w="2260" w:type="dxa"/>
            <w:tcBorders>
              <w:top w:val="double" w:color="auto" w:sz="4" w:space="0"/>
            </w:tcBorders>
            <w:vAlign w:val="center"/>
          </w:tcPr>
          <w:p>
            <w:pPr>
              <w:spacing w:line="360" w:lineRule="auto"/>
              <w:jc w:val="center"/>
              <w:rPr>
                <w:rFonts w:ascii="宋体"/>
                <w:b/>
                <w:bCs/>
                <w:sz w:val="24"/>
                <w:szCs w:val="24"/>
              </w:rPr>
            </w:pPr>
            <w:r>
              <w:rPr>
                <w:rFonts w:hint="eastAsia" w:ascii="宋体" w:hAnsi="宋体" w:cs="宋体"/>
                <w:b/>
                <w:bCs/>
                <w:sz w:val="24"/>
                <w:szCs w:val="24"/>
              </w:rPr>
              <w:t>证书等级</w:t>
            </w:r>
          </w:p>
        </w:tc>
        <w:tc>
          <w:tcPr>
            <w:tcW w:w="2047" w:type="dxa"/>
            <w:tcBorders>
              <w:top w:val="double" w:color="auto" w:sz="4" w:space="0"/>
              <w:right w:val="single" w:color="auto" w:sz="4" w:space="0"/>
            </w:tcBorders>
            <w:vAlign w:val="center"/>
          </w:tcPr>
          <w:p>
            <w:pPr>
              <w:spacing w:line="360" w:lineRule="auto"/>
              <w:jc w:val="center"/>
              <w:rPr>
                <w:rFonts w:ascii="宋体"/>
                <w:b/>
                <w:bCs/>
                <w:sz w:val="24"/>
                <w:szCs w:val="24"/>
              </w:rPr>
            </w:pPr>
            <w:r>
              <w:rPr>
                <w:rFonts w:hint="eastAsia" w:ascii="宋体" w:hAnsi="宋体" w:cs="宋体"/>
                <w:b/>
                <w:bCs/>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7" w:type="dxa"/>
            <w:tcBorders>
              <w:left w:val="single" w:color="auto" w:sz="4" w:space="0"/>
            </w:tcBorders>
            <w:vAlign w:val="center"/>
          </w:tcPr>
          <w:p>
            <w:pPr>
              <w:spacing w:line="360" w:lineRule="auto"/>
              <w:jc w:val="center"/>
              <w:rPr>
                <w:rFonts w:ascii="宋体"/>
                <w:sz w:val="24"/>
                <w:szCs w:val="24"/>
              </w:rPr>
            </w:pPr>
          </w:p>
        </w:tc>
        <w:tc>
          <w:tcPr>
            <w:tcW w:w="2258" w:type="dxa"/>
            <w:vAlign w:val="center"/>
          </w:tcPr>
          <w:p>
            <w:pPr>
              <w:spacing w:line="360" w:lineRule="auto"/>
              <w:jc w:val="center"/>
              <w:rPr>
                <w:rFonts w:ascii="宋体"/>
                <w:sz w:val="24"/>
                <w:szCs w:val="24"/>
              </w:rPr>
            </w:pPr>
          </w:p>
        </w:tc>
        <w:tc>
          <w:tcPr>
            <w:tcW w:w="2260" w:type="dxa"/>
            <w:vAlign w:val="center"/>
          </w:tcPr>
          <w:p>
            <w:pPr>
              <w:spacing w:line="360" w:lineRule="auto"/>
              <w:jc w:val="center"/>
              <w:rPr>
                <w:rFonts w:ascii="宋体"/>
                <w:sz w:val="24"/>
                <w:szCs w:val="24"/>
              </w:rPr>
            </w:pPr>
          </w:p>
        </w:tc>
        <w:tc>
          <w:tcPr>
            <w:tcW w:w="2047" w:type="dxa"/>
            <w:tcBorders>
              <w:right w:val="single" w:color="auto" w:sz="4" w:space="0"/>
            </w:tcBorders>
            <w:vAlign w:val="center"/>
          </w:tcPr>
          <w:p>
            <w:pPr>
              <w:spacing w:line="360" w:lineRule="auto"/>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7" w:type="dxa"/>
            <w:tcBorders>
              <w:left w:val="single" w:color="auto" w:sz="4" w:space="0"/>
            </w:tcBorders>
            <w:vAlign w:val="center"/>
          </w:tcPr>
          <w:p>
            <w:pPr>
              <w:spacing w:line="360" w:lineRule="auto"/>
              <w:jc w:val="center"/>
              <w:rPr>
                <w:rFonts w:ascii="宋体"/>
                <w:sz w:val="24"/>
                <w:szCs w:val="24"/>
              </w:rPr>
            </w:pPr>
          </w:p>
        </w:tc>
        <w:tc>
          <w:tcPr>
            <w:tcW w:w="2258" w:type="dxa"/>
            <w:vAlign w:val="center"/>
          </w:tcPr>
          <w:p>
            <w:pPr>
              <w:spacing w:line="360" w:lineRule="auto"/>
              <w:jc w:val="center"/>
              <w:rPr>
                <w:rFonts w:ascii="宋体"/>
                <w:sz w:val="24"/>
                <w:szCs w:val="24"/>
              </w:rPr>
            </w:pPr>
          </w:p>
        </w:tc>
        <w:tc>
          <w:tcPr>
            <w:tcW w:w="2260" w:type="dxa"/>
            <w:vAlign w:val="center"/>
          </w:tcPr>
          <w:p>
            <w:pPr>
              <w:spacing w:line="360" w:lineRule="auto"/>
              <w:jc w:val="center"/>
              <w:rPr>
                <w:rFonts w:ascii="宋体"/>
                <w:sz w:val="24"/>
                <w:szCs w:val="24"/>
              </w:rPr>
            </w:pPr>
          </w:p>
        </w:tc>
        <w:tc>
          <w:tcPr>
            <w:tcW w:w="2047" w:type="dxa"/>
            <w:tcBorders>
              <w:right w:val="single" w:color="auto" w:sz="4" w:space="0"/>
            </w:tcBorders>
            <w:vAlign w:val="center"/>
          </w:tcPr>
          <w:p>
            <w:pPr>
              <w:spacing w:line="360" w:lineRule="auto"/>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7" w:type="dxa"/>
            <w:tcBorders>
              <w:left w:val="single" w:color="auto" w:sz="4" w:space="0"/>
            </w:tcBorders>
            <w:vAlign w:val="center"/>
          </w:tcPr>
          <w:p>
            <w:pPr>
              <w:spacing w:line="360" w:lineRule="auto"/>
              <w:jc w:val="center"/>
              <w:rPr>
                <w:rFonts w:ascii="宋体"/>
                <w:sz w:val="24"/>
                <w:szCs w:val="24"/>
              </w:rPr>
            </w:pPr>
          </w:p>
        </w:tc>
        <w:tc>
          <w:tcPr>
            <w:tcW w:w="2258" w:type="dxa"/>
            <w:vAlign w:val="center"/>
          </w:tcPr>
          <w:p>
            <w:pPr>
              <w:spacing w:line="360" w:lineRule="auto"/>
              <w:jc w:val="center"/>
              <w:rPr>
                <w:rFonts w:ascii="宋体"/>
                <w:sz w:val="24"/>
                <w:szCs w:val="24"/>
              </w:rPr>
            </w:pPr>
          </w:p>
        </w:tc>
        <w:tc>
          <w:tcPr>
            <w:tcW w:w="2260" w:type="dxa"/>
            <w:vAlign w:val="center"/>
          </w:tcPr>
          <w:p>
            <w:pPr>
              <w:spacing w:line="360" w:lineRule="auto"/>
              <w:jc w:val="center"/>
              <w:rPr>
                <w:rFonts w:ascii="宋体"/>
                <w:sz w:val="24"/>
                <w:szCs w:val="24"/>
              </w:rPr>
            </w:pPr>
          </w:p>
        </w:tc>
        <w:tc>
          <w:tcPr>
            <w:tcW w:w="2047" w:type="dxa"/>
            <w:tcBorders>
              <w:right w:val="single" w:color="auto" w:sz="4" w:space="0"/>
            </w:tcBorders>
            <w:vAlign w:val="center"/>
          </w:tcPr>
          <w:p>
            <w:pPr>
              <w:spacing w:line="360" w:lineRule="auto"/>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7" w:type="dxa"/>
            <w:tcBorders>
              <w:left w:val="single" w:color="auto" w:sz="4" w:space="0"/>
            </w:tcBorders>
            <w:vAlign w:val="center"/>
          </w:tcPr>
          <w:p>
            <w:pPr>
              <w:spacing w:line="360" w:lineRule="auto"/>
              <w:jc w:val="center"/>
              <w:rPr>
                <w:rFonts w:ascii="宋体"/>
                <w:sz w:val="24"/>
                <w:szCs w:val="24"/>
              </w:rPr>
            </w:pPr>
          </w:p>
        </w:tc>
        <w:tc>
          <w:tcPr>
            <w:tcW w:w="2258" w:type="dxa"/>
            <w:vAlign w:val="center"/>
          </w:tcPr>
          <w:p>
            <w:pPr>
              <w:spacing w:line="360" w:lineRule="auto"/>
              <w:jc w:val="center"/>
              <w:rPr>
                <w:rFonts w:ascii="宋体"/>
                <w:sz w:val="24"/>
                <w:szCs w:val="24"/>
              </w:rPr>
            </w:pPr>
          </w:p>
        </w:tc>
        <w:tc>
          <w:tcPr>
            <w:tcW w:w="2260" w:type="dxa"/>
            <w:vAlign w:val="center"/>
          </w:tcPr>
          <w:p>
            <w:pPr>
              <w:spacing w:line="360" w:lineRule="auto"/>
              <w:jc w:val="center"/>
              <w:rPr>
                <w:rFonts w:ascii="宋体"/>
                <w:sz w:val="24"/>
                <w:szCs w:val="24"/>
              </w:rPr>
            </w:pPr>
          </w:p>
        </w:tc>
        <w:tc>
          <w:tcPr>
            <w:tcW w:w="2047" w:type="dxa"/>
            <w:tcBorders>
              <w:right w:val="single" w:color="auto" w:sz="4" w:space="0"/>
            </w:tcBorders>
            <w:vAlign w:val="center"/>
          </w:tcPr>
          <w:p>
            <w:pPr>
              <w:spacing w:line="360" w:lineRule="auto"/>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7" w:type="dxa"/>
            <w:tcBorders>
              <w:left w:val="single" w:color="auto" w:sz="4" w:space="0"/>
            </w:tcBorders>
            <w:vAlign w:val="center"/>
          </w:tcPr>
          <w:p>
            <w:pPr>
              <w:spacing w:line="360" w:lineRule="auto"/>
              <w:jc w:val="center"/>
              <w:rPr>
                <w:rFonts w:ascii="宋体"/>
                <w:sz w:val="24"/>
                <w:szCs w:val="24"/>
              </w:rPr>
            </w:pPr>
          </w:p>
        </w:tc>
        <w:tc>
          <w:tcPr>
            <w:tcW w:w="2258" w:type="dxa"/>
            <w:vAlign w:val="center"/>
          </w:tcPr>
          <w:p>
            <w:pPr>
              <w:spacing w:line="360" w:lineRule="auto"/>
              <w:jc w:val="center"/>
              <w:rPr>
                <w:rFonts w:ascii="宋体"/>
                <w:sz w:val="24"/>
                <w:szCs w:val="24"/>
              </w:rPr>
            </w:pPr>
          </w:p>
        </w:tc>
        <w:tc>
          <w:tcPr>
            <w:tcW w:w="2260" w:type="dxa"/>
            <w:vAlign w:val="center"/>
          </w:tcPr>
          <w:p>
            <w:pPr>
              <w:spacing w:line="360" w:lineRule="auto"/>
              <w:jc w:val="center"/>
              <w:rPr>
                <w:rFonts w:ascii="宋体"/>
                <w:sz w:val="24"/>
                <w:szCs w:val="24"/>
              </w:rPr>
            </w:pPr>
          </w:p>
        </w:tc>
        <w:tc>
          <w:tcPr>
            <w:tcW w:w="2047" w:type="dxa"/>
            <w:tcBorders>
              <w:right w:val="single" w:color="auto" w:sz="4" w:space="0"/>
            </w:tcBorders>
            <w:vAlign w:val="center"/>
          </w:tcPr>
          <w:p>
            <w:pPr>
              <w:spacing w:line="360" w:lineRule="auto"/>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7" w:type="dxa"/>
            <w:tcBorders>
              <w:left w:val="single" w:color="auto" w:sz="4" w:space="0"/>
            </w:tcBorders>
            <w:vAlign w:val="center"/>
          </w:tcPr>
          <w:p>
            <w:pPr>
              <w:spacing w:line="360" w:lineRule="auto"/>
              <w:jc w:val="center"/>
              <w:rPr>
                <w:rFonts w:ascii="宋体"/>
                <w:sz w:val="24"/>
                <w:szCs w:val="24"/>
              </w:rPr>
            </w:pPr>
          </w:p>
        </w:tc>
        <w:tc>
          <w:tcPr>
            <w:tcW w:w="2258" w:type="dxa"/>
            <w:vAlign w:val="center"/>
          </w:tcPr>
          <w:p>
            <w:pPr>
              <w:spacing w:line="360" w:lineRule="auto"/>
              <w:jc w:val="center"/>
              <w:rPr>
                <w:rFonts w:ascii="宋体"/>
                <w:sz w:val="24"/>
                <w:szCs w:val="24"/>
              </w:rPr>
            </w:pPr>
          </w:p>
        </w:tc>
        <w:tc>
          <w:tcPr>
            <w:tcW w:w="2260" w:type="dxa"/>
            <w:vAlign w:val="center"/>
          </w:tcPr>
          <w:p>
            <w:pPr>
              <w:spacing w:line="360" w:lineRule="auto"/>
              <w:jc w:val="center"/>
              <w:rPr>
                <w:rFonts w:ascii="宋体"/>
                <w:sz w:val="24"/>
                <w:szCs w:val="24"/>
              </w:rPr>
            </w:pPr>
          </w:p>
        </w:tc>
        <w:tc>
          <w:tcPr>
            <w:tcW w:w="2047" w:type="dxa"/>
            <w:tcBorders>
              <w:right w:val="single" w:color="auto" w:sz="4" w:space="0"/>
            </w:tcBorders>
            <w:vAlign w:val="center"/>
          </w:tcPr>
          <w:p>
            <w:pPr>
              <w:spacing w:line="360" w:lineRule="auto"/>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7" w:type="dxa"/>
            <w:tcBorders>
              <w:left w:val="single" w:color="auto" w:sz="4" w:space="0"/>
              <w:bottom w:val="double" w:color="auto" w:sz="4" w:space="0"/>
            </w:tcBorders>
            <w:vAlign w:val="center"/>
          </w:tcPr>
          <w:p>
            <w:pPr>
              <w:spacing w:line="360" w:lineRule="auto"/>
              <w:jc w:val="center"/>
              <w:rPr>
                <w:rFonts w:ascii="宋体"/>
                <w:sz w:val="24"/>
                <w:szCs w:val="24"/>
              </w:rPr>
            </w:pPr>
          </w:p>
        </w:tc>
        <w:tc>
          <w:tcPr>
            <w:tcW w:w="2258" w:type="dxa"/>
            <w:tcBorders>
              <w:bottom w:val="double" w:color="auto" w:sz="4" w:space="0"/>
            </w:tcBorders>
            <w:vAlign w:val="center"/>
          </w:tcPr>
          <w:p>
            <w:pPr>
              <w:spacing w:line="360" w:lineRule="auto"/>
              <w:jc w:val="center"/>
              <w:rPr>
                <w:rFonts w:ascii="宋体"/>
                <w:sz w:val="24"/>
                <w:szCs w:val="24"/>
              </w:rPr>
            </w:pPr>
          </w:p>
        </w:tc>
        <w:tc>
          <w:tcPr>
            <w:tcW w:w="2260" w:type="dxa"/>
            <w:tcBorders>
              <w:bottom w:val="double" w:color="auto" w:sz="4" w:space="0"/>
            </w:tcBorders>
            <w:vAlign w:val="center"/>
          </w:tcPr>
          <w:p>
            <w:pPr>
              <w:spacing w:line="360" w:lineRule="auto"/>
              <w:jc w:val="center"/>
              <w:rPr>
                <w:rFonts w:ascii="宋体"/>
                <w:sz w:val="24"/>
                <w:szCs w:val="24"/>
              </w:rPr>
            </w:pPr>
          </w:p>
        </w:tc>
        <w:tc>
          <w:tcPr>
            <w:tcW w:w="2047" w:type="dxa"/>
            <w:tcBorders>
              <w:bottom w:val="double" w:color="auto" w:sz="4" w:space="0"/>
              <w:right w:val="single" w:color="auto" w:sz="4" w:space="0"/>
            </w:tcBorders>
            <w:vAlign w:val="center"/>
          </w:tcPr>
          <w:p>
            <w:pPr>
              <w:spacing w:line="360" w:lineRule="auto"/>
              <w:jc w:val="center"/>
              <w:rPr>
                <w:rFonts w:ascii="宋体"/>
                <w:sz w:val="24"/>
                <w:szCs w:val="24"/>
              </w:rPr>
            </w:pPr>
          </w:p>
        </w:tc>
      </w:tr>
    </w:tbl>
    <w:p>
      <w:pPr>
        <w:spacing w:line="360" w:lineRule="auto"/>
        <w:rPr>
          <w:rFonts w:ascii="宋体"/>
          <w:sz w:val="24"/>
          <w:szCs w:val="24"/>
        </w:rPr>
      </w:pPr>
    </w:p>
    <w:p>
      <w:pPr>
        <w:spacing w:line="360" w:lineRule="auto"/>
        <w:rPr>
          <w:rFonts w:ascii="宋体"/>
          <w:b/>
          <w:bCs/>
          <w:sz w:val="24"/>
          <w:szCs w:val="24"/>
        </w:rPr>
      </w:pPr>
      <w:r>
        <w:rPr>
          <w:rFonts w:hint="eastAsia" w:ascii="宋体" w:hAnsi="宋体" w:cs="宋体"/>
          <w:b/>
          <w:bCs/>
          <w:sz w:val="24"/>
          <w:szCs w:val="24"/>
        </w:rPr>
        <w:t>要求：</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填写投标人获得资质、认证或企业信誉证书；</w:t>
      </w:r>
    </w:p>
    <w:p>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附所列证书复印件或其他证明材料。</w:t>
      </w:r>
    </w:p>
    <w:p>
      <w:pPr>
        <w:spacing w:line="360" w:lineRule="auto"/>
        <w:jc w:val="left"/>
        <w:rPr>
          <w:rFonts w:ascii="宋体"/>
          <w:b/>
          <w:bCs/>
          <w:sz w:val="24"/>
          <w:szCs w:val="24"/>
          <w:lang w:val="zh-CN"/>
        </w:rPr>
      </w:pPr>
    </w:p>
    <w:p>
      <w:pPr>
        <w:spacing w:line="360" w:lineRule="auto"/>
        <w:jc w:val="left"/>
        <w:rPr>
          <w:rFonts w:ascii="宋体"/>
          <w:b/>
          <w:bCs/>
          <w:sz w:val="24"/>
          <w:szCs w:val="24"/>
          <w:lang w:val="zh-CN"/>
        </w:rPr>
      </w:pPr>
    </w:p>
    <w:p>
      <w:pPr>
        <w:spacing w:line="360" w:lineRule="auto"/>
        <w:jc w:val="left"/>
        <w:rPr>
          <w:rFonts w:ascii="宋体"/>
          <w:b/>
          <w:bCs/>
          <w:sz w:val="24"/>
          <w:szCs w:val="24"/>
          <w:lang w:val="zh-CN"/>
        </w:rPr>
      </w:pPr>
    </w:p>
    <w:p>
      <w:pPr>
        <w:spacing w:line="480" w:lineRule="auto"/>
        <w:rPr>
          <w:rFonts w:ascii="宋体"/>
          <w:sz w:val="24"/>
          <w:szCs w:val="24"/>
        </w:rPr>
      </w:pPr>
      <w:r>
        <w:rPr>
          <w:rFonts w:hint="eastAsia" w:ascii="宋体" w:hAnsi="宋体" w:cs="宋体"/>
          <w:sz w:val="24"/>
          <w:szCs w:val="24"/>
        </w:rPr>
        <w:t>投标人名称（盖章）：</w:t>
      </w:r>
    </w:p>
    <w:p>
      <w:pPr>
        <w:spacing w:line="480" w:lineRule="auto"/>
        <w:rPr>
          <w:rFonts w:ascii="宋体"/>
          <w:sz w:val="24"/>
          <w:szCs w:val="24"/>
        </w:rPr>
      </w:pPr>
      <w:r>
        <w:rPr>
          <w:rFonts w:hint="eastAsia" w:ascii="宋体" w:hAnsi="宋体" w:cs="宋体"/>
          <w:sz w:val="24"/>
          <w:szCs w:val="24"/>
        </w:rPr>
        <w:t>授权委托代理人签字或盖章：</w:t>
      </w:r>
    </w:p>
    <w:p>
      <w:pPr>
        <w:spacing w:line="480" w:lineRule="auto"/>
        <w:rPr>
          <w:rFonts w:ascii="宋体"/>
          <w:sz w:val="24"/>
          <w:szCs w:val="24"/>
        </w:rPr>
      </w:pPr>
      <w:r>
        <w:rPr>
          <w:rFonts w:hint="eastAsia" w:ascii="宋体" w:hAnsi="宋体" w:cs="宋体"/>
          <w:sz w:val="24"/>
          <w:szCs w:val="24"/>
        </w:rPr>
        <w:t>日期：</w:t>
      </w:r>
    </w:p>
    <w:p>
      <w:pPr>
        <w:spacing w:line="360" w:lineRule="auto"/>
        <w:jc w:val="left"/>
        <w:rPr>
          <w:rFonts w:ascii="宋体"/>
          <w:b/>
          <w:bCs/>
          <w:sz w:val="24"/>
          <w:szCs w:val="24"/>
          <w:lang w:val="zh-CN"/>
        </w:rPr>
      </w:pPr>
    </w:p>
    <w:p>
      <w:pPr>
        <w:spacing w:line="360" w:lineRule="auto"/>
        <w:jc w:val="left"/>
        <w:rPr>
          <w:rFonts w:ascii="宋体"/>
          <w:b/>
          <w:bCs/>
          <w:sz w:val="24"/>
          <w:szCs w:val="24"/>
          <w:lang w:val="zh-CN"/>
        </w:rPr>
      </w:pPr>
    </w:p>
    <w:p>
      <w:pPr>
        <w:spacing w:line="360" w:lineRule="auto"/>
        <w:jc w:val="left"/>
        <w:rPr>
          <w:rFonts w:ascii="宋体"/>
          <w:b/>
          <w:bCs/>
          <w:sz w:val="24"/>
          <w:szCs w:val="24"/>
          <w:lang w:val="zh-CN"/>
        </w:rPr>
      </w:pPr>
    </w:p>
    <w:p>
      <w:pPr>
        <w:spacing w:line="360" w:lineRule="auto"/>
        <w:jc w:val="left"/>
        <w:rPr>
          <w:rFonts w:ascii="宋体"/>
          <w:b/>
          <w:bCs/>
          <w:sz w:val="24"/>
          <w:szCs w:val="24"/>
          <w:lang w:val="zh-CN"/>
        </w:rPr>
      </w:pPr>
    </w:p>
    <w:p>
      <w:pPr>
        <w:spacing w:line="360" w:lineRule="auto"/>
        <w:jc w:val="left"/>
        <w:rPr>
          <w:rFonts w:ascii="宋体"/>
          <w:b/>
          <w:bCs/>
          <w:sz w:val="24"/>
          <w:szCs w:val="24"/>
          <w:lang w:val="zh-CN"/>
        </w:rPr>
      </w:pPr>
    </w:p>
    <w:p>
      <w:pPr>
        <w:spacing w:line="360" w:lineRule="auto"/>
        <w:jc w:val="left"/>
        <w:rPr>
          <w:rFonts w:ascii="宋体"/>
          <w:b/>
          <w:bCs/>
          <w:sz w:val="24"/>
          <w:szCs w:val="24"/>
          <w:lang w:val="zh-CN"/>
        </w:rPr>
      </w:pPr>
    </w:p>
    <w:p>
      <w:pPr>
        <w:spacing w:line="360" w:lineRule="auto"/>
        <w:jc w:val="left"/>
        <w:rPr>
          <w:rFonts w:ascii="宋体"/>
          <w:b/>
          <w:bCs/>
          <w:sz w:val="28"/>
          <w:szCs w:val="28"/>
        </w:rPr>
      </w:pPr>
      <w:r>
        <w:rPr>
          <w:rFonts w:hint="eastAsia" w:ascii="宋体" w:hAnsi="宋体" w:cs="宋体"/>
          <w:b/>
          <w:bCs/>
          <w:sz w:val="28"/>
          <w:szCs w:val="28"/>
          <w:lang w:val="zh-CN"/>
        </w:rPr>
        <w:t>附件</w:t>
      </w:r>
      <w:r>
        <w:rPr>
          <w:rFonts w:ascii="宋体" w:hAnsi="宋体" w:cs="宋体"/>
          <w:b/>
          <w:bCs/>
          <w:sz w:val="28"/>
          <w:szCs w:val="28"/>
          <w:lang w:val="zh-CN"/>
        </w:rPr>
        <w:t>1</w:t>
      </w:r>
      <w:r>
        <w:rPr>
          <w:rFonts w:ascii="宋体" w:hAnsi="宋体" w:cs="宋体"/>
          <w:b/>
          <w:bCs/>
          <w:sz w:val="28"/>
          <w:szCs w:val="28"/>
        </w:rPr>
        <w:t>1</w:t>
      </w:r>
    </w:p>
    <w:p>
      <w:pPr>
        <w:spacing w:line="360" w:lineRule="auto"/>
        <w:jc w:val="center"/>
        <w:rPr>
          <w:rFonts w:ascii="宋体"/>
          <w:b/>
          <w:bCs/>
          <w:sz w:val="32"/>
          <w:szCs w:val="32"/>
          <w:lang w:val="zh-CN"/>
        </w:rPr>
      </w:pPr>
      <w:r>
        <w:rPr>
          <w:rFonts w:hint="eastAsia" w:ascii="宋体" w:hAnsi="宋体" w:cs="宋体"/>
          <w:b/>
          <w:bCs/>
          <w:sz w:val="32"/>
          <w:szCs w:val="32"/>
          <w:lang w:val="zh-CN"/>
        </w:rPr>
        <w:t>投标人类似项目实施情况一览表</w:t>
      </w:r>
    </w:p>
    <w:p>
      <w:pPr>
        <w:spacing w:line="360" w:lineRule="auto"/>
        <w:jc w:val="left"/>
        <w:rPr>
          <w:rFonts w:ascii="宋体"/>
          <w:b/>
          <w:bCs/>
          <w:sz w:val="24"/>
          <w:szCs w:val="24"/>
          <w:lang w:val="zh-CN"/>
        </w:rPr>
      </w:pPr>
    </w:p>
    <w:tbl>
      <w:tblPr>
        <w:tblStyle w:val="2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sz w:val="24"/>
                <w:szCs w:val="24"/>
              </w:rPr>
            </w:pPr>
            <w:r>
              <w:rPr>
                <w:rFonts w:hint="eastAsia" w:ascii="宋体" w:hAnsi="宋体" w:cs="宋体"/>
                <w:b/>
                <w:bCs/>
                <w:sz w:val="24"/>
                <w:szCs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sz w:val="24"/>
                <w:szCs w:val="24"/>
              </w:rPr>
            </w:pPr>
            <w:r>
              <w:rPr>
                <w:rFonts w:hint="eastAsia" w:ascii="宋体" w:hAnsi="宋体" w:cs="宋体"/>
                <w:b/>
                <w:bCs/>
                <w:sz w:val="24"/>
                <w:szCs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sz w:val="24"/>
                <w:szCs w:val="24"/>
              </w:rPr>
            </w:pPr>
            <w:r>
              <w:rPr>
                <w:rFonts w:hint="eastAsia" w:ascii="宋体" w:hAnsi="宋体" w:cs="宋体"/>
                <w:b/>
                <w:bCs/>
                <w:sz w:val="24"/>
                <w:szCs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sz w:val="24"/>
                <w:szCs w:val="24"/>
              </w:rPr>
            </w:pPr>
            <w:r>
              <w:rPr>
                <w:rFonts w:hint="eastAsia" w:ascii="宋体" w:hAnsi="宋体" w:cs="宋体"/>
                <w:b/>
                <w:bCs/>
                <w:sz w:val="24"/>
                <w:szCs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sz w:val="24"/>
                <w:szCs w:val="24"/>
              </w:rPr>
            </w:pPr>
            <w:r>
              <w:rPr>
                <w:rFonts w:hint="eastAsia" w:ascii="宋体" w:hAnsi="宋体" w:cs="宋体"/>
                <w:b/>
                <w:bCs/>
                <w:sz w:val="24"/>
                <w:szCs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sz w:val="24"/>
                <w:szCs w:val="24"/>
              </w:rPr>
            </w:pPr>
            <w:r>
              <w:rPr>
                <w:rFonts w:hint="eastAsia" w:ascii="宋体" w:hAnsi="宋体" w:cs="宋体"/>
                <w:b/>
                <w:bCs/>
                <w:sz w:val="24"/>
                <w:szCs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sz w:val="24"/>
                <w:szCs w:val="24"/>
              </w:rPr>
            </w:pPr>
            <w:r>
              <w:rPr>
                <w:rFonts w:hint="eastAsia" w:ascii="宋体" w:hAnsi="宋体" w:cs="宋体"/>
                <w:b/>
                <w:bCs/>
                <w:sz w:val="24"/>
                <w:szCs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r>
              <w:rPr>
                <w:rFonts w:ascii="宋体" w:hAnsi="宋体" w:cs="宋体"/>
                <w:sz w:val="24"/>
                <w:szCs w:val="24"/>
              </w:rPr>
              <w:t>1</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r>
              <w:rPr>
                <w:rFonts w:ascii="宋体" w:hAnsi="宋体" w:cs="宋体"/>
                <w:sz w:val="24"/>
                <w:szCs w:val="24"/>
              </w:rPr>
              <w:t>2</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r>
              <w:rPr>
                <w:rFonts w:ascii="宋体" w:hAnsi="宋体" w:cs="宋体"/>
                <w:sz w:val="24"/>
                <w:szCs w:val="24"/>
              </w:rPr>
              <w:t>3</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r>
              <w:rPr>
                <w:rFonts w:hint="eastAsia" w:ascii="宋体" w:hAnsi="宋体" w:cs="宋体"/>
                <w:sz w:val="24"/>
                <w:szCs w:val="24"/>
              </w:rPr>
              <w:t>…</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 w:val="24"/>
                <w:szCs w:val="24"/>
              </w:rPr>
            </w:pPr>
          </w:p>
        </w:tc>
      </w:tr>
    </w:tbl>
    <w:p>
      <w:pPr>
        <w:spacing w:line="360" w:lineRule="auto"/>
        <w:rPr>
          <w:rFonts w:ascii="宋体"/>
          <w:b/>
          <w:bCs/>
          <w:sz w:val="24"/>
          <w:szCs w:val="24"/>
        </w:rPr>
      </w:pPr>
      <w:r>
        <w:rPr>
          <w:rFonts w:hint="eastAsia" w:ascii="宋体" w:hAnsi="宋体" w:cs="宋体"/>
          <w:b/>
          <w:bCs/>
          <w:sz w:val="24"/>
          <w:szCs w:val="24"/>
        </w:rPr>
        <w:t>要求：</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业绩证明应提供证明材料（合同复印件可只提供首页、含金额页、盖章页并加盖投标人公章）；</w:t>
      </w:r>
    </w:p>
    <w:p>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报价供应商可按此表格式复制。</w:t>
      </w:r>
    </w:p>
    <w:p>
      <w:pPr>
        <w:spacing w:line="360" w:lineRule="auto"/>
        <w:rPr>
          <w:rFonts w:ascii="宋体"/>
          <w:sz w:val="24"/>
          <w:szCs w:val="24"/>
        </w:rPr>
      </w:pPr>
    </w:p>
    <w:p>
      <w:pPr>
        <w:spacing w:line="360" w:lineRule="auto"/>
        <w:rPr>
          <w:rFonts w:ascii="宋体"/>
          <w:sz w:val="24"/>
          <w:szCs w:val="24"/>
        </w:rPr>
      </w:pPr>
    </w:p>
    <w:p>
      <w:pPr>
        <w:spacing w:line="480" w:lineRule="auto"/>
        <w:rPr>
          <w:rFonts w:ascii="宋体"/>
          <w:sz w:val="24"/>
          <w:szCs w:val="24"/>
        </w:rPr>
      </w:pPr>
      <w:r>
        <w:rPr>
          <w:rFonts w:hint="eastAsia" w:ascii="宋体" w:hAnsi="宋体" w:cs="宋体"/>
          <w:sz w:val="24"/>
          <w:szCs w:val="24"/>
        </w:rPr>
        <w:t>投标人名称（盖章）：</w:t>
      </w:r>
    </w:p>
    <w:p>
      <w:pPr>
        <w:spacing w:line="480" w:lineRule="auto"/>
        <w:rPr>
          <w:rFonts w:ascii="宋体"/>
          <w:sz w:val="24"/>
          <w:szCs w:val="24"/>
        </w:rPr>
      </w:pPr>
      <w:r>
        <w:rPr>
          <w:rFonts w:hint="eastAsia" w:ascii="宋体" w:hAnsi="宋体" w:cs="宋体"/>
          <w:sz w:val="24"/>
          <w:szCs w:val="24"/>
        </w:rPr>
        <w:t>授权委托代理人签字或盖章：</w:t>
      </w:r>
    </w:p>
    <w:p>
      <w:pPr>
        <w:spacing w:line="480" w:lineRule="auto"/>
        <w:rPr>
          <w:rFonts w:ascii="宋体"/>
          <w:sz w:val="24"/>
          <w:szCs w:val="24"/>
        </w:rPr>
      </w:pPr>
      <w:r>
        <w:rPr>
          <w:rFonts w:hint="eastAsia" w:ascii="宋体" w:hAnsi="宋体" w:cs="宋体"/>
          <w:sz w:val="24"/>
          <w:szCs w:val="24"/>
        </w:rPr>
        <w:t>日期：</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jc w:val="left"/>
        <w:rPr>
          <w:rFonts w:ascii="宋体"/>
          <w:sz w:val="24"/>
          <w:szCs w:val="24"/>
        </w:rPr>
      </w:pPr>
    </w:p>
    <w:p>
      <w:pPr>
        <w:pStyle w:val="2"/>
      </w:pPr>
    </w:p>
    <w:p>
      <w:pPr>
        <w:spacing w:line="360" w:lineRule="auto"/>
        <w:jc w:val="left"/>
        <w:rPr>
          <w:rFonts w:ascii="宋体" w:cs="宋体"/>
          <w:b/>
          <w:bCs/>
          <w:sz w:val="28"/>
          <w:szCs w:val="36"/>
        </w:rPr>
      </w:pPr>
      <w:r>
        <w:rPr>
          <w:rFonts w:hint="eastAsia" w:ascii="宋体" w:hAnsi="宋体" w:cs="宋体"/>
          <w:b/>
          <w:bCs/>
          <w:sz w:val="28"/>
          <w:szCs w:val="36"/>
          <w:lang w:val="zh-CN"/>
        </w:rPr>
        <w:t>附件</w:t>
      </w:r>
      <w:r>
        <w:rPr>
          <w:rFonts w:ascii="宋体" w:hAnsi="宋体" w:cs="宋体"/>
          <w:b/>
          <w:bCs/>
          <w:sz w:val="28"/>
          <w:szCs w:val="36"/>
          <w:lang w:val="zh-CN"/>
        </w:rPr>
        <w:t>1</w:t>
      </w:r>
      <w:r>
        <w:rPr>
          <w:rFonts w:ascii="宋体" w:hAnsi="宋体" w:cs="宋体"/>
          <w:b/>
          <w:bCs/>
          <w:sz w:val="28"/>
          <w:szCs w:val="36"/>
        </w:rPr>
        <w:t>2</w:t>
      </w:r>
    </w:p>
    <w:p>
      <w:pPr>
        <w:spacing w:line="360" w:lineRule="auto"/>
        <w:jc w:val="center"/>
        <w:rPr>
          <w:rFonts w:ascii="宋体" w:cs="宋体"/>
          <w:b/>
          <w:bCs/>
          <w:sz w:val="32"/>
          <w:szCs w:val="40"/>
          <w:lang w:val="zh-CN"/>
        </w:rPr>
      </w:pPr>
      <w:r>
        <w:rPr>
          <w:rFonts w:hint="eastAsia" w:ascii="宋体" w:hAnsi="宋体" w:cs="宋体"/>
          <w:b/>
          <w:bCs/>
          <w:sz w:val="32"/>
          <w:szCs w:val="40"/>
          <w:lang w:val="zh-CN"/>
        </w:rPr>
        <w:t>商务需求响应表</w:t>
      </w:r>
    </w:p>
    <w:p>
      <w:pPr>
        <w:spacing w:line="360" w:lineRule="auto"/>
        <w:rPr>
          <w:rFonts w:ascii="宋体"/>
          <w:b/>
          <w:sz w:val="24"/>
        </w:rPr>
      </w:pPr>
    </w:p>
    <w:tbl>
      <w:tblPr>
        <w:tblStyle w:val="2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b/>
                <w:sz w:val="24"/>
              </w:rPr>
            </w:pPr>
            <w:r>
              <w:rPr>
                <w:rFonts w:hint="eastAsia" w:ascii="宋体" w:hAnsi="宋体"/>
                <w:b/>
                <w:sz w:val="24"/>
              </w:rPr>
              <w:t>序号</w:t>
            </w:r>
          </w:p>
        </w:tc>
        <w:tc>
          <w:tcPr>
            <w:tcW w:w="1785" w:type="dxa"/>
            <w:vAlign w:val="center"/>
          </w:tcPr>
          <w:p>
            <w:pPr>
              <w:rPr>
                <w:rFonts w:ascii="宋体"/>
                <w:b/>
                <w:sz w:val="24"/>
              </w:rPr>
            </w:pPr>
            <w:r>
              <w:rPr>
                <w:rFonts w:hint="eastAsia" w:ascii="宋体" w:hAnsi="宋体"/>
                <w:b/>
                <w:sz w:val="24"/>
              </w:rPr>
              <w:t>内容</w:t>
            </w:r>
          </w:p>
        </w:tc>
        <w:tc>
          <w:tcPr>
            <w:tcW w:w="1785" w:type="dxa"/>
            <w:vAlign w:val="center"/>
          </w:tcPr>
          <w:p>
            <w:pPr>
              <w:ind w:left="53" w:leftChars="25" w:firstLine="241" w:firstLineChars="100"/>
              <w:rPr>
                <w:rFonts w:ascii="宋体"/>
                <w:b/>
                <w:sz w:val="24"/>
              </w:rPr>
            </w:pPr>
            <w:r>
              <w:rPr>
                <w:rFonts w:hint="eastAsia" w:ascii="宋体" w:hAnsi="宋体"/>
                <w:b/>
                <w:sz w:val="24"/>
              </w:rPr>
              <w:t>招标需求</w:t>
            </w:r>
          </w:p>
        </w:tc>
        <w:tc>
          <w:tcPr>
            <w:tcW w:w="1365" w:type="dxa"/>
            <w:vAlign w:val="center"/>
          </w:tcPr>
          <w:p>
            <w:pPr>
              <w:ind w:left="152"/>
              <w:rPr>
                <w:rFonts w:ascii="宋体"/>
                <w:b/>
                <w:sz w:val="24"/>
              </w:rPr>
            </w:pPr>
            <w:r>
              <w:rPr>
                <w:rFonts w:hint="eastAsia" w:ascii="宋体" w:hAnsi="宋体"/>
                <w:b/>
                <w:sz w:val="24"/>
              </w:rPr>
              <w:t>是否响应</w:t>
            </w:r>
          </w:p>
        </w:tc>
        <w:tc>
          <w:tcPr>
            <w:tcW w:w="2625" w:type="dxa"/>
            <w:vAlign w:val="center"/>
          </w:tcPr>
          <w:p>
            <w:pPr>
              <w:jc w:val="center"/>
              <w:rPr>
                <w:rFonts w:asci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sz w:val="24"/>
              </w:rPr>
            </w:pPr>
          </w:p>
        </w:tc>
        <w:tc>
          <w:tcPr>
            <w:tcW w:w="1785" w:type="dxa"/>
            <w:vAlign w:val="center"/>
          </w:tcPr>
          <w:p>
            <w:pPr>
              <w:snapToGrid w:val="0"/>
              <w:rPr>
                <w:rFonts w:ascii="宋体"/>
                <w:sz w:val="24"/>
              </w:rPr>
            </w:pPr>
            <w:r>
              <w:rPr>
                <w:rFonts w:hint="eastAsia" w:ascii="宋体" w:hAnsi="宋体"/>
                <w:sz w:val="24"/>
              </w:rPr>
              <w:t>售后服务保障要求</w:t>
            </w: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sz w:val="24"/>
              </w:rPr>
            </w:pPr>
          </w:p>
        </w:tc>
        <w:tc>
          <w:tcPr>
            <w:tcW w:w="1785" w:type="dxa"/>
            <w:vAlign w:val="center"/>
          </w:tcPr>
          <w:p>
            <w:pPr>
              <w:snapToGrid w:val="0"/>
              <w:rPr>
                <w:rFonts w:ascii="宋体"/>
                <w:sz w:val="24"/>
              </w:rPr>
            </w:pPr>
            <w:r>
              <w:rPr>
                <w:rFonts w:hint="eastAsia" w:ascii="宋体" w:hAnsi="宋体"/>
                <w:sz w:val="24"/>
              </w:rPr>
              <w:t>免费维保期</w:t>
            </w: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sz w:val="24"/>
              </w:rPr>
            </w:pPr>
          </w:p>
        </w:tc>
        <w:tc>
          <w:tcPr>
            <w:tcW w:w="1785" w:type="dxa"/>
            <w:vAlign w:val="center"/>
          </w:tcPr>
          <w:p>
            <w:pPr>
              <w:snapToGrid w:val="0"/>
              <w:rPr>
                <w:rFonts w:ascii="宋体"/>
                <w:sz w:val="24"/>
              </w:rPr>
            </w:pPr>
            <w:r>
              <w:rPr>
                <w:rFonts w:hint="eastAsia" w:ascii="宋体" w:hAnsi="宋体"/>
                <w:sz w:val="24"/>
              </w:rPr>
              <w:t>项目工期</w:t>
            </w: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sz w:val="24"/>
              </w:rPr>
            </w:pPr>
          </w:p>
        </w:tc>
        <w:tc>
          <w:tcPr>
            <w:tcW w:w="1785" w:type="dxa"/>
            <w:vAlign w:val="center"/>
          </w:tcPr>
          <w:p>
            <w:pPr>
              <w:snapToGrid w:val="0"/>
              <w:rPr>
                <w:rFonts w:ascii="宋体"/>
                <w:sz w:val="24"/>
              </w:rPr>
            </w:pPr>
            <w:r>
              <w:rPr>
                <w:rFonts w:hint="eastAsia" w:ascii="宋体" w:hAnsi="宋体"/>
                <w:sz w:val="24"/>
              </w:rPr>
              <w:t>付款条件</w:t>
            </w: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sz w:val="24"/>
              </w:rPr>
            </w:pPr>
          </w:p>
        </w:tc>
        <w:tc>
          <w:tcPr>
            <w:tcW w:w="1785" w:type="dxa"/>
            <w:vAlign w:val="center"/>
          </w:tcPr>
          <w:p>
            <w:pPr>
              <w:snapToGrid w:val="0"/>
              <w:rPr>
                <w:rFonts w:ascii="宋体"/>
                <w:sz w:val="24"/>
              </w:rPr>
            </w:pPr>
            <w:r>
              <w:rPr>
                <w:rFonts w:hint="eastAsia" w:ascii="宋体" w:hAnsi="宋体"/>
                <w:sz w:val="24"/>
              </w:rPr>
              <w:t>……</w:t>
            </w: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sz w:val="24"/>
              </w:rPr>
            </w:pPr>
          </w:p>
        </w:tc>
        <w:tc>
          <w:tcPr>
            <w:tcW w:w="1785" w:type="dxa"/>
          </w:tcPr>
          <w:p>
            <w:pPr>
              <w:snapToGrid w:val="0"/>
              <w:rPr>
                <w:rFonts w:ascii="宋体"/>
                <w:sz w:val="24"/>
              </w:rPr>
            </w:pP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sz w:val="24"/>
              </w:rPr>
            </w:pPr>
          </w:p>
        </w:tc>
        <w:tc>
          <w:tcPr>
            <w:tcW w:w="1785" w:type="dxa"/>
          </w:tcPr>
          <w:p>
            <w:pPr>
              <w:snapToGrid w:val="0"/>
              <w:rPr>
                <w:rFonts w:ascii="宋体"/>
                <w:sz w:val="24"/>
              </w:rPr>
            </w:pP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bl>
    <w:p>
      <w:pPr>
        <w:spacing w:line="360" w:lineRule="auto"/>
        <w:rPr>
          <w:rFonts w:ascii="宋体"/>
          <w:b/>
          <w:sz w:val="24"/>
        </w:rPr>
      </w:pPr>
    </w:p>
    <w:p>
      <w:pPr>
        <w:spacing w:line="480" w:lineRule="auto"/>
        <w:rPr>
          <w:rFonts w:ascii="宋体"/>
          <w:sz w:val="24"/>
        </w:rPr>
      </w:pPr>
      <w:r>
        <w:rPr>
          <w:rFonts w:hint="eastAsia" w:ascii="宋体" w:hAnsi="宋体"/>
          <w:sz w:val="24"/>
        </w:rPr>
        <w:t>投标人名称（盖章）：</w:t>
      </w:r>
    </w:p>
    <w:p>
      <w:pPr>
        <w:spacing w:line="480" w:lineRule="auto"/>
        <w:rPr>
          <w:rFonts w:ascii="宋体"/>
          <w:sz w:val="24"/>
        </w:rPr>
      </w:pPr>
      <w:r>
        <w:rPr>
          <w:rFonts w:hint="eastAsia" w:ascii="宋体" w:hAnsi="宋体"/>
          <w:sz w:val="24"/>
        </w:rPr>
        <w:t>授权委托代理人签字或盖章：</w:t>
      </w:r>
    </w:p>
    <w:p>
      <w:pPr>
        <w:spacing w:line="480" w:lineRule="auto"/>
        <w:rPr>
          <w:rFonts w:ascii="宋体"/>
          <w:sz w:val="24"/>
        </w:rPr>
      </w:pPr>
      <w:r>
        <w:rPr>
          <w:rFonts w:hint="eastAsia" w:ascii="宋体" w:hAnsi="宋体"/>
          <w:sz w:val="24"/>
        </w:rPr>
        <w:t>日期：</w:t>
      </w: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pStyle w:val="10"/>
        <w:rPr>
          <w:rFonts w:ascii="宋体"/>
          <w:b/>
          <w:sz w:val="24"/>
        </w:rPr>
      </w:pPr>
    </w:p>
    <w:p/>
    <w:p>
      <w:pPr>
        <w:tabs>
          <w:tab w:val="left" w:pos="2460"/>
        </w:tabs>
        <w:spacing w:line="360" w:lineRule="auto"/>
        <w:rPr>
          <w:rFonts w:ascii="宋体"/>
          <w:b/>
          <w:sz w:val="28"/>
        </w:rPr>
      </w:pPr>
      <w:r>
        <w:rPr>
          <w:rFonts w:hint="eastAsia" w:ascii="宋体" w:hAnsi="宋体"/>
          <w:b/>
          <w:sz w:val="28"/>
        </w:rPr>
        <w:t>附件</w:t>
      </w:r>
      <w:r>
        <w:rPr>
          <w:rFonts w:ascii="宋体" w:hAnsi="宋体"/>
          <w:b/>
          <w:sz w:val="28"/>
        </w:rPr>
        <w:t>13</w:t>
      </w:r>
    </w:p>
    <w:p>
      <w:pPr>
        <w:spacing w:line="480" w:lineRule="exact"/>
        <w:jc w:val="center"/>
        <w:rPr>
          <w:rFonts w:ascii="宋体"/>
          <w:b/>
          <w:sz w:val="32"/>
          <w:szCs w:val="32"/>
        </w:rPr>
      </w:pPr>
      <w:r>
        <w:rPr>
          <w:rFonts w:hint="eastAsia" w:ascii="宋体" w:hAnsi="宋体"/>
          <w:b/>
          <w:sz w:val="32"/>
          <w:szCs w:val="32"/>
        </w:rPr>
        <w:t>售后服务情况表</w:t>
      </w:r>
    </w:p>
    <w:p>
      <w:pPr>
        <w:spacing w:line="360" w:lineRule="auto"/>
        <w:rPr>
          <w:rFonts w:ascii="宋体"/>
          <w:b/>
          <w:sz w:val="24"/>
        </w:rPr>
      </w:pPr>
    </w:p>
    <w:tbl>
      <w:tblPr>
        <w:tblStyle w:val="27"/>
        <w:tblW w:w="852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trPr>
        <w:tc>
          <w:tcPr>
            <w:tcW w:w="739" w:type="dxa"/>
            <w:tcBorders>
              <w:top w:val="single" w:color="auto" w:sz="4" w:space="0"/>
            </w:tcBorders>
            <w:vAlign w:val="center"/>
          </w:tcPr>
          <w:p>
            <w:pPr>
              <w:pStyle w:val="61"/>
              <w:spacing w:line="360" w:lineRule="auto"/>
              <w:jc w:val="center"/>
              <w:rPr>
                <w:rFonts w:ascii="宋体" w:cs="Arial"/>
                <w:b/>
                <w:sz w:val="24"/>
              </w:rPr>
            </w:pPr>
            <w:r>
              <w:rPr>
                <w:rFonts w:hint="eastAsia" w:ascii="宋体" w:hAnsi="宋体" w:cs="Arial"/>
                <w:b/>
                <w:sz w:val="24"/>
              </w:rPr>
              <w:t>序号</w:t>
            </w:r>
          </w:p>
        </w:tc>
        <w:tc>
          <w:tcPr>
            <w:tcW w:w="2355" w:type="dxa"/>
            <w:tcBorders>
              <w:top w:val="single" w:color="auto" w:sz="4" w:space="0"/>
            </w:tcBorders>
            <w:vAlign w:val="center"/>
          </w:tcPr>
          <w:p>
            <w:pPr>
              <w:pStyle w:val="61"/>
              <w:spacing w:line="360" w:lineRule="auto"/>
              <w:jc w:val="center"/>
              <w:rPr>
                <w:rFonts w:ascii="宋体" w:cs="Arial"/>
                <w:b/>
                <w:sz w:val="24"/>
              </w:rPr>
            </w:pPr>
            <w:r>
              <w:rPr>
                <w:rFonts w:hint="eastAsia" w:ascii="宋体" w:hAnsi="宋体" w:cs="Arial"/>
                <w:b/>
                <w:sz w:val="24"/>
              </w:rPr>
              <w:t>项目</w:t>
            </w:r>
          </w:p>
        </w:tc>
        <w:tc>
          <w:tcPr>
            <w:tcW w:w="4061" w:type="dxa"/>
            <w:tcBorders>
              <w:top w:val="single" w:color="auto" w:sz="4" w:space="0"/>
            </w:tcBorders>
            <w:vAlign w:val="center"/>
          </w:tcPr>
          <w:p>
            <w:pPr>
              <w:pStyle w:val="61"/>
              <w:spacing w:line="360" w:lineRule="auto"/>
              <w:jc w:val="center"/>
              <w:rPr>
                <w:rFonts w:ascii="宋体" w:cs="Arial"/>
                <w:b/>
                <w:sz w:val="24"/>
              </w:rPr>
            </w:pPr>
            <w:r>
              <w:rPr>
                <w:rFonts w:hint="eastAsia" w:ascii="宋体" w:hAnsi="宋体" w:cs="Arial"/>
                <w:b/>
                <w:sz w:val="24"/>
              </w:rPr>
              <w:t>投标人情况</w:t>
            </w:r>
          </w:p>
        </w:tc>
        <w:tc>
          <w:tcPr>
            <w:tcW w:w="1373" w:type="dxa"/>
            <w:tcBorders>
              <w:top w:val="single" w:color="auto" w:sz="4" w:space="0"/>
            </w:tcBorders>
            <w:vAlign w:val="center"/>
          </w:tcPr>
          <w:p>
            <w:pPr>
              <w:pStyle w:val="61"/>
              <w:spacing w:line="360" w:lineRule="auto"/>
              <w:jc w:val="center"/>
              <w:rPr>
                <w:rFonts w:asci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47" w:hRule="atLeast"/>
        </w:trPr>
        <w:tc>
          <w:tcPr>
            <w:tcW w:w="739" w:type="dxa"/>
            <w:vAlign w:val="center"/>
          </w:tcPr>
          <w:p>
            <w:pPr>
              <w:pStyle w:val="61"/>
              <w:spacing w:line="360" w:lineRule="auto"/>
              <w:jc w:val="center"/>
              <w:rPr>
                <w:rFonts w:ascii="宋体" w:cs="Arial"/>
                <w:bCs/>
                <w:sz w:val="24"/>
              </w:rPr>
            </w:pPr>
            <w:r>
              <w:rPr>
                <w:rFonts w:ascii="宋体" w:hAnsi="宋体" w:cs="Arial"/>
                <w:bCs/>
                <w:sz w:val="24"/>
              </w:rPr>
              <w:t>1</w:t>
            </w:r>
          </w:p>
        </w:tc>
        <w:tc>
          <w:tcPr>
            <w:tcW w:w="2355" w:type="dxa"/>
            <w:vAlign w:val="center"/>
          </w:tcPr>
          <w:p>
            <w:pPr>
              <w:pStyle w:val="61"/>
              <w:widowControl/>
              <w:spacing w:line="360" w:lineRule="auto"/>
              <w:jc w:val="left"/>
              <w:rPr>
                <w:rFonts w:ascii="宋体" w:cs="Arial"/>
                <w:bCs/>
                <w:sz w:val="24"/>
              </w:rPr>
            </w:pPr>
            <w:r>
              <w:rPr>
                <w:rFonts w:hint="eastAsia" w:ascii="宋体" w:hAnsi="宋体" w:cs="Arial"/>
                <w:bCs/>
                <w:sz w:val="24"/>
              </w:rPr>
              <w:t>维保期内售后服务情况</w:t>
            </w:r>
            <w:r>
              <w:rPr>
                <w:rFonts w:ascii="宋体" w:hAnsi="宋体" w:cs="Arial"/>
                <w:bCs/>
                <w:sz w:val="24"/>
              </w:rPr>
              <w:t>(</w:t>
            </w:r>
            <w:r>
              <w:rPr>
                <w:rFonts w:hint="eastAsia" w:ascii="宋体" w:hAnsi="宋体" w:cs="Arial"/>
                <w:bCs/>
                <w:sz w:val="24"/>
              </w:rPr>
              <w:t>服务方式、服务网点、售后服务的内容和措施等等，可用附页和宣传材料</w:t>
            </w:r>
            <w:r>
              <w:rPr>
                <w:rFonts w:ascii="宋体" w:hAnsi="宋体" w:cs="Arial"/>
                <w:bCs/>
                <w:sz w:val="24"/>
              </w:rPr>
              <w:t>)</w:t>
            </w:r>
          </w:p>
        </w:tc>
        <w:tc>
          <w:tcPr>
            <w:tcW w:w="4061" w:type="dxa"/>
          </w:tcPr>
          <w:p>
            <w:pPr>
              <w:pStyle w:val="61"/>
              <w:spacing w:line="360" w:lineRule="auto"/>
              <w:rPr>
                <w:rFonts w:ascii="宋体" w:cs="Arial"/>
                <w:bCs/>
                <w:sz w:val="24"/>
              </w:rPr>
            </w:pPr>
          </w:p>
        </w:tc>
        <w:tc>
          <w:tcPr>
            <w:tcW w:w="1373" w:type="dxa"/>
          </w:tcPr>
          <w:p>
            <w:pPr>
              <w:pStyle w:val="61"/>
              <w:spacing w:line="360" w:lineRule="auto"/>
              <w:rPr>
                <w:rFonts w:asci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739" w:type="dxa"/>
            <w:vAlign w:val="center"/>
          </w:tcPr>
          <w:p>
            <w:pPr>
              <w:pStyle w:val="61"/>
              <w:spacing w:line="360" w:lineRule="auto"/>
              <w:jc w:val="center"/>
              <w:rPr>
                <w:rFonts w:ascii="宋体" w:cs="Arial"/>
                <w:bCs/>
                <w:sz w:val="24"/>
              </w:rPr>
            </w:pPr>
            <w:r>
              <w:rPr>
                <w:rFonts w:ascii="宋体" w:hAnsi="宋体" w:cs="Arial"/>
                <w:bCs/>
                <w:sz w:val="24"/>
              </w:rPr>
              <w:t>2</w:t>
            </w:r>
          </w:p>
        </w:tc>
        <w:tc>
          <w:tcPr>
            <w:tcW w:w="2355" w:type="dxa"/>
            <w:vAlign w:val="center"/>
          </w:tcPr>
          <w:p>
            <w:pPr>
              <w:pStyle w:val="61"/>
              <w:spacing w:line="360" w:lineRule="auto"/>
              <w:rPr>
                <w:rFonts w:ascii="宋体" w:cs="Arial"/>
                <w:bCs/>
                <w:sz w:val="24"/>
              </w:rPr>
            </w:pPr>
            <w:r>
              <w:rPr>
                <w:rFonts w:hint="eastAsia" w:ascii="宋体" w:hAnsi="宋体" w:cs="Arial"/>
                <w:bCs/>
                <w:sz w:val="24"/>
              </w:rPr>
              <w:t>维保期后售后服务</w:t>
            </w:r>
          </w:p>
        </w:tc>
        <w:tc>
          <w:tcPr>
            <w:tcW w:w="4061" w:type="dxa"/>
          </w:tcPr>
          <w:p>
            <w:pPr>
              <w:pStyle w:val="61"/>
              <w:widowControl/>
              <w:spacing w:line="360" w:lineRule="auto"/>
              <w:jc w:val="left"/>
              <w:rPr>
                <w:rFonts w:ascii="宋体" w:cs="Arial"/>
                <w:bCs/>
                <w:sz w:val="24"/>
              </w:rPr>
            </w:pPr>
          </w:p>
          <w:p>
            <w:pPr>
              <w:pStyle w:val="61"/>
              <w:widowControl/>
              <w:spacing w:line="360" w:lineRule="auto"/>
              <w:jc w:val="left"/>
              <w:rPr>
                <w:rFonts w:ascii="宋体" w:cs="Arial"/>
                <w:bCs/>
                <w:sz w:val="24"/>
              </w:rPr>
            </w:pPr>
          </w:p>
          <w:p>
            <w:pPr>
              <w:pStyle w:val="61"/>
              <w:spacing w:line="360" w:lineRule="auto"/>
              <w:rPr>
                <w:rFonts w:ascii="宋体" w:cs="Arial"/>
                <w:bCs/>
                <w:sz w:val="24"/>
              </w:rPr>
            </w:pPr>
          </w:p>
        </w:tc>
        <w:tc>
          <w:tcPr>
            <w:tcW w:w="1373" w:type="dxa"/>
          </w:tcPr>
          <w:p>
            <w:pPr>
              <w:pStyle w:val="61"/>
              <w:widowControl/>
              <w:spacing w:line="360" w:lineRule="auto"/>
              <w:jc w:val="left"/>
              <w:rPr>
                <w:rFonts w:ascii="宋体" w:cs="Arial"/>
                <w:bCs/>
                <w:sz w:val="24"/>
              </w:rPr>
            </w:pPr>
          </w:p>
          <w:p>
            <w:pPr>
              <w:pStyle w:val="61"/>
              <w:widowControl/>
              <w:spacing w:line="360" w:lineRule="auto"/>
              <w:jc w:val="left"/>
              <w:rPr>
                <w:rFonts w:ascii="宋体" w:cs="Arial"/>
                <w:bCs/>
                <w:sz w:val="24"/>
              </w:rPr>
            </w:pPr>
          </w:p>
          <w:p>
            <w:pPr>
              <w:pStyle w:val="61"/>
              <w:spacing w:line="360" w:lineRule="auto"/>
              <w:rPr>
                <w:rFonts w:asci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trPr>
        <w:tc>
          <w:tcPr>
            <w:tcW w:w="739" w:type="dxa"/>
            <w:vAlign w:val="center"/>
          </w:tcPr>
          <w:p>
            <w:pPr>
              <w:pStyle w:val="61"/>
              <w:widowControl/>
              <w:spacing w:line="360" w:lineRule="auto"/>
              <w:jc w:val="left"/>
              <w:rPr>
                <w:rFonts w:ascii="宋体" w:cs="Arial"/>
                <w:bCs/>
                <w:sz w:val="24"/>
              </w:rPr>
            </w:pPr>
            <w:r>
              <w:rPr>
                <w:rFonts w:ascii="宋体" w:hAnsi="宋体" w:cs="Arial"/>
                <w:bCs/>
                <w:sz w:val="24"/>
              </w:rPr>
              <w:t xml:space="preserve"> 3</w:t>
            </w:r>
          </w:p>
        </w:tc>
        <w:tc>
          <w:tcPr>
            <w:tcW w:w="2355" w:type="dxa"/>
            <w:vAlign w:val="center"/>
          </w:tcPr>
          <w:p>
            <w:pPr>
              <w:pStyle w:val="61"/>
              <w:widowControl/>
              <w:spacing w:line="360" w:lineRule="auto"/>
              <w:jc w:val="left"/>
              <w:rPr>
                <w:rFonts w:ascii="宋体" w:cs="Arial"/>
                <w:bCs/>
                <w:sz w:val="24"/>
              </w:rPr>
            </w:pPr>
            <w:r>
              <w:rPr>
                <w:rFonts w:hint="eastAsia" w:ascii="宋体" w:hAnsi="宋体" w:cs="Arial"/>
                <w:bCs/>
                <w:sz w:val="24"/>
              </w:rPr>
              <w:t>培训方案（可用附页）</w:t>
            </w:r>
          </w:p>
        </w:tc>
        <w:tc>
          <w:tcPr>
            <w:tcW w:w="4061" w:type="dxa"/>
          </w:tcPr>
          <w:p>
            <w:pPr>
              <w:pStyle w:val="61"/>
              <w:widowControl/>
              <w:spacing w:line="360" w:lineRule="auto"/>
              <w:jc w:val="left"/>
              <w:rPr>
                <w:rFonts w:ascii="宋体" w:cs="Arial"/>
                <w:bCs/>
                <w:i/>
                <w:sz w:val="24"/>
              </w:rPr>
            </w:pPr>
          </w:p>
          <w:p>
            <w:pPr>
              <w:pStyle w:val="61"/>
              <w:widowControl/>
              <w:spacing w:line="360" w:lineRule="auto"/>
              <w:jc w:val="left"/>
              <w:rPr>
                <w:rFonts w:ascii="宋体" w:cs="Arial"/>
                <w:bCs/>
                <w:i/>
                <w:sz w:val="24"/>
              </w:rPr>
            </w:pPr>
          </w:p>
        </w:tc>
        <w:tc>
          <w:tcPr>
            <w:tcW w:w="1373" w:type="dxa"/>
          </w:tcPr>
          <w:p>
            <w:pPr>
              <w:pStyle w:val="61"/>
              <w:widowControl/>
              <w:spacing w:line="360" w:lineRule="auto"/>
              <w:jc w:val="left"/>
              <w:rPr>
                <w:rFonts w:ascii="宋体" w:cs="Arial"/>
                <w:bCs/>
                <w:i/>
                <w:sz w:val="24"/>
              </w:rPr>
            </w:pPr>
          </w:p>
          <w:p>
            <w:pPr>
              <w:pStyle w:val="61"/>
              <w:widowControl/>
              <w:spacing w:line="360" w:lineRule="auto"/>
              <w:jc w:val="left"/>
              <w:rPr>
                <w:rFonts w:ascii="宋体" w:cs="Arial"/>
                <w:bCs/>
                <w:i/>
                <w:sz w:val="24"/>
              </w:rPr>
            </w:pPr>
          </w:p>
          <w:p>
            <w:pPr>
              <w:pStyle w:val="61"/>
              <w:widowControl/>
              <w:spacing w:line="360" w:lineRule="auto"/>
              <w:jc w:val="left"/>
              <w:rPr>
                <w:rFonts w:asci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trPr>
        <w:tc>
          <w:tcPr>
            <w:tcW w:w="739" w:type="dxa"/>
            <w:tcBorders>
              <w:bottom w:val="single" w:color="auto" w:sz="4" w:space="0"/>
            </w:tcBorders>
            <w:vAlign w:val="center"/>
          </w:tcPr>
          <w:p>
            <w:pPr>
              <w:pStyle w:val="61"/>
              <w:widowControl/>
              <w:spacing w:line="360" w:lineRule="auto"/>
              <w:jc w:val="left"/>
              <w:rPr>
                <w:rFonts w:ascii="宋体" w:cs="Arial"/>
                <w:bCs/>
                <w:sz w:val="24"/>
              </w:rPr>
            </w:pPr>
            <w:r>
              <w:rPr>
                <w:rFonts w:hint="eastAsia" w:ascii="宋体" w:cs="Arial"/>
                <w:bCs/>
                <w:sz w:val="24"/>
              </w:rPr>
              <w:t>……</w:t>
            </w:r>
          </w:p>
        </w:tc>
        <w:tc>
          <w:tcPr>
            <w:tcW w:w="2355" w:type="dxa"/>
            <w:tcBorders>
              <w:bottom w:val="single" w:color="auto" w:sz="4" w:space="0"/>
            </w:tcBorders>
            <w:vAlign w:val="center"/>
          </w:tcPr>
          <w:p>
            <w:pPr>
              <w:pStyle w:val="61"/>
              <w:widowControl/>
              <w:spacing w:line="360" w:lineRule="auto"/>
              <w:jc w:val="left"/>
              <w:rPr>
                <w:rFonts w:ascii="宋体" w:cs="Arial"/>
                <w:bCs/>
                <w:sz w:val="24"/>
              </w:rPr>
            </w:pPr>
            <w:r>
              <w:rPr>
                <w:rFonts w:hint="eastAsia" w:ascii="宋体" w:cs="Arial"/>
                <w:bCs/>
                <w:sz w:val="24"/>
              </w:rPr>
              <w:t>……</w:t>
            </w:r>
          </w:p>
        </w:tc>
        <w:tc>
          <w:tcPr>
            <w:tcW w:w="4061" w:type="dxa"/>
            <w:tcBorders>
              <w:bottom w:val="single" w:color="auto" w:sz="4" w:space="0"/>
            </w:tcBorders>
          </w:tcPr>
          <w:p>
            <w:pPr>
              <w:pStyle w:val="61"/>
              <w:widowControl/>
              <w:spacing w:line="360" w:lineRule="auto"/>
              <w:jc w:val="left"/>
              <w:rPr>
                <w:rFonts w:ascii="宋体" w:cs="Arial"/>
                <w:bCs/>
                <w:sz w:val="24"/>
              </w:rPr>
            </w:pPr>
          </w:p>
        </w:tc>
        <w:tc>
          <w:tcPr>
            <w:tcW w:w="1373" w:type="dxa"/>
            <w:tcBorders>
              <w:bottom w:val="single" w:color="auto" w:sz="4" w:space="0"/>
            </w:tcBorders>
          </w:tcPr>
          <w:p>
            <w:pPr>
              <w:pStyle w:val="61"/>
              <w:widowControl/>
              <w:spacing w:line="360" w:lineRule="auto"/>
              <w:jc w:val="left"/>
              <w:rPr>
                <w:rFonts w:ascii="宋体" w:cs="Arial"/>
                <w:bCs/>
                <w:sz w:val="24"/>
              </w:rPr>
            </w:pPr>
          </w:p>
        </w:tc>
      </w:tr>
    </w:tbl>
    <w:p>
      <w:pPr>
        <w:spacing w:line="360" w:lineRule="auto"/>
        <w:ind w:left="549" w:hanging="549" w:hangingChars="171"/>
        <w:jc w:val="center"/>
        <w:rPr>
          <w:rFonts w:ascii="宋体"/>
          <w:b/>
          <w:sz w:val="32"/>
          <w:szCs w:val="32"/>
        </w:rPr>
      </w:pPr>
    </w:p>
    <w:p>
      <w:pPr>
        <w:spacing w:line="360" w:lineRule="auto"/>
        <w:rPr>
          <w:rFonts w:ascii="宋体"/>
          <w:sz w:val="24"/>
        </w:rPr>
      </w:pPr>
    </w:p>
    <w:p>
      <w:pPr>
        <w:spacing w:line="480" w:lineRule="auto"/>
        <w:rPr>
          <w:rFonts w:ascii="宋体"/>
          <w:sz w:val="24"/>
        </w:rPr>
      </w:pPr>
      <w:r>
        <w:rPr>
          <w:rFonts w:hint="eastAsia" w:ascii="宋体" w:hAnsi="宋体"/>
          <w:sz w:val="24"/>
        </w:rPr>
        <w:t>投标人名称（盖章）：</w:t>
      </w:r>
    </w:p>
    <w:p>
      <w:pPr>
        <w:spacing w:line="480" w:lineRule="auto"/>
        <w:rPr>
          <w:rFonts w:ascii="宋体"/>
          <w:sz w:val="24"/>
        </w:rPr>
      </w:pPr>
      <w:r>
        <w:rPr>
          <w:rFonts w:hint="eastAsia" w:ascii="宋体" w:hAnsi="宋体"/>
          <w:sz w:val="24"/>
        </w:rPr>
        <w:t>授权委托代理人签字或盖章：</w:t>
      </w:r>
    </w:p>
    <w:p>
      <w:pPr>
        <w:spacing w:line="480" w:lineRule="auto"/>
        <w:rPr>
          <w:rFonts w:ascii="宋体"/>
          <w:sz w:val="24"/>
        </w:rPr>
      </w:pPr>
      <w:r>
        <w:rPr>
          <w:rFonts w:hint="eastAsia" w:ascii="宋体" w:hAnsi="宋体"/>
          <w:sz w:val="24"/>
        </w:rPr>
        <w:t>日期：</w:t>
      </w:r>
    </w:p>
    <w:p>
      <w:pPr>
        <w:spacing w:line="360" w:lineRule="auto"/>
        <w:rPr>
          <w:rFonts w:ascii="宋体" w:cs="宋体"/>
          <w:sz w:val="24"/>
          <w:szCs w:val="32"/>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rPr>
          <w:rFonts w:ascii="宋体"/>
          <w:b/>
          <w:bCs/>
          <w:sz w:val="28"/>
          <w:szCs w:val="28"/>
        </w:rPr>
      </w:pPr>
      <w:r>
        <w:rPr>
          <w:rFonts w:hint="eastAsia" w:ascii="宋体" w:hAnsi="宋体" w:cs="宋体"/>
          <w:b/>
          <w:bCs/>
          <w:sz w:val="28"/>
          <w:szCs w:val="28"/>
        </w:rPr>
        <w:t>附件</w:t>
      </w:r>
      <w:r>
        <w:rPr>
          <w:rFonts w:ascii="宋体" w:hAnsi="宋体" w:cs="宋体"/>
          <w:b/>
          <w:bCs/>
          <w:sz w:val="28"/>
          <w:szCs w:val="28"/>
        </w:rPr>
        <w:t>1</w:t>
      </w:r>
      <w:r>
        <w:rPr>
          <w:rFonts w:hint="eastAsia" w:ascii="宋体" w:hAnsi="宋体" w:cs="宋体"/>
          <w:b/>
          <w:bCs/>
          <w:sz w:val="28"/>
          <w:szCs w:val="28"/>
        </w:rPr>
        <w:t xml:space="preserve">4　                                             </w:t>
      </w:r>
      <w:r>
        <w:rPr>
          <w:rFonts w:hint="eastAsia" w:ascii="宋体" w:hAnsi="宋体" w:cs="宋体"/>
          <w:sz w:val="30"/>
          <w:szCs w:val="30"/>
        </w:rPr>
        <w:t>　</w:t>
      </w:r>
      <w:r>
        <w:rPr>
          <w:rFonts w:hint="eastAsia" w:ascii="宋体" w:hAnsi="宋体" w:cs="宋体"/>
          <w:sz w:val="24"/>
          <w:szCs w:val="24"/>
        </w:rPr>
        <w:t>本</w:t>
      </w:r>
    </w:p>
    <w:p>
      <w:pPr>
        <w:jc w:val="center"/>
        <w:rPr>
          <w:rFonts w:ascii="宋体"/>
          <w:spacing w:val="40"/>
          <w:sz w:val="52"/>
          <w:szCs w:val="52"/>
        </w:rPr>
      </w:pPr>
      <w:r>
        <w:rPr>
          <w:rFonts w:hint="eastAsia" w:ascii="宋体" w:hAnsi="宋体" w:cs="宋体"/>
          <w:spacing w:val="40"/>
          <w:sz w:val="52"/>
          <w:szCs w:val="52"/>
        </w:rPr>
        <w:t>项目名称</w:t>
      </w:r>
    </w:p>
    <w:p>
      <w:pPr>
        <w:jc w:val="center"/>
        <w:rPr>
          <w:rFonts w:ascii="宋体"/>
          <w:sz w:val="36"/>
          <w:szCs w:val="36"/>
        </w:rPr>
      </w:pPr>
      <w:r>
        <w:rPr>
          <w:rFonts w:hint="eastAsia" w:ascii="宋体" w:hAnsi="宋体" w:cs="宋体"/>
          <w:sz w:val="36"/>
          <w:szCs w:val="36"/>
        </w:rPr>
        <w:t>项目编号：</w:t>
      </w:r>
    </w:p>
    <w:p>
      <w:pPr>
        <w:jc w:val="center"/>
        <w:rPr>
          <w:rFonts w:ascii="宋体"/>
          <w:b/>
          <w:bCs/>
          <w:spacing w:val="40"/>
          <w:sz w:val="84"/>
          <w:szCs w:val="84"/>
        </w:rPr>
      </w:pPr>
    </w:p>
    <w:p>
      <w:pPr>
        <w:jc w:val="center"/>
        <w:rPr>
          <w:rFonts w:ascii="宋体"/>
          <w:b/>
          <w:bCs/>
          <w:spacing w:val="40"/>
          <w:sz w:val="84"/>
          <w:szCs w:val="84"/>
        </w:rPr>
      </w:pPr>
      <w:r>
        <w:rPr>
          <w:rFonts w:hint="eastAsia" w:ascii="宋体" w:hAnsi="宋体" w:cs="宋体"/>
          <w:b/>
          <w:bCs/>
          <w:spacing w:val="40"/>
          <w:sz w:val="84"/>
          <w:szCs w:val="84"/>
        </w:rPr>
        <w:t>报</w:t>
      </w:r>
    </w:p>
    <w:p>
      <w:pPr>
        <w:jc w:val="center"/>
        <w:rPr>
          <w:rFonts w:ascii="宋体"/>
          <w:b/>
          <w:bCs/>
          <w:spacing w:val="40"/>
          <w:sz w:val="84"/>
          <w:szCs w:val="84"/>
        </w:rPr>
      </w:pPr>
      <w:r>
        <w:rPr>
          <w:rFonts w:hint="eastAsia" w:ascii="宋体" w:hAnsi="宋体" w:cs="宋体"/>
          <w:b/>
          <w:bCs/>
          <w:spacing w:val="40"/>
          <w:sz w:val="84"/>
          <w:szCs w:val="84"/>
        </w:rPr>
        <w:t>价</w:t>
      </w:r>
    </w:p>
    <w:p>
      <w:pPr>
        <w:jc w:val="center"/>
        <w:rPr>
          <w:rFonts w:ascii="宋体"/>
          <w:b/>
          <w:bCs/>
          <w:spacing w:val="40"/>
          <w:sz w:val="84"/>
          <w:szCs w:val="84"/>
        </w:rPr>
      </w:pPr>
      <w:r>
        <w:rPr>
          <w:rFonts w:hint="eastAsia" w:ascii="宋体" w:hAnsi="宋体" w:cs="宋体"/>
          <w:b/>
          <w:bCs/>
          <w:spacing w:val="40"/>
          <w:sz w:val="84"/>
          <w:szCs w:val="84"/>
        </w:rPr>
        <w:t>文</w:t>
      </w:r>
    </w:p>
    <w:p>
      <w:pPr>
        <w:jc w:val="center"/>
        <w:rPr>
          <w:rFonts w:ascii="宋体"/>
          <w:b/>
          <w:bCs/>
          <w:spacing w:val="40"/>
          <w:sz w:val="84"/>
          <w:szCs w:val="84"/>
        </w:rPr>
      </w:pPr>
      <w:r>
        <w:rPr>
          <w:rFonts w:hint="eastAsia" w:ascii="宋体" w:hAnsi="宋体" w:cs="宋体"/>
          <w:b/>
          <w:bCs/>
          <w:spacing w:val="40"/>
          <w:sz w:val="84"/>
          <w:szCs w:val="84"/>
        </w:rPr>
        <w:t>件</w:t>
      </w:r>
    </w:p>
    <w:p>
      <w:pPr>
        <w:jc w:val="center"/>
        <w:rPr>
          <w:rFonts w:ascii="宋体"/>
          <w:sz w:val="36"/>
          <w:szCs w:val="36"/>
        </w:rPr>
      </w:pPr>
    </w:p>
    <w:p>
      <w:pPr>
        <w:jc w:val="center"/>
        <w:rPr>
          <w:rFonts w:ascii="宋体"/>
          <w:sz w:val="36"/>
          <w:szCs w:val="36"/>
        </w:rPr>
      </w:pPr>
    </w:p>
    <w:p>
      <w:pPr>
        <w:spacing w:line="360" w:lineRule="auto"/>
        <w:ind w:right="532"/>
        <w:jc w:val="center"/>
        <w:rPr>
          <w:rFonts w:ascii="宋体"/>
          <w:sz w:val="36"/>
          <w:szCs w:val="36"/>
        </w:rPr>
      </w:pPr>
    </w:p>
    <w:p>
      <w:pPr>
        <w:rPr>
          <w:rFonts w:ascii="宋体"/>
          <w:sz w:val="36"/>
          <w:szCs w:val="36"/>
        </w:rPr>
      </w:pPr>
      <w:r>
        <w:rPr>
          <w:rFonts w:hint="eastAsia" w:ascii="宋体" w:hAnsi="宋体" w:cs="宋体"/>
          <w:sz w:val="36"/>
          <w:szCs w:val="36"/>
        </w:rPr>
        <w:t>供应商全称（公章）：</w:t>
      </w:r>
    </w:p>
    <w:p>
      <w:pPr>
        <w:rPr>
          <w:rFonts w:ascii="宋体"/>
          <w:sz w:val="36"/>
          <w:szCs w:val="36"/>
        </w:rPr>
      </w:pPr>
      <w:r>
        <w:rPr>
          <w:rFonts w:hint="eastAsia" w:ascii="宋体" w:hAnsi="宋体" w:cs="宋体"/>
          <w:sz w:val="36"/>
          <w:szCs w:val="36"/>
        </w:rPr>
        <w:t>地址：</w:t>
      </w:r>
    </w:p>
    <w:p>
      <w:pPr>
        <w:rPr>
          <w:rFonts w:ascii="宋体"/>
          <w:sz w:val="36"/>
          <w:szCs w:val="36"/>
        </w:rPr>
      </w:pPr>
      <w:r>
        <w:rPr>
          <w:rFonts w:hint="eastAsia" w:ascii="宋体" w:hAnsi="宋体" w:cs="宋体"/>
          <w:sz w:val="36"/>
          <w:szCs w:val="36"/>
        </w:rPr>
        <w:t>时间：</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jc w:val="center"/>
        <w:rPr>
          <w:rFonts w:ascii="宋体"/>
          <w:b/>
          <w:bCs/>
          <w:sz w:val="32"/>
          <w:szCs w:val="32"/>
          <w:lang w:val="zh-CN"/>
        </w:rPr>
      </w:pPr>
      <w:r>
        <w:rPr>
          <w:rFonts w:hint="eastAsia" w:ascii="宋体" w:hAnsi="宋体" w:cs="宋体"/>
          <w:b/>
          <w:bCs/>
          <w:sz w:val="32"/>
          <w:szCs w:val="32"/>
          <w:lang w:val="zh-CN"/>
        </w:rPr>
        <w:t>报价文件目录</w:t>
      </w:r>
    </w:p>
    <w:p>
      <w:pPr>
        <w:spacing w:line="360" w:lineRule="auto"/>
        <w:rPr>
          <w:rFonts w:ascii="宋体"/>
          <w:sz w:val="24"/>
          <w:szCs w:val="24"/>
        </w:rPr>
      </w:pPr>
    </w:p>
    <w:p>
      <w:pPr>
        <w:spacing w:line="360" w:lineRule="auto"/>
        <w:rPr>
          <w:rFonts w:ascii="宋体"/>
          <w:sz w:val="24"/>
          <w:szCs w:val="24"/>
        </w:rPr>
      </w:pPr>
    </w:p>
    <w:p>
      <w:pPr>
        <w:spacing w:line="360" w:lineRule="auto"/>
        <w:ind w:firstLine="560" w:firstLineChars="200"/>
        <w:rPr>
          <w:rFonts w:ascii="宋体"/>
          <w:sz w:val="28"/>
          <w:szCs w:val="28"/>
        </w:rPr>
      </w:pPr>
      <w:r>
        <w:rPr>
          <w:rFonts w:ascii="宋体" w:hAnsi="宋体" w:cs="宋体"/>
          <w:sz w:val="28"/>
          <w:szCs w:val="28"/>
        </w:rPr>
        <w:t>1</w:t>
      </w:r>
      <w:r>
        <w:rPr>
          <w:rFonts w:hint="eastAsia" w:ascii="宋体" w:hAnsi="宋体" w:cs="宋体"/>
          <w:sz w:val="28"/>
          <w:szCs w:val="28"/>
        </w:rPr>
        <w:t>、开标一览表（附件</w:t>
      </w:r>
      <w:r>
        <w:rPr>
          <w:rFonts w:ascii="宋体" w:hAnsi="宋体" w:cs="宋体"/>
          <w:sz w:val="28"/>
          <w:szCs w:val="28"/>
        </w:rPr>
        <w:t>1</w:t>
      </w:r>
      <w:r>
        <w:rPr>
          <w:rFonts w:hint="eastAsia" w:ascii="宋体" w:hAnsi="宋体" w:cs="宋体"/>
          <w:sz w:val="28"/>
          <w:szCs w:val="28"/>
        </w:rPr>
        <w:t>5）；</w:t>
      </w:r>
    </w:p>
    <w:p>
      <w:pPr>
        <w:spacing w:line="360" w:lineRule="auto"/>
        <w:ind w:firstLine="560" w:firstLineChars="200"/>
        <w:rPr>
          <w:rFonts w:ascii="宋体" w:hAnsi="宋体" w:cs="宋体"/>
          <w:sz w:val="28"/>
          <w:szCs w:val="28"/>
        </w:rPr>
      </w:pPr>
      <w:r>
        <w:rPr>
          <w:rFonts w:hint="eastAsia" w:ascii="宋体" w:hAnsi="宋体" w:cs="宋体"/>
          <w:sz w:val="28"/>
          <w:szCs w:val="28"/>
        </w:rPr>
        <w:t>2、报价明细表（附件16）；</w:t>
      </w:r>
    </w:p>
    <w:p>
      <w:pPr>
        <w:spacing w:line="360" w:lineRule="auto"/>
        <w:ind w:firstLine="560" w:firstLineChars="200"/>
        <w:rPr>
          <w:rFonts w:ascii="宋体"/>
          <w:sz w:val="28"/>
          <w:szCs w:val="28"/>
        </w:rPr>
      </w:pPr>
      <w:r>
        <w:rPr>
          <w:rFonts w:hint="eastAsia" w:ascii="宋体" w:hAnsi="宋体" w:cs="宋体"/>
          <w:sz w:val="28"/>
          <w:szCs w:val="28"/>
        </w:rPr>
        <w:t>3、中小企业等声明函（附件</w:t>
      </w:r>
      <w:r>
        <w:rPr>
          <w:rFonts w:ascii="宋体" w:hAnsi="宋体" w:cs="宋体"/>
          <w:sz w:val="28"/>
          <w:szCs w:val="28"/>
        </w:rPr>
        <w:t>1</w:t>
      </w:r>
      <w:r>
        <w:rPr>
          <w:rFonts w:hint="eastAsia" w:ascii="宋体" w:hAnsi="宋体" w:cs="宋体"/>
          <w:sz w:val="28"/>
          <w:szCs w:val="28"/>
        </w:rPr>
        <w:t>7）。（如有需提供）</w:t>
      </w:r>
    </w:p>
    <w:p>
      <w:pPr>
        <w:spacing w:line="360" w:lineRule="auto"/>
        <w:ind w:firstLine="560" w:firstLineChars="200"/>
        <w:rPr>
          <w:rFonts w:ascii="宋体"/>
          <w:sz w:val="28"/>
          <w:szCs w:val="28"/>
        </w:rPr>
      </w:pPr>
      <w:r>
        <w:rPr>
          <w:rFonts w:hint="eastAsia" w:ascii="宋体" w:hAnsi="宋体" w:cs="宋体"/>
          <w:sz w:val="28"/>
          <w:szCs w:val="28"/>
        </w:rPr>
        <w:t>4、针对报价投标人认为其他需要说明的；</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pStyle w:val="2"/>
        <w:rPr>
          <w:rFonts w:ascii="宋体"/>
          <w:sz w:val="24"/>
          <w:szCs w:val="24"/>
        </w:rPr>
      </w:pPr>
    </w:p>
    <w:p>
      <w:pPr>
        <w:rPr>
          <w:rFonts w:ascii="宋体"/>
          <w:sz w:val="24"/>
          <w:szCs w:val="24"/>
        </w:rPr>
      </w:pPr>
    </w:p>
    <w:p>
      <w:pPr>
        <w:pStyle w:val="2"/>
      </w:pPr>
    </w:p>
    <w:p>
      <w:pPr>
        <w:spacing w:line="360" w:lineRule="auto"/>
        <w:rPr>
          <w:rFonts w:ascii="宋体"/>
          <w:sz w:val="24"/>
          <w:szCs w:val="24"/>
        </w:rPr>
      </w:pPr>
    </w:p>
    <w:p>
      <w:pPr>
        <w:spacing w:line="360" w:lineRule="auto"/>
        <w:rPr>
          <w:rFonts w:ascii="宋体"/>
          <w:sz w:val="24"/>
          <w:szCs w:val="24"/>
        </w:rPr>
      </w:pPr>
    </w:p>
    <w:p>
      <w:pPr>
        <w:spacing w:line="360" w:lineRule="auto"/>
        <w:jc w:val="left"/>
        <w:rPr>
          <w:rFonts w:ascii="宋体"/>
          <w:b/>
          <w:bCs/>
          <w:sz w:val="28"/>
          <w:szCs w:val="28"/>
          <w:lang w:val="zh-CN"/>
        </w:rPr>
      </w:pPr>
      <w:r>
        <w:rPr>
          <w:rFonts w:hint="eastAsia" w:ascii="宋体" w:hAnsi="宋体" w:cs="宋体"/>
          <w:b/>
          <w:bCs/>
          <w:sz w:val="28"/>
          <w:szCs w:val="28"/>
          <w:lang w:val="zh-CN"/>
        </w:rPr>
        <w:t>附件</w:t>
      </w:r>
      <w:r>
        <w:rPr>
          <w:rFonts w:ascii="宋体" w:hAnsi="宋体" w:cs="宋体"/>
          <w:b/>
          <w:bCs/>
          <w:sz w:val="28"/>
          <w:szCs w:val="28"/>
          <w:lang w:val="zh-CN"/>
        </w:rPr>
        <w:t>1</w:t>
      </w:r>
      <w:r>
        <w:rPr>
          <w:rFonts w:hint="eastAsia" w:ascii="宋体" w:hAnsi="宋体" w:cs="宋体"/>
          <w:b/>
          <w:bCs/>
          <w:sz w:val="28"/>
          <w:szCs w:val="28"/>
        </w:rPr>
        <w:t>5</w:t>
      </w:r>
    </w:p>
    <w:p>
      <w:pPr>
        <w:spacing w:line="360" w:lineRule="auto"/>
        <w:ind w:left="-2" w:hanging="2"/>
        <w:jc w:val="center"/>
        <w:rPr>
          <w:rFonts w:ascii="宋体"/>
          <w:b/>
          <w:bCs/>
          <w:sz w:val="32"/>
          <w:szCs w:val="32"/>
        </w:rPr>
      </w:pPr>
      <w:r>
        <w:rPr>
          <w:rFonts w:hint="eastAsia" w:ascii="宋体" w:hAnsi="宋体" w:cs="宋体"/>
          <w:b/>
          <w:bCs/>
          <w:sz w:val="32"/>
          <w:szCs w:val="32"/>
        </w:rPr>
        <w:t>开标一览表</w:t>
      </w:r>
    </w:p>
    <w:p>
      <w:pPr>
        <w:spacing w:line="360" w:lineRule="auto"/>
        <w:rPr>
          <w:rFonts w:ascii="宋体"/>
          <w:sz w:val="24"/>
          <w:szCs w:val="24"/>
        </w:rPr>
      </w:pPr>
    </w:p>
    <w:p>
      <w:pPr>
        <w:spacing w:line="360" w:lineRule="auto"/>
        <w:rPr>
          <w:rFonts w:ascii="宋体"/>
          <w:b/>
          <w:bCs/>
          <w:sz w:val="24"/>
          <w:szCs w:val="24"/>
        </w:rPr>
      </w:pPr>
      <w:r>
        <w:rPr>
          <w:rFonts w:hint="eastAsia" w:ascii="宋体" w:hAnsi="宋体" w:cs="宋体"/>
          <w:b/>
          <w:bCs/>
          <w:sz w:val="24"/>
          <w:szCs w:val="24"/>
        </w:rPr>
        <w:t>项目编号：</w:t>
      </w:r>
    </w:p>
    <w:p>
      <w:pPr>
        <w:spacing w:line="360" w:lineRule="auto"/>
        <w:rPr>
          <w:rFonts w:ascii="宋体"/>
          <w:sz w:val="24"/>
          <w:szCs w:val="24"/>
        </w:rPr>
      </w:pPr>
      <w:r>
        <w:rPr>
          <w:rFonts w:hint="eastAsia" w:ascii="宋体" w:hAnsi="宋体" w:cs="宋体"/>
          <w:b/>
          <w:bCs/>
          <w:sz w:val="24"/>
          <w:szCs w:val="24"/>
        </w:rPr>
        <w:t>项目名称：</w:t>
      </w:r>
      <w:r>
        <w:rPr>
          <w:rFonts w:hint="eastAsia" w:ascii="宋体" w:hAnsi="宋体" w:cs="宋体"/>
          <w:sz w:val="24"/>
          <w:szCs w:val="24"/>
        </w:rPr>
        <w:t xml:space="preserve">             [货币单位：人民币元]</w:t>
      </w:r>
    </w:p>
    <w:tbl>
      <w:tblPr>
        <w:tblStyle w:val="27"/>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trPr>
        <w:tc>
          <w:tcPr>
            <w:tcW w:w="2694" w:type="dxa"/>
            <w:vMerge w:val="restart"/>
            <w:vAlign w:val="center"/>
          </w:tcPr>
          <w:p>
            <w:pPr>
              <w:autoSpaceDE w:val="0"/>
              <w:autoSpaceDN w:val="0"/>
              <w:spacing w:line="450" w:lineRule="exact"/>
              <w:jc w:val="center"/>
              <w:textAlignment w:val="bottom"/>
              <w:rPr>
                <w:rFonts w:ascii="宋体"/>
                <w:sz w:val="24"/>
                <w:szCs w:val="24"/>
              </w:rPr>
            </w:pPr>
            <w:r>
              <w:rPr>
                <w:rFonts w:hint="eastAsia" w:ascii="宋体" w:hAnsi="宋体" w:cs="宋体"/>
                <w:sz w:val="24"/>
                <w:szCs w:val="24"/>
              </w:rPr>
              <w:t>投标总报价</w:t>
            </w:r>
            <w:r>
              <w:rPr>
                <w:rFonts w:ascii="宋体" w:hAnsi="宋体" w:cs="宋体"/>
                <w:sz w:val="24"/>
                <w:szCs w:val="24"/>
              </w:rPr>
              <w:t>(</w:t>
            </w:r>
            <w:r>
              <w:rPr>
                <w:rFonts w:hint="eastAsia" w:ascii="宋体" w:hAnsi="宋体" w:cs="宋体"/>
                <w:sz w:val="24"/>
                <w:szCs w:val="24"/>
              </w:rPr>
              <w:t>元</w:t>
            </w:r>
            <w:r>
              <w:rPr>
                <w:rFonts w:ascii="宋体" w:hAnsi="宋体" w:cs="宋体"/>
                <w:sz w:val="24"/>
                <w:szCs w:val="24"/>
              </w:rPr>
              <w:t>)</w:t>
            </w:r>
          </w:p>
        </w:tc>
        <w:tc>
          <w:tcPr>
            <w:tcW w:w="1349" w:type="dxa"/>
            <w:vAlign w:val="center"/>
          </w:tcPr>
          <w:p>
            <w:pPr>
              <w:autoSpaceDE w:val="0"/>
              <w:autoSpaceDN w:val="0"/>
              <w:spacing w:line="450" w:lineRule="exact"/>
              <w:jc w:val="center"/>
              <w:textAlignment w:val="bottom"/>
              <w:rPr>
                <w:rFonts w:ascii="宋体"/>
                <w:sz w:val="24"/>
                <w:szCs w:val="24"/>
              </w:rPr>
            </w:pPr>
            <w:r>
              <w:rPr>
                <w:rFonts w:hint="eastAsia" w:ascii="宋体" w:hAnsi="宋体" w:cs="宋体"/>
                <w:sz w:val="24"/>
                <w:szCs w:val="24"/>
              </w:rPr>
              <w:t>大写</w:t>
            </w:r>
          </w:p>
        </w:tc>
        <w:tc>
          <w:tcPr>
            <w:tcW w:w="4629" w:type="dxa"/>
            <w:vAlign w:val="center"/>
          </w:tcPr>
          <w:p>
            <w:pPr>
              <w:autoSpaceDE w:val="0"/>
              <w:autoSpaceDN w:val="0"/>
              <w:spacing w:line="450" w:lineRule="exact"/>
              <w:jc w:val="center"/>
              <w:textAlignment w:val="bottom"/>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trPr>
        <w:tc>
          <w:tcPr>
            <w:tcW w:w="2694" w:type="dxa"/>
            <w:vMerge w:val="continue"/>
            <w:vAlign w:val="center"/>
          </w:tcPr>
          <w:p>
            <w:pPr>
              <w:rPr>
                <w:rFonts w:ascii="宋体"/>
                <w:sz w:val="24"/>
                <w:szCs w:val="24"/>
              </w:rPr>
            </w:pPr>
          </w:p>
        </w:tc>
        <w:tc>
          <w:tcPr>
            <w:tcW w:w="1349" w:type="dxa"/>
            <w:vAlign w:val="center"/>
          </w:tcPr>
          <w:p>
            <w:pPr>
              <w:autoSpaceDE w:val="0"/>
              <w:autoSpaceDN w:val="0"/>
              <w:spacing w:line="450" w:lineRule="exact"/>
              <w:jc w:val="center"/>
              <w:textAlignment w:val="bottom"/>
              <w:rPr>
                <w:rFonts w:ascii="宋体"/>
                <w:sz w:val="24"/>
                <w:szCs w:val="24"/>
              </w:rPr>
            </w:pPr>
            <w:r>
              <w:rPr>
                <w:rFonts w:hint="eastAsia" w:ascii="宋体" w:hAnsi="宋体" w:cs="宋体"/>
                <w:sz w:val="24"/>
                <w:szCs w:val="24"/>
              </w:rPr>
              <w:t>小写</w:t>
            </w:r>
          </w:p>
        </w:tc>
        <w:tc>
          <w:tcPr>
            <w:tcW w:w="4629" w:type="dxa"/>
            <w:vAlign w:val="center"/>
          </w:tcPr>
          <w:p>
            <w:pPr>
              <w:autoSpaceDE w:val="0"/>
              <w:autoSpaceDN w:val="0"/>
              <w:spacing w:line="450" w:lineRule="exact"/>
              <w:jc w:val="center"/>
              <w:textAlignment w:val="bottom"/>
              <w:rPr>
                <w:rFonts w:ascii="宋体"/>
                <w:sz w:val="24"/>
                <w:szCs w:val="24"/>
              </w:rPr>
            </w:pPr>
          </w:p>
        </w:tc>
      </w:tr>
    </w:tbl>
    <w:p>
      <w:pPr>
        <w:spacing w:line="360" w:lineRule="auto"/>
        <w:rPr>
          <w:rFonts w:ascii="宋体"/>
          <w:sz w:val="24"/>
          <w:szCs w:val="24"/>
        </w:rPr>
      </w:pPr>
    </w:p>
    <w:p>
      <w:pPr>
        <w:spacing w:line="360" w:lineRule="auto"/>
        <w:jc w:val="left"/>
        <w:rPr>
          <w:rFonts w:ascii="宋体"/>
          <w:b/>
          <w:bCs/>
          <w:sz w:val="24"/>
          <w:szCs w:val="24"/>
        </w:rPr>
      </w:pPr>
      <w:r>
        <w:rPr>
          <w:rFonts w:hint="eastAsia" w:ascii="宋体" w:hAnsi="宋体" w:cs="宋体"/>
          <w:b/>
          <w:bCs/>
          <w:sz w:val="24"/>
          <w:szCs w:val="24"/>
        </w:rPr>
        <w:t>填报要求：</w:t>
      </w:r>
    </w:p>
    <w:p>
      <w:pPr>
        <w:tabs>
          <w:tab w:val="left" w:pos="525"/>
        </w:tabs>
        <w:snapToGrid w:val="0"/>
        <w:spacing w:line="360" w:lineRule="auto"/>
        <w:ind w:firstLine="480" w:firstLineChars="200"/>
        <w:jc w:val="left"/>
        <w:rPr>
          <w:rFonts w:ascii="宋体" w:hAnsi="宋体" w:cs="宋体"/>
          <w:bCs/>
          <w:sz w:val="24"/>
        </w:rPr>
      </w:pPr>
      <w:r>
        <w:rPr>
          <w:rFonts w:ascii="宋体" w:hAnsi="宋体" w:cs="宋体"/>
          <w:sz w:val="24"/>
          <w:szCs w:val="32"/>
        </w:rPr>
        <w:t>1.</w:t>
      </w:r>
      <w:r>
        <w:rPr>
          <w:rFonts w:hint="eastAsia" w:ascii="宋体" w:hAnsi="宋体" w:cs="宋体"/>
          <w:sz w:val="24"/>
          <w:szCs w:val="32"/>
        </w:rPr>
        <w:t>投标总报价</w:t>
      </w:r>
      <w:r>
        <w:rPr>
          <w:rFonts w:hint="eastAsia" w:ascii="宋体" w:hAnsi="宋体" w:cs="宋体"/>
          <w:bCs/>
          <w:sz w:val="24"/>
        </w:rPr>
        <w:t>为完成本项目服务及要求所包含的所有费用，投标人应考虑企业自身实力、经验及项目实施过程中的各种因素，在投标报价中应充分考虑所有可能发生的费用，否则采购人将视投标总价中已包括所有费用。</w:t>
      </w:r>
    </w:p>
    <w:p>
      <w:pPr>
        <w:spacing w:line="360" w:lineRule="auto"/>
        <w:ind w:firstLine="480" w:firstLineChars="200"/>
        <w:jc w:val="left"/>
        <w:rPr>
          <w:rFonts w:ascii="宋体" w:cs="宋体"/>
          <w:sz w:val="24"/>
          <w:szCs w:val="32"/>
        </w:rPr>
      </w:pPr>
      <w:r>
        <w:rPr>
          <w:rFonts w:ascii="宋体" w:hAnsi="宋体" w:cs="宋体"/>
          <w:sz w:val="24"/>
          <w:szCs w:val="32"/>
        </w:rPr>
        <w:t>2.</w:t>
      </w:r>
      <w:r>
        <w:rPr>
          <w:rFonts w:hint="eastAsia" w:ascii="宋体" w:hAnsi="宋体" w:cs="宋体"/>
          <w:sz w:val="24"/>
          <w:szCs w:val="32"/>
        </w:rPr>
        <w:t>报价一经涂改，应在涂改处加盖单位公章，或者由法定代表人或授权委托代理人签字或盖章，否则其投标作无效标处理。</w:t>
      </w:r>
    </w:p>
    <w:p>
      <w:pPr>
        <w:spacing w:line="360" w:lineRule="auto"/>
        <w:rPr>
          <w:rFonts w:ascii="宋体"/>
          <w:sz w:val="24"/>
          <w:szCs w:val="24"/>
        </w:rPr>
      </w:pPr>
    </w:p>
    <w:p>
      <w:pPr>
        <w:spacing w:line="360" w:lineRule="auto"/>
        <w:rPr>
          <w:rFonts w:ascii="宋体"/>
          <w:sz w:val="24"/>
          <w:szCs w:val="24"/>
        </w:rPr>
      </w:pPr>
    </w:p>
    <w:p>
      <w:pPr>
        <w:spacing w:line="480" w:lineRule="auto"/>
        <w:rPr>
          <w:rFonts w:ascii="宋体"/>
          <w:sz w:val="24"/>
          <w:szCs w:val="24"/>
        </w:rPr>
      </w:pPr>
      <w:r>
        <w:rPr>
          <w:rFonts w:hint="eastAsia" w:ascii="宋体" w:hAnsi="宋体" w:cs="宋体"/>
          <w:sz w:val="24"/>
          <w:szCs w:val="24"/>
        </w:rPr>
        <w:t>投标人名称（盖章）：</w:t>
      </w:r>
    </w:p>
    <w:p>
      <w:pPr>
        <w:spacing w:line="480" w:lineRule="auto"/>
        <w:rPr>
          <w:rFonts w:ascii="宋体"/>
          <w:sz w:val="24"/>
          <w:szCs w:val="24"/>
        </w:rPr>
      </w:pPr>
      <w:r>
        <w:rPr>
          <w:rFonts w:hint="eastAsia" w:ascii="宋体" w:hAnsi="宋体" w:cs="宋体"/>
          <w:sz w:val="24"/>
          <w:szCs w:val="24"/>
        </w:rPr>
        <w:t>授权委托代理人签字或盖章：</w:t>
      </w:r>
    </w:p>
    <w:p>
      <w:pPr>
        <w:spacing w:line="480" w:lineRule="auto"/>
        <w:rPr>
          <w:rFonts w:ascii="宋体"/>
          <w:sz w:val="24"/>
          <w:szCs w:val="24"/>
        </w:rPr>
      </w:pPr>
      <w:r>
        <w:rPr>
          <w:rFonts w:hint="eastAsia" w:ascii="宋体" w:hAnsi="宋体" w:cs="宋体"/>
          <w:sz w:val="24"/>
          <w:szCs w:val="24"/>
        </w:rPr>
        <w:t>日期：</w:t>
      </w:r>
    </w:p>
    <w:p>
      <w:pPr>
        <w:spacing w:line="360" w:lineRule="auto"/>
        <w:rPr>
          <w:rFonts w:ascii="宋体"/>
          <w:sz w:val="24"/>
          <w:szCs w:val="24"/>
        </w:rPr>
      </w:pPr>
    </w:p>
    <w:p>
      <w:pPr>
        <w:spacing w:line="360" w:lineRule="auto"/>
        <w:rPr>
          <w:rFonts w:ascii="宋体"/>
          <w:sz w:val="24"/>
          <w:szCs w:val="24"/>
        </w:rPr>
      </w:pPr>
    </w:p>
    <w:p>
      <w:pPr>
        <w:rPr>
          <w:rFonts w:ascii="宋体"/>
          <w:b/>
          <w:bCs/>
          <w:sz w:val="28"/>
          <w:szCs w:val="28"/>
        </w:rPr>
      </w:pPr>
    </w:p>
    <w:p>
      <w:pPr>
        <w:pStyle w:val="12"/>
        <w:rPr>
          <w:rFonts w:ascii="宋体"/>
          <w:b/>
          <w:bCs/>
          <w:sz w:val="28"/>
          <w:szCs w:val="28"/>
        </w:rPr>
      </w:pPr>
    </w:p>
    <w:p>
      <w:pPr>
        <w:pStyle w:val="13"/>
      </w:pPr>
    </w:p>
    <w:p>
      <w:pPr>
        <w:spacing w:line="360" w:lineRule="auto"/>
        <w:jc w:val="left"/>
        <w:rPr>
          <w:rFonts w:ascii="宋体"/>
          <w:b/>
          <w:bCs/>
          <w:sz w:val="28"/>
          <w:szCs w:val="28"/>
        </w:rPr>
      </w:pPr>
      <w:r>
        <w:rPr>
          <w:rFonts w:hint="eastAsia" w:ascii="宋体" w:hAnsi="宋体" w:cs="宋体"/>
          <w:b/>
          <w:bCs/>
          <w:sz w:val="28"/>
          <w:szCs w:val="28"/>
          <w:lang w:val="zh-CN"/>
        </w:rPr>
        <w:t>附件</w:t>
      </w:r>
      <w:r>
        <w:rPr>
          <w:rFonts w:ascii="宋体" w:hAnsi="宋体" w:cs="宋体"/>
          <w:b/>
          <w:bCs/>
          <w:sz w:val="28"/>
          <w:szCs w:val="28"/>
          <w:lang w:val="zh-CN"/>
        </w:rPr>
        <w:t>1</w:t>
      </w:r>
      <w:r>
        <w:rPr>
          <w:rFonts w:hint="eastAsia" w:ascii="宋体" w:hAnsi="宋体" w:cs="宋体"/>
          <w:b/>
          <w:bCs/>
          <w:sz w:val="28"/>
          <w:szCs w:val="28"/>
        </w:rPr>
        <w:t>6</w:t>
      </w:r>
    </w:p>
    <w:p>
      <w:pPr>
        <w:spacing w:line="360" w:lineRule="auto"/>
        <w:ind w:left="-2" w:hanging="2"/>
        <w:jc w:val="center"/>
        <w:rPr>
          <w:rFonts w:ascii="宋体"/>
          <w:b/>
          <w:bCs/>
          <w:sz w:val="32"/>
          <w:szCs w:val="32"/>
        </w:rPr>
      </w:pPr>
      <w:r>
        <w:rPr>
          <w:rFonts w:hint="eastAsia" w:ascii="宋体" w:hAnsi="宋体" w:cs="宋体"/>
          <w:b/>
          <w:bCs/>
          <w:sz w:val="32"/>
          <w:szCs w:val="32"/>
        </w:rPr>
        <w:t>报价明细表</w:t>
      </w:r>
    </w:p>
    <w:p>
      <w:pPr>
        <w:spacing w:line="360" w:lineRule="auto"/>
        <w:jc w:val="left"/>
        <w:rPr>
          <w:rFonts w:ascii="宋体" w:hAnsi="宋体" w:cs="宋体"/>
          <w:sz w:val="24"/>
          <w:szCs w:val="32"/>
        </w:rPr>
      </w:pPr>
      <w:r>
        <w:rPr>
          <w:rFonts w:hint="eastAsia" w:ascii="宋体" w:hAnsi="宋体" w:cs="宋体"/>
          <w:sz w:val="24"/>
          <w:szCs w:val="32"/>
        </w:rPr>
        <w:t>项目名称：</w:t>
      </w:r>
    </w:p>
    <w:p>
      <w:pPr>
        <w:spacing w:line="360" w:lineRule="auto"/>
        <w:rPr>
          <w:rFonts w:ascii="宋体" w:hAnsi="宋体"/>
          <w:sz w:val="24"/>
        </w:rPr>
      </w:pPr>
      <w:r>
        <w:rPr>
          <w:rFonts w:hint="eastAsia" w:ascii="宋体" w:hAnsi="宋体"/>
          <w:sz w:val="24"/>
        </w:rPr>
        <w:t>项目编号：                                    [货币单位：人民币元]</w:t>
      </w:r>
    </w:p>
    <w:tbl>
      <w:tblPr>
        <w:tblStyle w:val="27"/>
        <w:tblW w:w="915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529"/>
        <w:gridCol w:w="1200"/>
        <w:gridCol w:w="1344"/>
        <w:gridCol w:w="118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vAlign w:val="center"/>
          </w:tcPr>
          <w:p>
            <w:pPr>
              <w:spacing w:line="360" w:lineRule="auto"/>
              <w:jc w:val="center"/>
              <w:rPr>
                <w:rFonts w:ascii="宋体" w:hAnsi="宋体"/>
                <w:b/>
                <w:sz w:val="24"/>
              </w:rPr>
            </w:pPr>
            <w:r>
              <w:rPr>
                <w:rFonts w:hint="eastAsia" w:ascii="宋体" w:hAnsi="宋体"/>
                <w:b/>
                <w:sz w:val="24"/>
              </w:rPr>
              <w:t>序号</w:t>
            </w:r>
          </w:p>
        </w:tc>
        <w:tc>
          <w:tcPr>
            <w:tcW w:w="3529" w:type="dxa"/>
            <w:vAlign w:val="center"/>
          </w:tcPr>
          <w:p>
            <w:pPr>
              <w:spacing w:line="360" w:lineRule="auto"/>
              <w:ind w:left="152"/>
              <w:jc w:val="center"/>
              <w:rPr>
                <w:rFonts w:ascii="宋体" w:hAnsi="宋体"/>
                <w:b/>
                <w:sz w:val="24"/>
              </w:rPr>
            </w:pPr>
            <w:r>
              <w:rPr>
                <w:rFonts w:hint="eastAsia" w:ascii="宋体" w:hAnsi="宋体"/>
                <w:b/>
                <w:sz w:val="24"/>
              </w:rPr>
              <w:t>报价项目</w:t>
            </w:r>
          </w:p>
        </w:tc>
        <w:tc>
          <w:tcPr>
            <w:tcW w:w="1200" w:type="dxa"/>
            <w:vAlign w:val="center"/>
          </w:tcPr>
          <w:p>
            <w:pPr>
              <w:spacing w:line="360" w:lineRule="auto"/>
              <w:ind w:left="152"/>
              <w:jc w:val="center"/>
              <w:rPr>
                <w:rFonts w:ascii="宋体" w:hAnsi="宋体"/>
                <w:b/>
                <w:sz w:val="24"/>
              </w:rPr>
            </w:pPr>
            <w:r>
              <w:rPr>
                <w:rFonts w:hint="eastAsia" w:ascii="宋体" w:hAnsi="宋体"/>
                <w:b/>
                <w:sz w:val="24"/>
              </w:rPr>
              <w:t>数量</w:t>
            </w:r>
          </w:p>
        </w:tc>
        <w:tc>
          <w:tcPr>
            <w:tcW w:w="1344" w:type="dxa"/>
            <w:vAlign w:val="center"/>
          </w:tcPr>
          <w:p>
            <w:pPr>
              <w:spacing w:line="360" w:lineRule="auto"/>
              <w:jc w:val="center"/>
              <w:rPr>
                <w:rFonts w:ascii="宋体" w:hAnsi="宋体"/>
                <w:b/>
                <w:sz w:val="24"/>
              </w:rPr>
            </w:pPr>
            <w:r>
              <w:rPr>
                <w:rFonts w:hint="eastAsia" w:ascii="宋体" w:hAnsi="宋体"/>
                <w:b/>
                <w:sz w:val="24"/>
              </w:rPr>
              <w:t>单价</w:t>
            </w:r>
          </w:p>
        </w:tc>
        <w:tc>
          <w:tcPr>
            <w:tcW w:w="1188" w:type="dxa"/>
            <w:vAlign w:val="center"/>
          </w:tcPr>
          <w:p>
            <w:pPr>
              <w:spacing w:line="360" w:lineRule="auto"/>
              <w:jc w:val="center"/>
              <w:rPr>
                <w:rFonts w:ascii="宋体" w:hAnsi="宋体"/>
                <w:b/>
                <w:sz w:val="24"/>
              </w:rPr>
            </w:pPr>
            <w:r>
              <w:rPr>
                <w:rFonts w:hint="eastAsia" w:ascii="宋体" w:hAnsi="宋体"/>
                <w:b/>
                <w:sz w:val="24"/>
              </w:rPr>
              <w:t>小计</w:t>
            </w:r>
          </w:p>
        </w:tc>
        <w:tc>
          <w:tcPr>
            <w:tcW w:w="1188"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vAlign w:val="center"/>
          </w:tcPr>
          <w:p>
            <w:pPr>
              <w:spacing w:line="360" w:lineRule="auto"/>
              <w:jc w:val="center"/>
              <w:rPr>
                <w:rFonts w:ascii="宋体" w:hAnsi="宋体"/>
                <w:sz w:val="24"/>
              </w:rPr>
            </w:pPr>
            <w:r>
              <w:rPr>
                <w:rFonts w:hint="eastAsia" w:ascii="宋体" w:hAnsi="宋体"/>
                <w:sz w:val="24"/>
              </w:rPr>
              <w:t>1</w:t>
            </w:r>
          </w:p>
        </w:tc>
        <w:tc>
          <w:tcPr>
            <w:tcW w:w="3529" w:type="dxa"/>
            <w:vAlign w:val="center"/>
          </w:tcPr>
          <w:p>
            <w:pPr>
              <w:spacing w:line="360" w:lineRule="auto"/>
              <w:ind w:left="152"/>
              <w:jc w:val="center"/>
              <w:rPr>
                <w:rFonts w:ascii="宋体" w:hAnsi="宋体"/>
                <w:b/>
                <w:sz w:val="24"/>
              </w:rPr>
            </w:pPr>
          </w:p>
        </w:tc>
        <w:tc>
          <w:tcPr>
            <w:tcW w:w="1200" w:type="dxa"/>
            <w:vAlign w:val="center"/>
          </w:tcPr>
          <w:p>
            <w:pPr>
              <w:spacing w:line="360" w:lineRule="auto"/>
              <w:ind w:left="152"/>
              <w:jc w:val="center"/>
              <w:rPr>
                <w:rFonts w:ascii="宋体" w:hAnsi="宋体"/>
                <w:b/>
                <w:sz w:val="24"/>
              </w:rPr>
            </w:pPr>
          </w:p>
        </w:tc>
        <w:tc>
          <w:tcPr>
            <w:tcW w:w="1344" w:type="dxa"/>
            <w:vAlign w:val="center"/>
          </w:tcPr>
          <w:p>
            <w:pPr>
              <w:spacing w:line="360" w:lineRule="auto"/>
              <w:jc w:val="center"/>
              <w:rPr>
                <w:rFonts w:ascii="宋体" w:hAnsi="宋体"/>
                <w:b/>
                <w:sz w:val="24"/>
              </w:rPr>
            </w:pPr>
          </w:p>
        </w:tc>
        <w:tc>
          <w:tcPr>
            <w:tcW w:w="1188" w:type="dxa"/>
            <w:vAlign w:val="center"/>
          </w:tcPr>
          <w:p>
            <w:pPr>
              <w:spacing w:line="360" w:lineRule="auto"/>
              <w:jc w:val="center"/>
              <w:rPr>
                <w:rFonts w:ascii="宋体" w:hAnsi="宋体"/>
                <w:b/>
                <w:sz w:val="24"/>
              </w:rPr>
            </w:pPr>
          </w:p>
        </w:tc>
        <w:tc>
          <w:tcPr>
            <w:tcW w:w="1188"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vAlign w:val="center"/>
          </w:tcPr>
          <w:p>
            <w:pPr>
              <w:spacing w:line="360" w:lineRule="auto"/>
              <w:jc w:val="center"/>
              <w:rPr>
                <w:rFonts w:ascii="宋体" w:hAnsi="宋体"/>
                <w:sz w:val="24"/>
              </w:rPr>
            </w:pPr>
            <w:r>
              <w:rPr>
                <w:rFonts w:hint="eastAsia" w:ascii="宋体" w:hAnsi="宋体"/>
                <w:sz w:val="24"/>
              </w:rPr>
              <w:t>2</w:t>
            </w:r>
          </w:p>
        </w:tc>
        <w:tc>
          <w:tcPr>
            <w:tcW w:w="3529" w:type="dxa"/>
            <w:vAlign w:val="center"/>
          </w:tcPr>
          <w:p>
            <w:pPr>
              <w:spacing w:line="360" w:lineRule="auto"/>
              <w:ind w:left="152"/>
              <w:jc w:val="center"/>
              <w:rPr>
                <w:rFonts w:ascii="宋体" w:hAnsi="宋体"/>
                <w:b/>
                <w:sz w:val="24"/>
              </w:rPr>
            </w:pPr>
          </w:p>
        </w:tc>
        <w:tc>
          <w:tcPr>
            <w:tcW w:w="1200" w:type="dxa"/>
            <w:vAlign w:val="center"/>
          </w:tcPr>
          <w:p>
            <w:pPr>
              <w:spacing w:line="360" w:lineRule="auto"/>
              <w:ind w:left="152"/>
              <w:jc w:val="center"/>
              <w:rPr>
                <w:rFonts w:ascii="宋体" w:hAnsi="宋体"/>
                <w:b/>
                <w:sz w:val="24"/>
              </w:rPr>
            </w:pPr>
          </w:p>
        </w:tc>
        <w:tc>
          <w:tcPr>
            <w:tcW w:w="1344" w:type="dxa"/>
            <w:vAlign w:val="center"/>
          </w:tcPr>
          <w:p>
            <w:pPr>
              <w:spacing w:line="360" w:lineRule="auto"/>
              <w:jc w:val="center"/>
              <w:rPr>
                <w:rFonts w:ascii="宋体" w:hAnsi="宋体"/>
                <w:b/>
                <w:sz w:val="24"/>
              </w:rPr>
            </w:pPr>
          </w:p>
        </w:tc>
        <w:tc>
          <w:tcPr>
            <w:tcW w:w="1188" w:type="dxa"/>
            <w:vAlign w:val="center"/>
          </w:tcPr>
          <w:p>
            <w:pPr>
              <w:spacing w:line="360" w:lineRule="auto"/>
              <w:jc w:val="center"/>
              <w:rPr>
                <w:rFonts w:ascii="宋体" w:hAnsi="宋体"/>
                <w:b/>
                <w:sz w:val="24"/>
              </w:rPr>
            </w:pPr>
          </w:p>
        </w:tc>
        <w:tc>
          <w:tcPr>
            <w:tcW w:w="1188"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vAlign w:val="center"/>
          </w:tcPr>
          <w:p>
            <w:pPr>
              <w:spacing w:line="360" w:lineRule="auto"/>
              <w:jc w:val="center"/>
              <w:rPr>
                <w:rFonts w:ascii="宋体" w:hAnsi="宋体"/>
                <w:sz w:val="24"/>
              </w:rPr>
            </w:pPr>
            <w:r>
              <w:rPr>
                <w:rFonts w:hint="eastAsia" w:ascii="宋体" w:hAnsi="宋体"/>
                <w:sz w:val="24"/>
              </w:rPr>
              <w:t>3</w:t>
            </w:r>
          </w:p>
        </w:tc>
        <w:tc>
          <w:tcPr>
            <w:tcW w:w="3529" w:type="dxa"/>
            <w:vAlign w:val="center"/>
          </w:tcPr>
          <w:p>
            <w:pPr>
              <w:spacing w:line="360" w:lineRule="auto"/>
              <w:ind w:left="152"/>
              <w:jc w:val="center"/>
              <w:rPr>
                <w:rFonts w:ascii="宋体" w:hAnsi="宋体"/>
                <w:b/>
                <w:sz w:val="24"/>
              </w:rPr>
            </w:pPr>
          </w:p>
        </w:tc>
        <w:tc>
          <w:tcPr>
            <w:tcW w:w="1200" w:type="dxa"/>
            <w:vAlign w:val="center"/>
          </w:tcPr>
          <w:p>
            <w:pPr>
              <w:spacing w:line="360" w:lineRule="auto"/>
              <w:ind w:left="152"/>
              <w:jc w:val="center"/>
              <w:rPr>
                <w:rFonts w:ascii="宋体" w:hAnsi="宋体"/>
                <w:b/>
                <w:sz w:val="24"/>
              </w:rPr>
            </w:pPr>
          </w:p>
        </w:tc>
        <w:tc>
          <w:tcPr>
            <w:tcW w:w="1344" w:type="dxa"/>
            <w:vAlign w:val="center"/>
          </w:tcPr>
          <w:p>
            <w:pPr>
              <w:spacing w:line="360" w:lineRule="auto"/>
              <w:jc w:val="center"/>
              <w:rPr>
                <w:rFonts w:ascii="宋体" w:hAnsi="宋体"/>
                <w:b/>
                <w:sz w:val="24"/>
              </w:rPr>
            </w:pPr>
          </w:p>
        </w:tc>
        <w:tc>
          <w:tcPr>
            <w:tcW w:w="1188" w:type="dxa"/>
            <w:vAlign w:val="center"/>
          </w:tcPr>
          <w:p>
            <w:pPr>
              <w:spacing w:line="360" w:lineRule="auto"/>
              <w:jc w:val="center"/>
              <w:rPr>
                <w:rFonts w:ascii="宋体" w:hAnsi="宋体"/>
                <w:b/>
                <w:sz w:val="24"/>
              </w:rPr>
            </w:pPr>
          </w:p>
        </w:tc>
        <w:tc>
          <w:tcPr>
            <w:tcW w:w="1188"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vAlign w:val="center"/>
          </w:tcPr>
          <w:p>
            <w:pPr>
              <w:spacing w:line="360" w:lineRule="auto"/>
              <w:jc w:val="center"/>
              <w:rPr>
                <w:rFonts w:ascii="宋体" w:hAnsi="宋体"/>
                <w:sz w:val="24"/>
              </w:rPr>
            </w:pPr>
            <w:r>
              <w:rPr>
                <w:rFonts w:hint="eastAsia" w:ascii="宋体" w:hAnsi="宋体"/>
                <w:sz w:val="24"/>
              </w:rPr>
              <w:t>……</w:t>
            </w:r>
          </w:p>
        </w:tc>
        <w:tc>
          <w:tcPr>
            <w:tcW w:w="3529" w:type="dxa"/>
          </w:tcPr>
          <w:p>
            <w:pPr>
              <w:spacing w:line="420" w:lineRule="exact"/>
              <w:jc w:val="center"/>
              <w:rPr>
                <w:rFonts w:ascii="宋体" w:hAnsi="宋体"/>
                <w:sz w:val="24"/>
              </w:rPr>
            </w:pPr>
          </w:p>
        </w:tc>
        <w:tc>
          <w:tcPr>
            <w:tcW w:w="1200" w:type="dxa"/>
          </w:tcPr>
          <w:p>
            <w:pPr>
              <w:spacing w:line="420" w:lineRule="exact"/>
              <w:jc w:val="center"/>
              <w:rPr>
                <w:rFonts w:ascii="宋体" w:hAnsi="宋体"/>
                <w:sz w:val="24"/>
              </w:rPr>
            </w:pPr>
          </w:p>
        </w:tc>
        <w:tc>
          <w:tcPr>
            <w:tcW w:w="1344" w:type="dxa"/>
          </w:tcPr>
          <w:p>
            <w:pPr>
              <w:spacing w:line="420" w:lineRule="exact"/>
              <w:jc w:val="center"/>
              <w:rPr>
                <w:rFonts w:ascii="宋体" w:hAnsi="宋体"/>
                <w:sz w:val="24"/>
              </w:rPr>
            </w:pPr>
          </w:p>
        </w:tc>
        <w:tc>
          <w:tcPr>
            <w:tcW w:w="1188" w:type="dxa"/>
            <w:vAlign w:val="center"/>
          </w:tcPr>
          <w:p>
            <w:pPr>
              <w:spacing w:line="360" w:lineRule="auto"/>
              <w:rPr>
                <w:rFonts w:ascii="宋体" w:hAnsi="宋体"/>
                <w:sz w:val="24"/>
              </w:rPr>
            </w:pPr>
          </w:p>
        </w:tc>
        <w:tc>
          <w:tcPr>
            <w:tcW w:w="118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158" w:type="dxa"/>
            <w:gridSpan w:val="6"/>
            <w:tcBorders>
              <w:bottom w:val="single" w:color="auto" w:sz="4" w:space="0"/>
            </w:tcBorders>
            <w:vAlign w:val="center"/>
          </w:tcPr>
          <w:p>
            <w:pPr>
              <w:spacing w:line="360" w:lineRule="auto"/>
              <w:rPr>
                <w:rFonts w:ascii="宋体" w:hAnsi="宋体"/>
                <w:b/>
                <w:sz w:val="24"/>
              </w:rPr>
            </w:pPr>
            <w:r>
              <w:rPr>
                <w:rFonts w:hint="eastAsia" w:ascii="宋体" w:hAnsi="宋体"/>
                <w:b/>
                <w:sz w:val="24"/>
              </w:rPr>
              <w:t>合计人民币：大写                               小写</w:t>
            </w:r>
          </w:p>
        </w:tc>
      </w:tr>
    </w:tbl>
    <w:p>
      <w:pPr>
        <w:spacing w:line="360" w:lineRule="auto"/>
        <w:rPr>
          <w:rFonts w:ascii="宋体"/>
          <w:b/>
          <w:bCs/>
          <w:sz w:val="24"/>
          <w:szCs w:val="24"/>
        </w:rPr>
      </w:pPr>
      <w:r>
        <w:rPr>
          <w:rFonts w:hint="eastAsia" w:ascii="宋体" w:hAnsi="宋体" w:cs="宋体"/>
          <w:b/>
          <w:bCs/>
          <w:sz w:val="24"/>
          <w:szCs w:val="24"/>
        </w:rPr>
        <w:t>要求：</w:t>
      </w:r>
    </w:p>
    <w:p>
      <w:pPr>
        <w:spacing w:line="360" w:lineRule="auto"/>
        <w:ind w:firstLine="480" w:firstLineChars="200"/>
        <w:rPr>
          <w:rFonts w:ascii="宋体" w:hAnsi="宋体" w:cs="宋体"/>
          <w:sz w:val="24"/>
          <w:szCs w:val="24"/>
          <w:lang w:val="zh-CN"/>
        </w:rPr>
      </w:pPr>
      <w:r>
        <w:rPr>
          <w:rFonts w:ascii="宋体" w:hAnsi="宋体" w:cs="宋体"/>
          <w:sz w:val="24"/>
          <w:szCs w:val="24"/>
        </w:rPr>
        <w:t>1.</w:t>
      </w:r>
      <w:r>
        <w:rPr>
          <w:rFonts w:hint="eastAsia" w:ascii="宋体" w:hAnsi="宋体" w:cs="宋体"/>
          <w:sz w:val="24"/>
          <w:szCs w:val="24"/>
        </w:rPr>
        <w:t>本表为《开标一览表》的报价明细表，如有缺项、漏项，视为投标报价</w:t>
      </w:r>
      <w:r>
        <w:rPr>
          <w:rFonts w:hint="eastAsia" w:ascii="宋体" w:hAnsi="宋体" w:cs="宋体"/>
          <w:sz w:val="24"/>
          <w:szCs w:val="24"/>
          <w:lang w:val="zh-CN"/>
        </w:rPr>
        <w:t>中已包含相关费用，采购人无需另外支付任何费用。</w:t>
      </w:r>
    </w:p>
    <w:p>
      <w:pPr>
        <w:spacing w:line="360" w:lineRule="auto"/>
        <w:ind w:firstLine="480" w:firstLineChars="200"/>
        <w:rPr>
          <w:rFonts w:ascii="宋体" w:hAnsi="宋体" w:cs="宋体"/>
          <w:sz w:val="24"/>
          <w:szCs w:val="24"/>
          <w:lang w:val="zh-CN"/>
        </w:rPr>
      </w:pPr>
      <w:r>
        <w:rPr>
          <w:rFonts w:ascii="宋体" w:hAnsi="宋体" w:cs="宋体"/>
          <w:sz w:val="24"/>
          <w:szCs w:val="24"/>
          <w:lang w:val="zh-CN"/>
        </w:rPr>
        <w:t>2.</w:t>
      </w:r>
      <w:r>
        <w:rPr>
          <w:rFonts w:hint="eastAsia" w:ascii="宋体" w:hAnsi="宋体" w:cs="宋体"/>
          <w:sz w:val="24"/>
          <w:szCs w:val="24"/>
          <w:lang w:val="zh-CN"/>
        </w:rPr>
        <w:t>“报价明细表”中的报价合计应与“开标一览表”中的投标总报价相一致，不一致时，以开标一览表为准。</w:t>
      </w:r>
    </w:p>
    <w:p>
      <w:pPr>
        <w:spacing w:line="360" w:lineRule="auto"/>
        <w:ind w:firstLine="480" w:firstLineChars="200"/>
        <w:rPr>
          <w:rFonts w:ascii="宋体" w:hAnsi="宋体" w:cs="宋体"/>
          <w:sz w:val="24"/>
          <w:szCs w:val="24"/>
          <w:lang w:val="zh-CN"/>
        </w:rPr>
      </w:pPr>
      <w:r>
        <w:rPr>
          <w:rFonts w:ascii="宋体" w:hAnsi="宋体" w:cs="宋体"/>
          <w:sz w:val="24"/>
          <w:szCs w:val="24"/>
          <w:lang w:val="zh-CN"/>
        </w:rPr>
        <w:t>3.</w:t>
      </w:r>
      <w:r>
        <w:rPr>
          <w:rFonts w:hint="eastAsia" w:ascii="宋体" w:hAnsi="宋体" w:cs="宋体"/>
          <w:sz w:val="24"/>
          <w:szCs w:val="24"/>
          <w:lang w:val="zh-CN"/>
        </w:rPr>
        <w:t>投标报价明细表所填内容按招标文件采购</w:t>
      </w:r>
      <w:r>
        <w:rPr>
          <w:rFonts w:hint="eastAsia" w:ascii="宋体" w:hAnsi="宋体" w:cs="宋体"/>
          <w:sz w:val="24"/>
          <w:szCs w:val="24"/>
        </w:rPr>
        <w:t>内容</w:t>
      </w:r>
      <w:r>
        <w:rPr>
          <w:rFonts w:hint="eastAsia" w:ascii="宋体" w:hAnsi="宋体" w:cs="宋体"/>
          <w:sz w:val="24"/>
          <w:szCs w:val="24"/>
          <w:lang w:val="zh-CN"/>
        </w:rPr>
        <w:t>要求为准。如有漏报的，视同已包含在投标总价内或已作优惠处理。有重大缺项的将作无效标处理。</w:t>
      </w:r>
    </w:p>
    <w:p>
      <w:pPr>
        <w:spacing w:line="360" w:lineRule="auto"/>
        <w:ind w:firstLine="480" w:firstLineChars="200"/>
        <w:jc w:val="left"/>
        <w:rPr>
          <w:rFonts w:ascii="宋体"/>
          <w:sz w:val="24"/>
          <w:szCs w:val="24"/>
        </w:rPr>
      </w:pPr>
    </w:p>
    <w:p>
      <w:pPr>
        <w:spacing w:line="480" w:lineRule="auto"/>
        <w:rPr>
          <w:rFonts w:ascii="宋体"/>
          <w:sz w:val="24"/>
          <w:szCs w:val="24"/>
        </w:rPr>
      </w:pPr>
      <w:r>
        <w:rPr>
          <w:rFonts w:hint="eastAsia" w:ascii="宋体" w:hAnsi="宋体" w:cs="宋体"/>
          <w:sz w:val="24"/>
          <w:szCs w:val="24"/>
        </w:rPr>
        <w:t>投标人名称（盖章）：</w:t>
      </w:r>
    </w:p>
    <w:p>
      <w:pPr>
        <w:spacing w:line="480" w:lineRule="auto"/>
        <w:rPr>
          <w:rFonts w:ascii="宋体"/>
          <w:sz w:val="24"/>
          <w:szCs w:val="24"/>
        </w:rPr>
      </w:pPr>
      <w:r>
        <w:rPr>
          <w:rFonts w:hint="eastAsia" w:ascii="宋体" w:hAnsi="宋体" w:cs="宋体"/>
          <w:sz w:val="24"/>
          <w:szCs w:val="24"/>
        </w:rPr>
        <w:t>授权委托代理人签字或盖章：</w:t>
      </w:r>
    </w:p>
    <w:p>
      <w:pPr>
        <w:spacing w:line="480" w:lineRule="auto"/>
        <w:rPr>
          <w:rFonts w:ascii="宋体" w:hAnsi="宋体" w:cs="宋体"/>
          <w:sz w:val="24"/>
          <w:szCs w:val="24"/>
        </w:rPr>
      </w:pPr>
      <w:r>
        <w:rPr>
          <w:rFonts w:hint="eastAsia" w:ascii="宋体" w:hAnsi="宋体" w:cs="宋体"/>
          <w:sz w:val="24"/>
          <w:szCs w:val="24"/>
        </w:rPr>
        <w:t>日期：</w:t>
      </w:r>
    </w:p>
    <w:p>
      <w:pPr>
        <w:pStyle w:val="12"/>
        <w:rPr>
          <w:rFonts w:ascii="宋体" w:hAnsi="宋体" w:cs="宋体"/>
        </w:rPr>
      </w:pPr>
    </w:p>
    <w:p>
      <w:pPr>
        <w:pStyle w:val="13"/>
        <w:rPr>
          <w:rFonts w:ascii="宋体" w:hAnsi="宋体" w:cs="宋体"/>
          <w:sz w:val="24"/>
          <w:szCs w:val="24"/>
        </w:rPr>
      </w:pPr>
    </w:p>
    <w:p>
      <w:pPr>
        <w:pStyle w:val="14"/>
        <w:rPr>
          <w:rFonts w:ascii="宋体" w:hAnsi="宋体" w:cs="宋体"/>
          <w:sz w:val="24"/>
          <w:szCs w:val="24"/>
        </w:rPr>
      </w:pPr>
    </w:p>
    <w:p>
      <w:pPr>
        <w:rPr>
          <w:rFonts w:ascii="宋体" w:hAnsi="宋体" w:cs="宋体"/>
          <w:sz w:val="24"/>
          <w:szCs w:val="24"/>
        </w:rPr>
      </w:pPr>
    </w:p>
    <w:p>
      <w:pPr>
        <w:pStyle w:val="12"/>
      </w:pPr>
    </w:p>
    <w:p>
      <w:pPr>
        <w:spacing w:line="360" w:lineRule="auto"/>
        <w:jc w:val="left"/>
        <w:rPr>
          <w:rFonts w:ascii="宋体"/>
          <w:b/>
          <w:bCs/>
          <w:sz w:val="28"/>
          <w:szCs w:val="28"/>
        </w:rPr>
      </w:pPr>
      <w:r>
        <w:rPr>
          <w:rFonts w:hint="eastAsia" w:ascii="宋体" w:hAnsi="宋体" w:cs="宋体"/>
          <w:b/>
          <w:bCs/>
          <w:sz w:val="28"/>
          <w:szCs w:val="28"/>
        </w:rPr>
        <w:t>附件</w:t>
      </w:r>
      <w:r>
        <w:rPr>
          <w:rFonts w:ascii="宋体" w:hAnsi="宋体" w:cs="宋体"/>
          <w:b/>
          <w:bCs/>
          <w:sz w:val="28"/>
          <w:szCs w:val="28"/>
        </w:rPr>
        <w:t>1</w:t>
      </w:r>
      <w:r>
        <w:rPr>
          <w:rFonts w:hint="eastAsia" w:ascii="宋体" w:hAnsi="宋体" w:cs="宋体"/>
          <w:b/>
          <w:bCs/>
          <w:sz w:val="28"/>
          <w:szCs w:val="28"/>
        </w:rPr>
        <w:t>7</w:t>
      </w: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ind w:firstLine="480" w:firstLineChars="200"/>
        <w:rPr>
          <w:rFonts w:ascii="宋体" w:hAnsi="宋体" w:cs="宋体"/>
          <w:bCs/>
          <w:sz w:val="24"/>
          <w:szCs w:val="24"/>
        </w:rPr>
      </w:pPr>
      <w:r>
        <w:rPr>
          <w:rFonts w:hint="eastAsia" w:ascii="宋体" w:hAnsi="宋体" w:cs="宋体"/>
          <w:bCs/>
          <w:sz w:val="24"/>
          <w:szCs w:val="24"/>
        </w:rPr>
        <w:t>本公司郑重声明，根据《政府采购促进中小企业发展管理办法》（财库﹝2020﹞46 号）的规定，本公司参加</w:t>
      </w:r>
      <w:r>
        <w:rPr>
          <w:rFonts w:hint="eastAsia" w:ascii="宋体" w:hAnsi="宋体" w:cs="宋体"/>
          <w:bCs/>
          <w:sz w:val="24"/>
          <w:szCs w:val="24"/>
          <w:u w:val="single"/>
        </w:rPr>
        <w:t>（单位名称）</w:t>
      </w:r>
      <w:r>
        <w:rPr>
          <w:rFonts w:hint="eastAsia" w:ascii="宋体" w:hAnsi="宋体" w:cs="宋体"/>
          <w:bCs/>
          <w:sz w:val="24"/>
          <w:szCs w:val="24"/>
        </w:rPr>
        <w:t>的</w:t>
      </w:r>
      <w:r>
        <w:rPr>
          <w:rFonts w:hint="eastAsia" w:ascii="宋体" w:hAnsi="宋体" w:cs="宋体"/>
          <w:bCs/>
          <w:sz w:val="24"/>
          <w:szCs w:val="24"/>
          <w:u w:val="single"/>
        </w:rPr>
        <w:t>（项目名称）</w:t>
      </w:r>
      <w:r>
        <w:rPr>
          <w:rFonts w:hint="eastAsia" w:ascii="宋体" w:hAnsi="宋体" w:cs="宋体"/>
          <w:bCs/>
          <w:sz w:val="24"/>
          <w:szCs w:val="24"/>
        </w:rPr>
        <w:t>采购活动，工程的施工单位全部为符合政策要求的中小企业（或者：服务全部由符合政策要求的中小企业承接）。相关企业的具体情况如下：</w:t>
      </w:r>
    </w:p>
    <w:p>
      <w:pPr>
        <w:spacing w:line="360" w:lineRule="auto"/>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u w:val="single"/>
        </w:rPr>
        <w:t>（标的名称）</w:t>
      </w:r>
      <w:r>
        <w:rPr>
          <w:rFonts w:hint="eastAsia" w:ascii="宋体" w:hAnsi="宋体" w:cs="宋体"/>
          <w:bCs/>
          <w:sz w:val="24"/>
          <w:szCs w:val="24"/>
        </w:rPr>
        <w:t>，属于</w:t>
      </w:r>
      <w:r>
        <w:rPr>
          <w:rFonts w:hint="eastAsia" w:ascii="宋体" w:hAnsi="宋体" w:cs="宋体"/>
          <w:bCs/>
          <w:sz w:val="24"/>
          <w:szCs w:val="24"/>
          <w:u w:val="single"/>
        </w:rPr>
        <w:t>（采购文件中明确的所属行业）</w:t>
      </w:r>
      <w:r>
        <w:rPr>
          <w:rFonts w:hint="eastAsia" w:ascii="宋体" w:hAnsi="宋体" w:cs="宋体"/>
          <w:bCs/>
          <w:sz w:val="24"/>
          <w:szCs w:val="24"/>
        </w:rPr>
        <w:t>；承建（承接）企业为</w:t>
      </w:r>
      <w:r>
        <w:rPr>
          <w:rFonts w:hint="eastAsia" w:ascii="宋体" w:hAnsi="宋体" w:cs="宋体"/>
          <w:bCs/>
          <w:sz w:val="24"/>
          <w:szCs w:val="24"/>
          <w:u w:val="single"/>
        </w:rPr>
        <w:t>（企业名称）</w:t>
      </w:r>
      <w:r>
        <w:rPr>
          <w:rFonts w:hint="eastAsia" w:ascii="宋体" w:hAnsi="宋体" w:cs="宋体"/>
          <w:bCs/>
          <w:sz w:val="24"/>
          <w:szCs w:val="24"/>
        </w:rPr>
        <w:t>，从业人员</w:t>
      </w:r>
      <w:r>
        <w:rPr>
          <w:rFonts w:hint="eastAsia" w:ascii="宋体" w:hAnsi="宋体" w:cs="宋体"/>
          <w:bCs/>
          <w:sz w:val="24"/>
          <w:szCs w:val="24"/>
          <w:u w:val="single"/>
        </w:rPr>
        <w:t xml:space="preserve">     </w:t>
      </w:r>
      <w:r>
        <w:rPr>
          <w:rFonts w:hint="eastAsia" w:ascii="宋体" w:hAnsi="宋体" w:cs="宋体"/>
          <w:bCs/>
          <w:sz w:val="24"/>
          <w:szCs w:val="24"/>
        </w:rPr>
        <w:t>人，营业收入为</w:t>
      </w:r>
      <w:r>
        <w:rPr>
          <w:rFonts w:hint="eastAsia" w:ascii="宋体" w:hAnsi="宋体" w:cs="宋体"/>
          <w:bCs/>
          <w:sz w:val="24"/>
          <w:szCs w:val="24"/>
          <w:u w:val="single"/>
        </w:rPr>
        <w:t xml:space="preserve">     </w:t>
      </w:r>
      <w:r>
        <w:rPr>
          <w:rFonts w:hint="eastAsia" w:ascii="宋体" w:hAnsi="宋体" w:cs="宋体"/>
          <w:bCs/>
          <w:sz w:val="24"/>
          <w:szCs w:val="24"/>
        </w:rPr>
        <w:t>万元，资产总额为</w:t>
      </w:r>
      <w:r>
        <w:rPr>
          <w:rFonts w:hint="eastAsia" w:ascii="宋体" w:hAnsi="宋体" w:cs="宋体"/>
          <w:bCs/>
          <w:sz w:val="24"/>
          <w:szCs w:val="24"/>
          <w:u w:val="single"/>
        </w:rPr>
        <w:t xml:space="preserve">     </w:t>
      </w:r>
      <w:r>
        <w:rPr>
          <w:rFonts w:hint="eastAsia" w:ascii="宋体" w:hAnsi="宋体" w:cs="宋体"/>
          <w:bCs/>
          <w:sz w:val="24"/>
          <w:szCs w:val="24"/>
        </w:rPr>
        <w:t>万元</w:t>
      </w:r>
      <w:r>
        <w:rPr>
          <w:rStyle w:val="33"/>
          <w:rFonts w:hint="eastAsia" w:ascii="宋体" w:hAnsi="宋体" w:cs="宋体"/>
          <w:bCs/>
          <w:sz w:val="24"/>
          <w:szCs w:val="24"/>
        </w:rPr>
        <w:footnoteReference w:id="0"/>
      </w:r>
      <w:r>
        <w:rPr>
          <w:rFonts w:hint="eastAsia" w:ascii="宋体" w:hAnsi="宋体" w:cs="宋体"/>
          <w:bCs/>
          <w:sz w:val="24"/>
          <w:szCs w:val="24"/>
        </w:rPr>
        <w:t>，属于</w:t>
      </w:r>
      <w:r>
        <w:rPr>
          <w:rFonts w:hint="eastAsia" w:ascii="宋体" w:hAnsi="宋体" w:cs="宋体"/>
          <w:bCs/>
          <w:sz w:val="24"/>
          <w:szCs w:val="24"/>
          <w:u w:val="single"/>
        </w:rPr>
        <w:t>（中型企业、小型企业、微型企业）</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u w:val="single"/>
        </w:rPr>
        <w:t>（标的名称）</w:t>
      </w:r>
      <w:r>
        <w:rPr>
          <w:rFonts w:hint="eastAsia" w:ascii="宋体" w:hAnsi="宋体" w:cs="宋体"/>
          <w:bCs/>
          <w:sz w:val="24"/>
          <w:szCs w:val="24"/>
        </w:rPr>
        <w:t>，属于</w:t>
      </w:r>
      <w:r>
        <w:rPr>
          <w:rFonts w:hint="eastAsia" w:ascii="宋体" w:hAnsi="宋体" w:cs="宋体"/>
          <w:bCs/>
          <w:sz w:val="24"/>
          <w:szCs w:val="24"/>
          <w:u w:val="single"/>
        </w:rPr>
        <w:t>（采购文件中明确的所属行业）</w:t>
      </w:r>
      <w:r>
        <w:rPr>
          <w:rFonts w:hint="eastAsia" w:ascii="宋体" w:hAnsi="宋体" w:cs="宋体"/>
          <w:bCs/>
          <w:sz w:val="24"/>
          <w:szCs w:val="24"/>
        </w:rPr>
        <w:t>；承建（承接）企业为</w:t>
      </w:r>
      <w:r>
        <w:rPr>
          <w:rFonts w:hint="eastAsia" w:ascii="宋体" w:hAnsi="宋体" w:cs="宋体"/>
          <w:bCs/>
          <w:sz w:val="24"/>
          <w:szCs w:val="24"/>
          <w:u w:val="single"/>
        </w:rPr>
        <w:t>（企业名称）</w:t>
      </w:r>
      <w:r>
        <w:rPr>
          <w:rFonts w:hint="eastAsia" w:ascii="宋体" w:hAnsi="宋体" w:cs="宋体"/>
          <w:bCs/>
          <w:sz w:val="24"/>
          <w:szCs w:val="24"/>
        </w:rPr>
        <w:t>，从业人员</w:t>
      </w:r>
      <w:r>
        <w:rPr>
          <w:rFonts w:hint="eastAsia" w:ascii="宋体" w:hAnsi="宋体" w:cs="宋体"/>
          <w:bCs/>
          <w:sz w:val="24"/>
          <w:szCs w:val="24"/>
          <w:u w:val="single"/>
        </w:rPr>
        <w:t xml:space="preserve">     </w:t>
      </w:r>
      <w:r>
        <w:rPr>
          <w:rFonts w:hint="eastAsia" w:ascii="宋体" w:hAnsi="宋体" w:cs="宋体"/>
          <w:bCs/>
          <w:sz w:val="24"/>
          <w:szCs w:val="24"/>
        </w:rPr>
        <w:t>人，营业收入为</w:t>
      </w:r>
      <w:r>
        <w:rPr>
          <w:rFonts w:hint="eastAsia" w:ascii="宋体" w:hAnsi="宋体" w:cs="宋体"/>
          <w:bCs/>
          <w:sz w:val="24"/>
          <w:szCs w:val="24"/>
          <w:u w:val="single"/>
        </w:rPr>
        <w:t xml:space="preserve">     </w:t>
      </w:r>
      <w:r>
        <w:rPr>
          <w:rFonts w:hint="eastAsia" w:ascii="宋体" w:hAnsi="宋体" w:cs="宋体"/>
          <w:bCs/>
          <w:sz w:val="24"/>
          <w:szCs w:val="24"/>
        </w:rPr>
        <w:t>万元，资产总额为</w:t>
      </w:r>
      <w:r>
        <w:rPr>
          <w:rFonts w:hint="eastAsia" w:ascii="宋体" w:hAnsi="宋体" w:cs="宋体"/>
          <w:bCs/>
          <w:sz w:val="24"/>
          <w:szCs w:val="24"/>
          <w:u w:val="single"/>
        </w:rPr>
        <w:t xml:space="preserve">     </w:t>
      </w:r>
      <w:r>
        <w:rPr>
          <w:rFonts w:hint="eastAsia" w:ascii="宋体" w:hAnsi="宋体" w:cs="宋体"/>
          <w:bCs/>
          <w:sz w:val="24"/>
          <w:szCs w:val="24"/>
        </w:rPr>
        <w:t>万元，属于</w:t>
      </w:r>
      <w:r>
        <w:rPr>
          <w:rFonts w:hint="eastAsia" w:ascii="宋体" w:hAnsi="宋体" w:cs="宋体"/>
          <w:bCs/>
          <w:sz w:val="24"/>
          <w:szCs w:val="24"/>
          <w:u w:val="single"/>
        </w:rPr>
        <w:t>（中型企业、小型企业、微型企业）</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bCs/>
          <w:sz w:val="24"/>
          <w:szCs w:val="24"/>
        </w:rPr>
      </w:pPr>
      <w:r>
        <w:rPr>
          <w:rFonts w:hint="eastAsia" w:ascii="宋体" w:hAnsi="宋体" w:cs="宋体"/>
          <w:bCs/>
          <w:sz w:val="24"/>
          <w:szCs w:val="24"/>
        </w:rPr>
        <w:t xml:space="preserve">本企业对上述声明内容的真实性负责。如有虚假，将依法承担相应责任。 </w:t>
      </w:r>
    </w:p>
    <w:p>
      <w:pPr>
        <w:spacing w:line="360" w:lineRule="auto"/>
        <w:rPr>
          <w:rFonts w:ascii="宋体" w:hAnsi="宋体" w:cs="宋体"/>
          <w:bCs/>
          <w:sz w:val="24"/>
          <w:szCs w:val="24"/>
        </w:rPr>
      </w:pPr>
    </w:p>
    <w:p>
      <w:pPr>
        <w:spacing w:line="360" w:lineRule="auto"/>
        <w:ind w:firstLine="4800" w:firstLineChars="2000"/>
        <w:rPr>
          <w:rFonts w:ascii="宋体" w:hAnsi="宋体" w:cs="宋体"/>
          <w:bCs/>
          <w:sz w:val="24"/>
          <w:szCs w:val="24"/>
        </w:rPr>
      </w:pPr>
      <w:r>
        <w:rPr>
          <w:rFonts w:hint="eastAsia" w:ascii="宋体" w:hAnsi="宋体" w:cs="宋体"/>
          <w:bCs/>
          <w:sz w:val="24"/>
          <w:szCs w:val="24"/>
        </w:rPr>
        <w:t>企业名称（盖章）：</w:t>
      </w:r>
    </w:p>
    <w:p>
      <w:pPr>
        <w:spacing w:line="360" w:lineRule="auto"/>
        <w:ind w:firstLine="4800" w:firstLineChars="2000"/>
        <w:rPr>
          <w:rFonts w:ascii="宋体" w:hAnsi="宋体" w:cs="宋体"/>
          <w:bCs/>
          <w:sz w:val="24"/>
          <w:szCs w:val="24"/>
        </w:rPr>
      </w:pPr>
      <w:r>
        <w:rPr>
          <w:rFonts w:hint="eastAsia" w:ascii="宋体" w:hAnsi="宋体" w:cs="宋体"/>
          <w:bCs/>
          <w:sz w:val="24"/>
          <w:szCs w:val="24"/>
        </w:rPr>
        <w:t>日 期：</w:t>
      </w:r>
    </w:p>
    <w:p>
      <w:pPr>
        <w:spacing w:line="360" w:lineRule="auto"/>
        <w:rPr>
          <w:rFonts w:ascii="宋体" w:hAnsi="宋体" w:cs="宋体"/>
          <w:bCs/>
          <w:sz w:val="24"/>
          <w:szCs w:val="24"/>
        </w:rPr>
      </w:pPr>
    </w:p>
    <w:p>
      <w:pPr>
        <w:spacing w:line="360" w:lineRule="auto"/>
        <w:ind w:left="-2" w:hanging="2"/>
        <w:jc w:val="center"/>
        <w:rPr>
          <w:rFonts w:ascii="宋体" w:hAnsi="宋体" w:cs="宋体"/>
          <w:b/>
          <w:sz w:val="32"/>
          <w:szCs w:val="32"/>
          <w:lang w:val="en-GB"/>
        </w:rPr>
      </w:pPr>
    </w:p>
    <w:p>
      <w:pPr>
        <w:spacing w:line="360" w:lineRule="auto"/>
        <w:ind w:left="-2" w:hanging="2"/>
        <w:jc w:val="center"/>
        <w:rPr>
          <w:rFonts w:ascii="宋体" w:hAnsi="宋体" w:cs="宋体"/>
          <w:b/>
          <w:sz w:val="32"/>
          <w:szCs w:val="32"/>
          <w:lang w:val="en-GB"/>
        </w:rPr>
      </w:pPr>
    </w:p>
    <w:p>
      <w:pPr>
        <w:spacing w:line="360" w:lineRule="auto"/>
        <w:ind w:left="-2" w:hanging="2"/>
        <w:jc w:val="center"/>
        <w:rPr>
          <w:rFonts w:ascii="宋体" w:hAnsi="宋体" w:cs="宋体"/>
          <w:b/>
          <w:sz w:val="32"/>
          <w:szCs w:val="32"/>
          <w:lang w:val="en-GB"/>
        </w:rPr>
      </w:pPr>
    </w:p>
    <w:p>
      <w:pPr>
        <w:spacing w:line="360" w:lineRule="auto"/>
        <w:ind w:left="-2" w:hanging="2"/>
        <w:jc w:val="center"/>
        <w:rPr>
          <w:rFonts w:ascii="宋体" w:hAnsi="宋体" w:cs="宋体"/>
          <w:b/>
          <w:sz w:val="32"/>
          <w:szCs w:val="32"/>
          <w:lang w:val="en-GB"/>
        </w:rPr>
      </w:pPr>
    </w:p>
    <w:p>
      <w:pPr>
        <w:spacing w:line="360" w:lineRule="auto"/>
        <w:ind w:left="-2" w:hanging="2"/>
        <w:jc w:val="center"/>
        <w:rPr>
          <w:rFonts w:ascii="宋体" w:hAnsi="宋体" w:cs="宋体"/>
          <w:b/>
          <w:sz w:val="32"/>
          <w:szCs w:val="32"/>
          <w:lang w:val="en-GB"/>
        </w:rPr>
      </w:pPr>
    </w:p>
    <w:p>
      <w:pPr>
        <w:spacing w:line="360" w:lineRule="auto"/>
        <w:ind w:left="-2" w:hanging="2"/>
        <w:jc w:val="center"/>
        <w:rPr>
          <w:rFonts w:ascii="宋体" w:hAnsi="宋体" w:cs="宋体"/>
          <w:b/>
          <w:sz w:val="32"/>
          <w:szCs w:val="32"/>
          <w:lang w:val="en-GB"/>
        </w:rPr>
      </w:pPr>
      <w:r>
        <w:rPr>
          <w:rFonts w:hint="eastAsia" w:ascii="宋体" w:hAnsi="宋体" w:cs="宋体"/>
          <w:b/>
          <w:sz w:val="32"/>
          <w:szCs w:val="32"/>
          <w:lang w:val="en-GB"/>
        </w:rPr>
        <w:t>残疾人福利性单位声明函</w:t>
      </w:r>
    </w:p>
    <w:p>
      <w:pPr>
        <w:spacing w:line="360" w:lineRule="auto"/>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pPr>
        <w:spacing w:line="360" w:lineRule="auto"/>
        <w:ind w:firstLine="3120" w:firstLineChars="1300"/>
        <w:rPr>
          <w:rFonts w:ascii="宋体" w:hAnsi="宋体" w:cs="宋体"/>
          <w:bCs/>
          <w:sz w:val="24"/>
          <w:szCs w:val="24"/>
        </w:rPr>
      </w:pPr>
      <w:r>
        <w:rPr>
          <w:rFonts w:hint="eastAsia" w:ascii="宋体" w:hAnsi="宋体" w:cs="宋体"/>
          <w:bCs/>
          <w:sz w:val="24"/>
          <w:szCs w:val="24"/>
        </w:rPr>
        <w:t>单位名称（单位公章）：</w:t>
      </w:r>
    </w:p>
    <w:p>
      <w:pPr>
        <w:spacing w:line="360" w:lineRule="auto"/>
        <w:ind w:firstLine="5040" w:firstLineChars="2100"/>
        <w:rPr>
          <w:rFonts w:ascii="宋体" w:hAnsi="宋体" w:cs="宋体"/>
        </w:rPr>
      </w:pPr>
      <w:r>
        <w:rPr>
          <w:rFonts w:hint="eastAsia" w:ascii="宋体" w:hAnsi="宋体" w:cs="宋体"/>
          <w:bCs/>
          <w:sz w:val="24"/>
          <w:szCs w:val="24"/>
        </w:rPr>
        <w:t>日期：</w:t>
      </w:r>
      <w:r>
        <w:rPr>
          <w:rFonts w:hint="eastAsia" w:ascii="宋体" w:hAnsi="宋体" w:cs="宋体"/>
          <w:bCs/>
          <w:sz w:val="24"/>
          <w:szCs w:val="24"/>
          <w:u w:val="single"/>
        </w:rPr>
        <w:t xml:space="preserve">      </w:t>
      </w:r>
      <w:r>
        <w:rPr>
          <w:rFonts w:hint="eastAsia" w:ascii="宋体" w:hAnsi="宋体" w:cs="宋体"/>
          <w:bCs/>
          <w:sz w:val="24"/>
          <w:szCs w:val="24"/>
        </w:rPr>
        <w:t>年</w:t>
      </w:r>
      <w:r>
        <w:rPr>
          <w:rFonts w:hint="eastAsia" w:ascii="宋体" w:hAnsi="宋体" w:cs="宋体"/>
          <w:bCs/>
          <w:sz w:val="24"/>
          <w:szCs w:val="24"/>
          <w:u w:val="single"/>
        </w:rPr>
        <w:t xml:space="preserve">    </w:t>
      </w:r>
      <w:r>
        <w:rPr>
          <w:rFonts w:hint="eastAsia" w:ascii="宋体" w:hAnsi="宋体" w:cs="宋体"/>
          <w:bCs/>
          <w:sz w:val="24"/>
          <w:szCs w:val="24"/>
        </w:rPr>
        <w:t>月</w:t>
      </w:r>
      <w:r>
        <w:rPr>
          <w:rFonts w:hint="eastAsia" w:ascii="宋体" w:hAnsi="宋体" w:cs="宋体"/>
          <w:bCs/>
          <w:sz w:val="24"/>
          <w:szCs w:val="24"/>
          <w:u w:val="single"/>
        </w:rPr>
        <w:t xml:space="preserve">    </w:t>
      </w:r>
      <w:r>
        <w:rPr>
          <w:rFonts w:hint="eastAsia" w:ascii="宋体" w:hAnsi="宋体" w:cs="宋体"/>
          <w:bCs/>
          <w:sz w:val="24"/>
          <w:szCs w:val="24"/>
        </w:rPr>
        <w:t>日</w:t>
      </w:r>
    </w:p>
    <w:p>
      <w:pPr>
        <w:spacing w:line="360" w:lineRule="auto"/>
        <w:rPr>
          <w:rFonts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填表说明：</w:t>
      </w:r>
    </w:p>
    <w:p>
      <w:pPr>
        <w:spacing w:line="360" w:lineRule="auto"/>
        <w:rPr>
          <w:rFonts w:ascii="宋体" w:hAnsi="宋体" w:cs="宋体"/>
          <w:b/>
          <w:bCs/>
          <w:sz w:val="24"/>
          <w:szCs w:val="24"/>
        </w:rPr>
      </w:pPr>
      <w:r>
        <w:rPr>
          <w:rFonts w:hint="eastAsia" w:ascii="宋体" w:hAnsi="宋体" w:cs="宋体"/>
          <w:b/>
          <w:bCs/>
          <w:sz w:val="24"/>
          <w:szCs w:val="24"/>
        </w:rPr>
        <w:t>1、从业人员、营业收入、资产总额填报上一年度数据，无上一年度数据的新成立企业可不填报。</w:t>
      </w:r>
    </w:p>
    <w:p>
      <w:pPr>
        <w:spacing w:line="360" w:lineRule="auto"/>
        <w:rPr>
          <w:rFonts w:ascii="宋体" w:hAnsi="宋体" w:cs="宋体"/>
          <w:b/>
          <w:bCs/>
          <w:sz w:val="24"/>
          <w:szCs w:val="24"/>
        </w:rPr>
      </w:pPr>
      <w:r>
        <w:rPr>
          <w:rFonts w:hint="eastAsia" w:ascii="宋体" w:hAnsi="宋体" w:cs="宋体"/>
          <w:b/>
          <w:bCs/>
          <w:sz w:val="24"/>
          <w:szCs w:val="24"/>
        </w:rPr>
        <w:t>2、为了更加准确判定制造商是否为小微企业，请供应商根据工业和信息化部官方网站---中小企业规模类型自测小程序来辨别制造商企业规模类型，中小企业规模类型自测小程序链接网址为</w:t>
      </w:r>
    </w:p>
    <w:p>
      <w:pPr>
        <w:spacing w:line="360" w:lineRule="auto"/>
        <w:rPr>
          <w:rFonts w:ascii="宋体" w:hAnsi="宋体" w:cs="宋体"/>
          <w:b/>
          <w:bCs/>
          <w:sz w:val="24"/>
          <w:szCs w:val="24"/>
        </w:rPr>
      </w:pPr>
      <w:r>
        <w:rPr>
          <w:rFonts w:hint="eastAsia" w:ascii="宋体" w:hAnsi="宋体" w:cs="宋体"/>
          <w:b/>
          <w:bCs/>
          <w:sz w:val="24"/>
          <w:szCs w:val="24"/>
        </w:rPr>
        <w:t>http://202.106.120.146/baosong/appweb/orgScale.html</w:t>
      </w:r>
    </w:p>
    <w:p>
      <w:pPr>
        <w:spacing w:line="360" w:lineRule="auto"/>
        <w:rPr>
          <w:rFonts w:ascii="宋体" w:hAnsi="宋体" w:cs="宋体"/>
          <w:b/>
          <w:bCs/>
          <w:sz w:val="24"/>
          <w:szCs w:val="24"/>
        </w:rPr>
      </w:pPr>
      <w:r>
        <w:rPr>
          <w:rFonts w:hint="eastAsia" w:ascii="宋体" w:hAnsi="宋体" w:cs="宋体"/>
          <w:b/>
          <w:bCs/>
          <w:sz w:val="24"/>
          <w:szCs w:val="24"/>
        </w:rPr>
        <w:t>3、供应商未提供《中小企业声明函》的、《中小企业声明函》中内容应填写而未进行填写或未如实填写的，将不给予供应商小微企业报价优惠扣除。</w:t>
      </w:r>
    </w:p>
    <w:p>
      <w:pPr>
        <w:spacing w:line="360" w:lineRule="auto"/>
        <w:rPr>
          <w:rFonts w:ascii="宋体" w:hAnsi="宋体" w:cs="宋体"/>
          <w:b/>
          <w:bCs/>
          <w:sz w:val="24"/>
          <w:szCs w:val="24"/>
        </w:rPr>
      </w:pPr>
      <w:r>
        <w:rPr>
          <w:rFonts w:hint="eastAsia" w:ascii="宋体" w:hAnsi="宋体" w:cs="宋体"/>
          <w:b/>
          <w:bCs/>
          <w:sz w:val="24"/>
          <w:szCs w:val="24"/>
        </w:rPr>
        <w:t>预成交供应商享受小微企业报价优惠扣除的，将按规定公开预成交供应商的《中小企业声明函》。</w:t>
      </w:r>
    </w:p>
    <w:p>
      <w:pPr>
        <w:numPr>
          <w:ilvl w:val="0"/>
          <w:numId w:val="11"/>
        </w:numPr>
        <w:spacing w:line="360" w:lineRule="auto"/>
        <w:rPr>
          <w:rFonts w:ascii="宋体" w:hAnsi="宋体" w:cs="宋体"/>
          <w:b/>
          <w:bCs/>
          <w:sz w:val="24"/>
          <w:szCs w:val="24"/>
        </w:rPr>
      </w:pPr>
      <w:r>
        <w:rPr>
          <w:rFonts w:hint="eastAsia" w:ascii="宋体" w:hAnsi="宋体" w:cs="宋体"/>
          <w:b/>
          <w:bCs/>
          <w:sz w:val="24"/>
          <w:szCs w:val="24"/>
        </w:rPr>
        <w:t>如国家对中小企业划型标准有新的规定的，从其规定。 </w:t>
      </w:r>
    </w:p>
    <w:p>
      <w:pPr>
        <w:spacing w:line="360" w:lineRule="auto"/>
      </w:pPr>
      <w:r>
        <w:rPr>
          <w:rFonts w:hint="eastAsia" w:ascii="宋体" w:hAnsi="宋体" w:cs="宋体"/>
          <w:b/>
          <w:bCs/>
          <w:sz w:val="24"/>
        </w:rPr>
        <w:t> </w:t>
      </w:r>
    </w:p>
    <w:p>
      <w:pPr>
        <w:spacing w:line="400" w:lineRule="exact"/>
        <w:rPr>
          <w:rFonts w:ascii="宋体" w:hAnsi="宋体"/>
          <w:b/>
          <w:sz w:val="28"/>
          <w:szCs w:val="28"/>
        </w:rPr>
      </w:pPr>
    </w:p>
    <w:p>
      <w:pPr>
        <w:pStyle w:val="12"/>
        <w:rPr>
          <w:rFonts w:ascii="宋体" w:hAnsi="宋体"/>
          <w:b/>
          <w:sz w:val="28"/>
          <w:szCs w:val="28"/>
        </w:rPr>
      </w:pPr>
    </w:p>
    <w:p>
      <w:pPr>
        <w:pStyle w:val="13"/>
        <w:rPr>
          <w:rFonts w:ascii="宋体" w:hAnsi="宋体"/>
          <w:b/>
          <w:sz w:val="28"/>
          <w:szCs w:val="28"/>
        </w:rPr>
      </w:pPr>
    </w:p>
    <w:p>
      <w:pPr>
        <w:pStyle w:val="14"/>
        <w:rPr>
          <w:rFonts w:ascii="宋体" w:hAnsi="宋体"/>
          <w:b/>
          <w:sz w:val="28"/>
          <w:szCs w:val="28"/>
        </w:rPr>
      </w:pPr>
    </w:p>
    <w:p/>
    <w:p>
      <w:pPr>
        <w:spacing w:line="400" w:lineRule="exact"/>
        <w:rPr>
          <w:rFonts w:ascii="宋体" w:hAnsi="宋体"/>
          <w:b/>
          <w:sz w:val="28"/>
          <w:szCs w:val="28"/>
        </w:rPr>
      </w:pPr>
    </w:p>
    <w:p>
      <w:pPr>
        <w:spacing w:line="390" w:lineRule="exact"/>
        <w:rPr>
          <w:rFonts w:ascii="宋体" w:hAnsi="宋体"/>
          <w:b/>
          <w:sz w:val="28"/>
          <w:szCs w:val="28"/>
          <w:lang w:val="en-GB"/>
        </w:rPr>
      </w:pPr>
      <w:r>
        <w:rPr>
          <w:rFonts w:hint="eastAsia" w:ascii="宋体" w:hAnsi="宋体"/>
          <w:b/>
          <w:sz w:val="28"/>
          <w:szCs w:val="28"/>
        </w:rPr>
        <w:t xml:space="preserve">附件：18             </w:t>
      </w:r>
      <w:r>
        <w:rPr>
          <w:rFonts w:hint="eastAsia" w:ascii="宋体" w:hAnsi="宋体"/>
          <w:b/>
          <w:sz w:val="28"/>
          <w:szCs w:val="28"/>
          <w:lang w:val="en-GB"/>
        </w:rPr>
        <w:t>政府采购活动确认声明书</w:t>
      </w:r>
    </w:p>
    <w:p>
      <w:pPr>
        <w:snapToGrid w:val="0"/>
        <w:spacing w:line="390" w:lineRule="exact"/>
        <w:rPr>
          <w:rFonts w:ascii="宋体" w:hAnsi="宋体" w:cs="宋体"/>
          <w:b/>
          <w:sz w:val="24"/>
          <w:szCs w:val="24"/>
        </w:rPr>
      </w:pPr>
      <w:r>
        <w:rPr>
          <w:rFonts w:hint="eastAsia" w:ascii="宋体" w:hAnsi="宋体" w:cs="宋体"/>
          <w:kern w:val="0"/>
          <w:sz w:val="24"/>
          <w:szCs w:val="24"/>
          <w:u w:val="single"/>
        </w:rPr>
        <w:t>台州市玖诚工程管理有限公司</w:t>
      </w:r>
      <w:r>
        <w:rPr>
          <w:rFonts w:hint="eastAsia" w:ascii="宋体" w:hAnsi="宋体" w:cs="宋体"/>
          <w:kern w:val="0"/>
          <w:sz w:val="24"/>
          <w:szCs w:val="24"/>
        </w:rPr>
        <w:t>（采购组织机构名称）：</w:t>
      </w:r>
    </w:p>
    <w:p>
      <w:pPr>
        <w:widowControl/>
        <w:spacing w:line="390" w:lineRule="exact"/>
        <w:ind w:firstLine="504" w:firstLineChars="200"/>
        <w:jc w:val="left"/>
        <w:rPr>
          <w:rFonts w:ascii="宋体" w:hAnsi="宋体" w:cs="宋体"/>
          <w:kern w:val="0"/>
          <w:sz w:val="24"/>
          <w:szCs w:val="24"/>
          <w:lang w:val="zh-CN"/>
        </w:rPr>
      </w:pPr>
      <w:r>
        <w:rPr>
          <w:rFonts w:hint="eastAsia" w:ascii="宋体" w:hAnsi="宋体" w:cs="宋体"/>
          <w:spacing w:val="6"/>
          <w:kern w:val="0"/>
          <w:sz w:val="24"/>
          <w:szCs w:val="24"/>
          <w:lang w:val="zh-CN"/>
        </w:rPr>
        <w:t>本人经由</w:t>
      </w:r>
      <w:r>
        <w:rPr>
          <w:rFonts w:hint="eastAsia" w:ascii="宋体" w:hAnsi="宋体" w:cs="宋体"/>
          <w:spacing w:val="6"/>
          <w:kern w:val="0"/>
          <w:sz w:val="24"/>
          <w:szCs w:val="24"/>
          <w:u w:val="single"/>
          <w:lang w:val="zh-CN"/>
        </w:rPr>
        <w:t xml:space="preserve">                       </w:t>
      </w:r>
      <w:r>
        <w:rPr>
          <w:rFonts w:hint="eastAsia" w:ascii="宋体" w:hAnsi="宋体" w:cs="宋体"/>
          <w:spacing w:val="6"/>
          <w:kern w:val="0"/>
          <w:sz w:val="24"/>
          <w:szCs w:val="24"/>
          <w:u w:val="single"/>
        </w:rPr>
        <w:t xml:space="preserve">  </w:t>
      </w:r>
      <w:r>
        <w:rPr>
          <w:rFonts w:hint="eastAsia" w:ascii="宋体" w:hAnsi="宋体" w:cs="宋体"/>
          <w:spacing w:val="6"/>
          <w:kern w:val="0"/>
          <w:sz w:val="24"/>
          <w:szCs w:val="24"/>
          <w:u w:val="single"/>
          <w:lang w:val="zh-CN"/>
        </w:rPr>
        <w:t xml:space="preserve">  </w:t>
      </w:r>
      <w:r>
        <w:rPr>
          <w:rFonts w:hint="eastAsia" w:ascii="宋体" w:hAnsi="宋体" w:cs="宋体"/>
          <w:spacing w:val="6"/>
          <w:kern w:val="0"/>
          <w:sz w:val="24"/>
          <w:szCs w:val="24"/>
          <w:lang w:val="zh-CN"/>
        </w:rPr>
        <w:t>单位</w:t>
      </w:r>
      <w:r>
        <w:rPr>
          <w:rFonts w:hint="eastAsia" w:ascii="宋体" w:hAnsi="宋体" w:cs="宋体"/>
          <w:spacing w:val="6"/>
          <w:kern w:val="0"/>
          <w:sz w:val="24"/>
          <w:szCs w:val="24"/>
          <w:u w:val="single"/>
          <w:lang w:val="zh-CN"/>
        </w:rPr>
        <w:t xml:space="preserve">      </w:t>
      </w:r>
      <w:r>
        <w:rPr>
          <w:rFonts w:hint="eastAsia" w:ascii="宋体" w:hAnsi="宋体" w:cs="宋体"/>
          <w:spacing w:val="6"/>
          <w:kern w:val="0"/>
          <w:sz w:val="24"/>
          <w:szCs w:val="24"/>
          <w:u w:val="single"/>
        </w:rPr>
        <w:t xml:space="preserve"> </w:t>
      </w:r>
      <w:r>
        <w:rPr>
          <w:rFonts w:hint="eastAsia" w:ascii="宋体" w:hAnsi="宋体" w:cs="宋体"/>
          <w:spacing w:val="6"/>
          <w:kern w:val="0"/>
          <w:sz w:val="24"/>
          <w:szCs w:val="24"/>
          <w:u w:val="single"/>
          <w:lang w:val="zh-CN"/>
        </w:rPr>
        <w:t xml:space="preserve">   (法人代表)</w:t>
      </w:r>
      <w:r>
        <w:rPr>
          <w:rFonts w:hint="eastAsia" w:ascii="宋体" w:hAnsi="宋体" w:cs="宋体"/>
          <w:spacing w:val="6"/>
          <w:kern w:val="0"/>
          <w:sz w:val="24"/>
          <w:szCs w:val="24"/>
          <w:lang w:val="zh-CN"/>
        </w:rPr>
        <w:t>合法授权参加</w:t>
      </w:r>
      <w:r>
        <w:rPr>
          <w:rFonts w:hint="eastAsia" w:ascii="宋体" w:hAnsi="宋体" w:cs="宋体"/>
          <w:b/>
          <w:bCs/>
          <w:spacing w:val="6"/>
          <w:kern w:val="0"/>
          <w:sz w:val="24"/>
          <w:szCs w:val="24"/>
          <w:u w:val="single"/>
          <w:lang w:val="zh-CN"/>
        </w:rPr>
        <w:t>黄岩区屿头未来乡村及低碳适用技术集成化应用项目</w:t>
      </w:r>
      <w:r>
        <w:rPr>
          <w:rFonts w:hint="eastAsia" w:ascii="宋体" w:hAnsi="宋体" w:cs="宋体"/>
          <w:spacing w:val="6"/>
          <w:kern w:val="0"/>
          <w:sz w:val="24"/>
          <w:szCs w:val="24"/>
          <w:u w:val="single"/>
          <w:lang w:val="zh-CN"/>
        </w:rPr>
        <w:t>（</w:t>
      </w:r>
      <w:r>
        <w:rPr>
          <w:rFonts w:hint="eastAsia" w:ascii="宋体" w:hAnsi="宋体" w:cs="宋体"/>
          <w:spacing w:val="6"/>
          <w:kern w:val="0"/>
          <w:sz w:val="24"/>
          <w:szCs w:val="24"/>
          <w:u w:val="single"/>
        </w:rPr>
        <w:t>项目</w:t>
      </w:r>
      <w:r>
        <w:rPr>
          <w:rFonts w:hint="eastAsia" w:ascii="宋体" w:hAnsi="宋体" w:cs="宋体"/>
          <w:spacing w:val="6"/>
          <w:kern w:val="0"/>
          <w:sz w:val="24"/>
          <w:szCs w:val="24"/>
          <w:u w:val="single"/>
          <w:lang w:val="zh-CN"/>
        </w:rPr>
        <w:t>编号：</w:t>
      </w:r>
      <w:r>
        <w:rPr>
          <w:rFonts w:hint="eastAsia" w:ascii="宋体" w:hAnsi="宋体" w:cs="宋体"/>
          <w:b/>
          <w:bCs/>
          <w:spacing w:val="6"/>
          <w:kern w:val="0"/>
          <w:sz w:val="24"/>
          <w:szCs w:val="24"/>
          <w:u w:val="single"/>
          <w:lang w:val="zh-CN"/>
        </w:rPr>
        <w:t xml:space="preserve">JC-GK2022-047 </w:t>
      </w:r>
      <w:r>
        <w:rPr>
          <w:rFonts w:hint="eastAsia" w:ascii="宋体" w:hAnsi="宋体" w:cs="宋体"/>
          <w:spacing w:val="6"/>
          <w:kern w:val="0"/>
          <w:sz w:val="24"/>
          <w:szCs w:val="24"/>
          <w:u w:val="single"/>
          <w:lang w:val="zh-CN"/>
        </w:rPr>
        <w:t>）</w:t>
      </w:r>
      <w:r>
        <w:rPr>
          <w:rFonts w:hint="eastAsia" w:ascii="宋体" w:hAnsi="宋体" w:cs="宋体"/>
          <w:spacing w:val="6"/>
          <w:kern w:val="0"/>
          <w:sz w:val="24"/>
          <w:szCs w:val="24"/>
          <w:lang w:val="zh-CN"/>
        </w:rPr>
        <w:t>政府采购活动，经与本单位法人代表（负责人）联系确认，现就有关公平竞争事项郑重声明如下：</w:t>
      </w:r>
    </w:p>
    <w:p>
      <w:pPr>
        <w:widowControl/>
        <w:snapToGrid w:val="0"/>
        <w:spacing w:line="390" w:lineRule="exact"/>
        <w:rPr>
          <w:rFonts w:ascii="宋体" w:hAnsi="宋体" w:cs="宋体"/>
          <w:kern w:val="0"/>
          <w:sz w:val="24"/>
          <w:szCs w:val="24"/>
        </w:rPr>
      </w:pPr>
      <w:r>
        <w:rPr>
          <w:rFonts w:hint="eastAsia" w:ascii="宋体" w:hAnsi="宋体" w:cs="宋体"/>
          <w:kern w:val="0"/>
          <w:sz w:val="24"/>
          <w:szCs w:val="24"/>
        </w:rPr>
        <w:t>一、本单位与采购人之间</w:t>
      </w:r>
    </w:p>
    <w:p>
      <w:pPr>
        <w:widowControl/>
        <w:snapToGrid w:val="0"/>
        <w:spacing w:line="390" w:lineRule="exact"/>
        <w:ind w:firstLine="480" w:firstLineChars="200"/>
        <w:rPr>
          <w:rFonts w:ascii="宋体" w:hAnsi="宋体" w:cs="宋体"/>
          <w:kern w:val="0"/>
          <w:sz w:val="24"/>
          <w:szCs w:val="24"/>
        </w:rPr>
      </w:pPr>
      <w:r>
        <w:rPr>
          <w:rFonts w:hint="eastAsia" w:ascii="宋体" w:hAnsi="宋体" w:cs="宋体"/>
          <w:kern w:val="0"/>
          <w:sz w:val="24"/>
          <w:szCs w:val="24"/>
        </w:rPr>
        <w:t>□不存在利害关系</w:t>
      </w:r>
    </w:p>
    <w:p>
      <w:pPr>
        <w:widowControl/>
        <w:snapToGrid w:val="0"/>
        <w:spacing w:line="390" w:lineRule="exact"/>
        <w:ind w:firstLine="480" w:firstLineChars="200"/>
        <w:rPr>
          <w:rFonts w:ascii="宋体" w:hAnsi="宋体" w:cs="宋体"/>
          <w:kern w:val="0"/>
          <w:sz w:val="24"/>
          <w:szCs w:val="24"/>
        </w:rPr>
      </w:pPr>
      <w:r>
        <w:rPr>
          <w:rFonts w:hint="eastAsia" w:ascii="宋体" w:hAnsi="宋体" w:cs="宋体"/>
          <w:kern w:val="0"/>
          <w:sz w:val="24"/>
          <w:szCs w:val="24"/>
        </w:rPr>
        <w:t>□存在下列利害关系：</w:t>
      </w:r>
    </w:p>
    <w:p>
      <w:pPr>
        <w:widowControl/>
        <w:snapToGrid w:val="0"/>
        <w:spacing w:line="390" w:lineRule="exact"/>
        <w:ind w:firstLine="480" w:firstLineChars="200"/>
        <w:rPr>
          <w:rFonts w:ascii="宋体" w:hAnsi="宋体" w:cs="宋体"/>
          <w:kern w:val="0"/>
          <w:sz w:val="24"/>
          <w:szCs w:val="24"/>
        </w:rPr>
      </w:pPr>
      <w:r>
        <w:rPr>
          <w:rFonts w:hint="eastAsia" w:ascii="宋体" w:hAnsi="宋体" w:cs="宋体"/>
          <w:kern w:val="0"/>
          <w:sz w:val="24"/>
          <w:szCs w:val="24"/>
        </w:rPr>
        <w:t>A.投资关系    B.行政隶属关系    C.业务指导关系</w:t>
      </w:r>
    </w:p>
    <w:p>
      <w:pPr>
        <w:widowControl/>
        <w:snapToGrid w:val="0"/>
        <w:spacing w:line="390" w:lineRule="exact"/>
        <w:ind w:firstLine="480" w:firstLineChars="200"/>
        <w:rPr>
          <w:rFonts w:ascii="宋体" w:hAnsi="宋体" w:cs="宋体"/>
          <w:kern w:val="0"/>
          <w:sz w:val="24"/>
          <w:szCs w:val="24"/>
        </w:rPr>
      </w:pPr>
      <w:r>
        <w:rPr>
          <w:rFonts w:hint="eastAsia" w:ascii="宋体" w:hAnsi="宋体" w:cs="宋体"/>
          <w:kern w:val="0"/>
          <w:sz w:val="24"/>
          <w:szCs w:val="24"/>
        </w:rPr>
        <w:t>D.其他可能</w:t>
      </w:r>
      <w:r>
        <w:rPr>
          <w:rFonts w:hint="eastAsia" w:ascii="宋体" w:hAnsi="宋体" w:cs="宋体"/>
          <w:sz w:val="24"/>
          <w:szCs w:val="24"/>
        </w:rPr>
        <w:t>影响采购公正的</w:t>
      </w:r>
      <w:r>
        <w:rPr>
          <w:rFonts w:hint="eastAsia" w:ascii="宋体" w:hAnsi="宋体" w:cs="宋体"/>
          <w:kern w:val="0"/>
          <w:sz w:val="24"/>
          <w:szCs w:val="24"/>
        </w:rPr>
        <w:t>利害关系。</w:t>
      </w:r>
    </w:p>
    <w:p>
      <w:pPr>
        <w:widowControl/>
        <w:snapToGrid w:val="0"/>
        <w:spacing w:line="390" w:lineRule="exact"/>
        <w:rPr>
          <w:rFonts w:ascii="宋体" w:hAnsi="宋体" w:cs="宋体"/>
          <w:kern w:val="0"/>
          <w:sz w:val="24"/>
          <w:szCs w:val="24"/>
        </w:rPr>
      </w:pPr>
      <w:r>
        <w:rPr>
          <w:rFonts w:hint="eastAsia" w:ascii="宋体" w:hAnsi="宋体" w:cs="宋体"/>
          <w:spacing w:val="6"/>
          <w:sz w:val="24"/>
          <w:szCs w:val="24"/>
        </w:rPr>
        <w:t>二、</w:t>
      </w:r>
      <w:r>
        <w:rPr>
          <w:rFonts w:hint="eastAsia" w:ascii="宋体" w:hAnsi="宋体" w:cs="宋体"/>
          <w:kern w:val="0"/>
          <w:sz w:val="24"/>
          <w:szCs w:val="24"/>
        </w:rPr>
        <w:t>现已清楚知道参加本项目采购活动的其他所有供应商名称，本单位</w:t>
      </w:r>
    </w:p>
    <w:p>
      <w:pPr>
        <w:widowControl/>
        <w:snapToGrid w:val="0"/>
        <w:spacing w:line="390" w:lineRule="exact"/>
        <w:ind w:firstLine="480" w:firstLineChars="200"/>
        <w:rPr>
          <w:rFonts w:ascii="宋体" w:hAnsi="宋体" w:cs="宋体"/>
          <w:kern w:val="0"/>
          <w:sz w:val="24"/>
          <w:szCs w:val="24"/>
        </w:rPr>
      </w:pPr>
      <w:r>
        <w:rPr>
          <w:rFonts w:hint="eastAsia" w:ascii="宋体" w:hAnsi="宋体" w:cs="宋体"/>
          <w:kern w:val="0"/>
          <w:sz w:val="24"/>
          <w:szCs w:val="24"/>
        </w:rPr>
        <w:t>□与其他所有供应商之间均不存在利害关系</w:t>
      </w:r>
    </w:p>
    <w:p>
      <w:pPr>
        <w:widowControl/>
        <w:snapToGrid w:val="0"/>
        <w:spacing w:line="390" w:lineRule="exact"/>
        <w:ind w:firstLine="480" w:firstLineChars="200"/>
        <w:rPr>
          <w:rFonts w:ascii="宋体" w:hAnsi="宋体" w:cs="宋体"/>
          <w:kern w:val="0"/>
          <w:sz w:val="24"/>
          <w:szCs w:val="24"/>
        </w:rPr>
      </w:pPr>
      <w:r>
        <w:rPr>
          <w:rFonts w:hint="eastAsia" w:ascii="宋体" w:hAnsi="宋体" w:cs="宋体"/>
          <w:kern w:val="0"/>
          <w:sz w:val="24"/>
          <w:szCs w:val="24"/>
        </w:rPr>
        <w:t>□与之间存在下列利害关系：</w:t>
      </w:r>
    </w:p>
    <w:p>
      <w:pPr>
        <w:widowControl/>
        <w:snapToGrid w:val="0"/>
        <w:spacing w:line="390" w:lineRule="exact"/>
        <w:ind w:firstLine="480" w:firstLineChars="200"/>
        <w:rPr>
          <w:rFonts w:ascii="宋体" w:hAnsi="宋体" w:cs="宋体"/>
          <w:kern w:val="0"/>
          <w:sz w:val="24"/>
          <w:szCs w:val="24"/>
        </w:rPr>
      </w:pPr>
      <w:r>
        <w:rPr>
          <w:rFonts w:hint="eastAsia" w:ascii="宋体" w:hAnsi="宋体" w:cs="宋体"/>
          <w:kern w:val="0"/>
          <w:sz w:val="24"/>
          <w:szCs w:val="24"/>
        </w:rPr>
        <w:t>A.法定代表人或负责人或实际控制人是同一人</w:t>
      </w:r>
    </w:p>
    <w:p>
      <w:pPr>
        <w:widowControl/>
        <w:snapToGrid w:val="0"/>
        <w:spacing w:line="390" w:lineRule="exact"/>
        <w:ind w:firstLine="480" w:firstLineChars="200"/>
        <w:rPr>
          <w:rFonts w:ascii="宋体" w:hAnsi="宋体" w:cs="宋体"/>
          <w:spacing w:val="6"/>
          <w:sz w:val="24"/>
          <w:szCs w:val="24"/>
        </w:rPr>
      </w:pPr>
      <w:r>
        <w:rPr>
          <w:rFonts w:hint="eastAsia" w:ascii="宋体" w:hAnsi="宋体" w:cs="宋体"/>
          <w:kern w:val="0"/>
          <w:sz w:val="24"/>
          <w:szCs w:val="24"/>
        </w:rPr>
        <w:t>B.法定代表人或负责人或实际控制人是夫妻关系</w:t>
      </w:r>
    </w:p>
    <w:p>
      <w:pPr>
        <w:widowControl/>
        <w:snapToGrid w:val="0"/>
        <w:spacing w:line="390" w:lineRule="exact"/>
        <w:ind w:firstLine="480" w:firstLineChars="200"/>
        <w:rPr>
          <w:rFonts w:ascii="宋体" w:hAnsi="宋体" w:cs="宋体"/>
          <w:spacing w:val="6"/>
          <w:sz w:val="24"/>
          <w:szCs w:val="24"/>
        </w:rPr>
      </w:pPr>
      <w:r>
        <w:rPr>
          <w:rFonts w:hint="eastAsia" w:ascii="宋体" w:hAnsi="宋体" w:cs="宋体"/>
          <w:kern w:val="0"/>
          <w:sz w:val="24"/>
          <w:szCs w:val="24"/>
        </w:rPr>
        <w:t>C.法定代表人或负责人或实际控制人是直系血亲关系</w:t>
      </w:r>
    </w:p>
    <w:p>
      <w:pPr>
        <w:widowControl/>
        <w:snapToGrid w:val="0"/>
        <w:spacing w:line="390" w:lineRule="exact"/>
        <w:ind w:firstLine="480" w:firstLineChars="200"/>
        <w:rPr>
          <w:rFonts w:ascii="宋体" w:hAnsi="宋体" w:cs="宋体"/>
          <w:spacing w:val="6"/>
          <w:sz w:val="24"/>
          <w:szCs w:val="24"/>
        </w:rPr>
      </w:pPr>
      <w:r>
        <w:rPr>
          <w:rFonts w:hint="eastAsia" w:ascii="宋体" w:hAnsi="宋体" w:cs="宋体"/>
          <w:kern w:val="0"/>
          <w:sz w:val="24"/>
          <w:szCs w:val="24"/>
        </w:rPr>
        <w:t>D.法定代表人或负责人或实际控制人存在三代以内旁系血亲关系</w:t>
      </w:r>
    </w:p>
    <w:p>
      <w:pPr>
        <w:snapToGrid w:val="0"/>
        <w:spacing w:line="390" w:lineRule="exact"/>
        <w:ind w:firstLine="480" w:firstLineChars="200"/>
        <w:rPr>
          <w:rFonts w:ascii="宋体" w:hAnsi="宋体" w:cs="宋体"/>
          <w:kern w:val="0"/>
          <w:sz w:val="24"/>
          <w:szCs w:val="24"/>
        </w:rPr>
      </w:pPr>
      <w:r>
        <w:rPr>
          <w:rFonts w:hint="eastAsia" w:ascii="宋体" w:hAnsi="宋体" w:cs="宋体"/>
          <w:kern w:val="0"/>
          <w:sz w:val="24"/>
          <w:szCs w:val="24"/>
        </w:rPr>
        <w:t>E.法定代表人或负责人或实际控制人存在近姻亲关系</w:t>
      </w:r>
    </w:p>
    <w:p>
      <w:pPr>
        <w:snapToGrid w:val="0"/>
        <w:spacing w:line="390" w:lineRule="exact"/>
        <w:ind w:firstLine="480" w:firstLineChars="200"/>
        <w:rPr>
          <w:rFonts w:ascii="宋体" w:hAnsi="宋体" w:cs="宋体"/>
          <w:kern w:val="0"/>
          <w:sz w:val="24"/>
          <w:szCs w:val="24"/>
        </w:rPr>
      </w:pPr>
      <w:r>
        <w:rPr>
          <w:rFonts w:hint="eastAsia" w:ascii="宋体" w:hAnsi="宋体" w:cs="宋体"/>
          <w:kern w:val="0"/>
          <w:sz w:val="24"/>
          <w:szCs w:val="24"/>
        </w:rPr>
        <w:t>F.法定代表人或负责人或实际控制人存在股份控制或实际控制关系</w:t>
      </w:r>
    </w:p>
    <w:p>
      <w:pPr>
        <w:snapToGrid w:val="0"/>
        <w:spacing w:line="390" w:lineRule="exact"/>
        <w:ind w:firstLine="480" w:firstLineChars="200"/>
        <w:outlineLvl w:val="0"/>
        <w:rPr>
          <w:rFonts w:ascii="宋体" w:hAnsi="宋体" w:cs="宋体"/>
          <w:kern w:val="0"/>
          <w:sz w:val="24"/>
          <w:szCs w:val="24"/>
        </w:rPr>
      </w:pPr>
      <w:r>
        <w:rPr>
          <w:rFonts w:hint="eastAsia" w:ascii="宋体" w:hAnsi="宋体" w:cs="宋体"/>
          <w:kern w:val="0"/>
          <w:sz w:val="24"/>
          <w:szCs w:val="24"/>
        </w:rPr>
        <w:t>G.存在共同直接或间接投资设立子公司、联营企业和合营企业情况</w:t>
      </w:r>
    </w:p>
    <w:p>
      <w:pPr>
        <w:snapToGrid w:val="0"/>
        <w:spacing w:line="390" w:lineRule="exact"/>
        <w:ind w:firstLine="480" w:firstLineChars="200"/>
        <w:rPr>
          <w:rFonts w:ascii="宋体" w:hAnsi="宋体" w:cs="宋体"/>
          <w:kern w:val="0"/>
          <w:sz w:val="24"/>
          <w:szCs w:val="24"/>
        </w:rPr>
      </w:pPr>
      <w:r>
        <w:rPr>
          <w:rFonts w:hint="eastAsia" w:ascii="宋体" w:hAnsi="宋体" w:cs="宋体"/>
          <w:kern w:val="0"/>
          <w:sz w:val="24"/>
          <w:szCs w:val="24"/>
        </w:rPr>
        <w:t>H.存在分级代理或代销关系、同一生产制造商关系、管理关系、重要业务（占主营业务收入50%以上）或重要财务往来关系（如融资）等其他实质性控制关系</w:t>
      </w:r>
    </w:p>
    <w:p>
      <w:pPr>
        <w:snapToGrid w:val="0"/>
        <w:spacing w:line="390" w:lineRule="exact"/>
        <w:ind w:firstLine="480" w:firstLineChars="200"/>
        <w:rPr>
          <w:rFonts w:ascii="宋体" w:hAnsi="宋体" w:cs="宋体"/>
          <w:spacing w:val="6"/>
          <w:sz w:val="24"/>
          <w:szCs w:val="24"/>
        </w:rPr>
      </w:pPr>
      <w:r>
        <w:rPr>
          <w:rFonts w:hint="eastAsia" w:ascii="宋体" w:hAnsi="宋体" w:cs="宋体"/>
          <w:kern w:val="0"/>
          <w:sz w:val="24"/>
          <w:szCs w:val="24"/>
        </w:rPr>
        <w:t>I.其他利害关系情况。</w:t>
      </w:r>
    </w:p>
    <w:p>
      <w:pPr>
        <w:widowControl/>
        <w:snapToGrid w:val="0"/>
        <w:spacing w:line="390" w:lineRule="exact"/>
        <w:rPr>
          <w:rFonts w:ascii="宋体" w:hAnsi="宋体" w:cs="宋体"/>
          <w:kern w:val="0"/>
          <w:sz w:val="24"/>
          <w:szCs w:val="24"/>
        </w:rPr>
      </w:pPr>
      <w:r>
        <w:rPr>
          <w:rFonts w:hint="eastAsia" w:ascii="宋体" w:hAnsi="宋体" w:cs="宋体"/>
          <w:sz w:val="24"/>
          <w:szCs w:val="24"/>
        </w:rPr>
        <w:t>三、现已清楚知道并</w:t>
      </w:r>
      <w:r>
        <w:rPr>
          <w:rFonts w:hint="eastAsia" w:ascii="宋体" w:hAnsi="宋体" w:cs="宋体"/>
          <w:kern w:val="0"/>
          <w:sz w:val="24"/>
          <w:szCs w:val="24"/>
        </w:rPr>
        <w:t>严格遵守政府采购法律法规和现场纪律。</w:t>
      </w:r>
    </w:p>
    <w:p>
      <w:pPr>
        <w:widowControl/>
        <w:snapToGrid w:val="0"/>
        <w:spacing w:line="390" w:lineRule="exact"/>
        <w:rPr>
          <w:rFonts w:ascii="宋体" w:hAnsi="宋体" w:cs="宋体"/>
          <w:kern w:val="0"/>
          <w:sz w:val="24"/>
          <w:szCs w:val="24"/>
        </w:rPr>
      </w:pPr>
      <w:r>
        <w:rPr>
          <w:rFonts w:hint="eastAsia" w:ascii="宋体" w:hAnsi="宋体" w:cs="宋体"/>
          <w:kern w:val="0"/>
          <w:sz w:val="24"/>
          <w:szCs w:val="24"/>
        </w:rPr>
        <w:t>四、我发现供应商之间存在或可能存在上述第二条第项利害关系。</w:t>
      </w:r>
    </w:p>
    <w:p>
      <w:pPr>
        <w:widowControl/>
        <w:snapToGrid w:val="0"/>
        <w:spacing w:line="390" w:lineRule="exact"/>
        <w:ind w:firstLine="480" w:firstLineChars="200"/>
        <w:rPr>
          <w:rFonts w:ascii="宋体" w:hAnsi="宋体" w:cs="宋体"/>
          <w:kern w:val="0"/>
          <w:sz w:val="24"/>
          <w:szCs w:val="24"/>
        </w:rPr>
      </w:pPr>
      <w:r>
        <w:rPr>
          <w:rFonts w:hint="eastAsia" w:ascii="宋体" w:hAnsi="宋体" w:cs="宋体"/>
          <w:kern w:val="0"/>
          <w:sz w:val="24"/>
          <w:szCs w:val="24"/>
        </w:rPr>
        <w:t>□不存在利害关系</w:t>
      </w:r>
    </w:p>
    <w:p>
      <w:pPr>
        <w:widowControl/>
        <w:snapToGrid w:val="0"/>
        <w:spacing w:line="390" w:lineRule="exact"/>
        <w:ind w:firstLine="480" w:firstLineChars="200"/>
        <w:rPr>
          <w:rFonts w:ascii="宋体" w:hAnsi="宋体" w:cs="宋体"/>
          <w:kern w:val="0"/>
          <w:sz w:val="24"/>
          <w:szCs w:val="24"/>
        </w:rPr>
      </w:pPr>
      <w:r>
        <w:rPr>
          <w:rFonts w:hint="eastAsia" w:ascii="宋体" w:hAnsi="宋体" w:cs="宋体"/>
          <w:kern w:val="0"/>
          <w:sz w:val="24"/>
          <w:szCs w:val="24"/>
        </w:rPr>
        <w:t>□存在下列利害关系</w:t>
      </w:r>
    </w:p>
    <w:p>
      <w:pPr>
        <w:snapToGrid w:val="0"/>
        <w:spacing w:line="390" w:lineRule="exact"/>
        <w:ind w:firstLine="5301" w:firstLineChars="2200"/>
        <w:rPr>
          <w:rFonts w:ascii="宋体" w:hAnsi="宋体" w:cs="宋体"/>
          <w:b/>
          <w:sz w:val="24"/>
          <w:szCs w:val="24"/>
        </w:rPr>
      </w:pPr>
      <w:r>
        <w:rPr>
          <w:rFonts w:hint="eastAsia" w:ascii="宋体" w:hAnsi="宋体" w:cs="宋体"/>
          <w:b/>
          <w:sz w:val="24"/>
          <w:szCs w:val="24"/>
        </w:rPr>
        <w:t>供应商代表签名：</w:t>
      </w:r>
    </w:p>
    <w:p>
      <w:pPr>
        <w:tabs>
          <w:tab w:val="left" w:pos="1418"/>
        </w:tabs>
        <w:autoSpaceDE w:val="0"/>
        <w:autoSpaceDN w:val="0"/>
        <w:adjustRightInd w:val="0"/>
        <w:spacing w:line="390" w:lineRule="exact"/>
        <w:ind w:firstLine="480" w:firstLineChars="200"/>
        <w:jc w:val="right"/>
        <w:rPr>
          <w:rFonts w:ascii="宋体" w:hAnsi="宋体" w:cs="宋体"/>
          <w:sz w:val="24"/>
          <w:szCs w:val="24"/>
        </w:rPr>
      </w:pPr>
      <w:r>
        <w:rPr>
          <w:rFonts w:hint="eastAsia" w:ascii="宋体" w:hAnsi="宋体" w:cs="宋体"/>
          <w:sz w:val="24"/>
          <w:szCs w:val="24"/>
        </w:rPr>
        <w:t>年  月  日</w:t>
      </w:r>
    </w:p>
    <w:p>
      <w:pPr>
        <w:tabs>
          <w:tab w:val="left" w:pos="1418"/>
        </w:tabs>
        <w:autoSpaceDE w:val="0"/>
        <w:autoSpaceDN w:val="0"/>
        <w:adjustRightInd w:val="0"/>
        <w:spacing w:line="390" w:lineRule="exact"/>
        <w:rPr>
          <w:rFonts w:ascii="宋体"/>
        </w:rPr>
      </w:pPr>
      <w:r>
        <w:rPr>
          <w:rFonts w:hint="eastAsia" w:ascii="宋体" w:hAnsi="宋体" w:cs="宋体"/>
          <w:b/>
          <w:bCs/>
          <w:kern w:val="0"/>
          <w:sz w:val="24"/>
          <w:szCs w:val="24"/>
        </w:rPr>
        <w:t>说明：商务技术文件开启后30分钟内，供应商通过邮件形式将经授权代表签署的《</w:t>
      </w:r>
      <w:r>
        <w:rPr>
          <w:rFonts w:hint="eastAsia" w:ascii="宋体" w:hAnsi="宋体" w:cs="宋体"/>
          <w:b/>
          <w:bCs/>
          <w:kern w:val="0"/>
          <w:sz w:val="24"/>
          <w:szCs w:val="24"/>
          <w:lang w:val="en-GB"/>
        </w:rPr>
        <w:t>政府采购活动确认声明书</w:t>
      </w:r>
      <w:r>
        <w:rPr>
          <w:rFonts w:hint="eastAsia" w:ascii="宋体" w:hAnsi="宋体" w:cs="宋体"/>
          <w:b/>
          <w:bCs/>
          <w:kern w:val="0"/>
          <w:sz w:val="24"/>
          <w:szCs w:val="24"/>
        </w:rPr>
        <w:t>》扫描件发至代理机构经办人邮箱（邮箱地址：</w:t>
      </w:r>
      <w:r>
        <w:fldChar w:fldCharType="begin"/>
      </w:r>
      <w:r>
        <w:instrText xml:space="preserve"> HYPERLINK "mailto:303054329@qq.com）；" </w:instrText>
      </w:r>
      <w:r>
        <w:fldChar w:fldCharType="separate"/>
      </w:r>
      <w:r>
        <w:rPr>
          <w:rFonts w:hint="eastAsia" w:ascii="宋体" w:hAnsi="宋体" w:cs="宋体"/>
          <w:b/>
          <w:bCs/>
          <w:kern w:val="0"/>
          <w:sz w:val="24"/>
          <w:szCs w:val="24"/>
        </w:rPr>
        <w:t>872868454@qq.com）；</w:t>
      </w:r>
      <w:r>
        <w:fldChar w:fldCharType="end"/>
      </w:r>
      <w:r>
        <w:rPr>
          <w:rFonts w:hint="eastAsia" w:ascii="宋体" w:hAnsi="宋体" w:cs="宋体"/>
          <w:b/>
          <w:bCs/>
          <w:kern w:val="0"/>
          <w:sz w:val="24"/>
          <w:szCs w:val="24"/>
        </w:rPr>
        <w:t>不填写或未按规定发出邮件的，视同默认不存在确认声明书中的相关违规情形。</w:t>
      </w:r>
    </w:p>
    <w:sectPr>
      <w:headerReference r:id="rId5" w:type="default"/>
      <w:footerReference r:id="rId6" w:type="default"/>
      <w:pgSz w:w="11906" w:h="16838"/>
      <w:pgMar w:top="1440" w:right="1803" w:bottom="1440" w:left="1418"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000020204"/>
    <w:charset w:val="00"/>
    <w:family w:val="swiss"/>
    <w:pitch w:val="default"/>
    <w:sig w:usb0="00000000" w:usb1="00000000" w:usb2="00000009" w:usb3="00000000" w:csb0="000001FF" w:csb1="00000000"/>
  </w:font>
  <w:font w:name="方正书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Yu Gothic UI Semilight">
    <w:panose1 w:val="020B0400000000000000"/>
    <w:charset w:val="80"/>
    <w:family w:val="swiss"/>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2"/>
        <w:ind w:firstLine="360"/>
      </w:pPr>
      <w:r>
        <w:rPr>
          <w:rStyle w:val="33"/>
        </w:rPr>
        <w:footnoteRef/>
      </w:r>
      <w:r>
        <w:t xml:space="preserve"> </w:t>
      </w:r>
      <w:r>
        <w:rPr>
          <w:rFonts w:hint="eastAsia" w:ascii="宋体" w:hAnsi="宋体"/>
          <w:bCs/>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cs="宋体"/>
        <w:b/>
        <w:bCs/>
        <w:i/>
        <w:iCs/>
        <w:color w:val="000000"/>
        <w:kern w:val="0"/>
        <w:sz w:val="18"/>
        <w:szCs w:val="18"/>
        <w:u w:val="single"/>
      </w:rPr>
      <w:t xml:space="preserve">黄岩区政府采购招标文件                             </w:t>
    </w:r>
    <w:r>
      <w:rPr>
        <w:rFonts w:cs="宋体"/>
        <w:b/>
        <w:bCs/>
        <w:i/>
        <w:iCs/>
        <w:color w:val="000000"/>
        <w:kern w:val="0"/>
        <w:sz w:val="18"/>
        <w:szCs w:val="18"/>
        <w:u w:val="single"/>
      </w:rPr>
      <w:t xml:space="preserve">  </w:t>
    </w:r>
    <w:r>
      <w:rPr>
        <w:rFonts w:hint="eastAsia" w:cs="宋体"/>
        <w:b/>
        <w:bCs/>
        <w:i/>
        <w:iCs/>
        <w:color w:val="000000"/>
        <w:kern w:val="0"/>
        <w:sz w:val="18"/>
        <w:szCs w:val="18"/>
        <w:u w:val="single"/>
      </w:rPr>
      <w:t xml:space="preserve">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1</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106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cs="宋体"/>
        <w:b/>
        <w:bCs/>
        <w:i/>
        <w:iCs/>
        <w:color w:val="000000"/>
        <w:kern w:val="0"/>
        <w:sz w:val="18"/>
        <w:szCs w:val="18"/>
        <w:u w:val="single"/>
      </w:rPr>
      <w:t xml:space="preserve">黄岩区政府采购招标文件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106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107</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4"/>
      <w:numFmt w:val="chineseCounting"/>
      <w:suff w:val="space"/>
      <w:lvlText w:val="第%1章"/>
      <w:lvlJc w:val="left"/>
      <w:rPr>
        <w:rFonts w:hint="eastAsia"/>
      </w:rPr>
    </w:lvl>
  </w:abstractNum>
  <w:abstractNum w:abstractNumId="2">
    <w:nsid w:val="00000002"/>
    <w:multiLevelType w:val="singleLevel"/>
    <w:tmpl w:val="00000002"/>
    <w:lvl w:ilvl="0" w:tentative="0">
      <w:start w:val="4"/>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pStyle w:val="9"/>
      <w:lvlText w:val="%1."/>
      <w:lvlJc w:val="left"/>
      <w:pPr>
        <w:tabs>
          <w:tab w:val="left" w:pos="360"/>
        </w:tabs>
        <w:ind w:left="360" w:hanging="360"/>
      </w:pPr>
    </w:lvl>
  </w:abstractNum>
  <w:abstractNum w:abstractNumId="4">
    <w:nsid w:val="00000004"/>
    <w:multiLevelType w:val="multilevel"/>
    <w:tmpl w:val="00000004"/>
    <w:lvl w:ilvl="0" w:tentative="0">
      <w:start w:val="1"/>
      <w:numFmt w:val="decimal"/>
      <w:pStyle w:val="95"/>
      <w:suff w:val="nothing"/>
      <w:lvlText w:val="（%1）"/>
      <w:lvlJc w:val="left"/>
      <w:pPr>
        <w:ind w:left="420" w:firstLine="0"/>
      </w:pPr>
      <w:rPr>
        <w:b w:val="0"/>
        <w:bCs w:val="0"/>
        <w:i w:val="0"/>
        <w:iCs w:val="0"/>
        <w:caps w:val="0"/>
        <w:smallCaps w:val="0"/>
        <w:vanish w:val="0"/>
        <w:color w:val="000000"/>
        <w:spacing w:val="0"/>
        <w:position w:val="0"/>
        <w:u w:val="none"/>
        <w:vertAlign w:val="baseline"/>
        <w:lang w:val="en-US"/>
        <w14:shadow w14:blurRad="0" w14:dist="0" w14:dir="0" w14:sx="0" w14:sy="0" w14:kx="0" w14:ky="0" w14:algn="none">
          <w14:srgbClr w14:val="000000"/>
        </w14:shadow>
      </w:rPr>
    </w:lvl>
    <w:lvl w:ilvl="1" w:tentative="0">
      <w:start w:val="1"/>
      <w:numFmt w:val="decimal"/>
      <w:suff w:val="nothing"/>
      <w:lvlText w:val="%2）"/>
      <w:lvlJc w:val="left"/>
      <w:pPr>
        <w:ind w:left="840" w:hanging="1"/>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0000005"/>
    <w:multiLevelType w:val="singleLevel"/>
    <w:tmpl w:val="00000005"/>
    <w:lvl w:ilvl="0" w:tentative="0">
      <w:start w:val="1"/>
      <w:numFmt w:val="decimal"/>
      <w:lvlText w:val="%1."/>
      <w:lvlJc w:val="left"/>
      <w:pPr>
        <w:tabs>
          <w:tab w:val="left" w:pos="312"/>
        </w:tabs>
      </w:pPr>
    </w:lvl>
  </w:abstractNum>
  <w:abstractNum w:abstractNumId="6">
    <w:nsid w:val="00000006"/>
    <w:multiLevelType w:val="multilevel"/>
    <w:tmpl w:val="00000006"/>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00000007"/>
    <w:multiLevelType w:val="multilevel"/>
    <w:tmpl w:val="00000007"/>
    <w:lvl w:ilvl="0" w:tentative="0">
      <w:start w:val="1"/>
      <w:numFmt w:val="decimal"/>
      <w:suff w:val="space"/>
      <w:lvlText w:val="第%1章"/>
      <w:lvlJc w:val="left"/>
      <w:pPr>
        <w:ind w:left="432" w:hanging="432"/>
      </w:pPr>
      <w:rPr>
        <w:rFonts w:hint="eastAsia" w:ascii="宋体" w:eastAsia="宋体"/>
        <w:b/>
        <w:i w:val="0"/>
        <w:sz w:val="36"/>
      </w:rPr>
    </w:lvl>
    <w:lvl w:ilvl="1" w:tentative="0">
      <w:start w:val="1"/>
      <w:numFmt w:val="decimal"/>
      <w:suff w:val="space"/>
      <w:lvlText w:val="%1.%2"/>
      <w:lvlJc w:val="left"/>
      <w:pPr>
        <w:ind w:left="576" w:hanging="576"/>
      </w:pPr>
      <w:rPr>
        <w:rFonts w:hint="eastAsia" w:ascii="宋体" w:eastAsia="宋体"/>
        <w:b/>
        <w:i w:val="0"/>
        <w:sz w:val="32"/>
      </w:rPr>
    </w:lvl>
    <w:lvl w:ilvl="2" w:tentative="0">
      <w:start w:val="1"/>
      <w:numFmt w:val="decimal"/>
      <w:suff w:val="space"/>
      <w:lvlText w:val="%1.%2.%3"/>
      <w:lvlJc w:val="left"/>
      <w:pPr>
        <w:ind w:left="6248" w:hanging="720"/>
      </w:pPr>
      <w:rPr>
        <w:rFonts w:hint="eastAsia" w:ascii="宋体" w:eastAsia="宋体"/>
        <w:b/>
        <w:i w:val="0"/>
        <w:sz w:val="30"/>
      </w:rPr>
    </w:lvl>
    <w:lvl w:ilvl="3" w:tentative="0">
      <w:start w:val="1"/>
      <w:numFmt w:val="decimal"/>
      <w:suff w:val="space"/>
      <w:lvlText w:val="%1.%2.%3.%4"/>
      <w:lvlJc w:val="left"/>
      <w:pPr>
        <w:ind w:left="864" w:hanging="864"/>
      </w:pPr>
      <w:rPr>
        <w:rFonts w:hint="eastAsia" w:ascii="宋体" w:eastAsia="宋体"/>
        <w:b/>
        <w:i w:val="0"/>
        <w:sz w:val="28"/>
      </w:rPr>
    </w:lvl>
    <w:lvl w:ilvl="4" w:tentative="0">
      <w:start w:val="1"/>
      <w:numFmt w:val="decimal"/>
      <w:pStyle w:val="8"/>
      <w:suff w:val="space"/>
      <w:lvlText w:val="%1.%2.%3.%4.%5"/>
      <w:lvlJc w:val="left"/>
      <w:pPr>
        <w:ind w:left="1008" w:hanging="1008"/>
      </w:pPr>
      <w:rPr>
        <w:rFonts w:hint="eastAsia" w:ascii="宋体" w:eastAsia="宋体"/>
        <w:b/>
        <w:i w:val="0"/>
        <w:sz w:val="24"/>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8">
    <w:nsid w:val="00000008"/>
    <w:multiLevelType w:val="singleLevel"/>
    <w:tmpl w:val="00000008"/>
    <w:lvl w:ilvl="0" w:tentative="0">
      <w:start w:val="1"/>
      <w:numFmt w:val="chineseCounting"/>
      <w:suff w:val="space"/>
      <w:lvlText w:val="第%1章"/>
      <w:lvlJc w:val="left"/>
      <w:rPr>
        <w:rFonts w:hint="eastAsia"/>
      </w:rPr>
    </w:lvl>
  </w:abstractNum>
  <w:abstractNum w:abstractNumId="9">
    <w:nsid w:val="00000009"/>
    <w:multiLevelType w:val="singleLevel"/>
    <w:tmpl w:val="00000009"/>
    <w:lvl w:ilvl="0" w:tentative="0">
      <w:start w:val="8"/>
      <w:numFmt w:val="chineseCounting"/>
      <w:suff w:val="nothing"/>
      <w:lvlText w:val="%1、"/>
      <w:lvlJc w:val="left"/>
      <w:rPr>
        <w:rFonts w:hint="eastAsia"/>
      </w:rPr>
    </w:lvl>
  </w:abstractNum>
  <w:abstractNum w:abstractNumId="10">
    <w:nsid w:val="0000000A"/>
    <w:multiLevelType w:val="singleLevel"/>
    <w:tmpl w:val="0000000A"/>
    <w:lvl w:ilvl="0" w:tentative="0">
      <w:start w:val="4"/>
      <w:numFmt w:val="decimal"/>
      <w:suff w:val="nothing"/>
      <w:lvlText w:val="%1、"/>
      <w:lvlJc w:val="left"/>
    </w:lvl>
  </w:abstractNum>
  <w:num w:numId="1">
    <w:abstractNumId w:val="6"/>
  </w:num>
  <w:num w:numId="2">
    <w:abstractNumId w:val="7"/>
    <w:lvlOverride w:ilvl="2">
      <w:lvl w:ilvl="2" w:tentative="1">
        <w:start w:val="1"/>
        <w:numFmt w:val="decimal"/>
        <w:suff w:val="space"/>
        <w:lvlText w:val="%1.%2.%3"/>
        <w:lvlJc w:val="left"/>
        <w:pPr>
          <w:ind w:left="6248" w:hanging="720"/>
        </w:pPr>
        <w:rPr>
          <w:rFonts w:hint="eastAsia" w:ascii="宋体" w:eastAsia="宋体"/>
          <w:b/>
          <w:i w:val="0"/>
          <w:sz w:val="30"/>
        </w:rPr>
      </w:lvl>
    </w:lvlOverride>
  </w:num>
  <w:num w:numId="3">
    <w:abstractNumId w:val="3"/>
  </w:num>
  <w:num w:numId="4">
    <w:abstractNumId w:val="4"/>
  </w:num>
  <w:num w:numId="5">
    <w:abstractNumId w:val="8"/>
  </w:num>
  <w:num w:numId="6">
    <w:abstractNumId w:val="2"/>
  </w:num>
  <w:num w:numId="7">
    <w:abstractNumId w:val="9"/>
  </w:num>
  <w:num w:numId="8">
    <w:abstractNumId w:val="0"/>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oNotHyphenateCaps/>
  <w:drawingGridVerticalSpacing w:val="159"/>
  <w:doNotShadeFormData w:val="1"/>
  <w:noPunctuationKerning w:val="1"/>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xM2JhN2JiN2E3MDFhMzRjZDU0MWQwZGY0MWQwYjYifQ=="/>
  </w:docVars>
  <w:rsids>
    <w:rsidRoot w:val="00000000"/>
    <w:rsid w:val="03632A58"/>
    <w:rsid w:val="0B97468A"/>
    <w:rsid w:val="20576A23"/>
    <w:rsid w:val="2AD27817"/>
    <w:rsid w:val="3BBF2DB7"/>
    <w:rsid w:val="3D357BED"/>
    <w:rsid w:val="3F82737F"/>
    <w:rsid w:val="45877724"/>
    <w:rsid w:val="69DA57C5"/>
    <w:rsid w:val="75A0602A"/>
    <w:rsid w:val="76325D5D"/>
    <w:rsid w:val="7ED759E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7"/>
    <w:qFormat/>
    <w:uiPriority w:val="99"/>
    <w:pPr>
      <w:spacing w:before="340" w:after="330" w:line="578" w:lineRule="auto"/>
      <w:outlineLvl w:val="0"/>
    </w:pPr>
    <w:rPr>
      <w:kern w:val="44"/>
      <w:sz w:val="44"/>
      <w:szCs w:val="44"/>
    </w:rPr>
  </w:style>
  <w:style w:type="paragraph" w:styleId="5">
    <w:name w:val="heading 2"/>
    <w:basedOn w:val="1"/>
    <w:next w:val="1"/>
    <w:link w:val="38"/>
    <w:qFormat/>
    <w:uiPriority w:val="99"/>
    <w:pPr>
      <w:keepNext/>
      <w:keepLines/>
      <w:spacing w:before="260" w:after="260" w:line="416" w:lineRule="auto"/>
      <w:outlineLvl w:val="1"/>
    </w:pPr>
    <w:rPr>
      <w:rFonts w:ascii="Calibri Light" w:hAnsi="Calibri Light" w:cs="Calibri Light"/>
      <w:b/>
      <w:bCs/>
      <w:sz w:val="32"/>
      <w:szCs w:val="32"/>
    </w:rPr>
  </w:style>
  <w:style w:type="paragraph" w:styleId="6">
    <w:name w:val="heading 3"/>
    <w:basedOn w:val="1"/>
    <w:next w:val="1"/>
    <w:link w:val="39"/>
    <w:qFormat/>
    <w:uiPriority w:val="9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5"/>
    <w:next w:val="1"/>
    <w:qFormat/>
    <w:uiPriority w:val="0"/>
    <w:pPr>
      <w:keepNext/>
      <w:widowControl w:val="0"/>
      <w:numPr>
        <w:ilvl w:val="4"/>
        <w:numId w:val="2"/>
      </w:numPr>
      <w:spacing w:line="360" w:lineRule="auto"/>
      <w:ind w:left="0" w:firstLine="0"/>
      <w:outlineLvl w:val="4"/>
    </w:pPr>
    <w:rPr>
      <w:rFonts w:ascii="宋体" w:hAnsi="Calibri" w:eastAsia="宋体" w:cs="宋体"/>
      <w:b/>
      <w:bCs/>
      <w:kern w:val="2"/>
      <w:sz w:val="24"/>
      <w:szCs w:val="28"/>
      <w:lang w:val="en-US" w:eastAsia="zh-CN" w:bidi="ar-SA"/>
    </w:rPr>
  </w:style>
  <w:style w:type="character" w:default="1" w:styleId="29">
    <w:name w:val="Default Paragraph Font"/>
    <w:qFormat/>
    <w:uiPriority w:val="1"/>
  </w:style>
  <w:style w:type="table" w:default="1" w:styleId="27">
    <w:name w:val="Normal Table"/>
    <w:qFormat/>
    <w:uiPriority w:val="99"/>
    <w:tblPr>
      <w:tblCellMar>
        <w:top w:w="0" w:type="dxa"/>
        <w:left w:w="108" w:type="dxa"/>
        <w:bottom w:w="0" w:type="dxa"/>
        <w:right w:w="108" w:type="dxa"/>
      </w:tblCellMar>
    </w:tblPr>
  </w:style>
  <w:style w:type="paragraph" w:styleId="2">
    <w:name w:val="Body Text First Indent 2"/>
    <w:basedOn w:val="3"/>
    <w:next w:val="1"/>
    <w:link w:val="52"/>
    <w:qFormat/>
    <w:uiPriority w:val="99"/>
    <w:pPr>
      <w:ind w:firstLine="420"/>
    </w:pPr>
  </w:style>
  <w:style w:type="paragraph" w:styleId="3">
    <w:name w:val="Body Text Indent"/>
    <w:basedOn w:val="1"/>
    <w:next w:val="1"/>
    <w:link w:val="43"/>
    <w:qFormat/>
    <w:uiPriority w:val="99"/>
    <w:pPr>
      <w:spacing w:after="120"/>
      <w:ind w:left="420" w:leftChars="200"/>
    </w:pPr>
  </w:style>
  <w:style w:type="paragraph" w:styleId="9">
    <w:name w:val="List Number"/>
    <w:basedOn w:val="1"/>
    <w:qFormat/>
    <w:uiPriority w:val="99"/>
    <w:pPr>
      <w:numPr>
        <w:ilvl w:val="0"/>
        <w:numId w:val="3"/>
      </w:numPr>
    </w:pPr>
  </w:style>
  <w:style w:type="paragraph" w:styleId="10">
    <w:name w:val="Normal Indent"/>
    <w:basedOn w:val="1"/>
    <w:next w:val="1"/>
    <w:qFormat/>
    <w:uiPriority w:val="99"/>
    <w:pPr>
      <w:ind w:firstLine="420"/>
    </w:pPr>
  </w:style>
  <w:style w:type="paragraph" w:styleId="11">
    <w:name w:val="annotation text"/>
    <w:basedOn w:val="1"/>
    <w:link w:val="40"/>
    <w:qFormat/>
    <w:uiPriority w:val="99"/>
    <w:pPr>
      <w:jc w:val="left"/>
    </w:pPr>
  </w:style>
  <w:style w:type="paragraph" w:styleId="12">
    <w:name w:val="Body Text"/>
    <w:basedOn w:val="1"/>
    <w:next w:val="13"/>
    <w:link w:val="41"/>
    <w:qFormat/>
    <w:uiPriority w:val="99"/>
    <w:pPr>
      <w:spacing w:line="360" w:lineRule="exact"/>
    </w:pPr>
    <w:rPr>
      <w:sz w:val="24"/>
      <w:szCs w:val="24"/>
    </w:rPr>
  </w:style>
  <w:style w:type="paragraph" w:styleId="13">
    <w:name w:val="Body Text First Indent"/>
    <w:basedOn w:val="12"/>
    <w:next w:val="14"/>
    <w:link w:val="42"/>
    <w:qFormat/>
    <w:uiPriority w:val="99"/>
    <w:pPr>
      <w:ind w:firstLine="420"/>
    </w:pPr>
    <w:rPr>
      <w:sz w:val="21"/>
      <w:szCs w:val="21"/>
    </w:rPr>
  </w:style>
  <w:style w:type="paragraph" w:styleId="14">
    <w:name w:val="toc 6"/>
    <w:basedOn w:val="1"/>
    <w:next w:val="1"/>
    <w:qFormat/>
    <w:uiPriority w:val="99"/>
    <w:pPr>
      <w:widowControl/>
      <w:ind w:left="1000"/>
      <w:jc w:val="left"/>
    </w:pPr>
    <w:rPr>
      <w:kern w:val="0"/>
      <w:sz w:val="18"/>
      <w:szCs w:val="18"/>
    </w:rPr>
  </w:style>
  <w:style w:type="paragraph" w:styleId="15">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6">
    <w:name w:val="Plain Text"/>
    <w:basedOn w:val="1"/>
    <w:next w:val="17"/>
    <w:link w:val="44"/>
    <w:qFormat/>
    <w:uiPriority w:val="99"/>
    <w:rPr>
      <w:rFonts w:ascii="宋体" w:hAnsi="Courier New" w:cs="宋体"/>
    </w:rPr>
  </w:style>
  <w:style w:type="paragraph" w:styleId="17">
    <w:name w:val="Date"/>
    <w:basedOn w:val="1"/>
    <w:next w:val="1"/>
    <w:link w:val="45"/>
    <w:qFormat/>
    <w:uiPriority w:val="99"/>
    <w:pPr>
      <w:ind w:left="2500" w:leftChars="2500"/>
    </w:pPr>
    <w:rPr>
      <w:rFonts w:ascii="Calibri" w:hAnsi="Calibri" w:eastAsia="楷体_GB2312" w:cs="Calibri"/>
      <w:sz w:val="32"/>
      <w:szCs w:val="32"/>
    </w:rPr>
  </w:style>
  <w:style w:type="paragraph" w:styleId="18">
    <w:name w:val="Balloon Text"/>
    <w:basedOn w:val="1"/>
    <w:link w:val="46"/>
    <w:qFormat/>
    <w:uiPriority w:val="99"/>
    <w:rPr>
      <w:sz w:val="18"/>
      <w:szCs w:val="18"/>
    </w:rPr>
  </w:style>
  <w:style w:type="paragraph" w:styleId="19">
    <w:name w:val="footer"/>
    <w:basedOn w:val="1"/>
    <w:link w:val="47"/>
    <w:qFormat/>
    <w:uiPriority w:val="99"/>
    <w:pPr>
      <w:tabs>
        <w:tab w:val="center" w:pos="4153"/>
        <w:tab w:val="right" w:pos="8306"/>
      </w:tabs>
      <w:snapToGrid w:val="0"/>
      <w:jc w:val="left"/>
    </w:pPr>
    <w:rPr>
      <w:sz w:val="18"/>
      <w:szCs w:val="18"/>
    </w:rPr>
  </w:style>
  <w:style w:type="paragraph" w:styleId="20">
    <w:name w:val="header"/>
    <w:basedOn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1">
    <w:name w:val="toc 4"/>
    <w:basedOn w:val="1"/>
    <w:next w:val="1"/>
    <w:qFormat/>
    <w:uiPriority w:val="39"/>
    <w:pPr>
      <w:widowControl/>
      <w:ind w:left="600"/>
      <w:jc w:val="left"/>
    </w:pPr>
    <w:rPr>
      <w:kern w:val="0"/>
      <w:sz w:val="18"/>
      <w:szCs w:val="20"/>
    </w:rPr>
  </w:style>
  <w:style w:type="paragraph" w:styleId="22">
    <w:name w:val="footnote text"/>
    <w:basedOn w:val="1"/>
    <w:link w:val="49"/>
    <w:qFormat/>
    <w:uiPriority w:val="99"/>
    <w:pPr>
      <w:snapToGrid w:val="0"/>
      <w:jc w:val="left"/>
    </w:pPr>
    <w:rPr>
      <w:sz w:val="18"/>
      <w:szCs w:val="18"/>
    </w:rPr>
  </w:style>
  <w:style w:type="paragraph" w:styleId="23">
    <w:name w:val="toc 2"/>
    <w:basedOn w:val="1"/>
    <w:next w:val="1"/>
    <w:qFormat/>
    <w:uiPriority w:val="99"/>
    <w:pPr>
      <w:ind w:left="420" w:leftChars="200"/>
    </w:p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50"/>
    <w:qFormat/>
    <w:uiPriority w:val="99"/>
    <w:pPr>
      <w:widowControl/>
      <w:overflowPunct w:val="0"/>
      <w:autoSpaceDE w:val="0"/>
      <w:autoSpaceDN w:val="0"/>
      <w:adjustRightInd w:val="0"/>
      <w:jc w:val="center"/>
      <w:textAlignment w:val="baseline"/>
    </w:pPr>
    <w:rPr>
      <w:b/>
      <w:bCs/>
      <w:kern w:val="0"/>
      <w:sz w:val="24"/>
      <w:szCs w:val="24"/>
    </w:rPr>
  </w:style>
  <w:style w:type="paragraph" w:styleId="26">
    <w:name w:val="annotation subject"/>
    <w:basedOn w:val="11"/>
    <w:next w:val="11"/>
    <w:link w:val="51"/>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ascii="Times New Roman" w:hAnsi="Times New Roman" w:eastAsia="宋体" w:cs="Times New Roman"/>
      <w:b/>
      <w:bCs/>
    </w:rPr>
  </w:style>
  <w:style w:type="character" w:styleId="31">
    <w:name w:val="Hyperlink"/>
    <w:basedOn w:val="29"/>
    <w:qFormat/>
    <w:uiPriority w:val="99"/>
    <w:rPr>
      <w:rFonts w:ascii="Times New Roman" w:hAnsi="Times New Roman" w:eastAsia="宋体" w:cs="Times New Roman"/>
      <w:color w:val="0000FF"/>
      <w:u w:val="single"/>
    </w:rPr>
  </w:style>
  <w:style w:type="character" w:styleId="32">
    <w:name w:val="annotation reference"/>
    <w:basedOn w:val="29"/>
    <w:qFormat/>
    <w:uiPriority w:val="99"/>
    <w:rPr>
      <w:rFonts w:ascii="Times New Roman" w:hAnsi="Times New Roman" w:eastAsia="宋体" w:cs="Times New Roman"/>
      <w:sz w:val="21"/>
      <w:szCs w:val="21"/>
    </w:rPr>
  </w:style>
  <w:style w:type="character" w:styleId="33">
    <w:name w:val="footnote reference"/>
    <w:basedOn w:val="29"/>
    <w:qFormat/>
    <w:uiPriority w:val="99"/>
    <w:rPr>
      <w:vertAlign w:val="superscript"/>
    </w:rPr>
  </w:style>
  <w:style w:type="paragraph" w:customStyle="1" w:styleId="34">
    <w:name w:val="Fließtext"/>
    <w:basedOn w:val="1"/>
    <w:qFormat/>
    <w:uiPriority w:val="0"/>
    <w:pPr>
      <w:overflowPunct w:val="0"/>
      <w:autoSpaceDE w:val="0"/>
      <w:autoSpaceDN w:val="0"/>
      <w:adjustRightInd w:val="0"/>
      <w:textAlignment w:val="baseline"/>
    </w:pPr>
    <w:rPr>
      <w:kern w:val="28"/>
      <w:szCs w:val="20"/>
    </w:rPr>
  </w:style>
  <w:style w:type="paragraph" w:customStyle="1" w:styleId="35">
    <w:name w:val="明显引用1"/>
    <w:basedOn w:val="1"/>
    <w:next w:val="1"/>
    <w:qFormat/>
    <w:uiPriority w:val="0"/>
    <w:pPr>
      <w:spacing w:before="200" w:after="280"/>
      <w:ind w:left="936" w:right="936"/>
    </w:pPr>
    <w:rPr>
      <w:i/>
      <w:color w:val="4F81BD"/>
      <w:sz w:val="20"/>
    </w:rPr>
  </w:style>
  <w:style w:type="paragraph" w:customStyle="1" w:styleId="36">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character" w:customStyle="1" w:styleId="37">
    <w:name w:val="标题 1 Char"/>
    <w:basedOn w:val="29"/>
    <w:link w:val="4"/>
    <w:qFormat/>
    <w:uiPriority w:val="99"/>
    <w:rPr>
      <w:rFonts w:ascii="Times New Roman" w:hAnsi="Times New Roman" w:eastAsia="宋体" w:cs="Times New Roman"/>
      <w:b/>
      <w:bCs/>
      <w:kern w:val="44"/>
      <w:sz w:val="44"/>
      <w:szCs w:val="44"/>
    </w:rPr>
  </w:style>
  <w:style w:type="character" w:customStyle="1" w:styleId="38">
    <w:name w:val="标题 2 Char"/>
    <w:basedOn w:val="29"/>
    <w:link w:val="5"/>
    <w:qFormat/>
    <w:uiPriority w:val="99"/>
    <w:rPr>
      <w:rFonts w:ascii="Cambria" w:hAnsi="Cambria" w:eastAsia="宋体" w:cs="Cambria"/>
      <w:b/>
      <w:bCs/>
      <w:sz w:val="32"/>
      <w:szCs w:val="32"/>
    </w:rPr>
  </w:style>
  <w:style w:type="character" w:customStyle="1" w:styleId="39">
    <w:name w:val="标题 3 Char"/>
    <w:basedOn w:val="29"/>
    <w:link w:val="6"/>
    <w:qFormat/>
    <w:uiPriority w:val="99"/>
    <w:rPr>
      <w:rFonts w:ascii="Times New Roman" w:hAnsi="Times New Roman" w:eastAsia="宋体" w:cs="Times New Roman"/>
      <w:b/>
      <w:bCs/>
      <w:sz w:val="32"/>
      <w:szCs w:val="32"/>
    </w:rPr>
  </w:style>
  <w:style w:type="character" w:customStyle="1" w:styleId="40">
    <w:name w:val="批注文字 Char"/>
    <w:basedOn w:val="29"/>
    <w:link w:val="11"/>
    <w:qFormat/>
    <w:uiPriority w:val="99"/>
    <w:rPr>
      <w:rFonts w:ascii="Times New Roman" w:hAnsi="Times New Roman" w:eastAsia="宋体" w:cs="Times New Roman"/>
      <w:kern w:val="2"/>
      <w:sz w:val="24"/>
      <w:szCs w:val="24"/>
    </w:rPr>
  </w:style>
  <w:style w:type="character" w:customStyle="1" w:styleId="41">
    <w:name w:val="正文文本 Char"/>
    <w:basedOn w:val="29"/>
    <w:link w:val="12"/>
    <w:qFormat/>
    <w:uiPriority w:val="99"/>
    <w:rPr>
      <w:rFonts w:ascii="Times New Roman" w:hAnsi="Times New Roman" w:eastAsia="宋体" w:cs="Times New Roman"/>
      <w:sz w:val="24"/>
      <w:szCs w:val="24"/>
    </w:rPr>
  </w:style>
  <w:style w:type="character" w:customStyle="1" w:styleId="42">
    <w:name w:val="正文首行缩进 Char"/>
    <w:basedOn w:val="41"/>
    <w:link w:val="13"/>
    <w:qFormat/>
    <w:uiPriority w:val="99"/>
    <w:rPr>
      <w:rFonts w:ascii="Times New Roman" w:hAnsi="Times New Roman" w:eastAsia="宋体" w:cs="Times New Roman"/>
      <w:sz w:val="21"/>
      <w:szCs w:val="21"/>
    </w:rPr>
  </w:style>
  <w:style w:type="character" w:customStyle="1" w:styleId="43">
    <w:name w:val="正文文本缩进 Char"/>
    <w:basedOn w:val="29"/>
    <w:link w:val="3"/>
    <w:qFormat/>
    <w:uiPriority w:val="99"/>
    <w:rPr>
      <w:rFonts w:ascii="Times New Roman" w:hAnsi="Times New Roman" w:eastAsia="宋体" w:cs="Times New Roman"/>
      <w:kern w:val="2"/>
      <w:sz w:val="24"/>
      <w:szCs w:val="24"/>
    </w:rPr>
  </w:style>
  <w:style w:type="character" w:customStyle="1" w:styleId="44">
    <w:name w:val="纯文本 Char"/>
    <w:basedOn w:val="29"/>
    <w:link w:val="16"/>
    <w:qFormat/>
    <w:uiPriority w:val="99"/>
    <w:rPr>
      <w:rFonts w:ascii="宋体" w:hAnsi="Courier New" w:eastAsia="宋体" w:cs="宋体"/>
      <w:sz w:val="21"/>
      <w:szCs w:val="21"/>
    </w:rPr>
  </w:style>
  <w:style w:type="character" w:customStyle="1" w:styleId="45">
    <w:name w:val="日期 Char"/>
    <w:basedOn w:val="29"/>
    <w:link w:val="17"/>
    <w:qFormat/>
    <w:uiPriority w:val="99"/>
    <w:rPr>
      <w:rFonts w:ascii="Times New Roman" w:hAnsi="Times New Roman" w:eastAsia="宋体" w:cs="Times New Roman"/>
      <w:sz w:val="24"/>
      <w:szCs w:val="24"/>
    </w:rPr>
  </w:style>
  <w:style w:type="character" w:customStyle="1" w:styleId="46">
    <w:name w:val="批注框文本 Char"/>
    <w:basedOn w:val="29"/>
    <w:link w:val="18"/>
    <w:qFormat/>
    <w:uiPriority w:val="99"/>
    <w:rPr>
      <w:rFonts w:ascii="Times New Roman" w:hAnsi="Times New Roman" w:eastAsia="宋体" w:cs="Times New Roman"/>
      <w:kern w:val="2"/>
      <w:sz w:val="18"/>
      <w:szCs w:val="18"/>
    </w:rPr>
  </w:style>
  <w:style w:type="character" w:customStyle="1" w:styleId="47">
    <w:name w:val="页脚 Char"/>
    <w:basedOn w:val="29"/>
    <w:link w:val="19"/>
    <w:qFormat/>
    <w:uiPriority w:val="99"/>
    <w:rPr>
      <w:rFonts w:ascii="Times New Roman" w:hAnsi="Times New Roman" w:eastAsia="宋体" w:cs="Times New Roman"/>
      <w:sz w:val="18"/>
      <w:szCs w:val="18"/>
    </w:rPr>
  </w:style>
  <w:style w:type="character" w:customStyle="1" w:styleId="48">
    <w:name w:val="页眉 Char"/>
    <w:basedOn w:val="29"/>
    <w:link w:val="20"/>
    <w:qFormat/>
    <w:uiPriority w:val="99"/>
    <w:rPr>
      <w:rFonts w:ascii="Times New Roman" w:hAnsi="Times New Roman" w:eastAsia="宋体" w:cs="Times New Roman"/>
      <w:sz w:val="18"/>
      <w:szCs w:val="18"/>
    </w:rPr>
  </w:style>
  <w:style w:type="character" w:customStyle="1" w:styleId="49">
    <w:name w:val="脚注文本 Char"/>
    <w:basedOn w:val="29"/>
    <w:link w:val="22"/>
    <w:qFormat/>
    <w:uiPriority w:val="99"/>
    <w:rPr>
      <w:sz w:val="18"/>
      <w:szCs w:val="18"/>
    </w:rPr>
  </w:style>
  <w:style w:type="character" w:customStyle="1" w:styleId="50">
    <w:name w:val="标题 Char"/>
    <w:basedOn w:val="29"/>
    <w:link w:val="25"/>
    <w:qFormat/>
    <w:uiPriority w:val="99"/>
    <w:rPr>
      <w:rFonts w:ascii="Cambria" w:hAnsi="Cambria" w:cs="Cambria"/>
      <w:b/>
      <w:bCs/>
      <w:sz w:val="32"/>
      <w:szCs w:val="32"/>
    </w:rPr>
  </w:style>
  <w:style w:type="character" w:customStyle="1" w:styleId="51">
    <w:name w:val="批注主题 Char"/>
    <w:basedOn w:val="40"/>
    <w:link w:val="26"/>
    <w:qFormat/>
    <w:uiPriority w:val="99"/>
    <w:rPr>
      <w:rFonts w:ascii="Times New Roman" w:hAnsi="Times New Roman" w:eastAsia="宋体" w:cs="Times New Roman"/>
      <w:b/>
      <w:bCs/>
      <w:kern w:val="2"/>
      <w:sz w:val="24"/>
      <w:szCs w:val="24"/>
    </w:rPr>
  </w:style>
  <w:style w:type="character" w:customStyle="1" w:styleId="52">
    <w:name w:val="正文首行缩进 2 Char"/>
    <w:basedOn w:val="43"/>
    <w:link w:val="2"/>
    <w:qFormat/>
    <w:uiPriority w:val="99"/>
    <w:rPr>
      <w:rFonts w:ascii="Times New Roman" w:hAnsi="Times New Roman" w:eastAsia="宋体" w:cs="Times New Roman"/>
      <w:kern w:val="2"/>
      <w:sz w:val="21"/>
      <w:szCs w:val="21"/>
    </w:rPr>
  </w:style>
  <w:style w:type="paragraph" w:customStyle="1" w:styleId="53">
    <w:name w:val="BodyText1I2"/>
    <w:basedOn w:val="54"/>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4">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5">
    <w:name w:val="正文（首行缩进2字符）"/>
    <w:basedOn w:val="1"/>
    <w:qFormat/>
    <w:uiPriority w:val="99"/>
    <w:pPr>
      <w:spacing w:line="360" w:lineRule="auto"/>
      <w:ind w:firstLine="420" w:firstLineChars="200"/>
    </w:pPr>
  </w:style>
  <w:style w:type="paragraph" w:customStyle="1" w:styleId="56">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7">
    <w:name w:val="font01"/>
    <w:qFormat/>
    <w:uiPriority w:val="99"/>
    <w:rPr>
      <w:rFonts w:ascii="宋体" w:hAnsi="宋体" w:eastAsia="宋体" w:cs="宋体"/>
      <w:color w:val="000000"/>
      <w:sz w:val="24"/>
      <w:szCs w:val="24"/>
      <w:u w:val="none"/>
    </w:rPr>
  </w:style>
  <w:style w:type="character" w:customStyle="1" w:styleId="58">
    <w:name w:val="font11"/>
    <w:qFormat/>
    <w:uiPriority w:val="99"/>
    <w:rPr>
      <w:rFonts w:ascii="Times New Roman" w:hAnsi="Times New Roman" w:eastAsia="宋体" w:cs="Times New Roman"/>
      <w:color w:val="000000"/>
      <w:sz w:val="24"/>
      <w:szCs w:val="24"/>
      <w:u w:val="none"/>
    </w:rPr>
  </w:style>
  <w:style w:type="character" w:customStyle="1" w:styleId="59">
    <w:name w:val="font31"/>
    <w:qFormat/>
    <w:uiPriority w:val="99"/>
    <w:rPr>
      <w:rFonts w:ascii="宋体" w:hAnsi="宋体" w:eastAsia="宋体" w:cs="宋体"/>
      <w:color w:val="000000"/>
      <w:sz w:val="24"/>
      <w:szCs w:val="24"/>
      <w:u w:val="none"/>
    </w:rPr>
  </w:style>
  <w:style w:type="paragraph" w:customStyle="1" w:styleId="60">
    <w:name w:val="纯文本_3"/>
    <w:basedOn w:val="61"/>
    <w:qFormat/>
    <w:uiPriority w:val="99"/>
    <w:pPr>
      <w:widowControl/>
      <w:jc w:val="left"/>
    </w:pPr>
    <w:rPr>
      <w:rFonts w:ascii="宋体" w:hAnsi="Courier New" w:cs="宋体"/>
    </w:rPr>
  </w:style>
  <w:style w:type="paragraph" w:customStyle="1" w:styleId="61">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纯文本_0_1"/>
    <w:basedOn w:val="1"/>
    <w:qFormat/>
    <w:uiPriority w:val="99"/>
    <w:pPr>
      <w:widowControl/>
      <w:jc w:val="left"/>
    </w:pPr>
    <w:rPr>
      <w:rFonts w:ascii="宋体" w:hAnsi="Courier New" w:cs="宋体"/>
    </w:rPr>
  </w:style>
  <w:style w:type="paragraph" w:customStyle="1" w:styleId="64">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5">
    <w:name w:val="表格文字"/>
    <w:basedOn w:val="1"/>
    <w:next w:val="12"/>
    <w:qFormat/>
    <w:uiPriority w:val="99"/>
    <w:pPr>
      <w:adjustRightInd w:val="0"/>
      <w:spacing w:line="420" w:lineRule="atLeast"/>
      <w:jc w:val="left"/>
      <w:textAlignment w:val="baseline"/>
    </w:pPr>
    <w:rPr>
      <w:kern w:val="0"/>
    </w:rPr>
  </w:style>
  <w:style w:type="paragraph" w:customStyle="1" w:styleId="66">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70">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71">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72">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正文_14"/>
    <w:qFormat/>
    <w:uiPriority w:val="99"/>
    <w:rPr>
      <w:rFonts w:ascii="Times New Roman" w:hAnsi="Times New Roman" w:eastAsia="宋体" w:cs="Times New Roman"/>
      <w:sz w:val="21"/>
      <w:szCs w:val="21"/>
      <w:lang w:val="en-US" w:eastAsia="zh-CN" w:bidi="ar-SA"/>
    </w:rPr>
  </w:style>
  <w:style w:type="paragraph" w:customStyle="1" w:styleId="75">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列出段落1"/>
    <w:basedOn w:val="1"/>
    <w:qFormat/>
    <w:uiPriority w:val="99"/>
    <w:pPr>
      <w:ind w:firstLine="420" w:firstLineChars="200"/>
    </w:pPr>
    <w:rPr>
      <w:rFonts w:ascii="Calibri" w:hAnsi="Calibri" w:cs="Calibri"/>
      <w:kern w:val="0"/>
    </w:rPr>
  </w:style>
  <w:style w:type="paragraph" w:customStyle="1" w:styleId="78">
    <w:name w:val="正文2"/>
    <w:basedOn w:val="1"/>
    <w:qFormat/>
    <w:uiPriority w:val="99"/>
    <w:pPr>
      <w:spacing w:before="156" w:line="360" w:lineRule="auto"/>
      <w:ind w:firstLine="510" w:firstLineChars="200"/>
    </w:pPr>
    <w:rPr>
      <w:sz w:val="24"/>
      <w:szCs w:val="24"/>
    </w:rPr>
  </w:style>
  <w:style w:type="paragraph" w:customStyle="1" w:styleId="79">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80">
    <w:name w:val="列出段落2"/>
    <w:basedOn w:val="1"/>
    <w:qFormat/>
    <w:uiPriority w:val="99"/>
    <w:pPr>
      <w:ind w:firstLine="420" w:firstLineChars="200"/>
    </w:pPr>
    <w:rPr>
      <w:rFonts w:ascii="Calibri" w:hAnsi="Calibri" w:cs="Calibri"/>
    </w:rPr>
  </w:style>
  <w:style w:type="paragraph" w:customStyle="1" w:styleId="81">
    <w:name w:val="正文段"/>
    <w:basedOn w:val="1"/>
    <w:qFormat/>
    <w:uiPriority w:val="99"/>
    <w:pPr>
      <w:widowControl/>
      <w:snapToGrid w:val="0"/>
      <w:spacing w:afterLines="50"/>
      <w:ind w:firstLine="200" w:firstLineChars="200"/>
    </w:pPr>
    <w:rPr>
      <w:kern w:val="0"/>
      <w:sz w:val="24"/>
      <w:szCs w:val="24"/>
    </w:rPr>
  </w:style>
  <w:style w:type="paragraph" w:customStyle="1" w:styleId="82">
    <w:name w:val="p0"/>
    <w:basedOn w:val="1"/>
    <w:qFormat/>
    <w:uiPriority w:val="99"/>
    <w:pPr>
      <w:widowControl/>
    </w:pPr>
    <w:rPr>
      <w:kern w:val="0"/>
    </w:rPr>
  </w:style>
  <w:style w:type="paragraph" w:styleId="83">
    <w:name w:val="List Paragraph"/>
    <w:basedOn w:val="1"/>
    <w:qFormat/>
    <w:uiPriority w:val="99"/>
    <w:pPr>
      <w:ind w:firstLine="420" w:firstLineChars="200"/>
    </w:pPr>
    <w:rPr>
      <w:rFonts w:ascii="Calibri" w:hAnsi="Calibri" w:cs="Calibri"/>
    </w:rPr>
  </w:style>
  <w:style w:type="paragraph" w:customStyle="1" w:styleId="84">
    <w:name w:val="Plain Text1"/>
    <w:basedOn w:val="1"/>
    <w:qFormat/>
    <w:uiPriority w:val="99"/>
    <w:rPr>
      <w:rFonts w:ascii="宋体" w:hAnsi="Courier New" w:cs="宋体"/>
    </w:rPr>
  </w:style>
  <w:style w:type="paragraph" w:customStyle="1" w:styleId="85">
    <w:name w:val="列出段落3"/>
    <w:next w:val="86"/>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6">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7">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8">
    <w:name w:val="font121"/>
    <w:qFormat/>
    <w:uiPriority w:val="99"/>
    <w:rPr>
      <w:rFonts w:ascii="宋体" w:eastAsia="宋体" w:cs="宋体"/>
      <w:color w:val="000000"/>
      <w:sz w:val="22"/>
      <w:szCs w:val="22"/>
      <w:u w:val="none"/>
    </w:rPr>
  </w:style>
  <w:style w:type="paragraph" w:customStyle="1" w:styleId="89">
    <w:name w:val="正文_8_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90">
    <w:name w:val="正文_1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character" w:customStyle="1" w:styleId="91">
    <w:name w:val="NormalCharacter"/>
    <w:qFormat/>
    <w:uiPriority w:val="0"/>
  </w:style>
  <w:style w:type="paragraph" w:customStyle="1" w:styleId="92">
    <w:name w:val="Default"/>
    <w:qFormat/>
    <w:uiPriority w:val="99"/>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93">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94">
    <w:name w:val="2级标题"/>
    <w:basedOn w:val="83"/>
    <w:qFormat/>
    <w:uiPriority w:val="0"/>
    <w:pPr>
      <w:keepLines/>
      <w:tabs>
        <w:tab w:val="left" w:pos="0"/>
      </w:tabs>
      <w:spacing w:before="240" w:after="120" w:line="360" w:lineRule="auto"/>
      <w:ind w:firstLine="0" w:firstLineChars="0"/>
      <w:contextualSpacing/>
      <w:jc w:val="left"/>
      <w:outlineLvl w:val="1"/>
    </w:pPr>
    <w:rPr>
      <w:rFonts w:ascii="黑体" w:hAnsi="黑体" w:eastAsia="黑体"/>
      <w:kern w:val="0"/>
      <w:sz w:val="32"/>
      <w:szCs w:val="36"/>
      <w:lang w:eastAsia="en-US" w:bidi="en-US"/>
    </w:rPr>
  </w:style>
  <w:style w:type="paragraph" w:customStyle="1" w:styleId="95">
    <w:name w:val="正文（1）"/>
    <w:basedOn w:val="1"/>
    <w:qFormat/>
    <w:uiPriority w:val="0"/>
    <w:pPr>
      <w:numPr>
        <w:ilvl w:val="0"/>
        <w:numId w:val="4"/>
      </w:numPr>
      <w:spacing w:line="360" w:lineRule="auto"/>
    </w:pPr>
    <w:rPr>
      <w:sz w:val="24"/>
    </w:rPr>
  </w:style>
  <w:style w:type="paragraph" w:customStyle="1" w:styleId="96">
    <w:name w:val="1级标题"/>
    <w:basedOn w:val="83"/>
    <w:qFormat/>
    <w:uiPriority w:val="0"/>
    <w:pPr>
      <w:keepLines/>
      <w:pageBreakBefore/>
      <w:tabs>
        <w:tab w:val="left" w:pos="0"/>
      </w:tabs>
      <w:spacing w:before="240" w:after="240" w:line="360" w:lineRule="auto"/>
      <w:ind w:firstLine="0" w:firstLineChars="0"/>
      <w:contextualSpacing/>
      <w:jc w:val="center"/>
      <w:outlineLvl w:val="0"/>
    </w:pPr>
    <w:rPr>
      <w:rFonts w:ascii="黑体" w:hAnsi="黑体" w:eastAsia="黑体"/>
      <w:kern w:val="0"/>
      <w:sz w:val="36"/>
      <w:szCs w:val="36"/>
      <w:lang w:eastAsia="en-US" w:bidi="en-US"/>
    </w:rPr>
  </w:style>
  <w:style w:type="paragraph" w:customStyle="1" w:styleId="97">
    <w:name w:val="Other|1"/>
    <w:basedOn w:val="1"/>
    <w:qFormat/>
    <w:uiPriority w:val="0"/>
    <w:pPr>
      <w:spacing w:line="396" w:lineRule="auto"/>
      <w:ind w:firstLine="400"/>
    </w:pPr>
    <w:rPr>
      <w:rFonts w:ascii="宋体" w:hAnsi="宋体" w:cs="宋体"/>
      <w:lang w:val="zh-TW" w:eastAsia="zh-TW" w:bidi="zh-TW"/>
    </w:rPr>
  </w:style>
  <w:style w:type="paragraph" w:customStyle="1" w:styleId="98">
    <w:name w:val="标题1"/>
    <w:basedOn w:val="4"/>
    <w:qFormat/>
    <w:uiPriority w:val="99"/>
    <w:pPr>
      <w:widowControl/>
      <w:spacing w:before="120" w:after="120"/>
      <w:ind w:left="100" w:leftChars="100" w:right="100" w:rightChars="100"/>
      <w:jc w:val="left"/>
    </w:pPr>
    <w:rPr>
      <w:rFonts w:ascii="宋体" w:hAnsi="宋体" w:eastAsia="黑体"/>
      <w:kern w:val="2"/>
      <w:sz w:val="24"/>
      <w:szCs w:val="20"/>
    </w:rPr>
  </w:style>
  <w:style w:type="paragraph" w:customStyle="1" w:styleId="99">
    <w:name w:val="a正文"/>
    <w:basedOn w:val="20"/>
    <w:qFormat/>
    <w:uiPriority w:val="0"/>
  </w:style>
  <w:style w:type="paragraph" w:customStyle="1" w:styleId="100">
    <w:name w:val="hik 正文"/>
    <w:basedOn w:val="1"/>
    <w:qFormat/>
    <w:uiPriority w:val="0"/>
    <w:rPr>
      <w:szCs w:val="24"/>
    </w:rPr>
  </w:style>
  <w:style w:type="paragraph" w:customStyle="1" w:styleId="101">
    <w:name w:val="*正文"/>
    <w:basedOn w:val="1"/>
    <w:qFormat/>
    <w:uiPriority w:val="0"/>
    <w:pPr>
      <w:widowControl/>
      <w:spacing w:line="360" w:lineRule="auto"/>
      <w:ind w:firstLine="200" w:firstLineChars="200"/>
    </w:pPr>
    <w:rPr>
      <w:rFonts w:ascii="宋体" w:hAnsi="宋体" w:eastAsia="仿宋"/>
      <w:sz w:val="24"/>
      <w:szCs w:val="24"/>
    </w:rPr>
  </w:style>
  <w:style w:type="paragraph" w:customStyle="1" w:styleId="102">
    <w:name w:val="_Style 3"/>
    <w:basedOn w:val="1"/>
    <w:next w:val="1"/>
    <w:qFormat/>
    <w:uiPriority w:val="99"/>
    <w:pPr>
      <w:pBdr>
        <w:bottom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6976A-8774-46AC-8929-960A142F48C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106</Pages>
  <Words>54865</Words>
  <Characters>63880</Characters>
  <Paragraphs>4520</Paragraphs>
  <TotalTime>15</TotalTime>
  <ScaleCrop>false</ScaleCrop>
  <LinksUpToDate>false</LinksUpToDate>
  <CharactersWithSpaces>65886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2022-02-28T08:05:00Z</dcterms:created>
  <dc:creator>S-mile</dc:creator>
  <cp:lastModifiedBy>六月的雨</cp:lastModifiedBy>
  <cp:lastPrinted>2020-05-13T01:08:00Z</cp:lastPrinted>
  <dcterms:modified xsi:type="dcterms:W3CDTF">2022-09-30T02:23:47Z</dcterms:modified>
  <cp:revision>1241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52F9CA059150460D802422E6CFA47A95</vt:lpwstr>
  </property>
</Properties>
</file>