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rPr>
          <w:rFonts w:ascii="黑体" w:hAnsi="宋体" w:eastAsia="黑体"/>
          <w:b/>
          <w:bCs/>
          <w:color w:val="auto"/>
          <w:spacing w:val="36"/>
          <w:sz w:val="84"/>
          <w:szCs w:val="84"/>
        </w:rPr>
      </w:pPr>
    </w:p>
    <w:p>
      <w:pPr>
        <w:adjustRightInd w:val="0"/>
        <w:snapToGrid w:val="0"/>
        <w:rPr>
          <w:rFonts w:ascii="黑体" w:hAnsi="宋体" w:eastAsia="黑体"/>
          <w:b/>
          <w:bCs/>
          <w:color w:val="auto"/>
          <w:spacing w:val="36"/>
          <w:sz w:val="84"/>
          <w:szCs w:val="84"/>
        </w:rPr>
      </w:pPr>
    </w:p>
    <w:p>
      <w:pPr>
        <w:jc w:val="center"/>
        <w:rPr>
          <w:rFonts w:ascii="宋体" w:hAnsi="宋体"/>
          <w:b/>
          <w:color w:val="auto"/>
          <w:spacing w:val="80"/>
          <w:sz w:val="84"/>
          <w:szCs w:val="84"/>
        </w:rPr>
      </w:pPr>
      <w:r>
        <w:rPr>
          <w:rFonts w:hint="eastAsia" w:ascii="宋体" w:hAnsi="宋体"/>
          <w:b/>
          <w:color w:val="auto"/>
          <w:spacing w:val="80"/>
          <w:sz w:val="84"/>
          <w:szCs w:val="84"/>
        </w:rPr>
        <w:t>竞争性磋商文件</w:t>
      </w:r>
    </w:p>
    <w:p>
      <w:pPr>
        <w:adjustRightInd w:val="0"/>
        <w:snapToGrid w:val="0"/>
        <w:jc w:val="center"/>
        <w:rPr>
          <w:rFonts w:ascii="华文行楷" w:hAnsi="宋体" w:eastAsia="华文行楷"/>
          <w:b/>
          <w:bCs/>
          <w:color w:val="auto"/>
          <w:spacing w:val="36"/>
          <w:sz w:val="24"/>
        </w:rPr>
      </w:pPr>
    </w:p>
    <w:p>
      <w:pPr>
        <w:adjustRightInd w:val="0"/>
        <w:snapToGrid w:val="0"/>
        <w:rPr>
          <w:rFonts w:ascii="华文行楷" w:hAnsi="宋体" w:eastAsia="华文行楷"/>
          <w:b/>
          <w:bCs/>
          <w:color w:val="auto"/>
          <w:spacing w:val="36"/>
          <w:sz w:val="24"/>
        </w:rPr>
      </w:pPr>
    </w:p>
    <w:p>
      <w:pPr>
        <w:adjustRightInd w:val="0"/>
        <w:snapToGrid w:val="0"/>
        <w:jc w:val="center"/>
        <w:rPr>
          <w:rFonts w:ascii="华文行楷" w:hAnsi="宋体" w:eastAsia="华文行楷"/>
          <w:b/>
          <w:bCs/>
          <w:color w:val="auto"/>
          <w:spacing w:val="36"/>
          <w:sz w:val="24"/>
        </w:rPr>
      </w:pPr>
    </w:p>
    <w:p>
      <w:pPr>
        <w:adjustRightInd w:val="0"/>
        <w:snapToGrid w:val="0"/>
        <w:spacing w:line="480" w:lineRule="auto"/>
        <w:rPr>
          <w:rFonts w:hint="eastAsia" w:ascii="宋体" w:hAnsi="宋体" w:eastAsia="宋体"/>
          <w:b/>
          <w:color w:val="auto"/>
          <w:sz w:val="24"/>
          <w:lang w:eastAsia="zh-CN"/>
        </w:rPr>
      </w:pPr>
      <w:r>
        <w:rPr>
          <w:rFonts w:hint="eastAsia" w:ascii="宋体" w:hAnsi="宋体" w:eastAsia="宋体"/>
          <w:b/>
          <w:color w:val="auto"/>
          <w:sz w:val="24"/>
        </w:rPr>
        <w:t xml:space="preserve">                       </w:t>
      </w:r>
      <w:r>
        <w:rPr>
          <w:rFonts w:hint="eastAsia" w:ascii="宋体" w:hAnsi="宋体"/>
          <w:b/>
          <w:color w:val="auto"/>
          <w:sz w:val="24"/>
        </w:rPr>
        <w:t>项目编号：</w:t>
      </w:r>
      <w:r>
        <w:rPr>
          <w:rFonts w:hint="eastAsia" w:ascii="宋体" w:hAnsi="宋体" w:eastAsia="宋体"/>
          <w:b/>
          <w:color w:val="auto"/>
          <w:sz w:val="24"/>
          <w:lang w:eastAsia="zh-CN"/>
        </w:rPr>
        <w:t>GTXJ（采购）-22001-1</w:t>
      </w:r>
    </w:p>
    <w:p>
      <w:pPr>
        <w:pStyle w:val="33"/>
        <w:rPr>
          <w:color w:val="auto"/>
        </w:rPr>
      </w:pPr>
    </w:p>
    <w:p>
      <w:pPr>
        <w:pStyle w:val="33"/>
        <w:rPr>
          <w:color w:val="auto"/>
        </w:rPr>
      </w:pPr>
    </w:p>
    <w:p>
      <w:pPr>
        <w:pStyle w:val="33"/>
        <w:rPr>
          <w:color w:val="auto"/>
        </w:rPr>
      </w:pPr>
    </w:p>
    <w:p>
      <w:pPr>
        <w:adjustRightInd w:val="0"/>
        <w:snapToGrid w:val="0"/>
        <w:spacing w:line="480" w:lineRule="auto"/>
        <w:jc w:val="center"/>
        <w:rPr>
          <w:rFonts w:hint="eastAsia" w:ascii="宋体" w:hAnsi="宋体" w:eastAsia="宋体"/>
          <w:b/>
          <w:color w:val="auto"/>
          <w:sz w:val="24"/>
          <w:lang w:eastAsia="zh-CN"/>
        </w:rPr>
      </w:pPr>
      <w:r>
        <w:rPr>
          <w:rFonts w:hint="eastAsia" w:ascii="宋体" w:hAnsi="宋体"/>
          <w:b/>
          <w:color w:val="auto"/>
          <w:sz w:val="24"/>
        </w:rPr>
        <w:t>项目名称：</w:t>
      </w:r>
      <w:r>
        <w:rPr>
          <w:rFonts w:hint="eastAsia" w:ascii="宋体" w:hAnsi="宋体" w:eastAsia="宋体"/>
          <w:b/>
          <w:color w:val="auto"/>
          <w:sz w:val="24"/>
          <w:lang w:eastAsia="zh-CN"/>
        </w:rPr>
        <w:t>仙居县人民医院病理科改造项目（重新招标）</w:t>
      </w:r>
    </w:p>
    <w:p>
      <w:pPr>
        <w:spacing w:line="500" w:lineRule="atLeast"/>
        <w:ind w:firstLine="560" w:firstLineChars="200"/>
        <w:rPr>
          <w:rFonts w:ascii="宋体" w:hAnsi="宋体" w:eastAsia="华文行楷"/>
          <w:color w:val="auto"/>
          <w:sz w:val="28"/>
        </w:rPr>
      </w:pPr>
    </w:p>
    <w:p>
      <w:pPr>
        <w:spacing w:line="500" w:lineRule="atLeast"/>
        <w:ind w:firstLine="560" w:firstLineChars="200"/>
        <w:rPr>
          <w:rFonts w:ascii="宋体" w:hAnsi="宋体" w:eastAsia="华文行楷"/>
          <w:color w:val="auto"/>
          <w:sz w:val="28"/>
        </w:rPr>
      </w:pPr>
    </w:p>
    <w:p>
      <w:pPr>
        <w:spacing w:line="500" w:lineRule="atLeast"/>
        <w:ind w:firstLine="1800" w:firstLineChars="600"/>
        <w:rPr>
          <w:rFonts w:ascii="宋体" w:hAnsi="宋体"/>
          <w:bCs/>
          <w:color w:val="auto"/>
          <w:sz w:val="30"/>
        </w:rPr>
      </w:pPr>
    </w:p>
    <w:p>
      <w:pPr>
        <w:spacing w:line="500" w:lineRule="atLeast"/>
        <w:ind w:firstLine="1800" w:firstLineChars="600"/>
        <w:rPr>
          <w:rFonts w:ascii="宋体" w:hAnsi="宋体"/>
          <w:bCs/>
          <w:color w:val="auto"/>
          <w:sz w:val="30"/>
        </w:rPr>
      </w:pPr>
    </w:p>
    <w:p>
      <w:pPr>
        <w:spacing w:line="500" w:lineRule="atLeast"/>
        <w:rPr>
          <w:rFonts w:ascii="宋体" w:hAnsi="宋体"/>
          <w:bCs/>
          <w:color w:val="auto"/>
          <w:sz w:val="24"/>
        </w:rPr>
      </w:pPr>
    </w:p>
    <w:p>
      <w:pPr>
        <w:spacing w:line="500" w:lineRule="atLeast"/>
        <w:ind w:firstLine="1800" w:firstLineChars="750"/>
        <w:rPr>
          <w:color w:val="auto"/>
        </w:rPr>
      </w:pPr>
      <w:r>
        <w:rPr>
          <w:rFonts w:hint="eastAsia" w:ascii="宋体" w:hAnsi="宋体"/>
          <w:bCs/>
          <w:color w:val="auto"/>
          <w:sz w:val="24"/>
        </w:rPr>
        <w:t xml:space="preserve">       </w:t>
      </w:r>
    </w:p>
    <w:p>
      <w:pPr>
        <w:spacing w:line="500" w:lineRule="atLeast"/>
        <w:ind w:firstLine="1920" w:firstLineChars="800"/>
        <w:rPr>
          <w:rFonts w:ascii="宋体" w:hAnsi="宋体"/>
          <w:bCs/>
          <w:color w:val="auto"/>
          <w:sz w:val="24"/>
        </w:rPr>
      </w:pPr>
    </w:p>
    <w:p>
      <w:pPr>
        <w:spacing w:line="500" w:lineRule="atLeast"/>
        <w:ind w:firstLine="1920" w:firstLineChars="800"/>
        <w:rPr>
          <w:color w:val="auto"/>
        </w:rPr>
      </w:pPr>
      <w:r>
        <w:rPr>
          <w:rFonts w:hint="eastAsia" w:ascii="宋体" w:hAnsi="宋体"/>
          <w:bCs/>
          <w:color w:val="auto"/>
          <w:sz w:val="24"/>
        </w:rPr>
        <w:t>采购单位：</w:t>
      </w:r>
      <w:r>
        <w:rPr>
          <w:rFonts w:hint="eastAsia" w:ascii="宋体" w:hAnsi="宋体"/>
          <w:bCs/>
          <w:color w:val="auto"/>
          <w:sz w:val="24"/>
          <w:u w:val="single"/>
        </w:rPr>
        <w:t>仙居县人民医院（盖章）</w:t>
      </w:r>
    </w:p>
    <w:p>
      <w:pPr>
        <w:spacing w:line="500" w:lineRule="atLeast"/>
        <w:rPr>
          <w:rFonts w:ascii="宋体" w:hAnsi="宋体"/>
          <w:bCs/>
          <w:color w:val="auto"/>
          <w:sz w:val="24"/>
        </w:rPr>
      </w:pPr>
      <w:r>
        <w:rPr>
          <w:rFonts w:hint="eastAsia" w:ascii="宋体" w:hAnsi="宋体"/>
          <w:bCs/>
          <w:color w:val="auto"/>
          <w:sz w:val="24"/>
        </w:rPr>
        <w:t xml:space="preserve">                </w:t>
      </w:r>
    </w:p>
    <w:p>
      <w:pPr>
        <w:spacing w:line="500" w:lineRule="atLeast"/>
        <w:ind w:firstLine="1920" w:firstLineChars="800"/>
        <w:rPr>
          <w:rFonts w:ascii="宋体" w:hAnsi="宋体"/>
          <w:bCs/>
          <w:color w:val="auto"/>
          <w:sz w:val="24"/>
        </w:rPr>
      </w:pPr>
      <w:r>
        <w:rPr>
          <w:rFonts w:hint="eastAsia" w:ascii="宋体" w:hAnsi="宋体"/>
          <w:bCs/>
          <w:color w:val="auto"/>
          <w:sz w:val="24"/>
        </w:rPr>
        <w:t>代理机构：</w:t>
      </w:r>
      <w:r>
        <w:rPr>
          <w:rFonts w:hint="eastAsia" w:ascii="宋体" w:hAnsi="宋体" w:eastAsia="宋体"/>
          <w:bCs/>
          <w:color w:val="auto"/>
          <w:sz w:val="24"/>
          <w:u w:val="single"/>
        </w:rPr>
        <w:t>浙江广通工程咨询有限公司</w:t>
      </w:r>
      <w:r>
        <w:rPr>
          <w:rFonts w:hint="eastAsia" w:ascii="宋体" w:hAnsi="宋体"/>
          <w:bCs/>
          <w:color w:val="auto"/>
          <w:sz w:val="24"/>
          <w:u w:val="single"/>
        </w:rPr>
        <w:t xml:space="preserve">  （盖章）</w:t>
      </w:r>
    </w:p>
    <w:p>
      <w:pPr>
        <w:spacing w:line="500" w:lineRule="atLeast"/>
        <w:jc w:val="center"/>
        <w:rPr>
          <w:rFonts w:ascii="宋体" w:hAnsi="宋体"/>
          <w:bCs/>
          <w:color w:val="auto"/>
          <w:sz w:val="24"/>
        </w:rPr>
      </w:pPr>
    </w:p>
    <w:p>
      <w:pPr>
        <w:spacing w:line="500" w:lineRule="atLeast"/>
        <w:jc w:val="center"/>
        <w:rPr>
          <w:rFonts w:ascii="宋体" w:hAnsi="宋体"/>
          <w:bCs/>
          <w:color w:val="auto"/>
          <w:sz w:val="24"/>
        </w:rPr>
      </w:pPr>
      <w:r>
        <w:rPr>
          <w:rFonts w:hint="eastAsia" w:ascii="宋体" w:hAnsi="宋体"/>
          <w:bCs/>
          <w:color w:val="auto"/>
          <w:sz w:val="24"/>
        </w:rPr>
        <w:t>二○二</w:t>
      </w:r>
      <w:r>
        <w:rPr>
          <w:rFonts w:hint="eastAsia" w:ascii="宋体" w:hAnsi="宋体" w:eastAsia="宋体"/>
          <w:bCs/>
          <w:color w:val="auto"/>
          <w:sz w:val="24"/>
        </w:rPr>
        <w:t>二</w:t>
      </w:r>
      <w:r>
        <w:rPr>
          <w:rFonts w:hint="eastAsia" w:ascii="宋体" w:hAnsi="宋体"/>
          <w:bCs/>
          <w:color w:val="auto"/>
          <w:sz w:val="24"/>
        </w:rPr>
        <w:t>年</w:t>
      </w:r>
      <w:r>
        <w:rPr>
          <w:rFonts w:hint="eastAsia" w:ascii="宋体" w:hAnsi="宋体" w:eastAsia="宋体"/>
          <w:bCs/>
          <w:color w:val="auto"/>
          <w:sz w:val="24"/>
          <w:lang w:eastAsia="zh-CN"/>
        </w:rPr>
        <w:t>四</w:t>
      </w:r>
      <w:r>
        <w:rPr>
          <w:rFonts w:hint="eastAsia" w:ascii="宋体" w:hAnsi="宋体"/>
          <w:bCs/>
          <w:color w:val="auto"/>
          <w:sz w:val="24"/>
        </w:rPr>
        <w:t>月</w:t>
      </w:r>
    </w:p>
    <w:p>
      <w:pPr>
        <w:pStyle w:val="16"/>
        <w:jc w:val="both"/>
        <w:rPr>
          <w:color w:val="auto"/>
          <w:sz w:val="21"/>
          <w:szCs w:val="21"/>
        </w:rPr>
        <w:sectPr>
          <w:headerReference r:id="rId4" w:type="first"/>
          <w:headerReference r:id="rId3" w:type="default"/>
          <w:footerReference r:id="rId5" w:type="default"/>
          <w:pgSz w:w="11906" w:h="16838"/>
          <w:pgMar w:top="1440" w:right="1133" w:bottom="1440" w:left="1440" w:header="851" w:footer="992" w:gutter="0"/>
          <w:pgNumType w:start="0"/>
          <w:cols w:space="720" w:num="1"/>
          <w:titlePg/>
          <w:docGrid w:linePitch="312" w:charSpace="0"/>
        </w:sectPr>
      </w:pPr>
    </w:p>
    <w:p>
      <w:pPr>
        <w:pStyle w:val="16"/>
        <w:rPr>
          <w:color w:val="auto"/>
          <w:sz w:val="36"/>
          <w:szCs w:val="36"/>
        </w:rPr>
      </w:pPr>
      <w:r>
        <w:rPr>
          <w:rFonts w:hint="eastAsia"/>
          <w:color w:val="auto"/>
          <w:sz w:val="36"/>
          <w:szCs w:val="36"/>
        </w:rPr>
        <w:t>目录</w:t>
      </w:r>
    </w:p>
    <w:p>
      <w:pPr>
        <w:pStyle w:val="16"/>
        <w:rPr>
          <w:rFonts w:ascii="宋体" w:hAnsi="宋体" w:eastAsia="宋体" w:cs="宋体"/>
          <w:b w:val="0"/>
          <w:color w:val="auto"/>
          <w:sz w:val="24"/>
          <w:szCs w:val="24"/>
        </w:rPr>
      </w:pPr>
      <w:r>
        <w:rPr>
          <w:b w:val="0"/>
          <w:color w:val="auto"/>
          <w:sz w:val="30"/>
          <w:szCs w:val="30"/>
        </w:rPr>
        <w:fldChar w:fldCharType="begin"/>
      </w:r>
      <w:r>
        <w:rPr>
          <w:b w:val="0"/>
          <w:color w:val="auto"/>
          <w:sz w:val="30"/>
          <w:szCs w:val="30"/>
        </w:rPr>
        <w:instrText xml:space="preserve"> </w:instrText>
      </w:r>
      <w:r>
        <w:rPr>
          <w:rFonts w:hint="eastAsia"/>
          <w:b w:val="0"/>
          <w:color w:val="auto"/>
          <w:sz w:val="30"/>
          <w:szCs w:val="30"/>
        </w:rPr>
        <w:instrText xml:space="preserve">TOC \o "1-3" \h \z \u</w:instrText>
      </w:r>
      <w:r>
        <w:rPr>
          <w:b w:val="0"/>
          <w:color w:val="auto"/>
          <w:sz w:val="30"/>
          <w:szCs w:val="30"/>
        </w:rPr>
        <w:instrText xml:space="preserve"> </w:instrText>
      </w:r>
      <w:r>
        <w:rPr>
          <w:b w:val="0"/>
          <w:color w:val="auto"/>
          <w:sz w:val="30"/>
          <w:szCs w:val="30"/>
        </w:rPr>
        <w:fldChar w:fldCharType="separate"/>
      </w:r>
      <w:r>
        <w:rPr>
          <w:color w:val="auto"/>
        </w:rPr>
        <w:fldChar w:fldCharType="begin"/>
      </w:r>
      <w:r>
        <w:rPr>
          <w:color w:val="auto"/>
        </w:rPr>
        <w:instrText xml:space="preserve"> HYPERLINK \l "_Toc306901419" </w:instrText>
      </w:r>
      <w:r>
        <w:rPr>
          <w:color w:val="auto"/>
        </w:rPr>
        <w:fldChar w:fldCharType="separate"/>
      </w:r>
      <w:r>
        <w:rPr>
          <w:rStyle w:val="29"/>
          <w:rFonts w:hint="eastAsia" w:ascii="宋体" w:hAnsi="宋体" w:eastAsia="宋体" w:cs="宋体"/>
          <w:b w:val="0"/>
          <w:color w:val="auto"/>
          <w:sz w:val="24"/>
          <w:szCs w:val="24"/>
        </w:rPr>
        <w:t>第一部分 磋商公告</w:t>
      </w:r>
      <w:r>
        <w:rPr>
          <w:rFonts w:hint="eastAsia" w:ascii="宋体" w:hAnsi="宋体" w:eastAsia="宋体" w:cs="宋体"/>
          <w:b w:val="0"/>
          <w:color w:val="auto"/>
          <w:sz w:val="24"/>
          <w:szCs w:val="24"/>
        </w:rPr>
        <w:tab/>
      </w:r>
      <w:r>
        <w:rPr>
          <w:rFonts w:hint="eastAsia" w:ascii="宋体" w:hAnsi="宋体" w:eastAsia="宋体" w:cs="宋体"/>
          <w:b w:val="0"/>
          <w:color w:val="auto"/>
          <w:sz w:val="24"/>
          <w:szCs w:val="24"/>
        </w:rPr>
        <w:t>2</w:t>
      </w:r>
      <w:r>
        <w:rPr>
          <w:rFonts w:hint="eastAsia" w:ascii="宋体" w:hAnsi="宋体" w:eastAsia="宋体" w:cs="宋体"/>
          <w:b w:val="0"/>
          <w:color w:val="auto"/>
          <w:sz w:val="24"/>
          <w:szCs w:val="24"/>
        </w:rPr>
        <w:fldChar w:fldCharType="end"/>
      </w:r>
    </w:p>
    <w:p>
      <w:pPr>
        <w:pStyle w:val="16"/>
        <w:rPr>
          <w:rFonts w:ascii="宋体" w:hAnsi="宋体" w:eastAsia="宋体" w:cs="宋体"/>
          <w:b w:val="0"/>
          <w:color w:val="auto"/>
          <w:sz w:val="24"/>
          <w:szCs w:val="24"/>
        </w:rPr>
      </w:pPr>
      <w:r>
        <w:rPr>
          <w:color w:val="auto"/>
        </w:rPr>
        <w:fldChar w:fldCharType="begin"/>
      </w:r>
      <w:r>
        <w:rPr>
          <w:color w:val="auto"/>
        </w:rPr>
        <w:instrText xml:space="preserve"> HYPERLINK \l "_Toc306901436" </w:instrText>
      </w:r>
      <w:r>
        <w:rPr>
          <w:color w:val="auto"/>
        </w:rPr>
        <w:fldChar w:fldCharType="separate"/>
      </w:r>
      <w:r>
        <w:rPr>
          <w:rStyle w:val="29"/>
          <w:rFonts w:hint="eastAsia" w:ascii="宋体" w:hAnsi="宋体" w:eastAsia="宋体" w:cs="宋体"/>
          <w:b w:val="0"/>
          <w:color w:val="auto"/>
          <w:sz w:val="24"/>
          <w:szCs w:val="24"/>
        </w:rPr>
        <w:t>第二部分 采购需求</w:t>
      </w:r>
      <w:r>
        <w:rPr>
          <w:rFonts w:hint="eastAsia" w:ascii="宋体" w:hAnsi="宋体" w:eastAsia="宋体" w:cs="宋体"/>
          <w:b w:val="0"/>
          <w:color w:val="auto"/>
          <w:sz w:val="24"/>
          <w:szCs w:val="24"/>
        </w:rPr>
        <w:tab/>
      </w:r>
      <w:r>
        <w:rPr>
          <w:rFonts w:hint="eastAsia" w:ascii="宋体" w:hAnsi="宋体" w:eastAsia="宋体" w:cs="宋体"/>
          <w:b w:val="0"/>
          <w:color w:val="auto"/>
          <w:sz w:val="24"/>
          <w:szCs w:val="24"/>
        </w:rPr>
        <w:t>6</w:t>
      </w:r>
      <w:r>
        <w:rPr>
          <w:rFonts w:hint="eastAsia" w:ascii="宋体" w:hAnsi="宋体" w:eastAsia="宋体" w:cs="宋体"/>
          <w:b w:val="0"/>
          <w:color w:val="auto"/>
          <w:sz w:val="24"/>
          <w:szCs w:val="24"/>
        </w:rPr>
        <w:fldChar w:fldCharType="end"/>
      </w:r>
    </w:p>
    <w:p>
      <w:pPr>
        <w:pStyle w:val="16"/>
        <w:rPr>
          <w:rFonts w:ascii="宋体" w:hAnsi="宋体" w:eastAsia="宋体" w:cs="宋体"/>
          <w:b w:val="0"/>
          <w:color w:val="auto"/>
          <w:sz w:val="24"/>
          <w:szCs w:val="24"/>
        </w:rPr>
      </w:pPr>
      <w:r>
        <w:rPr>
          <w:color w:val="auto"/>
        </w:rPr>
        <w:fldChar w:fldCharType="begin"/>
      </w:r>
      <w:r>
        <w:rPr>
          <w:color w:val="auto"/>
        </w:rPr>
        <w:instrText xml:space="preserve"> HYPERLINK \l "_Toc306901444" </w:instrText>
      </w:r>
      <w:r>
        <w:rPr>
          <w:color w:val="auto"/>
        </w:rPr>
        <w:fldChar w:fldCharType="separate"/>
      </w:r>
      <w:r>
        <w:rPr>
          <w:rStyle w:val="29"/>
          <w:rFonts w:hint="eastAsia" w:ascii="宋体" w:hAnsi="宋体" w:eastAsia="宋体" w:cs="宋体"/>
          <w:b w:val="0"/>
          <w:color w:val="auto"/>
          <w:sz w:val="24"/>
          <w:szCs w:val="24"/>
        </w:rPr>
        <w:t>第三部分 磋商须知</w:t>
      </w:r>
      <w:r>
        <w:rPr>
          <w:rFonts w:hint="eastAsia" w:ascii="宋体" w:hAnsi="宋体" w:eastAsia="宋体" w:cs="宋体"/>
          <w:b w:val="0"/>
          <w:color w:val="auto"/>
          <w:sz w:val="24"/>
          <w:szCs w:val="24"/>
        </w:rPr>
        <w:tab/>
      </w:r>
      <w:r>
        <w:rPr>
          <w:rFonts w:hint="eastAsia" w:ascii="宋体" w:hAnsi="宋体" w:eastAsia="宋体" w:cs="宋体"/>
          <w:b w:val="0"/>
          <w:color w:val="auto"/>
          <w:sz w:val="24"/>
          <w:szCs w:val="24"/>
        </w:rPr>
        <w:t>1</w:t>
      </w:r>
      <w:r>
        <w:rPr>
          <w:rFonts w:hint="eastAsia" w:ascii="宋体" w:hAnsi="宋体" w:eastAsia="宋体" w:cs="宋体"/>
          <w:b w:val="0"/>
          <w:color w:val="auto"/>
          <w:sz w:val="24"/>
          <w:szCs w:val="24"/>
        </w:rPr>
        <w:fldChar w:fldCharType="end"/>
      </w:r>
      <w:r>
        <w:rPr>
          <w:rFonts w:hint="eastAsia" w:ascii="宋体" w:hAnsi="宋体" w:eastAsia="宋体" w:cs="宋体"/>
          <w:b w:val="0"/>
          <w:color w:val="auto"/>
          <w:sz w:val="24"/>
          <w:szCs w:val="24"/>
        </w:rPr>
        <w:t>4</w:t>
      </w:r>
    </w:p>
    <w:p>
      <w:pPr>
        <w:pStyle w:val="16"/>
        <w:rPr>
          <w:rFonts w:ascii="宋体" w:hAnsi="宋体" w:eastAsia="宋体" w:cs="宋体"/>
          <w:b w:val="0"/>
          <w:color w:val="auto"/>
          <w:sz w:val="24"/>
          <w:szCs w:val="24"/>
        </w:rPr>
      </w:pPr>
      <w:r>
        <w:rPr>
          <w:color w:val="auto"/>
        </w:rPr>
        <w:fldChar w:fldCharType="begin"/>
      </w:r>
      <w:r>
        <w:rPr>
          <w:color w:val="auto"/>
        </w:rPr>
        <w:instrText xml:space="preserve"> HYPERLINK \l "_Toc306901457" </w:instrText>
      </w:r>
      <w:r>
        <w:rPr>
          <w:color w:val="auto"/>
        </w:rPr>
        <w:fldChar w:fldCharType="separate"/>
      </w:r>
      <w:r>
        <w:rPr>
          <w:rStyle w:val="29"/>
          <w:rFonts w:hint="eastAsia" w:ascii="宋体" w:hAnsi="宋体" w:eastAsia="宋体" w:cs="宋体"/>
          <w:b w:val="0"/>
          <w:color w:val="auto"/>
          <w:sz w:val="24"/>
          <w:szCs w:val="24"/>
        </w:rPr>
        <w:t>第四部分 评标办法及评分标准</w:t>
      </w:r>
      <w:bookmarkStart w:id="0" w:name="_Hlt361670781"/>
      <w:r>
        <w:rPr>
          <w:rFonts w:hint="eastAsia" w:ascii="宋体" w:hAnsi="宋体" w:eastAsia="宋体" w:cs="宋体"/>
          <w:b w:val="0"/>
          <w:color w:val="auto"/>
          <w:sz w:val="24"/>
          <w:szCs w:val="24"/>
        </w:rPr>
        <w:tab/>
      </w:r>
      <w:bookmarkEnd w:id="0"/>
      <w:r>
        <w:rPr>
          <w:rFonts w:hint="eastAsia" w:ascii="宋体" w:hAnsi="宋体" w:eastAsia="宋体" w:cs="宋体"/>
          <w:b w:val="0"/>
          <w:color w:val="auto"/>
          <w:sz w:val="24"/>
          <w:szCs w:val="24"/>
        </w:rPr>
        <w:fldChar w:fldCharType="end"/>
      </w:r>
      <w:r>
        <w:rPr>
          <w:rFonts w:hint="eastAsia" w:ascii="宋体" w:hAnsi="宋体" w:eastAsia="宋体" w:cs="宋体"/>
          <w:b w:val="0"/>
          <w:color w:val="auto"/>
          <w:sz w:val="24"/>
          <w:szCs w:val="24"/>
        </w:rPr>
        <w:t>29</w:t>
      </w:r>
    </w:p>
    <w:p>
      <w:pPr>
        <w:pStyle w:val="16"/>
        <w:rPr>
          <w:rFonts w:ascii="宋体" w:hAnsi="宋体" w:eastAsia="宋体" w:cs="宋体"/>
          <w:b w:val="0"/>
          <w:color w:val="auto"/>
          <w:sz w:val="24"/>
          <w:szCs w:val="24"/>
        </w:rPr>
      </w:pPr>
      <w:r>
        <w:rPr>
          <w:color w:val="auto"/>
        </w:rPr>
        <w:fldChar w:fldCharType="begin"/>
      </w:r>
      <w:r>
        <w:rPr>
          <w:color w:val="auto"/>
        </w:rPr>
        <w:instrText xml:space="preserve"> HYPERLINK \l "_Toc306901461" </w:instrText>
      </w:r>
      <w:r>
        <w:rPr>
          <w:color w:val="auto"/>
        </w:rPr>
        <w:fldChar w:fldCharType="separate"/>
      </w:r>
      <w:r>
        <w:rPr>
          <w:rStyle w:val="29"/>
          <w:rFonts w:hint="eastAsia" w:ascii="宋体" w:hAnsi="宋体" w:eastAsia="宋体" w:cs="宋体"/>
          <w:b w:val="0"/>
          <w:color w:val="auto"/>
          <w:sz w:val="24"/>
          <w:szCs w:val="24"/>
        </w:rPr>
        <w:t>第五部分 合同</w:t>
      </w:r>
      <w:r>
        <w:rPr>
          <w:rFonts w:hint="eastAsia" w:ascii="宋体" w:hAnsi="宋体" w:eastAsia="宋体" w:cs="宋体"/>
          <w:b w:val="0"/>
          <w:color w:val="auto"/>
          <w:sz w:val="24"/>
          <w:szCs w:val="24"/>
        </w:rPr>
        <w:tab/>
      </w:r>
      <w:r>
        <w:rPr>
          <w:rFonts w:hint="eastAsia" w:ascii="宋体" w:hAnsi="宋体" w:eastAsia="宋体" w:cs="宋体"/>
          <w:b w:val="0"/>
          <w:color w:val="auto"/>
          <w:sz w:val="24"/>
          <w:szCs w:val="24"/>
        </w:rPr>
        <w:t>3</w:t>
      </w:r>
      <w:r>
        <w:rPr>
          <w:rFonts w:hint="eastAsia" w:ascii="宋体" w:hAnsi="宋体" w:eastAsia="宋体" w:cs="宋体"/>
          <w:b w:val="0"/>
          <w:color w:val="auto"/>
          <w:sz w:val="24"/>
          <w:szCs w:val="24"/>
        </w:rPr>
        <w:fldChar w:fldCharType="end"/>
      </w:r>
      <w:r>
        <w:rPr>
          <w:rFonts w:hint="eastAsia" w:ascii="宋体" w:hAnsi="宋体" w:eastAsia="宋体" w:cs="宋体"/>
          <w:b w:val="0"/>
          <w:color w:val="auto"/>
          <w:sz w:val="24"/>
          <w:szCs w:val="24"/>
        </w:rPr>
        <w:t>1</w:t>
      </w:r>
    </w:p>
    <w:p>
      <w:pPr>
        <w:pStyle w:val="16"/>
        <w:rPr>
          <w:b w:val="0"/>
          <w:color w:val="auto"/>
          <w:sz w:val="32"/>
          <w:szCs w:val="32"/>
        </w:rPr>
      </w:pPr>
      <w:r>
        <w:rPr>
          <w:color w:val="auto"/>
        </w:rPr>
        <w:fldChar w:fldCharType="begin"/>
      </w:r>
      <w:r>
        <w:rPr>
          <w:color w:val="auto"/>
        </w:rPr>
        <w:instrText xml:space="preserve"> HYPERLINK \l "_Toc306901462" </w:instrText>
      </w:r>
      <w:r>
        <w:rPr>
          <w:color w:val="auto"/>
        </w:rPr>
        <w:fldChar w:fldCharType="separate"/>
      </w:r>
      <w:r>
        <w:rPr>
          <w:rStyle w:val="29"/>
          <w:rFonts w:hint="eastAsia" w:ascii="宋体" w:hAnsi="宋体" w:eastAsia="宋体" w:cs="宋体"/>
          <w:b w:val="0"/>
          <w:color w:val="auto"/>
          <w:sz w:val="24"/>
          <w:szCs w:val="24"/>
        </w:rPr>
        <w:t>第六部分 磋商响应文件格式</w:t>
      </w:r>
      <w:r>
        <w:rPr>
          <w:rFonts w:hint="eastAsia" w:ascii="宋体" w:hAnsi="宋体" w:eastAsia="宋体" w:cs="宋体"/>
          <w:b w:val="0"/>
          <w:color w:val="auto"/>
          <w:sz w:val="24"/>
          <w:szCs w:val="24"/>
        </w:rPr>
        <w:tab/>
      </w:r>
      <w:r>
        <w:rPr>
          <w:rFonts w:hint="eastAsia" w:ascii="宋体" w:hAnsi="宋体" w:eastAsia="宋体" w:cs="宋体"/>
          <w:b w:val="0"/>
          <w:color w:val="auto"/>
          <w:sz w:val="24"/>
          <w:szCs w:val="24"/>
        </w:rPr>
        <w:t>42</w:t>
      </w:r>
      <w:r>
        <w:rPr>
          <w:rFonts w:hint="eastAsia" w:ascii="宋体" w:hAnsi="宋体" w:eastAsia="宋体" w:cs="宋体"/>
          <w:b w:val="0"/>
          <w:color w:val="auto"/>
          <w:sz w:val="24"/>
          <w:szCs w:val="24"/>
        </w:rPr>
        <w:fldChar w:fldCharType="end"/>
      </w:r>
    </w:p>
    <w:p>
      <w:pPr>
        <w:pStyle w:val="12"/>
        <w:snapToGrid w:val="0"/>
        <w:spacing w:before="120" w:after="120" w:line="360" w:lineRule="exact"/>
        <w:jc w:val="center"/>
        <w:outlineLvl w:val="0"/>
        <w:rPr>
          <w:rFonts w:ascii="黑体" w:hAnsi="宋体" w:eastAsia="黑体"/>
          <w:color w:val="auto"/>
          <w:sz w:val="30"/>
          <w:szCs w:val="30"/>
        </w:rPr>
      </w:pPr>
      <w:r>
        <w:rPr>
          <w:color w:val="auto"/>
          <w:sz w:val="30"/>
          <w:szCs w:val="30"/>
        </w:rPr>
        <w:fldChar w:fldCharType="end"/>
      </w:r>
      <w:r>
        <w:rPr>
          <w:b/>
          <w:color w:val="auto"/>
          <w:sz w:val="44"/>
          <w:szCs w:val="44"/>
        </w:rPr>
        <w:br w:type="page"/>
      </w:r>
      <w:bookmarkStart w:id="1" w:name="_Toc255459621"/>
      <w:bookmarkStart w:id="2" w:name="_Toc239128656"/>
      <w:bookmarkStart w:id="3" w:name="_Toc302983069"/>
      <w:bookmarkStart w:id="4" w:name="_Toc248896172"/>
      <w:bookmarkStart w:id="5" w:name="_Toc237138373"/>
      <w:bookmarkStart w:id="6" w:name="_Toc218007228"/>
      <w:bookmarkStart w:id="7" w:name="_Toc290043085"/>
      <w:bookmarkStart w:id="8" w:name="_Toc240724029"/>
      <w:bookmarkStart w:id="9" w:name="_Toc248896331"/>
      <w:bookmarkStart w:id="10" w:name="_Toc283973049"/>
      <w:bookmarkStart w:id="11" w:name="_Toc255821799"/>
      <w:bookmarkStart w:id="12" w:name="_Toc218007959"/>
      <w:bookmarkStart w:id="13" w:name="_Toc238443285"/>
      <w:bookmarkStart w:id="14" w:name="_Toc292375873"/>
      <w:bookmarkStart w:id="15" w:name="_Toc237656250"/>
      <w:bookmarkStart w:id="16" w:name="_Toc261001044"/>
      <w:bookmarkStart w:id="17" w:name="_Toc217998399"/>
      <w:bookmarkStart w:id="18" w:name="_Toc306901421"/>
      <w:bookmarkStart w:id="19" w:name="_Toc237079649"/>
      <w:bookmarkStart w:id="20" w:name="_Toc255819805"/>
      <w:bookmarkStart w:id="21" w:name="_Toc301444164"/>
      <w:bookmarkStart w:id="22" w:name="_Toc240724364"/>
      <w:bookmarkStart w:id="23" w:name="_Toc277078921"/>
      <w:bookmarkStart w:id="24" w:name="_Toc261001136"/>
      <w:bookmarkStart w:id="25" w:name="_Toc248896024"/>
      <w:r>
        <w:rPr>
          <w:rFonts w:hint="eastAsia" w:hAnsi="宋体" w:eastAsia="宋体" w:cs="宋体"/>
          <w:b/>
          <w:bCs/>
          <w:color w:val="auto"/>
          <w:sz w:val="36"/>
          <w:szCs w:val="36"/>
        </w:rPr>
        <w:t>第一部分 竞争性磋商公告</w:t>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tbl>
      <w:tblPr>
        <w:tblStyle w:val="25"/>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atLeast"/>
        </w:trPr>
        <w:tc>
          <w:tcPr>
            <w:tcW w:w="8948" w:type="dxa"/>
          </w:tcPr>
          <w:p>
            <w:pPr>
              <w:pStyle w:val="20"/>
              <w:spacing w:before="0" w:beforeAutospacing="0" w:after="0" w:afterAutospacing="0" w:line="360" w:lineRule="auto"/>
              <w:rPr>
                <w:rFonts w:hint="default" w:eastAsia="宋体" w:cs="宋体"/>
                <w:color w:val="auto"/>
                <w:sz w:val="21"/>
                <w:szCs w:val="21"/>
              </w:rPr>
            </w:pPr>
            <w:bookmarkStart w:id="26" w:name="B30_其他事项"/>
            <w:r>
              <w:rPr>
                <w:rFonts w:ascii="微软雅黑" w:hAnsi="微软雅黑" w:eastAsia="微软雅黑" w:cs="微软雅黑"/>
                <w:color w:val="auto"/>
                <w:sz w:val="31"/>
                <w:szCs w:val="31"/>
              </w:rPr>
              <w:t> </w:t>
            </w:r>
            <w:r>
              <w:rPr>
                <w:rFonts w:eastAsia="宋体" w:cs="宋体"/>
                <w:color w:val="auto"/>
                <w:sz w:val="21"/>
                <w:szCs w:val="21"/>
              </w:rPr>
              <w:t> 项目概况</w:t>
            </w:r>
          </w:p>
          <w:p>
            <w:pPr>
              <w:pStyle w:val="20"/>
              <w:spacing w:before="0" w:beforeAutospacing="0" w:after="0" w:afterAutospacing="0" w:line="360" w:lineRule="auto"/>
              <w:jc w:val="both"/>
              <w:rPr>
                <w:rFonts w:hint="default" w:cs="宋体"/>
                <w:b/>
                <w:color w:val="auto"/>
                <w:kern w:val="2"/>
                <w:sz w:val="21"/>
                <w:szCs w:val="21"/>
                <w:lang w:bidi="ar"/>
              </w:rPr>
            </w:pPr>
            <w:r>
              <w:rPr>
                <w:rFonts w:eastAsia="宋体" w:cs="宋体"/>
                <w:color w:val="auto"/>
                <w:sz w:val="21"/>
                <w:szCs w:val="21"/>
              </w:rPr>
              <w:t> </w:t>
            </w:r>
            <w:r>
              <w:rPr>
                <w:rFonts w:hint="eastAsia" w:eastAsia="宋体" w:cs="宋体"/>
                <w:color w:val="auto"/>
                <w:sz w:val="21"/>
                <w:szCs w:val="21"/>
                <w:u w:val="single"/>
                <w:lang w:eastAsia="zh-CN"/>
              </w:rPr>
              <w:t>仙居县人民医院病理科改造项目（重新招标）</w:t>
            </w:r>
            <w:r>
              <w:rPr>
                <w:rFonts w:cs="宋体"/>
                <w:color w:val="auto"/>
                <w:sz w:val="21"/>
                <w:szCs w:val="21"/>
                <w:u w:val="single"/>
              </w:rPr>
              <w:t xml:space="preserve"> </w:t>
            </w:r>
            <w:r>
              <w:rPr>
                <w:rFonts w:eastAsia="宋体" w:cs="宋体"/>
                <w:color w:val="auto"/>
                <w:sz w:val="21"/>
                <w:szCs w:val="21"/>
                <w:u w:val="single"/>
              </w:rPr>
              <w:t>的</w:t>
            </w:r>
            <w:r>
              <w:rPr>
                <w:rFonts w:eastAsia="宋体" w:cs="宋体"/>
                <w:color w:val="auto"/>
                <w:sz w:val="21"/>
                <w:szCs w:val="21"/>
              </w:rPr>
              <w:t>潜在供应商应在</w:t>
            </w:r>
            <w:r>
              <w:rPr>
                <w:rFonts w:eastAsia="宋体" w:cs="宋体"/>
                <w:color w:val="auto"/>
                <w:sz w:val="21"/>
                <w:szCs w:val="21"/>
                <w:u w:val="single"/>
              </w:rPr>
              <w:t xml:space="preserve"> 线上获取 </w:t>
            </w:r>
            <w:r>
              <w:rPr>
                <w:rFonts w:eastAsia="宋体" w:cs="宋体"/>
                <w:color w:val="auto"/>
                <w:sz w:val="21"/>
                <w:szCs w:val="21"/>
              </w:rPr>
              <w:t>获取（下载）采购文件，并于</w:t>
            </w:r>
            <w:r>
              <w:rPr>
                <w:rFonts w:eastAsia="宋体" w:cs="宋体"/>
                <w:color w:val="auto"/>
                <w:sz w:val="21"/>
                <w:szCs w:val="21"/>
                <w:u w:val="single"/>
              </w:rPr>
              <w:t xml:space="preserve">  2022年</w:t>
            </w:r>
            <w:r>
              <w:rPr>
                <w:rFonts w:hint="eastAsia" w:eastAsia="宋体" w:cs="宋体"/>
                <w:color w:val="auto"/>
                <w:sz w:val="21"/>
                <w:szCs w:val="21"/>
                <w:u w:val="single"/>
                <w:lang w:val="en-US" w:eastAsia="zh-CN"/>
              </w:rPr>
              <w:t>05</w:t>
            </w:r>
            <w:r>
              <w:rPr>
                <w:rFonts w:eastAsia="宋体" w:cs="宋体"/>
                <w:color w:val="auto"/>
                <w:sz w:val="21"/>
                <w:szCs w:val="21"/>
                <w:u w:val="single"/>
              </w:rPr>
              <w:t>月</w:t>
            </w:r>
            <w:r>
              <w:rPr>
                <w:rFonts w:hint="eastAsia" w:eastAsia="宋体" w:cs="宋体"/>
                <w:color w:val="auto"/>
                <w:sz w:val="21"/>
                <w:szCs w:val="21"/>
                <w:u w:val="single"/>
                <w:lang w:val="en-US" w:eastAsia="zh-CN"/>
              </w:rPr>
              <w:t>06</w:t>
            </w:r>
            <w:r>
              <w:rPr>
                <w:rFonts w:eastAsia="宋体" w:cs="宋体"/>
                <w:color w:val="auto"/>
                <w:sz w:val="21"/>
                <w:szCs w:val="21"/>
                <w:u w:val="single"/>
              </w:rPr>
              <w:t>日 09:00 （北京时间）前提交（上传）响应文件</w:t>
            </w:r>
          </w:p>
        </w:tc>
      </w:tr>
    </w:tbl>
    <w:p>
      <w:pPr>
        <w:pStyle w:val="20"/>
        <w:widowControl w:val="0"/>
        <w:spacing w:before="0" w:beforeAutospacing="0" w:after="0" w:afterAutospacing="0" w:line="360" w:lineRule="auto"/>
        <w:ind w:left="420"/>
        <w:jc w:val="both"/>
        <w:rPr>
          <w:rFonts w:hint="default" w:cs="宋体"/>
          <w:b/>
          <w:color w:val="auto"/>
          <w:kern w:val="2"/>
          <w:sz w:val="21"/>
          <w:szCs w:val="21"/>
          <w:lang w:bidi="ar"/>
        </w:rPr>
      </w:pPr>
    </w:p>
    <w:p>
      <w:pPr>
        <w:pStyle w:val="20"/>
        <w:widowControl w:val="0"/>
        <w:numPr>
          <w:ilvl w:val="0"/>
          <w:numId w:val="1"/>
        </w:numPr>
        <w:spacing w:before="0" w:beforeAutospacing="0" w:after="0" w:afterAutospacing="0" w:line="400" w:lineRule="exact"/>
        <w:ind w:left="0" w:firstLine="422" w:firstLineChars="200"/>
        <w:jc w:val="both"/>
        <w:rPr>
          <w:rFonts w:hint="default" w:eastAsia="宋体" w:cs="宋体"/>
          <w:b/>
          <w:color w:val="auto"/>
          <w:kern w:val="2"/>
          <w:sz w:val="21"/>
          <w:szCs w:val="21"/>
          <w:lang w:bidi="ar"/>
        </w:rPr>
      </w:pPr>
      <w:r>
        <w:rPr>
          <w:rFonts w:eastAsia="宋体" w:cs="宋体"/>
          <w:b/>
          <w:color w:val="auto"/>
          <w:kern w:val="2"/>
          <w:sz w:val="21"/>
          <w:szCs w:val="21"/>
          <w:lang w:bidi="ar"/>
        </w:rPr>
        <w:t>项目基本情况</w:t>
      </w:r>
      <w:bookmarkStart w:id="635" w:name="_GoBack"/>
      <w:bookmarkEnd w:id="635"/>
    </w:p>
    <w:p>
      <w:pPr>
        <w:spacing w:line="400" w:lineRule="exact"/>
        <w:ind w:firstLine="420" w:firstLineChars="200"/>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1.项目编号：</w:t>
      </w:r>
      <w:r>
        <w:rPr>
          <w:rFonts w:hint="eastAsia" w:ascii="宋体" w:hAnsi="宋体" w:eastAsia="宋体" w:cs="宋体"/>
          <w:color w:val="auto"/>
          <w:kern w:val="0"/>
          <w:sz w:val="21"/>
          <w:szCs w:val="21"/>
          <w:lang w:eastAsia="zh-CN"/>
        </w:rPr>
        <w:t>GTXJ（采购）-22001-1</w:t>
      </w:r>
    </w:p>
    <w:p>
      <w:pPr>
        <w:spacing w:line="400" w:lineRule="exact"/>
        <w:ind w:firstLine="420" w:firstLineChars="200"/>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2.项目名称：</w:t>
      </w:r>
      <w:r>
        <w:rPr>
          <w:rFonts w:hint="eastAsia" w:ascii="宋体" w:hAnsi="宋体" w:eastAsia="宋体" w:cs="宋体"/>
          <w:color w:val="auto"/>
          <w:kern w:val="0"/>
          <w:sz w:val="21"/>
          <w:szCs w:val="21"/>
          <w:lang w:eastAsia="zh-CN"/>
        </w:rPr>
        <w:t>仙居县人民医院病理科改造项目（重新招标）</w:t>
      </w:r>
    </w:p>
    <w:p>
      <w:pPr>
        <w:spacing w:line="400" w:lineRule="exact"/>
        <w:ind w:firstLine="420" w:firstLineChars="200"/>
        <w:rPr>
          <w:rFonts w:ascii="宋体" w:hAnsi="宋体" w:eastAsia="宋体" w:cs="宋体"/>
          <w:color w:val="auto"/>
          <w:kern w:val="0"/>
          <w:sz w:val="21"/>
          <w:szCs w:val="21"/>
        </w:rPr>
      </w:pPr>
      <w:r>
        <w:rPr>
          <w:rFonts w:hint="eastAsia" w:ascii="宋体" w:hAnsi="宋体" w:eastAsia="宋体" w:cs="宋体"/>
          <w:color w:val="auto"/>
          <w:kern w:val="0"/>
          <w:sz w:val="21"/>
          <w:szCs w:val="21"/>
        </w:rPr>
        <w:t>3.采购方式：竞争性磋商</w:t>
      </w:r>
    </w:p>
    <w:p>
      <w:pPr>
        <w:spacing w:line="400" w:lineRule="exact"/>
        <w:ind w:firstLine="420" w:firstLineChars="200"/>
        <w:rPr>
          <w:rFonts w:ascii="宋体" w:hAnsi="宋体" w:eastAsia="宋体" w:cs="宋体"/>
          <w:color w:val="auto"/>
          <w:kern w:val="0"/>
          <w:sz w:val="21"/>
          <w:szCs w:val="21"/>
        </w:rPr>
      </w:pPr>
      <w:r>
        <w:rPr>
          <w:rFonts w:hint="eastAsia" w:ascii="宋体" w:hAnsi="宋体" w:eastAsia="宋体" w:cs="宋体"/>
          <w:color w:val="auto"/>
          <w:kern w:val="0"/>
          <w:sz w:val="21"/>
          <w:szCs w:val="21"/>
        </w:rPr>
        <w:t>4.预算金额（元）：1981411</w:t>
      </w:r>
    </w:p>
    <w:p>
      <w:pPr>
        <w:spacing w:line="400" w:lineRule="exact"/>
        <w:ind w:firstLine="420" w:firstLineChars="200"/>
        <w:rPr>
          <w:rFonts w:ascii="宋体" w:hAnsi="宋体" w:eastAsia="宋体" w:cs="宋体"/>
          <w:color w:val="auto"/>
          <w:kern w:val="0"/>
          <w:sz w:val="21"/>
          <w:szCs w:val="21"/>
        </w:rPr>
      </w:pPr>
      <w:r>
        <w:rPr>
          <w:rFonts w:hint="eastAsia" w:ascii="宋体" w:hAnsi="宋体" w:eastAsia="宋体" w:cs="宋体"/>
          <w:color w:val="auto"/>
          <w:kern w:val="0"/>
          <w:sz w:val="21"/>
          <w:szCs w:val="21"/>
        </w:rPr>
        <w:t>5.最高限价（元）：1783270</w:t>
      </w:r>
    </w:p>
    <w:p>
      <w:pPr>
        <w:spacing w:line="400" w:lineRule="exact"/>
        <w:ind w:firstLine="420" w:firstLineChars="200"/>
        <w:rPr>
          <w:rFonts w:ascii="宋体" w:hAnsi="宋体" w:eastAsia="宋体" w:cs="宋体"/>
          <w:b/>
          <w:color w:val="auto"/>
          <w:sz w:val="21"/>
          <w:szCs w:val="21"/>
          <w:lang w:bidi="ar"/>
        </w:rPr>
      </w:pPr>
      <w:r>
        <w:rPr>
          <w:rFonts w:hint="eastAsia" w:ascii="宋体" w:hAnsi="宋体" w:eastAsia="宋体" w:cs="宋体"/>
          <w:color w:val="auto"/>
          <w:kern w:val="0"/>
          <w:sz w:val="21"/>
          <w:szCs w:val="21"/>
        </w:rPr>
        <w:t>6.采购需求：</w:t>
      </w:r>
    </w:p>
    <w:tbl>
      <w:tblPr>
        <w:tblStyle w:val="24"/>
        <w:tblpPr w:leftFromText="180" w:rightFromText="180" w:vertAnchor="text" w:horzAnchor="page" w:tblpX="1590" w:tblpY="233"/>
        <w:tblOverlap w:val="never"/>
        <w:tblW w:w="9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901"/>
        <w:gridCol w:w="638"/>
        <w:gridCol w:w="956"/>
        <w:gridCol w:w="887"/>
        <w:gridCol w:w="2951"/>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77" w:type="dxa"/>
            <w:vAlign w:val="center"/>
          </w:tcPr>
          <w:p>
            <w:pPr>
              <w:widowControl/>
              <w:wordWrap w:val="0"/>
              <w:spacing w:line="400" w:lineRule="exact"/>
              <w:jc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标项序号</w:t>
            </w:r>
          </w:p>
        </w:tc>
        <w:tc>
          <w:tcPr>
            <w:tcW w:w="1901" w:type="dxa"/>
            <w:vAlign w:val="center"/>
          </w:tcPr>
          <w:p>
            <w:pPr>
              <w:widowControl/>
              <w:wordWrap w:val="0"/>
              <w:spacing w:line="400" w:lineRule="exact"/>
              <w:jc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标项名称</w:t>
            </w:r>
          </w:p>
        </w:tc>
        <w:tc>
          <w:tcPr>
            <w:tcW w:w="638" w:type="dxa"/>
            <w:vAlign w:val="center"/>
          </w:tcPr>
          <w:p>
            <w:pPr>
              <w:widowControl/>
              <w:wordWrap w:val="0"/>
              <w:spacing w:line="400" w:lineRule="exact"/>
              <w:jc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数量</w:t>
            </w:r>
          </w:p>
        </w:tc>
        <w:tc>
          <w:tcPr>
            <w:tcW w:w="956" w:type="dxa"/>
            <w:vAlign w:val="center"/>
          </w:tcPr>
          <w:p>
            <w:pPr>
              <w:widowControl/>
              <w:wordWrap w:val="0"/>
              <w:spacing w:line="400" w:lineRule="exact"/>
              <w:jc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预算金额(元)</w:t>
            </w:r>
          </w:p>
        </w:tc>
        <w:tc>
          <w:tcPr>
            <w:tcW w:w="887" w:type="dxa"/>
            <w:vAlign w:val="center"/>
          </w:tcPr>
          <w:p>
            <w:pPr>
              <w:widowControl/>
              <w:wordWrap w:val="0"/>
              <w:spacing w:line="400" w:lineRule="exact"/>
              <w:jc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单位</w:t>
            </w:r>
          </w:p>
        </w:tc>
        <w:tc>
          <w:tcPr>
            <w:tcW w:w="2951" w:type="dxa"/>
            <w:vAlign w:val="center"/>
          </w:tcPr>
          <w:p>
            <w:pPr>
              <w:widowControl/>
              <w:wordWrap w:val="0"/>
              <w:spacing w:line="400" w:lineRule="exact"/>
              <w:jc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简要规格描述</w:t>
            </w:r>
          </w:p>
        </w:tc>
        <w:tc>
          <w:tcPr>
            <w:tcW w:w="1200" w:type="dxa"/>
            <w:vAlign w:val="center"/>
          </w:tcPr>
          <w:p>
            <w:pPr>
              <w:widowControl/>
              <w:wordWrap w:val="0"/>
              <w:spacing w:line="400" w:lineRule="exact"/>
              <w:jc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777" w:type="dxa"/>
            <w:vAlign w:val="center"/>
          </w:tcPr>
          <w:p>
            <w:pPr>
              <w:spacing w:line="400" w:lineRule="exact"/>
              <w:jc w:val="center"/>
              <w:rPr>
                <w:rFonts w:ascii="宋体" w:hAnsi="宋体" w:eastAsia="宋体" w:cs="宋体"/>
                <w:color w:val="auto"/>
                <w:sz w:val="21"/>
                <w:szCs w:val="21"/>
              </w:rPr>
            </w:pPr>
            <w:r>
              <w:rPr>
                <w:rFonts w:hint="eastAsia" w:ascii="宋体" w:hAnsi="宋体" w:eastAsia="宋体" w:cs="宋体"/>
                <w:color w:val="auto"/>
                <w:sz w:val="21"/>
                <w:szCs w:val="21"/>
              </w:rPr>
              <w:t>1</w:t>
            </w:r>
          </w:p>
        </w:tc>
        <w:tc>
          <w:tcPr>
            <w:tcW w:w="1901" w:type="dxa"/>
            <w:vAlign w:val="center"/>
          </w:tcPr>
          <w:p>
            <w:pPr>
              <w:spacing w:line="400" w:lineRule="exact"/>
              <w:rPr>
                <w:rFonts w:hint="eastAsia" w:ascii="宋体" w:hAnsi="宋体" w:eastAsia="宋体" w:cs="宋体"/>
                <w:color w:val="auto"/>
                <w:sz w:val="21"/>
                <w:szCs w:val="21"/>
                <w:lang w:eastAsia="zh-CN"/>
              </w:rPr>
            </w:pPr>
            <w:r>
              <w:rPr>
                <w:rFonts w:hint="eastAsia" w:ascii="宋体" w:hAnsi="宋体" w:eastAsia="宋体" w:cs="宋体"/>
                <w:color w:val="auto"/>
                <w:kern w:val="0"/>
                <w:sz w:val="21"/>
                <w:szCs w:val="21"/>
                <w:lang w:eastAsia="zh-CN"/>
              </w:rPr>
              <w:t>仙居县人民医院病理科改造项目（重新招标）</w:t>
            </w:r>
          </w:p>
        </w:tc>
        <w:tc>
          <w:tcPr>
            <w:tcW w:w="638" w:type="dxa"/>
            <w:vAlign w:val="center"/>
          </w:tcPr>
          <w:p>
            <w:pPr>
              <w:spacing w:line="400" w:lineRule="exact"/>
              <w:jc w:val="center"/>
              <w:rPr>
                <w:rFonts w:ascii="宋体" w:hAnsi="宋体" w:eastAsia="宋体" w:cs="宋体"/>
                <w:color w:val="auto"/>
                <w:sz w:val="21"/>
                <w:szCs w:val="21"/>
              </w:rPr>
            </w:pPr>
            <w:r>
              <w:rPr>
                <w:rFonts w:hint="eastAsia" w:ascii="宋体" w:hAnsi="宋体" w:eastAsia="宋体" w:cs="宋体"/>
                <w:color w:val="auto"/>
                <w:sz w:val="21"/>
                <w:szCs w:val="21"/>
              </w:rPr>
              <w:t>1</w:t>
            </w:r>
          </w:p>
        </w:tc>
        <w:tc>
          <w:tcPr>
            <w:tcW w:w="956" w:type="dxa"/>
            <w:vAlign w:val="center"/>
          </w:tcPr>
          <w:p>
            <w:pPr>
              <w:spacing w:line="400" w:lineRule="exact"/>
              <w:jc w:val="center"/>
              <w:rPr>
                <w:rFonts w:ascii="宋体" w:hAnsi="宋体" w:eastAsia="宋体" w:cs="宋体"/>
                <w:color w:val="auto"/>
                <w:sz w:val="21"/>
                <w:szCs w:val="21"/>
              </w:rPr>
            </w:pPr>
            <w:r>
              <w:rPr>
                <w:rFonts w:hint="eastAsia" w:ascii="宋体" w:hAnsi="宋体" w:eastAsia="宋体" w:cs="宋体"/>
                <w:color w:val="auto"/>
                <w:sz w:val="21"/>
                <w:szCs w:val="21"/>
              </w:rPr>
              <w:t>1981411</w:t>
            </w:r>
          </w:p>
        </w:tc>
        <w:tc>
          <w:tcPr>
            <w:tcW w:w="887" w:type="dxa"/>
            <w:vAlign w:val="center"/>
          </w:tcPr>
          <w:p>
            <w:pPr>
              <w:spacing w:line="400" w:lineRule="exact"/>
              <w:jc w:val="center"/>
              <w:rPr>
                <w:rFonts w:ascii="宋体" w:hAnsi="宋体" w:eastAsia="宋体" w:cs="宋体"/>
                <w:color w:val="auto"/>
                <w:sz w:val="21"/>
                <w:szCs w:val="21"/>
              </w:rPr>
            </w:pPr>
            <w:r>
              <w:rPr>
                <w:rFonts w:hint="eastAsia" w:ascii="宋体" w:hAnsi="宋体" w:eastAsia="宋体" w:cs="宋体"/>
                <w:color w:val="auto"/>
                <w:sz w:val="21"/>
                <w:szCs w:val="21"/>
              </w:rPr>
              <w:t>项</w:t>
            </w:r>
          </w:p>
        </w:tc>
        <w:tc>
          <w:tcPr>
            <w:tcW w:w="2951" w:type="dxa"/>
            <w:vAlign w:val="center"/>
          </w:tcPr>
          <w:p>
            <w:pPr>
              <w:pStyle w:val="12"/>
              <w:spacing w:line="400" w:lineRule="exact"/>
              <w:jc w:val="center"/>
              <w:rPr>
                <w:rFonts w:hAnsi="宋体" w:eastAsia="宋体" w:cs="宋体"/>
                <w:color w:val="auto"/>
                <w:szCs w:val="21"/>
              </w:rPr>
            </w:pPr>
            <w:r>
              <w:rPr>
                <w:rFonts w:hint="eastAsia" w:hAnsi="宋体" w:eastAsia="宋体" w:cs="宋体"/>
                <w:color w:val="auto"/>
                <w:szCs w:val="21"/>
              </w:rPr>
              <w:t>本项目由采购人提供的施工图纸及预算书中所包含的安装、建筑等工程组成，具体详见拟采购清单</w:t>
            </w:r>
          </w:p>
        </w:tc>
        <w:tc>
          <w:tcPr>
            <w:tcW w:w="1200" w:type="dxa"/>
            <w:vAlign w:val="center"/>
          </w:tcPr>
          <w:p>
            <w:pPr>
              <w:spacing w:line="400" w:lineRule="exact"/>
              <w:ind w:firstLine="420" w:firstLineChars="200"/>
              <w:jc w:val="distribute"/>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 </w:t>
            </w:r>
          </w:p>
        </w:tc>
      </w:tr>
    </w:tbl>
    <w:p>
      <w:pPr>
        <w:spacing w:line="360" w:lineRule="auto"/>
        <w:ind w:firstLine="420" w:firstLineChars="200"/>
        <w:rPr>
          <w:rFonts w:ascii="宋体" w:hAnsi="宋体" w:eastAsia="宋体" w:cs="宋体"/>
          <w:color w:val="auto"/>
          <w:kern w:val="0"/>
          <w:sz w:val="21"/>
          <w:szCs w:val="21"/>
        </w:rPr>
      </w:pPr>
      <w:r>
        <w:rPr>
          <w:rFonts w:hint="eastAsia" w:ascii="宋体" w:hAnsi="宋体" w:eastAsia="宋体" w:cs="宋体"/>
          <w:color w:val="auto"/>
          <w:kern w:val="0"/>
          <w:sz w:val="21"/>
          <w:szCs w:val="21"/>
        </w:rPr>
        <w:t>7.合同履行期限：不超过60天（日历天）</w:t>
      </w:r>
      <w:r>
        <w:rPr>
          <w:rFonts w:hint="eastAsia" w:ascii="宋体" w:hAnsi="宋体" w:eastAsia="宋体" w:cs="宋体"/>
          <w:color w:val="auto"/>
          <w:sz w:val="21"/>
          <w:szCs w:val="21"/>
        </w:rPr>
        <w:t>。</w:t>
      </w:r>
      <w:r>
        <w:rPr>
          <w:rFonts w:hint="eastAsia" w:ascii="宋体" w:hAnsi="宋体" w:eastAsia="宋体" w:cs="宋体"/>
          <w:color w:val="auto"/>
          <w:kern w:val="0"/>
          <w:sz w:val="21"/>
          <w:szCs w:val="21"/>
        </w:rPr>
        <w:t> </w:t>
      </w:r>
    </w:p>
    <w:p>
      <w:pPr>
        <w:spacing w:line="360" w:lineRule="auto"/>
        <w:ind w:firstLine="420" w:firstLineChars="200"/>
        <w:rPr>
          <w:rFonts w:ascii="宋体" w:hAnsi="宋体" w:eastAsia="宋体" w:cs="宋体"/>
          <w:b/>
          <w:color w:val="auto"/>
          <w:sz w:val="21"/>
          <w:szCs w:val="21"/>
          <w:lang w:bidi="ar"/>
        </w:rPr>
      </w:pPr>
      <w:r>
        <w:rPr>
          <w:rFonts w:hint="eastAsia" w:ascii="宋体" w:hAnsi="宋体" w:eastAsia="宋体" w:cs="宋体"/>
          <w:color w:val="auto"/>
          <w:kern w:val="0"/>
          <w:sz w:val="21"/>
          <w:szCs w:val="21"/>
        </w:rPr>
        <w:t>8.本项目（否）接受联合体投标。</w:t>
      </w:r>
    </w:p>
    <w:p>
      <w:pPr>
        <w:pStyle w:val="20"/>
        <w:widowControl w:val="0"/>
        <w:numPr>
          <w:ilvl w:val="0"/>
          <w:numId w:val="1"/>
        </w:numPr>
        <w:spacing w:before="0" w:beforeAutospacing="0" w:after="0" w:afterAutospacing="0" w:line="360" w:lineRule="auto"/>
        <w:ind w:left="0" w:firstLine="422" w:firstLineChars="200"/>
        <w:jc w:val="both"/>
        <w:rPr>
          <w:rFonts w:hint="default" w:eastAsia="宋体" w:cs="宋体"/>
          <w:b/>
          <w:color w:val="auto"/>
          <w:kern w:val="2"/>
          <w:sz w:val="21"/>
          <w:szCs w:val="21"/>
          <w:lang w:bidi="ar"/>
        </w:rPr>
      </w:pPr>
      <w:r>
        <w:rPr>
          <w:rFonts w:eastAsia="宋体" w:cs="宋体"/>
          <w:b/>
          <w:color w:val="auto"/>
          <w:kern w:val="2"/>
          <w:sz w:val="21"/>
          <w:szCs w:val="21"/>
          <w:lang w:bidi="ar"/>
        </w:rPr>
        <w:t>申请人的资格要求：</w:t>
      </w:r>
    </w:p>
    <w:p>
      <w:pPr>
        <w:spacing w:line="360" w:lineRule="auto"/>
        <w:ind w:firstLine="420" w:firstLineChars="200"/>
        <w:rPr>
          <w:rFonts w:ascii="宋体" w:hAnsi="宋体" w:eastAsia="宋体" w:cs="宋体"/>
          <w:color w:val="auto"/>
          <w:kern w:val="0"/>
          <w:sz w:val="21"/>
          <w:szCs w:val="21"/>
        </w:rPr>
      </w:pPr>
      <w:r>
        <w:rPr>
          <w:rFonts w:hint="eastAsia" w:ascii="宋体" w:hAnsi="宋体" w:eastAsia="宋体" w:cs="宋体"/>
          <w:color w:val="auto"/>
          <w:kern w:val="0"/>
          <w:sz w:val="21"/>
          <w:szCs w:val="21"/>
        </w:rPr>
        <w:t>1.符合《中华人民共和国政府采购法》第二十二条规定的投标人资格条件及浙财采监[2013]24号《关于规范政府采购供应商资格设定及资格审查的通知》第六条规定，且未被“信用中国”（www.creditchina.gov.cn）、中国政府采购网（www.ccgp.gov.cn）列入失信被执行人、重大税收违法案件当事人名单、政府采购严重违法失信行为记录名单。 </w:t>
      </w:r>
    </w:p>
    <w:p>
      <w:pPr>
        <w:tabs>
          <w:tab w:val="left" w:pos="180"/>
          <w:tab w:val="left" w:pos="360"/>
          <w:tab w:val="left" w:pos="540"/>
          <w:tab w:val="left" w:pos="8280"/>
        </w:tabs>
        <w:autoSpaceDE w:val="0"/>
        <w:autoSpaceDN w:val="0"/>
        <w:adjustRightInd w:val="0"/>
        <w:spacing w:line="380" w:lineRule="exact"/>
        <w:ind w:right="23" w:firstLine="210" w:firstLineChars="1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2.落实政府采购政策需满足的资格要求：</w:t>
      </w:r>
      <w:r>
        <w:rPr>
          <w:rFonts w:hint="eastAsia" w:ascii="宋体"/>
          <w:color w:val="auto"/>
          <w:sz w:val="21"/>
          <w:szCs w:val="21"/>
        </w:rPr>
        <w:t>供应商为中小企业/小微企业或监狱企业或残疾人福利性单位。</w:t>
      </w:r>
    </w:p>
    <w:p>
      <w:pPr>
        <w:pStyle w:val="45"/>
        <w:spacing w:line="360" w:lineRule="auto"/>
        <w:ind w:firstLine="420"/>
        <w:rPr>
          <w:rFonts w:ascii="宋体" w:hAnsi="宋体" w:eastAsia="宋体" w:cs="宋体"/>
          <w:color w:val="auto"/>
        </w:rPr>
      </w:pPr>
      <w:r>
        <w:rPr>
          <w:rFonts w:hint="eastAsia" w:ascii="宋体" w:hAnsi="宋体" w:eastAsia="宋体" w:cs="宋体"/>
          <w:color w:val="auto"/>
          <w:kern w:val="0"/>
        </w:rPr>
        <w:t>3.本项目的特定资格要求：（1）具有建筑装修装饰工程专业承包二级及以上资质等级；浙江省省外企业须具有有效的《省外企业进浙承接业务备案证明》或提供浙江省建筑市场监管公共服务系统已完成办理的公示信息网站截图证明等复印件；（2）</w:t>
      </w:r>
      <w:r>
        <w:rPr>
          <w:rFonts w:hint="eastAsia"/>
          <w:color w:val="auto"/>
        </w:rPr>
        <w:t>企业具有安全生产许可证，且在有效期内</w:t>
      </w:r>
      <w:r>
        <w:rPr>
          <w:rFonts w:hint="eastAsia" w:ascii="宋体" w:hAnsi="宋体" w:eastAsia="宋体" w:cs="宋体"/>
          <w:color w:val="auto"/>
          <w:kern w:val="0"/>
        </w:rPr>
        <w:t>。</w:t>
      </w:r>
    </w:p>
    <w:p>
      <w:pPr>
        <w:pStyle w:val="20"/>
        <w:widowControl w:val="0"/>
        <w:numPr>
          <w:ilvl w:val="0"/>
          <w:numId w:val="1"/>
        </w:numPr>
        <w:spacing w:before="0" w:beforeAutospacing="0" w:after="0" w:afterAutospacing="0" w:line="360" w:lineRule="auto"/>
        <w:ind w:left="0" w:firstLine="422" w:firstLineChars="200"/>
        <w:jc w:val="both"/>
        <w:rPr>
          <w:rFonts w:hint="default" w:eastAsia="宋体" w:cs="宋体"/>
          <w:b/>
          <w:color w:val="auto"/>
          <w:kern w:val="2"/>
          <w:sz w:val="21"/>
          <w:szCs w:val="21"/>
          <w:lang w:bidi="ar"/>
        </w:rPr>
      </w:pPr>
      <w:r>
        <w:rPr>
          <w:rFonts w:eastAsia="宋体" w:cs="宋体"/>
          <w:b/>
          <w:color w:val="auto"/>
          <w:kern w:val="2"/>
          <w:sz w:val="21"/>
          <w:szCs w:val="21"/>
          <w:lang w:bidi="ar"/>
        </w:rPr>
        <w:t>获取（下载）采购文件</w:t>
      </w:r>
    </w:p>
    <w:p>
      <w:pPr>
        <w:spacing w:line="360" w:lineRule="auto"/>
        <w:ind w:firstLine="420" w:firstLineChars="200"/>
        <w:rPr>
          <w:rFonts w:ascii="宋体" w:hAnsi="宋体" w:eastAsia="宋体" w:cs="宋体"/>
          <w:color w:val="auto"/>
          <w:kern w:val="0"/>
          <w:sz w:val="21"/>
          <w:szCs w:val="21"/>
        </w:rPr>
      </w:pPr>
      <w:r>
        <w:rPr>
          <w:rFonts w:hint="eastAsia" w:ascii="宋体" w:hAnsi="宋体" w:eastAsia="宋体" w:cs="宋体"/>
          <w:color w:val="auto"/>
          <w:kern w:val="0"/>
          <w:sz w:val="21"/>
          <w:szCs w:val="21"/>
        </w:rPr>
        <w:t>1.时间：磋商公告发布之日起至提交磋商响应文件截止时间前</w:t>
      </w:r>
    </w:p>
    <w:p>
      <w:pPr>
        <w:spacing w:line="360" w:lineRule="auto"/>
        <w:ind w:firstLine="420" w:firstLineChars="200"/>
        <w:rPr>
          <w:rFonts w:ascii="宋体" w:hAnsi="宋体" w:eastAsia="宋体" w:cs="宋体"/>
          <w:color w:val="auto"/>
          <w:kern w:val="0"/>
          <w:sz w:val="21"/>
          <w:szCs w:val="21"/>
        </w:rPr>
      </w:pPr>
      <w:r>
        <w:rPr>
          <w:rFonts w:hint="eastAsia" w:ascii="宋体" w:hAnsi="宋体" w:eastAsia="宋体" w:cs="宋体"/>
          <w:color w:val="auto"/>
          <w:kern w:val="0"/>
          <w:sz w:val="21"/>
          <w:szCs w:val="21"/>
        </w:rPr>
        <w:t>2.地点（网址）：浙江政府采购网（http://zfcg.czt.zj.gov.cn） </w:t>
      </w:r>
    </w:p>
    <w:p>
      <w:pPr>
        <w:spacing w:line="360" w:lineRule="auto"/>
        <w:ind w:firstLine="420" w:firstLineChars="200"/>
        <w:rPr>
          <w:rFonts w:ascii="宋体" w:hAnsi="宋体" w:eastAsia="宋体" w:cs="宋体"/>
          <w:color w:val="auto"/>
          <w:kern w:val="0"/>
          <w:sz w:val="21"/>
          <w:szCs w:val="21"/>
        </w:rPr>
      </w:pPr>
      <w:r>
        <w:rPr>
          <w:rFonts w:hint="eastAsia" w:ascii="宋体" w:hAnsi="宋体" w:eastAsia="宋体" w:cs="宋体"/>
          <w:color w:val="auto"/>
          <w:kern w:val="0"/>
          <w:sz w:val="21"/>
          <w:szCs w:val="21"/>
        </w:rPr>
        <w:t>3.方式：供应商通过“浙江政府采购网”在线获取（招标公告下方选取“潜在供应商”处“获取采购文件”），不提供纸制版招标文件；供应商只有在“浙江政府采购网”完成获取招标文件申请并下载了招标文件后才视作依法获取招标文件。 </w:t>
      </w:r>
    </w:p>
    <w:p>
      <w:pPr>
        <w:spacing w:line="360" w:lineRule="auto"/>
        <w:ind w:firstLine="420" w:firstLineChars="200"/>
        <w:rPr>
          <w:rFonts w:ascii="宋体" w:hAnsi="宋体" w:eastAsia="宋体" w:cs="宋体"/>
          <w:color w:val="auto"/>
          <w:kern w:val="0"/>
          <w:sz w:val="21"/>
          <w:szCs w:val="21"/>
        </w:rPr>
      </w:pPr>
      <w:r>
        <w:rPr>
          <w:rFonts w:hint="eastAsia" w:ascii="宋体" w:hAnsi="宋体" w:eastAsia="宋体" w:cs="宋体"/>
          <w:color w:val="auto"/>
          <w:kern w:val="0"/>
          <w:sz w:val="21"/>
          <w:szCs w:val="21"/>
        </w:rPr>
        <w:t>4.售价（元）：0 </w:t>
      </w:r>
    </w:p>
    <w:p>
      <w:pPr>
        <w:pStyle w:val="20"/>
        <w:widowControl w:val="0"/>
        <w:numPr>
          <w:ilvl w:val="0"/>
          <w:numId w:val="1"/>
        </w:numPr>
        <w:spacing w:before="0" w:beforeAutospacing="0" w:after="0" w:afterAutospacing="0" w:line="360" w:lineRule="auto"/>
        <w:ind w:left="0" w:firstLine="422" w:firstLineChars="200"/>
        <w:jc w:val="both"/>
        <w:rPr>
          <w:rFonts w:hint="default" w:eastAsia="宋体" w:cs="宋体"/>
          <w:b/>
          <w:color w:val="auto"/>
          <w:kern w:val="2"/>
          <w:sz w:val="21"/>
          <w:szCs w:val="21"/>
          <w:lang w:bidi="ar"/>
        </w:rPr>
      </w:pPr>
      <w:r>
        <w:rPr>
          <w:rFonts w:eastAsia="宋体" w:cs="宋体"/>
          <w:b/>
          <w:color w:val="auto"/>
          <w:kern w:val="2"/>
          <w:sz w:val="21"/>
          <w:szCs w:val="21"/>
          <w:lang w:bidi="ar"/>
        </w:rPr>
        <w:t>提交（上线）响应文件截止时间、开标时间和地点</w:t>
      </w:r>
    </w:p>
    <w:p>
      <w:pPr>
        <w:pStyle w:val="20"/>
        <w:spacing w:before="0" w:beforeAutospacing="0" w:after="0" w:afterAutospacing="0" w:line="360" w:lineRule="auto"/>
        <w:ind w:firstLine="420" w:firstLineChars="200"/>
        <w:rPr>
          <w:rFonts w:hint="default" w:eastAsia="宋体" w:cs="宋体"/>
          <w:color w:val="auto"/>
          <w:sz w:val="21"/>
          <w:szCs w:val="21"/>
        </w:rPr>
      </w:pPr>
      <w:r>
        <w:rPr>
          <w:rFonts w:eastAsia="宋体" w:cs="宋体"/>
          <w:color w:val="auto"/>
          <w:sz w:val="21"/>
          <w:szCs w:val="21"/>
        </w:rPr>
        <w:t>1.提交磋商响应文件截止时间：2022年</w:t>
      </w:r>
      <w:r>
        <w:rPr>
          <w:rFonts w:hint="eastAsia" w:eastAsia="宋体" w:cs="宋体"/>
          <w:color w:val="auto"/>
          <w:sz w:val="21"/>
          <w:szCs w:val="21"/>
          <w:lang w:val="en-US" w:eastAsia="zh-CN"/>
        </w:rPr>
        <w:t>05</w:t>
      </w:r>
      <w:r>
        <w:rPr>
          <w:rFonts w:eastAsia="宋体" w:cs="宋体"/>
          <w:color w:val="auto"/>
          <w:sz w:val="21"/>
          <w:szCs w:val="21"/>
        </w:rPr>
        <w:t>月</w:t>
      </w:r>
      <w:r>
        <w:rPr>
          <w:rFonts w:hint="eastAsia" w:eastAsia="宋体" w:cs="宋体"/>
          <w:color w:val="auto"/>
          <w:sz w:val="21"/>
          <w:szCs w:val="21"/>
          <w:lang w:val="en-US" w:eastAsia="zh-CN"/>
        </w:rPr>
        <w:t>06</w:t>
      </w:r>
      <w:r>
        <w:rPr>
          <w:rFonts w:eastAsia="宋体" w:cs="宋体"/>
          <w:color w:val="auto"/>
          <w:sz w:val="21"/>
          <w:szCs w:val="21"/>
        </w:rPr>
        <w:t>日09:00（北京时间）</w:t>
      </w:r>
    </w:p>
    <w:p>
      <w:pPr>
        <w:pStyle w:val="20"/>
        <w:spacing w:before="0" w:beforeAutospacing="0" w:after="0" w:afterAutospacing="0" w:line="360" w:lineRule="auto"/>
        <w:ind w:firstLine="420" w:firstLineChars="200"/>
        <w:rPr>
          <w:rFonts w:hint="default" w:eastAsia="宋体" w:cs="宋体"/>
          <w:color w:val="auto"/>
          <w:sz w:val="21"/>
          <w:szCs w:val="21"/>
        </w:rPr>
      </w:pPr>
      <w:r>
        <w:rPr>
          <w:rFonts w:eastAsia="宋体" w:cs="宋体"/>
          <w:color w:val="auto"/>
          <w:sz w:val="21"/>
          <w:szCs w:val="21"/>
        </w:rPr>
        <w:t>2.磋商地点（网址）：</w:t>
      </w:r>
    </w:p>
    <w:p>
      <w:pPr>
        <w:pStyle w:val="20"/>
        <w:spacing w:before="0" w:beforeAutospacing="0" w:after="0" w:afterAutospacing="0" w:line="360" w:lineRule="auto"/>
        <w:ind w:firstLine="420" w:firstLineChars="200"/>
        <w:rPr>
          <w:rFonts w:hint="default" w:eastAsia="宋体" w:cs="宋体"/>
          <w:color w:val="auto"/>
          <w:sz w:val="21"/>
          <w:szCs w:val="21"/>
        </w:rPr>
      </w:pPr>
      <w:r>
        <w:rPr>
          <w:rFonts w:hint="eastAsia" w:ascii="宋体" w:hAnsi="宋体" w:cs="宋体"/>
          <w:color w:val="auto"/>
          <w:sz w:val="21"/>
          <w:szCs w:val="21"/>
          <w:highlight w:val="none"/>
        </w:rPr>
        <w:t>（1）</w:t>
      </w:r>
      <w:r>
        <w:rPr>
          <w:rFonts w:hint="eastAsia" w:cs="Arial"/>
          <w:color w:val="auto"/>
          <w:sz w:val="21"/>
          <w:szCs w:val="21"/>
          <w:highlight w:val="none"/>
        </w:rPr>
        <w:t>电子加密标书：在“政府采购云平台”上传提交。“电子加密标书”成功上传提交后，投标人自行打印投标文件接收回执。</w:t>
      </w:r>
      <w:r>
        <w:rPr>
          <w:rFonts w:hint="eastAsia" w:ascii="宋体" w:hAnsi="宋体" w:cs="宋体"/>
          <w:color w:val="auto"/>
          <w:sz w:val="21"/>
          <w:szCs w:val="21"/>
          <w:highlight w:val="none"/>
        </w:rPr>
        <w:t>（2）</w:t>
      </w:r>
      <w:r>
        <w:rPr>
          <w:rFonts w:hint="eastAsia" w:cs="Arial"/>
          <w:color w:val="auto"/>
          <w:sz w:val="21"/>
          <w:szCs w:val="21"/>
          <w:highlight w:val="none"/>
        </w:rPr>
        <w:t>电子备份标书：投标人自行确定是否提交。若提交请在提交投标文件截止时间前将电子备份标书打包压缩加密（未加密造成泄密的由投标人自行承担）后以电子邮件的形式发送至</w:t>
      </w:r>
      <w:r>
        <w:rPr>
          <w:rFonts w:eastAsia="宋体" w:cs="宋体"/>
          <w:color w:val="auto"/>
          <w:sz w:val="21"/>
          <w:szCs w:val="21"/>
        </w:rPr>
        <w:t>3050868501@qq.co</w:t>
      </w:r>
      <w:r>
        <w:rPr>
          <w:rFonts w:hint="eastAsia" w:cs="Arial"/>
          <w:color w:val="auto"/>
          <w:sz w:val="21"/>
          <w:szCs w:val="21"/>
          <w:highlight w:val="none"/>
        </w:rPr>
        <w:t>m。电子备份标书在“电子加密标书”发生解密异常时使用，否则不予启用。</w:t>
      </w:r>
    </w:p>
    <w:p>
      <w:pPr>
        <w:pStyle w:val="20"/>
        <w:spacing w:before="0" w:beforeAutospacing="0" w:after="0" w:afterAutospacing="0" w:line="360" w:lineRule="auto"/>
        <w:ind w:firstLine="420" w:firstLineChars="200"/>
        <w:rPr>
          <w:rFonts w:hint="default" w:eastAsia="宋体" w:cs="宋体"/>
          <w:color w:val="auto"/>
          <w:sz w:val="21"/>
          <w:szCs w:val="21"/>
        </w:rPr>
      </w:pPr>
      <w:r>
        <w:rPr>
          <w:rFonts w:eastAsia="宋体" w:cs="宋体"/>
          <w:color w:val="auto"/>
          <w:sz w:val="21"/>
          <w:szCs w:val="21"/>
        </w:rPr>
        <w:t>3.开标时间：2022年</w:t>
      </w:r>
      <w:r>
        <w:rPr>
          <w:rFonts w:hint="eastAsia" w:eastAsia="宋体" w:cs="宋体"/>
          <w:color w:val="auto"/>
          <w:sz w:val="21"/>
          <w:szCs w:val="21"/>
          <w:lang w:val="en-US" w:eastAsia="zh-CN"/>
        </w:rPr>
        <w:t>05</w:t>
      </w:r>
      <w:r>
        <w:rPr>
          <w:rFonts w:eastAsia="宋体" w:cs="宋体"/>
          <w:color w:val="auto"/>
          <w:sz w:val="21"/>
          <w:szCs w:val="21"/>
        </w:rPr>
        <w:t>月</w:t>
      </w:r>
      <w:r>
        <w:rPr>
          <w:rFonts w:hint="eastAsia" w:eastAsia="宋体" w:cs="宋体"/>
          <w:color w:val="auto"/>
          <w:sz w:val="21"/>
          <w:szCs w:val="21"/>
          <w:lang w:val="en-US" w:eastAsia="zh-CN"/>
        </w:rPr>
        <w:t>06</w:t>
      </w:r>
      <w:r>
        <w:rPr>
          <w:rFonts w:eastAsia="宋体" w:cs="宋体"/>
          <w:color w:val="auto"/>
          <w:sz w:val="21"/>
          <w:szCs w:val="21"/>
        </w:rPr>
        <w:t>日 09:00</w:t>
      </w:r>
    </w:p>
    <w:p>
      <w:pPr>
        <w:pStyle w:val="20"/>
        <w:spacing w:before="0" w:beforeAutospacing="0" w:after="0" w:afterAutospacing="0" w:line="360" w:lineRule="auto"/>
        <w:ind w:firstLine="420" w:firstLineChars="200"/>
        <w:rPr>
          <w:rFonts w:hint="default" w:eastAsia="宋体" w:cs="宋体"/>
          <w:color w:val="auto"/>
          <w:sz w:val="21"/>
          <w:szCs w:val="21"/>
        </w:rPr>
      </w:pPr>
      <w:r>
        <w:rPr>
          <w:rFonts w:eastAsia="宋体" w:cs="宋体"/>
          <w:color w:val="auto"/>
          <w:sz w:val="21"/>
          <w:szCs w:val="21"/>
        </w:rPr>
        <w:t>4.地点（网址）：在政府采购云平台（https://www.zcygov.cn）上开启响应文件,同时邀请供应商在线参加开标。</w:t>
      </w:r>
    </w:p>
    <w:p>
      <w:pPr>
        <w:pStyle w:val="20"/>
        <w:widowControl w:val="0"/>
        <w:numPr>
          <w:ilvl w:val="0"/>
          <w:numId w:val="1"/>
        </w:numPr>
        <w:spacing w:before="0" w:beforeAutospacing="0" w:after="0" w:afterAutospacing="0" w:line="360" w:lineRule="auto"/>
        <w:ind w:left="0" w:firstLine="422" w:firstLineChars="200"/>
        <w:jc w:val="both"/>
        <w:rPr>
          <w:rFonts w:hint="default" w:eastAsia="宋体" w:cs="宋体"/>
          <w:b/>
          <w:color w:val="auto"/>
          <w:kern w:val="2"/>
          <w:sz w:val="21"/>
          <w:szCs w:val="21"/>
          <w:lang w:bidi="ar"/>
        </w:rPr>
      </w:pPr>
      <w:r>
        <w:rPr>
          <w:rFonts w:eastAsia="宋体" w:cs="宋体"/>
          <w:b/>
          <w:color w:val="auto"/>
          <w:kern w:val="2"/>
          <w:sz w:val="21"/>
          <w:szCs w:val="21"/>
          <w:lang w:bidi="ar"/>
        </w:rPr>
        <w:t>公告期限</w:t>
      </w:r>
    </w:p>
    <w:p>
      <w:pPr>
        <w:pStyle w:val="20"/>
        <w:spacing w:before="0" w:beforeAutospacing="0" w:after="0" w:afterAutospacing="0" w:line="360" w:lineRule="auto"/>
        <w:ind w:firstLine="420" w:firstLineChars="200"/>
        <w:rPr>
          <w:rFonts w:hint="default" w:eastAsia="宋体" w:cs="宋体"/>
          <w:color w:val="auto"/>
          <w:sz w:val="21"/>
          <w:szCs w:val="21"/>
        </w:rPr>
      </w:pPr>
      <w:r>
        <w:rPr>
          <w:rFonts w:eastAsia="宋体" w:cs="宋体"/>
          <w:color w:val="auto"/>
          <w:sz w:val="21"/>
          <w:szCs w:val="21"/>
        </w:rPr>
        <w:t>自本公告发布之日起3个工作日。</w:t>
      </w:r>
    </w:p>
    <w:p>
      <w:pPr>
        <w:pStyle w:val="20"/>
        <w:widowControl w:val="0"/>
        <w:numPr>
          <w:ilvl w:val="0"/>
          <w:numId w:val="1"/>
        </w:numPr>
        <w:spacing w:before="0" w:beforeAutospacing="0" w:after="0" w:afterAutospacing="0" w:line="360" w:lineRule="auto"/>
        <w:ind w:left="0" w:firstLine="422" w:firstLineChars="200"/>
        <w:jc w:val="both"/>
        <w:rPr>
          <w:rFonts w:hint="default" w:eastAsia="宋体" w:cs="宋体"/>
          <w:color w:val="auto"/>
          <w:sz w:val="21"/>
          <w:szCs w:val="21"/>
        </w:rPr>
      </w:pPr>
      <w:r>
        <w:rPr>
          <w:rFonts w:eastAsia="宋体" w:cs="宋体"/>
          <w:b/>
          <w:color w:val="auto"/>
          <w:kern w:val="2"/>
          <w:sz w:val="21"/>
          <w:szCs w:val="21"/>
          <w:lang w:bidi="ar"/>
        </w:rPr>
        <w:t>其他补充事宜</w:t>
      </w:r>
    </w:p>
    <w:bookmarkEnd w:id="26"/>
    <w:p>
      <w:pPr>
        <w:keepNext w:val="0"/>
        <w:keepLines w:val="0"/>
        <w:pageBreakBefore w:val="0"/>
        <w:kinsoku/>
        <w:wordWrap/>
        <w:overflowPunct/>
        <w:topLinePunct w:val="0"/>
        <w:bidi w:val="0"/>
        <w:snapToGrid w:val="0"/>
        <w:spacing w:line="380" w:lineRule="exact"/>
        <w:ind w:firstLine="630" w:firstLineChars="300"/>
        <w:textAlignment w:val="auto"/>
        <w:rPr>
          <w:rFonts w:hint="eastAsia" w:cs="Arial"/>
          <w:color w:val="auto"/>
          <w:sz w:val="21"/>
          <w:szCs w:val="21"/>
          <w:highlight w:val="none"/>
        </w:rPr>
      </w:pPr>
      <w:bookmarkStart w:id="27" w:name="_Toc306901436"/>
      <w:bookmarkStart w:id="28" w:name="_Toc173810692"/>
      <w:r>
        <w:rPr>
          <w:rFonts w:hint="eastAsia" w:cs="Arial"/>
          <w:color w:val="auto"/>
          <w:sz w:val="21"/>
          <w:szCs w:val="21"/>
          <w:highlight w:val="none"/>
        </w:rPr>
        <w:t>1</w:t>
      </w:r>
      <w:r>
        <w:rPr>
          <w:rFonts w:hint="eastAsia" w:cs="Arial"/>
          <w:color w:val="auto"/>
          <w:sz w:val="21"/>
          <w:szCs w:val="21"/>
          <w:highlight w:val="none"/>
          <w:lang w:eastAsia="zh-CN"/>
        </w:rPr>
        <w:t>、</w:t>
      </w:r>
      <w:r>
        <w:rPr>
          <w:rFonts w:hint="eastAsia" w:cs="Arial"/>
          <w:color w:val="auto"/>
          <w:sz w:val="21"/>
          <w:szCs w:val="21"/>
          <w:highlight w:val="none"/>
        </w:rPr>
        <w:t>《浙江省财政厅关于进一步发挥政府采购政策功能全力推动经济稳进提质的通知》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keepNext w:val="0"/>
        <w:keepLines w:val="0"/>
        <w:pageBreakBefore w:val="0"/>
        <w:kinsoku/>
        <w:wordWrap/>
        <w:overflowPunct/>
        <w:topLinePunct w:val="0"/>
        <w:bidi w:val="0"/>
        <w:snapToGrid w:val="0"/>
        <w:spacing w:line="380" w:lineRule="exact"/>
        <w:ind w:firstLine="420" w:firstLineChars="200"/>
        <w:textAlignment w:val="auto"/>
        <w:rPr>
          <w:rFonts w:hint="eastAsia" w:cs="Arial"/>
          <w:color w:val="auto"/>
          <w:sz w:val="21"/>
          <w:szCs w:val="21"/>
          <w:highlight w:val="none"/>
        </w:rPr>
      </w:pPr>
      <w:r>
        <w:rPr>
          <w:rFonts w:hint="eastAsia" w:cs="Arial"/>
          <w:color w:val="auto"/>
          <w:sz w:val="21"/>
          <w:szCs w:val="21"/>
          <w:highlight w:val="none"/>
        </w:rPr>
        <w:t xml:space="preserve"> 2</w:t>
      </w:r>
      <w:r>
        <w:rPr>
          <w:rFonts w:hint="eastAsia" w:cs="Arial"/>
          <w:color w:val="auto"/>
          <w:sz w:val="21"/>
          <w:szCs w:val="21"/>
          <w:highlight w:val="none"/>
          <w:lang w:eastAsia="zh-CN"/>
        </w:rPr>
        <w:t>、</w:t>
      </w:r>
      <w:r>
        <w:rPr>
          <w:rFonts w:hint="eastAsia" w:cs="Arial"/>
          <w:color w:val="auto"/>
          <w:sz w:val="21"/>
          <w:szCs w:val="21"/>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keepNext w:val="0"/>
        <w:keepLines w:val="0"/>
        <w:pageBreakBefore w:val="0"/>
        <w:kinsoku/>
        <w:wordWrap/>
        <w:overflowPunct/>
        <w:topLinePunct w:val="0"/>
        <w:bidi w:val="0"/>
        <w:snapToGrid w:val="0"/>
        <w:spacing w:line="380" w:lineRule="exact"/>
        <w:ind w:firstLine="420" w:firstLineChars="200"/>
        <w:textAlignment w:val="auto"/>
        <w:rPr>
          <w:rFonts w:hint="eastAsia" w:cs="Arial"/>
          <w:color w:val="auto"/>
          <w:sz w:val="21"/>
          <w:szCs w:val="21"/>
          <w:highlight w:val="none"/>
        </w:rPr>
      </w:pPr>
      <w:r>
        <w:rPr>
          <w:rFonts w:hint="eastAsia" w:cs="Arial"/>
          <w:color w:val="auto"/>
          <w:sz w:val="21"/>
          <w:szCs w:val="21"/>
          <w:highlight w:val="none"/>
          <w:lang w:val="en-US" w:eastAsia="zh-CN"/>
        </w:rPr>
        <w:t>3、</w:t>
      </w:r>
      <w:r>
        <w:rPr>
          <w:rFonts w:hint="eastAsia" w:cs="Arial"/>
          <w:color w:val="auto"/>
          <w:sz w:val="21"/>
          <w:szCs w:val="21"/>
          <w:highlight w:val="none"/>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keepNext w:val="0"/>
        <w:keepLines w:val="0"/>
        <w:pageBreakBefore w:val="0"/>
        <w:kinsoku/>
        <w:wordWrap/>
        <w:overflowPunct/>
        <w:topLinePunct w:val="0"/>
        <w:bidi w:val="0"/>
        <w:snapToGrid w:val="0"/>
        <w:spacing w:line="380" w:lineRule="exact"/>
        <w:ind w:firstLine="420" w:firstLineChars="200"/>
        <w:textAlignment w:val="auto"/>
        <w:rPr>
          <w:rFonts w:hint="eastAsia" w:ascii="Times New Roman" w:hAnsi="Times New Roman" w:eastAsia="宋体" w:cs="Arial"/>
          <w:color w:val="auto"/>
          <w:sz w:val="21"/>
          <w:szCs w:val="21"/>
          <w:highlight w:val="none"/>
        </w:rPr>
      </w:pPr>
      <w:r>
        <w:rPr>
          <w:rFonts w:hint="eastAsia" w:ascii="Times New Roman" w:hAnsi="Times New Roman" w:eastAsia="宋体" w:cs="Arial"/>
          <w:color w:val="auto"/>
          <w:sz w:val="21"/>
          <w:szCs w:val="21"/>
          <w:highlight w:val="none"/>
          <w:lang w:val="en-US" w:eastAsia="zh-CN"/>
        </w:rPr>
        <w:t>4、</w:t>
      </w:r>
      <w:r>
        <w:rPr>
          <w:rFonts w:hint="eastAsia" w:ascii="Times New Roman" w:hAnsi="Times New Roman" w:eastAsia="宋体" w:cs="Arial"/>
          <w:color w:val="auto"/>
          <w:sz w:val="21"/>
          <w:szCs w:val="21"/>
          <w:highlight w:val="none"/>
        </w:rPr>
        <w:t>标前准备：各磋商供应商应及时完成CA数字证书办理，拿到CA后在政采云平台进行绑定。因未办理CA数字证书等原因造成无法投标或投标失败等后果由磋商供应商自行承担。</w:t>
      </w:r>
    </w:p>
    <w:p>
      <w:pPr>
        <w:keepNext w:val="0"/>
        <w:keepLines w:val="0"/>
        <w:pageBreakBefore w:val="0"/>
        <w:kinsoku/>
        <w:wordWrap/>
        <w:overflowPunct/>
        <w:topLinePunct w:val="0"/>
        <w:bidi w:val="0"/>
        <w:snapToGrid w:val="0"/>
        <w:spacing w:line="380" w:lineRule="exact"/>
        <w:ind w:firstLine="420" w:firstLineChars="200"/>
        <w:textAlignment w:val="auto"/>
        <w:rPr>
          <w:rFonts w:hint="eastAsia" w:cs="Arial"/>
          <w:b/>
          <w:color w:val="auto"/>
          <w:sz w:val="21"/>
          <w:szCs w:val="21"/>
          <w:highlight w:val="none"/>
        </w:rPr>
      </w:pPr>
      <w:r>
        <w:rPr>
          <w:rFonts w:hint="eastAsia" w:cs="Arial"/>
          <w:b/>
          <w:color w:val="auto"/>
          <w:sz w:val="21"/>
          <w:szCs w:val="21"/>
          <w:highlight w:val="none"/>
          <w:lang w:val="en-US" w:eastAsia="zh-CN"/>
        </w:rPr>
        <w:t>5</w:t>
      </w:r>
      <w:r>
        <w:rPr>
          <w:rFonts w:hint="eastAsia" w:cs="Arial"/>
          <w:b/>
          <w:color w:val="auto"/>
          <w:sz w:val="21"/>
          <w:szCs w:val="21"/>
          <w:highlight w:val="none"/>
        </w:rPr>
        <w:t>、其他事项：</w:t>
      </w:r>
    </w:p>
    <w:p>
      <w:pPr>
        <w:keepNext w:val="0"/>
        <w:keepLines w:val="0"/>
        <w:pageBreakBefore w:val="0"/>
        <w:kinsoku/>
        <w:wordWrap/>
        <w:overflowPunct/>
        <w:topLinePunct w:val="0"/>
        <w:bidi w:val="0"/>
        <w:snapToGrid w:val="0"/>
        <w:spacing w:line="380" w:lineRule="exact"/>
        <w:ind w:firstLine="210" w:firstLineChars="100"/>
        <w:textAlignment w:val="auto"/>
        <w:rPr>
          <w:rFonts w:hint="eastAsia" w:cs="Arial"/>
          <w:color w:val="auto"/>
          <w:sz w:val="21"/>
          <w:szCs w:val="21"/>
          <w:highlight w:val="none"/>
        </w:rPr>
      </w:pPr>
      <w:r>
        <w:rPr>
          <w:rFonts w:hint="eastAsia" w:cs="Arial"/>
          <w:color w:val="auto"/>
          <w:sz w:val="21"/>
          <w:szCs w:val="21"/>
          <w:highlight w:val="none"/>
        </w:rPr>
        <w:t>（1）本项目实行电子招投标，供应商应按照本项目磋商文件和政采云平台的相关要求编制、加密并提交投标文件。供应商如在使用电子投标系统的过程中遇到涉及平台系统使用问题，可致电政采云平台技术支持热线咨询，联系电话：</w:t>
      </w:r>
      <w:r>
        <w:rPr>
          <w:rFonts w:cs="Arial"/>
          <w:color w:val="auto"/>
          <w:sz w:val="21"/>
          <w:szCs w:val="21"/>
          <w:highlight w:val="none"/>
        </w:rPr>
        <w:t>400-881-7190 。</w:t>
      </w:r>
    </w:p>
    <w:p>
      <w:pPr>
        <w:keepNext w:val="0"/>
        <w:keepLines w:val="0"/>
        <w:pageBreakBefore w:val="0"/>
        <w:kinsoku/>
        <w:wordWrap/>
        <w:overflowPunct/>
        <w:topLinePunct w:val="0"/>
        <w:bidi w:val="0"/>
        <w:snapToGrid w:val="0"/>
        <w:spacing w:line="380" w:lineRule="exact"/>
        <w:ind w:firstLine="210" w:firstLineChars="100"/>
        <w:textAlignment w:val="auto"/>
        <w:rPr>
          <w:rFonts w:hint="eastAsia" w:cs="Arial"/>
          <w:color w:val="auto"/>
          <w:sz w:val="21"/>
          <w:szCs w:val="21"/>
          <w:highlight w:val="none"/>
        </w:rPr>
      </w:pPr>
      <w:r>
        <w:rPr>
          <w:rFonts w:hint="eastAsia" w:cs="Arial"/>
          <w:color w:val="auto"/>
          <w:sz w:val="21"/>
          <w:szCs w:val="21"/>
          <w:highlight w:val="none"/>
        </w:rPr>
        <w:t>（2）为确保投标的合法、有效和安全，供应商应当在投标截止时间前完成电子交易所需的</w:t>
      </w:r>
      <w:r>
        <w:rPr>
          <w:rFonts w:cs="Arial"/>
          <w:color w:val="auto"/>
          <w:sz w:val="21"/>
          <w:szCs w:val="21"/>
          <w:highlight w:val="none"/>
        </w:rPr>
        <w:t>CA数字证书办理（制作电子投标文件时需使用</w:t>
      </w:r>
      <w:r>
        <w:rPr>
          <w:rFonts w:hint="eastAsia" w:cs="Arial"/>
          <w:color w:val="auto"/>
          <w:sz w:val="21"/>
          <w:szCs w:val="21"/>
          <w:highlight w:val="none"/>
        </w:rPr>
        <w:t>CA数字证书，具体</w:t>
      </w:r>
      <w:r>
        <w:rPr>
          <w:rFonts w:cs="Arial"/>
          <w:color w:val="auto"/>
          <w:sz w:val="21"/>
          <w:szCs w:val="21"/>
          <w:highlight w:val="none"/>
        </w:rPr>
        <w:t>办理流程详见“浙江政府采购网”的“下载专区-电子交易客户端-CA驱动和申领流程”</w:t>
      </w:r>
      <w:r>
        <w:rPr>
          <w:rFonts w:hint="eastAsia" w:cs="Arial"/>
          <w:color w:val="auto"/>
          <w:sz w:val="21"/>
          <w:szCs w:val="21"/>
          <w:highlight w:val="none"/>
        </w:rPr>
        <w:t>，</w:t>
      </w:r>
      <w:r>
        <w:rPr>
          <w:rFonts w:hint="eastAsia"/>
          <w:color w:val="auto"/>
          <w:sz w:val="21"/>
          <w:szCs w:val="21"/>
          <w:highlight w:val="none"/>
        </w:rPr>
        <w:t xml:space="preserve"> </w:t>
      </w:r>
      <w:r>
        <w:rPr>
          <w:rFonts w:hint="eastAsia" w:cs="Arial"/>
          <w:color w:val="auto"/>
          <w:sz w:val="21"/>
          <w:szCs w:val="21"/>
          <w:highlight w:val="none"/>
        </w:rPr>
        <w:t>因未办理</w:t>
      </w:r>
      <w:r>
        <w:rPr>
          <w:rFonts w:cs="Arial"/>
          <w:color w:val="auto"/>
          <w:sz w:val="21"/>
          <w:szCs w:val="21"/>
          <w:highlight w:val="none"/>
        </w:rPr>
        <w:t>CA数字证书等原因造成无法投标或投标失败等后果由供应商自行承担）。</w:t>
      </w:r>
      <w:r>
        <w:rPr>
          <w:rFonts w:cs="Arial"/>
          <w:b/>
          <w:color w:val="auto"/>
          <w:sz w:val="21"/>
          <w:szCs w:val="21"/>
          <w:highlight w:val="none"/>
        </w:rPr>
        <w:t>完成</w:t>
      </w:r>
      <w:r>
        <w:rPr>
          <w:rFonts w:hint="eastAsia" w:cs="Arial"/>
          <w:b/>
          <w:color w:val="auto"/>
          <w:sz w:val="21"/>
          <w:szCs w:val="21"/>
          <w:highlight w:val="none"/>
        </w:rPr>
        <w:t>CA数字证书办理时间预计需一周左右，建议各供应商抓紧办理。</w:t>
      </w:r>
    </w:p>
    <w:p>
      <w:pPr>
        <w:keepNext w:val="0"/>
        <w:keepLines w:val="0"/>
        <w:pageBreakBefore w:val="0"/>
        <w:kinsoku/>
        <w:wordWrap/>
        <w:overflowPunct/>
        <w:topLinePunct w:val="0"/>
        <w:bidi w:val="0"/>
        <w:snapToGrid w:val="0"/>
        <w:spacing w:line="380" w:lineRule="exact"/>
        <w:ind w:firstLine="210" w:firstLineChars="100"/>
        <w:textAlignment w:val="auto"/>
        <w:rPr>
          <w:rFonts w:cs="Arial"/>
          <w:color w:val="auto"/>
          <w:sz w:val="21"/>
          <w:szCs w:val="21"/>
          <w:highlight w:val="none"/>
        </w:rPr>
      </w:pPr>
      <w:r>
        <w:rPr>
          <w:rFonts w:hint="eastAsia" w:cs="Arial"/>
          <w:color w:val="auto"/>
          <w:sz w:val="21"/>
          <w:szCs w:val="21"/>
          <w:highlight w:val="none"/>
        </w:rPr>
        <w:t>（3）供应商须通过政采云平台的政采云电子交易客户端制作投标文件，政采云电子交易客户端请供应商自行前往浙江政府采购网下载并安装（客户端下载地址：“浙江政府采购网”的“下载专区</w:t>
      </w:r>
      <w:r>
        <w:rPr>
          <w:rFonts w:cs="Arial"/>
          <w:color w:val="auto"/>
          <w:sz w:val="21"/>
          <w:szCs w:val="21"/>
          <w:highlight w:val="none"/>
        </w:rPr>
        <w:t>-电子交易客户端-政采云电子交易客户端”，电子投标相关操作详见https://service.zcygov.cn/#/help/superior）。</w:t>
      </w:r>
    </w:p>
    <w:p>
      <w:pPr>
        <w:keepNext w:val="0"/>
        <w:keepLines w:val="0"/>
        <w:pageBreakBefore w:val="0"/>
        <w:kinsoku/>
        <w:wordWrap/>
        <w:overflowPunct/>
        <w:topLinePunct w:val="0"/>
        <w:bidi w:val="0"/>
        <w:snapToGrid w:val="0"/>
        <w:spacing w:line="380" w:lineRule="exact"/>
        <w:ind w:firstLine="210" w:firstLineChars="100"/>
        <w:textAlignment w:val="auto"/>
        <w:rPr>
          <w:rFonts w:hint="eastAsia" w:cs="Arial"/>
          <w:color w:val="auto"/>
          <w:sz w:val="21"/>
          <w:szCs w:val="21"/>
          <w:highlight w:val="none"/>
        </w:rPr>
      </w:pPr>
      <w:r>
        <w:rPr>
          <w:rFonts w:hint="eastAsia" w:cs="Arial"/>
          <w:color w:val="auto"/>
          <w:sz w:val="21"/>
          <w:szCs w:val="21"/>
          <w:highlight w:val="none"/>
        </w:rPr>
        <w:t>（4）</w:t>
      </w:r>
      <w:r>
        <w:rPr>
          <w:rFonts w:hint="eastAsia"/>
          <w:bCs/>
          <w:color w:val="auto"/>
          <w:kern w:val="0"/>
          <w:sz w:val="21"/>
          <w:szCs w:val="21"/>
          <w:highlight w:val="none"/>
        </w:rPr>
        <w:t>中标结果公告发出后，采购监管部门如发现供应商出现投标硬件异常的，若查证后存在违法事实的，将取消该供应商的中标资格，剩余供应商达3家及以上的，由采购人决定是否按中标顺位替补；不足3家的，该项目作废标处理。</w:t>
      </w:r>
    </w:p>
    <w:p>
      <w:pPr>
        <w:keepNext w:val="0"/>
        <w:keepLines w:val="0"/>
        <w:pageBreakBefore w:val="0"/>
        <w:kinsoku/>
        <w:wordWrap/>
        <w:overflowPunct/>
        <w:topLinePunct w:val="0"/>
        <w:bidi w:val="0"/>
        <w:spacing w:line="380" w:lineRule="exact"/>
        <w:ind w:firstLine="210" w:firstLineChars="100"/>
        <w:textAlignment w:val="auto"/>
        <w:rPr>
          <w:rFonts w:hint="eastAsia" w:cs="Arial"/>
          <w:bCs/>
          <w:color w:val="auto"/>
          <w:sz w:val="21"/>
          <w:szCs w:val="21"/>
          <w:highlight w:val="none"/>
        </w:rPr>
      </w:pPr>
      <w:r>
        <w:rPr>
          <w:rFonts w:hint="eastAsia" w:cs="Arial"/>
          <w:color w:val="auto"/>
          <w:sz w:val="21"/>
          <w:szCs w:val="21"/>
          <w:highlight w:val="none"/>
        </w:rPr>
        <w:t>（5）</w:t>
      </w:r>
      <w:r>
        <w:rPr>
          <w:rFonts w:hint="eastAsia" w:cs="Arial"/>
          <w:bCs/>
          <w:color w:val="auto"/>
          <w:sz w:val="21"/>
          <w:szCs w:val="21"/>
          <w:highlight w:val="none"/>
        </w:rPr>
        <w:t>项目政府采购政策：①《政府采购促进中小企业发展管理办法》、《关于促进残疾人就业政府采购政策的通知》（财库〔2017〕141号）、《关于政府采购支持监狱企业发展有关问题的通知》。②政府采购金融服务：鼓励供应商开展政采贷、履约保函等政府采购金融服务，供应商以银行、保险公司出具保函形式提交履约保证金的，采购单位不得拒收。</w:t>
      </w:r>
    </w:p>
    <w:p>
      <w:pPr>
        <w:keepNext w:val="0"/>
        <w:keepLines w:val="0"/>
        <w:pageBreakBefore w:val="0"/>
        <w:kinsoku/>
        <w:wordWrap/>
        <w:overflowPunct/>
        <w:topLinePunct w:val="0"/>
        <w:bidi w:val="0"/>
        <w:snapToGrid w:val="0"/>
        <w:spacing w:line="380" w:lineRule="exact"/>
        <w:ind w:firstLine="210" w:firstLineChars="100"/>
        <w:textAlignment w:val="auto"/>
        <w:rPr>
          <w:rFonts w:hint="eastAsia" w:cs="Arial"/>
          <w:color w:val="auto"/>
          <w:sz w:val="21"/>
          <w:szCs w:val="21"/>
          <w:highlight w:val="none"/>
        </w:rPr>
      </w:pPr>
      <w:r>
        <w:rPr>
          <w:rFonts w:hint="eastAsia" w:cs="Arial"/>
          <w:bCs/>
          <w:color w:val="auto"/>
          <w:sz w:val="21"/>
          <w:szCs w:val="21"/>
          <w:highlight w:val="none"/>
        </w:rPr>
        <w:t>（6）本项目所有公告发布网站：“浙江政府采购网”（</w:t>
      </w:r>
      <w:r>
        <w:rPr>
          <w:rFonts w:cs="Arial"/>
          <w:bCs/>
          <w:color w:val="auto"/>
          <w:sz w:val="21"/>
          <w:szCs w:val="21"/>
          <w:highlight w:val="none"/>
        </w:rPr>
        <w:t>https://zfcg.czt.zj.gov.cn</w:t>
      </w:r>
      <w:r>
        <w:rPr>
          <w:rFonts w:hint="eastAsia" w:cs="Arial"/>
          <w:bCs/>
          <w:color w:val="auto"/>
          <w:sz w:val="21"/>
          <w:szCs w:val="21"/>
          <w:highlight w:val="none"/>
        </w:rPr>
        <w:t>）和“仙居县公共资源交易</w:t>
      </w:r>
      <w:r>
        <w:rPr>
          <w:rFonts w:hint="eastAsia" w:cs="Arial"/>
          <w:bCs/>
          <w:color w:val="auto"/>
          <w:sz w:val="21"/>
          <w:szCs w:val="21"/>
          <w:highlight w:val="none"/>
          <w:lang w:eastAsia="zh-CN"/>
        </w:rPr>
        <w:t>网</w:t>
      </w:r>
      <w:r>
        <w:rPr>
          <w:rFonts w:hint="eastAsia" w:cs="Arial"/>
          <w:bCs/>
          <w:color w:val="auto"/>
          <w:sz w:val="21"/>
          <w:szCs w:val="21"/>
          <w:highlight w:val="none"/>
        </w:rPr>
        <w:t>”（</w:t>
      </w:r>
      <w:r>
        <w:rPr>
          <w:rFonts w:cs="Arial"/>
          <w:bCs/>
          <w:color w:val="auto"/>
          <w:sz w:val="21"/>
          <w:szCs w:val="21"/>
          <w:highlight w:val="none"/>
        </w:rPr>
        <w:t>http://www.zjxj.</w:t>
      </w:r>
      <w:r>
        <w:rPr>
          <w:rFonts w:cs="Arial"/>
          <w:color w:val="auto"/>
          <w:sz w:val="21"/>
          <w:szCs w:val="21"/>
          <w:highlight w:val="none"/>
        </w:rPr>
        <w:t>gov.cn/col/col1229347417/index.html</w:t>
      </w:r>
      <w:r>
        <w:rPr>
          <w:rFonts w:hint="eastAsia" w:cs="Arial"/>
          <w:color w:val="auto"/>
          <w:sz w:val="21"/>
          <w:szCs w:val="21"/>
          <w:highlight w:val="none"/>
        </w:rPr>
        <w:t>）。项目如有更正或澄清公告，请各供应商自行及时登陆上述网站查看，采购代理机构不再作出书面通知。</w:t>
      </w:r>
    </w:p>
    <w:p>
      <w:pPr>
        <w:pStyle w:val="20"/>
        <w:widowControl w:val="0"/>
        <w:numPr>
          <w:ilvl w:val="0"/>
          <w:numId w:val="1"/>
        </w:numPr>
        <w:spacing w:before="0" w:beforeAutospacing="0" w:after="0" w:afterAutospacing="0" w:line="400" w:lineRule="exact"/>
        <w:ind w:left="0" w:firstLine="422" w:firstLineChars="200"/>
        <w:jc w:val="both"/>
        <w:rPr>
          <w:rFonts w:hint="default" w:eastAsia="宋体" w:cs="宋体"/>
          <w:b/>
          <w:color w:val="auto"/>
          <w:kern w:val="2"/>
          <w:sz w:val="21"/>
          <w:szCs w:val="21"/>
          <w:lang w:bidi="ar"/>
        </w:rPr>
      </w:pPr>
      <w:r>
        <w:rPr>
          <w:rFonts w:eastAsia="宋体" w:cs="宋体"/>
          <w:b/>
          <w:color w:val="auto"/>
          <w:kern w:val="2"/>
          <w:sz w:val="21"/>
          <w:szCs w:val="21"/>
          <w:lang w:bidi="ar"/>
        </w:rPr>
        <w:t>对本次采购提出询问、质疑、投诉，请按以下方式联系</w:t>
      </w:r>
    </w:p>
    <w:p>
      <w:pPr>
        <w:pStyle w:val="20"/>
        <w:spacing w:before="0" w:beforeAutospacing="0" w:after="0" w:afterAutospacing="0" w:line="400" w:lineRule="exact"/>
        <w:ind w:firstLine="420" w:firstLineChars="200"/>
        <w:rPr>
          <w:rFonts w:hint="default" w:eastAsia="宋体" w:cs="宋体"/>
          <w:color w:val="auto"/>
          <w:sz w:val="21"/>
          <w:szCs w:val="21"/>
        </w:rPr>
      </w:pPr>
      <w:r>
        <w:rPr>
          <w:rFonts w:eastAsia="宋体" w:cs="宋体"/>
          <w:color w:val="auto"/>
          <w:sz w:val="21"/>
          <w:szCs w:val="21"/>
        </w:rPr>
        <w:t>1.采购人信息</w:t>
      </w:r>
    </w:p>
    <w:p>
      <w:pPr>
        <w:pStyle w:val="20"/>
        <w:spacing w:before="0" w:beforeAutospacing="0" w:after="0" w:afterAutospacing="0" w:line="400" w:lineRule="exact"/>
        <w:ind w:firstLine="420" w:firstLineChars="200"/>
        <w:rPr>
          <w:rFonts w:hint="default" w:eastAsia="宋体" w:cs="宋体"/>
          <w:color w:val="auto"/>
          <w:sz w:val="21"/>
          <w:szCs w:val="21"/>
        </w:rPr>
      </w:pPr>
      <w:r>
        <w:rPr>
          <w:rFonts w:eastAsia="宋体" w:cs="宋体"/>
          <w:color w:val="auto"/>
          <w:sz w:val="21"/>
          <w:szCs w:val="21"/>
        </w:rPr>
        <w:t>名  称：</w:t>
      </w:r>
      <w:r>
        <w:rPr>
          <w:rFonts w:eastAsia="宋体" w:cs="宋体"/>
          <w:color w:val="auto"/>
          <w:sz w:val="21"/>
          <w:szCs w:val="21"/>
          <w:u w:val="single"/>
        </w:rPr>
        <w:t> 仙居县人民医院 </w:t>
      </w:r>
    </w:p>
    <w:p>
      <w:pPr>
        <w:pStyle w:val="20"/>
        <w:spacing w:before="0" w:beforeAutospacing="0" w:after="0" w:afterAutospacing="0" w:line="400" w:lineRule="exact"/>
        <w:ind w:firstLine="420" w:firstLineChars="200"/>
        <w:rPr>
          <w:rFonts w:hint="default" w:eastAsia="宋体" w:cs="宋体"/>
          <w:color w:val="auto"/>
          <w:sz w:val="21"/>
          <w:szCs w:val="21"/>
        </w:rPr>
      </w:pPr>
      <w:r>
        <w:rPr>
          <w:rFonts w:eastAsia="宋体" w:cs="宋体"/>
          <w:color w:val="auto"/>
          <w:sz w:val="21"/>
          <w:szCs w:val="21"/>
        </w:rPr>
        <w:t>地  址：</w:t>
      </w:r>
      <w:r>
        <w:rPr>
          <w:rFonts w:eastAsia="宋体" w:cs="宋体"/>
          <w:color w:val="auto"/>
          <w:sz w:val="21"/>
          <w:szCs w:val="21"/>
          <w:u w:val="single"/>
        </w:rPr>
        <w:t xml:space="preserve"> 仙居县     </w:t>
      </w:r>
    </w:p>
    <w:p>
      <w:pPr>
        <w:pStyle w:val="20"/>
        <w:spacing w:before="0" w:beforeAutospacing="0" w:after="0" w:afterAutospacing="0" w:line="400" w:lineRule="exact"/>
        <w:ind w:firstLine="440" w:firstLineChars="200"/>
        <w:rPr>
          <w:rFonts w:hint="default" w:eastAsia="宋体" w:cs="宋体"/>
          <w:color w:val="auto"/>
          <w:sz w:val="22"/>
          <w:szCs w:val="22"/>
        </w:rPr>
      </w:pPr>
      <w:r>
        <w:rPr>
          <w:rFonts w:eastAsia="宋体" w:cs="宋体"/>
          <w:color w:val="auto"/>
          <w:sz w:val="22"/>
          <w:szCs w:val="22"/>
        </w:rPr>
        <w:t>项目联系人（询问）：</w:t>
      </w:r>
      <w:r>
        <w:rPr>
          <w:rFonts w:eastAsia="宋体" w:cs="宋体"/>
          <w:color w:val="auto"/>
          <w:sz w:val="22"/>
          <w:szCs w:val="22"/>
          <w:u w:val="single"/>
        </w:rPr>
        <w:t xml:space="preserve">  </w:t>
      </w:r>
      <w:r>
        <w:rPr>
          <w:rFonts w:eastAsia="宋体" w:cs="宋体"/>
          <w:color w:val="auto"/>
          <w:sz w:val="21"/>
          <w:szCs w:val="21"/>
          <w:u w:val="single"/>
        </w:rPr>
        <w:t>郭梦瑶</w:t>
      </w:r>
      <w:r>
        <w:rPr>
          <w:rFonts w:eastAsia="宋体" w:cs="宋体"/>
          <w:color w:val="auto"/>
          <w:sz w:val="22"/>
          <w:szCs w:val="22"/>
          <w:u w:val="single"/>
        </w:rPr>
        <w:t xml:space="preserve">  </w:t>
      </w:r>
    </w:p>
    <w:p>
      <w:pPr>
        <w:pStyle w:val="20"/>
        <w:spacing w:before="0" w:beforeAutospacing="0" w:after="0" w:afterAutospacing="0" w:line="400" w:lineRule="exact"/>
        <w:ind w:firstLine="440" w:firstLineChars="200"/>
        <w:rPr>
          <w:rFonts w:hint="default" w:eastAsia="宋体" w:cs="宋体"/>
          <w:color w:val="auto"/>
          <w:sz w:val="22"/>
          <w:szCs w:val="22"/>
        </w:rPr>
      </w:pPr>
      <w:r>
        <w:rPr>
          <w:rFonts w:eastAsia="宋体" w:cs="宋体"/>
          <w:color w:val="auto"/>
          <w:sz w:val="22"/>
          <w:szCs w:val="22"/>
        </w:rPr>
        <w:t>项目联系方式（询问）：</w:t>
      </w:r>
      <w:r>
        <w:rPr>
          <w:rFonts w:eastAsia="宋体" w:cs="宋体"/>
          <w:color w:val="auto"/>
          <w:sz w:val="22"/>
          <w:szCs w:val="22"/>
          <w:u w:val="single"/>
        </w:rPr>
        <w:t xml:space="preserve">   </w:t>
      </w:r>
      <w:r>
        <w:rPr>
          <w:rFonts w:eastAsia="宋体" w:cs="宋体"/>
          <w:color w:val="auto"/>
          <w:sz w:val="21"/>
          <w:szCs w:val="21"/>
          <w:u w:val="single"/>
        </w:rPr>
        <w:t>15967072453</w:t>
      </w:r>
      <w:r>
        <w:rPr>
          <w:rFonts w:eastAsia="宋体" w:cs="宋体"/>
          <w:color w:val="auto"/>
          <w:sz w:val="22"/>
          <w:szCs w:val="22"/>
          <w:u w:val="single"/>
        </w:rPr>
        <w:t xml:space="preserve"> </w:t>
      </w:r>
    </w:p>
    <w:p>
      <w:pPr>
        <w:snapToGrid w:val="0"/>
        <w:spacing w:line="380" w:lineRule="exact"/>
        <w:ind w:firstLine="420" w:firstLineChars="200"/>
        <w:rPr>
          <w:rFonts w:ascii="宋体" w:hAnsi="宋体" w:eastAsia="宋体" w:cs="宋体"/>
          <w:color w:val="auto"/>
          <w:kern w:val="0"/>
          <w:sz w:val="21"/>
          <w:szCs w:val="21"/>
        </w:rPr>
      </w:pPr>
      <w:r>
        <w:rPr>
          <w:rFonts w:hint="eastAsia" w:ascii="宋体" w:hAnsi="宋体" w:eastAsia="宋体" w:cs="宋体"/>
          <w:color w:val="auto"/>
          <w:kern w:val="0"/>
          <w:sz w:val="21"/>
          <w:szCs w:val="21"/>
        </w:rPr>
        <w:t>质疑联系人：</w:t>
      </w:r>
      <w:r>
        <w:rPr>
          <w:rFonts w:hint="eastAsia" w:ascii="宋体" w:hAnsi="宋体" w:eastAsia="宋体" w:cs="宋体"/>
          <w:color w:val="auto"/>
          <w:kern w:val="0"/>
          <w:sz w:val="21"/>
          <w:szCs w:val="21"/>
          <w:u w:val="single"/>
        </w:rPr>
        <w:t>张朝立</w:t>
      </w:r>
    </w:p>
    <w:p>
      <w:pPr>
        <w:snapToGrid w:val="0"/>
        <w:spacing w:line="380" w:lineRule="exact"/>
        <w:ind w:firstLine="420" w:firstLineChars="200"/>
        <w:rPr>
          <w:rFonts w:ascii="宋体" w:hAnsi="宋体" w:eastAsia="宋体" w:cs="宋体"/>
          <w:color w:val="auto"/>
          <w:kern w:val="0"/>
          <w:sz w:val="21"/>
          <w:szCs w:val="21"/>
          <w:highlight w:val="yellow"/>
        </w:rPr>
      </w:pPr>
      <w:r>
        <w:rPr>
          <w:rFonts w:hint="eastAsia" w:ascii="宋体" w:hAnsi="宋体" w:eastAsia="宋体" w:cs="宋体"/>
          <w:color w:val="auto"/>
          <w:kern w:val="0"/>
          <w:sz w:val="21"/>
          <w:szCs w:val="21"/>
        </w:rPr>
        <w:t>质疑联系方式：</w:t>
      </w:r>
      <w:r>
        <w:rPr>
          <w:rFonts w:hint="eastAsia" w:ascii="宋体" w:hAnsi="宋体" w:eastAsia="宋体" w:cs="宋体"/>
          <w:color w:val="auto"/>
          <w:kern w:val="0"/>
          <w:sz w:val="21"/>
          <w:szCs w:val="21"/>
          <w:u w:val="single"/>
        </w:rPr>
        <w:t>13906553138</w:t>
      </w:r>
    </w:p>
    <w:p>
      <w:pPr>
        <w:pStyle w:val="20"/>
        <w:spacing w:before="0" w:beforeAutospacing="0" w:after="0" w:afterAutospacing="0" w:line="400" w:lineRule="exact"/>
        <w:ind w:firstLine="420" w:firstLineChars="200"/>
        <w:rPr>
          <w:rFonts w:hint="default" w:eastAsia="宋体" w:cs="宋体"/>
          <w:color w:val="auto"/>
          <w:sz w:val="21"/>
          <w:szCs w:val="21"/>
        </w:rPr>
      </w:pPr>
      <w:r>
        <w:rPr>
          <w:rFonts w:eastAsia="宋体" w:cs="宋体"/>
          <w:color w:val="auto"/>
          <w:sz w:val="21"/>
          <w:szCs w:val="21"/>
        </w:rPr>
        <w:t>2.采购代理机构信息</w:t>
      </w:r>
    </w:p>
    <w:p>
      <w:pPr>
        <w:pStyle w:val="20"/>
        <w:spacing w:before="0" w:beforeAutospacing="0" w:after="0" w:afterAutospacing="0" w:line="400" w:lineRule="exact"/>
        <w:ind w:firstLine="420" w:firstLineChars="200"/>
        <w:rPr>
          <w:rFonts w:hint="default" w:eastAsia="宋体" w:cs="宋体"/>
          <w:color w:val="auto"/>
          <w:sz w:val="21"/>
          <w:szCs w:val="21"/>
        </w:rPr>
      </w:pPr>
      <w:r>
        <w:rPr>
          <w:rFonts w:eastAsia="宋体" w:cs="宋体"/>
          <w:color w:val="auto"/>
          <w:sz w:val="21"/>
          <w:szCs w:val="21"/>
        </w:rPr>
        <w:t>名  称：</w:t>
      </w:r>
      <w:r>
        <w:rPr>
          <w:rFonts w:eastAsia="宋体" w:cs="宋体"/>
          <w:color w:val="auto"/>
          <w:sz w:val="21"/>
          <w:szCs w:val="21"/>
          <w:u w:val="single"/>
        </w:rPr>
        <w:t> 浙江广通工程咨询有限公司 </w:t>
      </w:r>
    </w:p>
    <w:p>
      <w:pPr>
        <w:pStyle w:val="20"/>
        <w:spacing w:before="0" w:beforeAutospacing="0" w:after="0" w:afterAutospacing="0" w:line="400" w:lineRule="exact"/>
        <w:ind w:firstLine="440" w:firstLineChars="200"/>
        <w:rPr>
          <w:rFonts w:hint="default" w:eastAsia="宋体" w:cs="宋体"/>
          <w:color w:val="auto"/>
          <w:sz w:val="22"/>
          <w:szCs w:val="22"/>
        </w:rPr>
      </w:pPr>
      <w:r>
        <w:rPr>
          <w:rFonts w:eastAsia="宋体" w:cs="宋体"/>
          <w:color w:val="auto"/>
          <w:sz w:val="22"/>
          <w:szCs w:val="22"/>
        </w:rPr>
        <w:t>地  址：</w:t>
      </w:r>
      <w:r>
        <w:rPr>
          <w:rFonts w:eastAsia="宋体" w:cs="宋体"/>
          <w:color w:val="auto"/>
          <w:sz w:val="22"/>
          <w:szCs w:val="22"/>
          <w:u w:val="single"/>
        </w:rPr>
        <w:t> 仙居县工业路197号四楼 </w:t>
      </w:r>
    </w:p>
    <w:p>
      <w:pPr>
        <w:pStyle w:val="20"/>
        <w:spacing w:before="0" w:beforeAutospacing="0" w:after="0" w:afterAutospacing="0" w:line="400" w:lineRule="exact"/>
        <w:ind w:firstLine="440" w:firstLineChars="200"/>
        <w:rPr>
          <w:rFonts w:hint="default" w:eastAsia="宋体" w:cs="宋体"/>
          <w:color w:val="auto"/>
          <w:sz w:val="22"/>
          <w:szCs w:val="22"/>
        </w:rPr>
      </w:pPr>
      <w:r>
        <w:rPr>
          <w:rFonts w:eastAsia="宋体" w:cs="宋体"/>
          <w:color w:val="auto"/>
          <w:sz w:val="22"/>
          <w:szCs w:val="22"/>
        </w:rPr>
        <w:t>项目联系人（询问）：</w:t>
      </w:r>
      <w:r>
        <w:rPr>
          <w:rFonts w:eastAsia="宋体" w:cs="宋体"/>
          <w:color w:val="auto"/>
          <w:sz w:val="22"/>
          <w:szCs w:val="22"/>
          <w:u w:val="single"/>
        </w:rPr>
        <w:t> 郑芳菲 </w:t>
      </w:r>
    </w:p>
    <w:p>
      <w:pPr>
        <w:pStyle w:val="20"/>
        <w:spacing w:before="0" w:beforeAutospacing="0" w:after="0" w:afterAutospacing="0" w:line="400" w:lineRule="exact"/>
        <w:ind w:firstLine="440" w:firstLineChars="200"/>
        <w:rPr>
          <w:rFonts w:hint="default" w:eastAsia="宋体" w:cs="宋体"/>
          <w:color w:val="auto"/>
          <w:sz w:val="22"/>
          <w:szCs w:val="22"/>
        </w:rPr>
      </w:pPr>
      <w:r>
        <w:rPr>
          <w:rFonts w:eastAsia="宋体" w:cs="宋体"/>
          <w:color w:val="auto"/>
          <w:sz w:val="22"/>
          <w:szCs w:val="22"/>
        </w:rPr>
        <w:t>项目联系方式（询问）：</w:t>
      </w:r>
      <w:r>
        <w:rPr>
          <w:rFonts w:eastAsia="宋体" w:cs="宋体"/>
          <w:color w:val="auto"/>
          <w:sz w:val="22"/>
          <w:szCs w:val="22"/>
          <w:u w:val="single"/>
        </w:rPr>
        <w:t> 15068634199 </w:t>
      </w:r>
    </w:p>
    <w:p>
      <w:pPr>
        <w:pStyle w:val="20"/>
        <w:spacing w:before="0" w:beforeAutospacing="0" w:after="0" w:afterAutospacing="0" w:line="400" w:lineRule="exact"/>
        <w:ind w:firstLine="440" w:firstLineChars="200"/>
        <w:rPr>
          <w:rFonts w:hint="default" w:eastAsia="宋体" w:cs="宋体"/>
          <w:color w:val="auto"/>
          <w:sz w:val="22"/>
          <w:szCs w:val="22"/>
        </w:rPr>
      </w:pPr>
      <w:r>
        <w:rPr>
          <w:rFonts w:eastAsia="宋体" w:cs="宋体"/>
          <w:color w:val="auto"/>
          <w:sz w:val="22"/>
          <w:szCs w:val="22"/>
        </w:rPr>
        <w:t>质疑联系人：</w:t>
      </w:r>
      <w:r>
        <w:rPr>
          <w:rFonts w:eastAsia="宋体" w:cs="宋体"/>
          <w:color w:val="auto"/>
          <w:sz w:val="22"/>
          <w:szCs w:val="22"/>
          <w:u w:val="single"/>
        </w:rPr>
        <w:t> 朱城森 </w:t>
      </w:r>
    </w:p>
    <w:p>
      <w:pPr>
        <w:pStyle w:val="20"/>
        <w:spacing w:before="0" w:beforeAutospacing="0" w:after="0" w:afterAutospacing="0" w:line="400" w:lineRule="exact"/>
        <w:ind w:firstLine="440" w:firstLineChars="200"/>
        <w:rPr>
          <w:rFonts w:hint="default" w:eastAsia="宋体" w:cs="宋体"/>
          <w:color w:val="auto"/>
          <w:sz w:val="21"/>
          <w:szCs w:val="21"/>
        </w:rPr>
      </w:pPr>
      <w:r>
        <w:rPr>
          <w:rFonts w:eastAsia="宋体" w:cs="宋体"/>
          <w:color w:val="auto"/>
          <w:sz w:val="22"/>
          <w:szCs w:val="22"/>
        </w:rPr>
        <w:t>质疑联系方式：</w:t>
      </w:r>
      <w:r>
        <w:rPr>
          <w:rFonts w:eastAsia="宋体" w:cs="宋体"/>
          <w:color w:val="auto"/>
          <w:sz w:val="22"/>
          <w:szCs w:val="22"/>
          <w:u w:val="single"/>
        </w:rPr>
        <w:t> 18329095776 </w:t>
      </w:r>
      <w:r>
        <w:rPr>
          <w:rFonts w:eastAsia="宋体" w:cs="宋体"/>
          <w:color w:val="auto"/>
          <w:sz w:val="21"/>
          <w:szCs w:val="21"/>
          <w:u w:val="single"/>
        </w:rPr>
        <w:t xml:space="preserve"> </w:t>
      </w:r>
    </w:p>
    <w:p>
      <w:pPr>
        <w:pStyle w:val="20"/>
        <w:spacing w:before="0" w:beforeAutospacing="0" w:after="0" w:afterAutospacing="0" w:line="400" w:lineRule="exact"/>
        <w:ind w:firstLine="420" w:firstLineChars="200"/>
        <w:rPr>
          <w:rFonts w:hint="default" w:eastAsia="宋体" w:cs="宋体"/>
          <w:color w:val="auto"/>
          <w:sz w:val="21"/>
          <w:szCs w:val="21"/>
        </w:rPr>
      </w:pPr>
      <w:r>
        <w:rPr>
          <w:rFonts w:eastAsia="宋体" w:cs="宋体"/>
          <w:color w:val="auto"/>
          <w:sz w:val="21"/>
          <w:szCs w:val="21"/>
        </w:rPr>
        <w:t>3.同级政府采购监督管理部门</w:t>
      </w:r>
    </w:p>
    <w:p>
      <w:pPr>
        <w:pStyle w:val="20"/>
        <w:spacing w:before="0" w:beforeAutospacing="0" w:after="0" w:afterAutospacing="0" w:line="400" w:lineRule="exact"/>
        <w:ind w:firstLine="420" w:firstLineChars="200"/>
        <w:rPr>
          <w:rFonts w:hint="default" w:eastAsia="宋体" w:cs="宋体"/>
          <w:color w:val="auto"/>
          <w:sz w:val="21"/>
          <w:szCs w:val="21"/>
        </w:rPr>
      </w:pPr>
      <w:r>
        <w:rPr>
          <w:rFonts w:eastAsia="宋体" w:cs="宋体"/>
          <w:color w:val="auto"/>
          <w:sz w:val="21"/>
          <w:szCs w:val="21"/>
        </w:rPr>
        <w:t>名  称：</w:t>
      </w:r>
      <w:r>
        <w:rPr>
          <w:rFonts w:eastAsia="宋体" w:cs="宋体"/>
          <w:color w:val="auto"/>
          <w:sz w:val="21"/>
          <w:szCs w:val="21"/>
          <w:u w:val="single"/>
        </w:rPr>
        <w:t> 仙居县财政局政府采购监管科 </w:t>
      </w:r>
    </w:p>
    <w:p>
      <w:pPr>
        <w:pStyle w:val="20"/>
        <w:spacing w:before="0" w:beforeAutospacing="0" w:after="0" w:afterAutospacing="0" w:line="400" w:lineRule="exact"/>
        <w:ind w:firstLine="420" w:firstLineChars="200"/>
        <w:rPr>
          <w:rFonts w:hint="default" w:eastAsia="宋体" w:cs="宋体"/>
          <w:color w:val="auto"/>
          <w:sz w:val="21"/>
          <w:szCs w:val="21"/>
        </w:rPr>
      </w:pPr>
      <w:r>
        <w:rPr>
          <w:rFonts w:eastAsia="宋体" w:cs="宋体"/>
          <w:color w:val="auto"/>
          <w:sz w:val="21"/>
          <w:szCs w:val="21"/>
        </w:rPr>
        <w:t>地  址：</w:t>
      </w:r>
      <w:r>
        <w:rPr>
          <w:rFonts w:eastAsia="宋体" w:cs="宋体"/>
          <w:color w:val="auto"/>
          <w:sz w:val="21"/>
          <w:szCs w:val="21"/>
          <w:u w:val="single"/>
        </w:rPr>
        <w:t> 仙居县南峰街道环城南路500号7楼 </w:t>
      </w:r>
    </w:p>
    <w:p>
      <w:pPr>
        <w:pStyle w:val="20"/>
        <w:spacing w:before="0" w:beforeAutospacing="0" w:after="0" w:afterAutospacing="0" w:line="400" w:lineRule="exact"/>
        <w:ind w:firstLine="420" w:firstLineChars="200"/>
        <w:rPr>
          <w:rFonts w:hint="default" w:eastAsia="宋体" w:cs="宋体"/>
          <w:color w:val="auto"/>
          <w:sz w:val="21"/>
          <w:szCs w:val="21"/>
        </w:rPr>
      </w:pPr>
      <w:r>
        <w:rPr>
          <w:rFonts w:eastAsia="宋体" w:cs="宋体"/>
          <w:color w:val="auto"/>
          <w:sz w:val="21"/>
          <w:szCs w:val="21"/>
        </w:rPr>
        <w:t>联 系 人：</w:t>
      </w:r>
      <w:r>
        <w:rPr>
          <w:rFonts w:eastAsia="宋体" w:cs="宋体"/>
          <w:color w:val="auto"/>
          <w:sz w:val="21"/>
          <w:szCs w:val="21"/>
          <w:u w:val="single"/>
        </w:rPr>
        <w:t> 郑女士、陈女士 </w:t>
      </w:r>
    </w:p>
    <w:p>
      <w:pPr>
        <w:pStyle w:val="20"/>
        <w:spacing w:before="0" w:beforeAutospacing="0" w:after="0" w:afterAutospacing="0" w:line="400" w:lineRule="exact"/>
        <w:ind w:firstLine="420" w:firstLineChars="200"/>
        <w:rPr>
          <w:rFonts w:hint="default" w:eastAsia="宋体" w:cs="宋体"/>
          <w:color w:val="auto"/>
          <w:sz w:val="21"/>
          <w:szCs w:val="21"/>
        </w:rPr>
      </w:pPr>
      <w:r>
        <w:rPr>
          <w:rFonts w:eastAsia="宋体" w:cs="宋体"/>
          <w:color w:val="auto"/>
          <w:sz w:val="21"/>
          <w:szCs w:val="21"/>
        </w:rPr>
        <w:t>监督投诉电话：</w:t>
      </w:r>
      <w:r>
        <w:rPr>
          <w:rFonts w:eastAsia="宋体" w:cs="宋体"/>
          <w:color w:val="auto"/>
          <w:sz w:val="21"/>
          <w:szCs w:val="21"/>
          <w:u w:val="single"/>
        </w:rPr>
        <w:t>0576-87720209 </w:t>
      </w:r>
    </w:p>
    <w:p>
      <w:pPr>
        <w:spacing w:line="360" w:lineRule="exact"/>
        <w:ind w:right="480" w:firstLine="4410" w:firstLineChars="2100"/>
        <w:jc w:val="right"/>
        <w:rPr>
          <w:rFonts w:ascii="宋体" w:hAnsi="宋体" w:eastAsia="宋体" w:cs="宋体"/>
          <w:color w:val="auto"/>
          <w:kern w:val="0"/>
          <w:sz w:val="21"/>
          <w:szCs w:val="21"/>
        </w:rPr>
      </w:pPr>
    </w:p>
    <w:p>
      <w:pPr>
        <w:widowControl/>
        <w:spacing w:before="60" w:after="60" w:line="360" w:lineRule="exact"/>
        <w:ind w:left="60" w:right="60" w:firstLine="540"/>
        <w:jc w:val="center"/>
        <w:rPr>
          <w:rFonts w:ascii="宋体" w:hAnsi="宋体" w:eastAsia="宋体" w:cs="宋体"/>
          <w:color w:val="auto"/>
          <w:kern w:val="0"/>
          <w:sz w:val="21"/>
          <w:szCs w:val="21"/>
        </w:rPr>
      </w:pPr>
    </w:p>
    <w:p>
      <w:pPr>
        <w:autoSpaceDE w:val="0"/>
        <w:autoSpaceDN w:val="0"/>
        <w:adjustRightInd w:val="0"/>
        <w:spacing w:line="360" w:lineRule="auto"/>
        <w:jc w:val="center"/>
        <w:outlineLvl w:val="0"/>
        <w:rPr>
          <w:b/>
          <w:color w:val="auto"/>
          <w:szCs w:val="36"/>
        </w:rPr>
      </w:pPr>
    </w:p>
    <w:p>
      <w:pPr>
        <w:autoSpaceDE w:val="0"/>
        <w:autoSpaceDN w:val="0"/>
        <w:adjustRightInd w:val="0"/>
        <w:spacing w:line="360" w:lineRule="auto"/>
        <w:jc w:val="center"/>
        <w:outlineLvl w:val="0"/>
        <w:rPr>
          <w:b/>
          <w:color w:val="auto"/>
          <w:szCs w:val="36"/>
        </w:rPr>
      </w:pPr>
    </w:p>
    <w:p>
      <w:pPr>
        <w:autoSpaceDE w:val="0"/>
        <w:autoSpaceDN w:val="0"/>
        <w:adjustRightInd w:val="0"/>
        <w:spacing w:line="360" w:lineRule="auto"/>
        <w:jc w:val="center"/>
        <w:outlineLvl w:val="0"/>
        <w:rPr>
          <w:b/>
          <w:color w:val="auto"/>
          <w:szCs w:val="36"/>
        </w:rPr>
      </w:pPr>
    </w:p>
    <w:p>
      <w:pPr>
        <w:autoSpaceDE w:val="0"/>
        <w:autoSpaceDN w:val="0"/>
        <w:adjustRightInd w:val="0"/>
        <w:spacing w:line="360" w:lineRule="auto"/>
        <w:jc w:val="center"/>
        <w:outlineLvl w:val="0"/>
        <w:rPr>
          <w:b/>
          <w:color w:val="auto"/>
          <w:szCs w:val="36"/>
        </w:rPr>
      </w:pPr>
    </w:p>
    <w:p>
      <w:pPr>
        <w:autoSpaceDE w:val="0"/>
        <w:autoSpaceDN w:val="0"/>
        <w:adjustRightInd w:val="0"/>
        <w:spacing w:line="360" w:lineRule="auto"/>
        <w:jc w:val="center"/>
        <w:outlineLvl w:val="0"/>
        <w:rPr>
          <w:b/>
          <w:color w:val="auto"/>
          <w:szCs w:val="36"/>
        </w:rPr>
      </w:pPr>
    </w:p>
    <w:p>
      <w:pPr>
        <w:autoSpaceDE w:val="0"/>
        <w:autoSpaceDN w:val="0"/>
        <w:adjustRightInd w:val="0"/>
        <w:spacing w:line="360" w:lineRule="auto"/>
        <w:jc w:val="center"/>
        <w:outlineLvl w:val="0"/>
        <w:rPr>
          <w:b/>
          <w:color w:val="auto"/>
          <w:szCs w:val="36"/>
        </w:rPr>
      </w:pPr>
    </w:p>
    <w:p>
      <w:pPr>
        <w:autoSpaceDE w:val="0"/>
        <w:autoSpaceDN w:val="0"/>
        <w:adjustRightInd w:val="0"/>
        <w:spacing w:line="360" w:lineRule="auto"/>
        <w:jc w:val="center"/>
        <w:outlineLvl w:val="0"/>
        <w:rPr>
          <w:b/>
          <w:color w:val="auto"/>
          <w:szCs w:val="36"/>
        </w:rPr>
      </w:pPr>
    </w:p>
    <w:p>
      <w:pPr>
        <w:pStyle w:val="2"/>
        <w:rPr>
          <w:b/>
          <w:color w:val="auto"/>
          <w:szCs w:val="36"/>
        </w:rPr>
      </w:pPr>
    </w:p>
    <w:p>
      <w:pPr>
        <w:pStyle w:val="3"/>
        <w:rPr>
          <w:b/>
          <w:color w:val="auto"/>
          <w:szCs w:val="36"/>
        </w:rPr>
      </w:pPr>
    </w:p>
    <w:p>
      <w:pPr>
        <w:rPr>
          <w:b/>
          <w:color w:val="auto"/>
          <w:szCs w:val="36"/>
        </w:rPr>
      </w:pPr>
    </w:p>
    <w:p>
      <w:pPr>
        <w:pStyle w:val="11"/>
        <w:rPr>
          <w:color w:val="auto"/>
        </w:rPr>
      </w:pPr>
    </w:p>
    <w:p>
      <w:pPr>
        <w:rPr>
          <w:color w:val="auto"/>
        </w:rPr>
      </w:pPr>
    </w:p>
    <w:p>
      <w:pPr>
        <w:pStyle w:val="3"/>
        <w:rPr>
          <w:b/>
          <w:color w:val="auto"/>
          <w:szCs w:val="36"/>
        </w:rPr>
      </w:pPr>
    </w:p>
    <w:p>
      <w:pPr>
        <w:pStyle w:val="2"/>
        <w:rPr>
          <w:b/>
          <w:color w:val="auto"/>
          <w:szCs w:val="36"/>
        </w:rPr>
      </w:pPr>
    </w:p>
    <w:p>
      <w:pPr>
        <w:autoSpaceDE w:val="0"/>
        <w:autoSpaceDN w:val="0"/>
        <w:adjustRightInd w:val="0"/>
        <w:spacing w:line="360" w:lineRule="auto"/>
        <w:jc w:val="center"/>
        <w:outlineLvl w:val="0"/>
        <w:rPr>
          <w:b/>
          <w:color w:val="auto"/>
          <w:sz w:val="32"/>
          <w:szCs w:val="32"/>
        </w:rPr>
      </w:pPr>
      <w:r>
        <w:rPr>
          <w:rFonts w:hint="eastAsia"/>
          <w:b/>
          <w:color w:val="auto"/>
          <w:sz w:val="32"/>
          <w:szCs w:val="32"/>
        </w:rPr>
        <w:t>第二部分</w:t>
      </w:r>
      <w:r>
        <w:rPr>
          <w:b/>
          <w:color w:val="auto"/>
          <w:sz w:val="32"/>
          <w:szCs w:val="32"/>
        </w:rPr>
        <w:t xml:space="preserve"> </w:t>
      </w:r>
      <w:r>
        <w:rPr>
          <w:rFonts w:hint="eastAsia"/>
          <w:b/>
          <w:color w:val="auto"/>
          <w:sz w:val="32"/>
          <w:szCs w:val="32"/>
        </w:rPr>
        <w:t>采购需求</w:t>
      </w:r>
      <w:bookmarkEnd w:id="27"/>
    </w:p>
    <w:p>
      <w:pPr>
        <w:spacing w:line="420" w:lineRule="exact"/>
        <w:rPr>
          <w:rFonts w:ascii="宋体" w:hAnsi="宋体" w:eastAsia="宋体" w:cs="宋体"/>
          <w:b/>
          <w:color w:val="auto"/>
          <w:sz w:val="21"/>
          <w:szCs w:val="21"/>
        </w:rPr>
      </w:pPr>
      <w:bookmarkStart w:id="29" w:name="_Toc306901444"/>
      <w:r>
        <w:rPr>
          <w:rFonts w:hint="eastAsia" w:ascii="宋体" w:hAnsi="宋体" w:eastAsia="宋体" w:cs="宋体"/>
          <w:b/>
          <w:color w:val="auto"/>
          <w:sz w:val="21"/>
          <w:szCs w:val="21"/>
        </w:rPr>
        <w:t>特别提醒：</w:t>
      </w:r>
    </w:p>
    <w:p>
      <w:pPr>
        <w:spacing w:line="420" w:lineRule="exact"/>
        <w:ind w:firstLine="211" w:firstLineChars="100"/>
        <w:rPr>
          <w:rFonts w:ascii="宋体" w:hAnsi="宋体" w:eastAsia="宋体" w:cs="宋体"/>
          <w:b/>
          <w:color w:val="auto"/>
          <w:kern w:val="0"/>
          <w:sz w:val="21"/>
          <w:szCs w:val="21"/>
        </w:rPr>
      </w:pPr>
      <w:r>
        <w:rPr>
          <w:rFonts w:hint="eastAsia" w:ascii="宋体" w:hAnsi="宋体" w:eastAsia="宋体" w:cs="宋体"/>
          <w:b/>
          <w:color w:val="auto"/>
          <w:kern w:val="0"/>
          <w:sz w:val="21"/>
          <w:szCs w:val="21"/>
        </w:rPr>
        <w:t>▲1、中标单位在签订合同时，若坚持提出附加条件和不合理要求，成交资格将被取消，该中标人对由此产生的一切后果负责。</w:t>
      </w:r>
    </w:p>
    <w:p>
      <w:pPr>
        <w:tabs>
          <w:tab w:val="left" w:pos="8280"/>
        </w:tabs>
        <w:autoSpaceDE w:val="0"/>
        <w:autoSpaceDN w:val="0"/>
        <w:adjustRightInd w:val="0"/>
        <w:spacing w:line="420" w:lineRule="exact"/>
        <w:ind w:right="23" w:firstLine="211" w:firstLineChars="100"/>
        <w:jc w:val="left"/>
        <w:rPr>
          <w:rFonts w:ascii="宋体" w:hAnsi="宋体" w:eastAsia="宋体"/>
          <w:b/>
          <w:color w:val="auto"/>
          <w:sz w:val="21"/>
          <w:szCs w:val="21"/>
        </w:rPr>
      </w:pPr>
      <w:r>
        <w:rPr>
          <w:rFonts w:hint="eastAsia" w:ascii="宋体" w:hAnsi="宋体" w:eastAsia="宋体" w:cs="宋体"/>
          <w:b/>
          <w:color w:val="auto"/>
          <w:kern w:val="0"/>
          <w:sz w:val="21"/>
          <w:szCs w:val="21"/>
        </w:rPr>
        <w:t>▲</w:t>
      </w:r>
      <w:r>
        <w:rPr>
          <w:rFonts w:hint="eastAsia" w:ascii="宋体" w:hAnsi="宋体" w:eastAsia="宋体" w:cs="宋体"/>
          <w:b/>
          <w:color w:val="auto"/>
          <w:sz w:val="21"/>
          <w:szCs w:val="21"/>
        </w:rPr>
        <w:t>2、加“▲”的技术要求或商务要求为实质性要求，投标人应特别注意，所提供的技术响应必须完全满足或优于这些要求，否则视为不满足。不满足实质性要求的投标文件将按无效标处理。</w:t>
      </w:r>
    </w:p>
    <w:p>
      <w:pPr>
        <w:tabs>
          <w:tab w:val="left" w:pos="8280"/>
        </w:tabs>
        <w:autoSpaceDE w:val="0"/>
        <w:autoSpaceDN w:val="0"/>
        <w:adjustRightInd w:val="0"/>
        <w:spacing w:line="360" w:lineRule="auto"/>
        <w:ind w:right="25"/>
        <w:rPr>
          <w:rFonts w:ascii="宋体" w:hAnsi="宋体" w:eastAsia="宋体"/>
          <w:color w:val="auto"/>
          <w:sz w:val="21"/>
          <w:szCs w:val="21"/>
        </w:rPr>
      </w:pPr>
      <w:r>
        <w:rPr>
          <w:rFonts w:hint="eastAsia" w:ascii="宋体" w:hAnsi="宋体" w:eastAsia="宋体"/>
          <w:b/>
          <w:color w:val="auto"/>
          <w:sz w:val="21"/>
          <w:szCs w:val="21"/>
        </w:rPr>
        <w:t>一、招标项目一览表</w:t>
      </w:r>
    </w:p>
    <w:p>
      <w:pPr>
        <w:tabs>
          <w:tab w:val="left" w:pos="8280"/>
        </w:tabs>
        <w:autoSpaceDE w:val="0"/>
        <w:autoSpaceDN w:val="0"/>
        <w:adjustRightInd w:val="0"/>
        <w:spacing w:line="360" w:lineRule="auto"/>
        <w:ind w:right="25" w:firstLine="371" w:firstLineChars="177"/>
        <w:rPr>
          <w:rFonts w:ascii="宋体" w:hAnsi="宋体" w:eastAsia="宋体"/>
          <w:color w:val="auto"/>
          <w:sz w:val="21"/>
          <w:szCs w:val="21"/>
        </w:rPr>
      </w:pPr>
      <w:r>
        <w:rPr>
          <w:rFonts w:hint="eastAsia" w:ascii="宋体" w:hAnsi="宋体" w:eastAsia="宋体"/>
          <w:color w:val="auto"/>
          <w:sz w:val="21"/>
          <w:szCs w:val="21"/>
        </w:rPr>
        <w:t>本次招标共</w:t>
      </w:r>
      <w:r>
        <w:rPr>
          <w:rFonts w:hint="eastAsia" w:ascii="宋体" w:hAnsi="宋体" w:eastAsia="宋体"/>
          <w:color w:val="auto"/>
          <w:sz w:val="21"/>
          <w:szCs w:val="21"/>
          <w:u w:val="single"/>
        </w:rPr>
        <w:t xml:space="preserve"> </w:t>
      </w:r>
      <w:r>
        <w:rPr>
          <w:rFonts w:hint="eastAsia" w:ascii="宋体" w:hAnsi="宋体"/>
          <w:color w:val="auto"/>
          <w:sz w:val="21"/>
          <w:szCs w:val="21"/>
          <w:u w:val="single"/>
        </w:rPr>
        <w:t>1</w:t>
      </w:r>
      <w:r>
        <w:rPr>
          <w:rFonts w:hint="eastAsia" w:ascii="宋体" w:hAnsi="宋体" w:eastAsia="宋体"/>
          <w:color w:val="auto"/>
          <w:sz w:val="21"/>
          <w:szCs w:val="21"/>
          <w:u w:val="single"/>
        </w:rPr>
        <w:t xml:space="preserve">  </w:t>
      </w:r>
      <w:r>
        <w:rPr>
          <w:rFonts w:hint="eastAsia" w:ascii="宋体" w:hAnsi="宋体" w:eastAsia="宋体"/>
          <w:color w:val="auto"/>
          <w:sz w:val="21"/>
          <w:szCs w:val="21"/>
        </w:rPr>
        <w:t>个标项，具体内容如下表：</w:t>
      </w:r>
    </w:p>
    <w:tbl>
      <w:tblPr>
        <w:tblStyle w:val="24"/>
        <w:tblW w:w="9196"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2022"/>
        <w:gridCol w:w="945"/>
        <w:gridCol w:w="977"/>
        <w:gridCol w:w="1179"/>
        <w:gridCol w:w="1579"/>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834" w:type="dxa"/>
            <w:vAlign w:val="center"/>
          </w:tcPr>
          <w:p>
            <w:pPr>
              <w:tabs>
                <w:tab w:val="left" w:pos="8280"/>
              </w:tabs>
              <w:autoSpaceDE w:val="0"/>
              <w:autoSpaceDN w:val="0"/>
              <w:adjustRightInd w:val="0"/>
              <w:spacing w:line="360" w:lineRule="auto"/>
              <w:ind w:right="25"/>
              <w:jc w:val="center"/>
              <w:rPr>
                <w:rFonts w:ascii="宋体" w:hAnsi="宋体" w:eastAsia="宋体" w:cs="宋体"/>
                <w:b/>
                <w:color w:val="auto"/>
                <w:sz w:val="21"/>
                <w:szCs w:val="21"/>
              </w:rPr>
            </w:pPr>
            <w:r>
              <w:rPr>
                <w:rFonts w:hint="eastAsia" w:ascii="宋体" w:hAnsi="宋体" w:eastAsia="宋体" w:cs="宋体"/>
                <w:b/>
                <w:color w:val="auto"/>
                <w:sz w:val="21"/>
                <w:szCs w:val="21"/>
              </w:rPr>
              <w:t>标项序号</w:t>
            </w:r>
          </w:p>
        </w:tc>
        <w:tc>
          <w:tcPr>
            <w:tcW w:w="2022" w:type="dxa"/>
            <w:vAlign w:val="center"/>
          </w:tcPr>
          <w:p>
            <w:pPr>
              <w:tabs>
                <w:tab w:val="left" w:pos="8280"/>
              </w:tabs>
              <w:autoSpaceDE w:val="0"/>
              <w:autoSpaceDN w:val="0"/>
              <w:adjustRightInd w:val="0"/>
              <w:spacing w:line="360" w:lineRule="auto"/>
              <w:ind w:right="25" w:firstLine="105" w:firstLineChars="50"/>
              <w:jc w:val="center"/>
              <w:rPr>
                <w:rFonts w:ascii="宋体" w:hAnsi="宋体" w:eastAsia="宋体" w:cs="宋体"/>
                <w:b/>
                <w:color w:val="auto"/>
                <w:sz w:val="21"/>
                <w:szCs w:val="21"/>
              </w:rPr>
            </w:pPr>
            <w:r>
              <w:rPr>
                <w:rFonts w:hint="eastAsia" w:ascii="宋体" w:hAnsi="宋体" w:eastAsia="宋体" w:cs="宋体"/>
                <w:b/>
                <w:color w:val="auto"/>
                <w:sz w:val="21"/>
                <w:szCs w:val="21"/>
              </w:rPr>
              <w:t>标项名称或内容</w:t>
            </w:r>
          </w:p>
        </w:tc>
        <w:tc>
          <w:tcPr>
            <w:tcW w:w="945" w:type="dxa"/>
            <w:vAlign w:val="center"/>
          </w:tcPr>
          <w:p>
            <w:pPr>
              <w:tabs>
                <w:tab w:val="left" w:pos="8280"/>
              </w:tabs>
              <w:autoSpaceDE w:val="0"/>
              <w:autoSpaceDN w:val="0"/>
              <w:adjustRightInd w:val="0"/>
              <w:spacing w:line="360" w:lineRule="auto"/>
              <w:ind w:right="25"/>
              <w:jc w:val="center"/>
              <w:rPr>
                <w:rFonts w:ascii="宋体" w:hAnsi="宋体" w:eastAsia="宋体" w:cs="宋体"/>
                <w:b/>
                <w:color w:val="auto"/>
                <w:sz w:val="21"/>
                <w:szCs w:val="21"/>
              </w:rPr>
            </w:pPr>
            <w:r>
              <w:rPr>
                <w:rFonts w:hint="eastAsia" w:ascii="宋体" w:hAnsi="宋体" w:eastAsia="宋体" w:cs="宋体"/>
                <w:b/>
                <w:color w:val="auto"/>
                <w:sz w:val="21"/>
                <w:szCs w:val="21"/>
              </w:rPr>
              <w:t>数量</w:t>
            </w:r>
          </w:p>
        </w:tc>
        <w:tc>
          <w:tcPr>
            <w:tcW w:w="977" w:type="dxa"/>
            <w:vAlign w:val="center"/>
          </w:tcPr>
          <w:p>
            <w:pPr>
              <w:tabs>
                <w:tab w:val="left" w:pos="8280"/>
              </w:tabs>
              <w:autoSpaceDE w:val="0"/>
              <w:autoSpaceDN w:val="0"/>
              <w:adjustRightInd w:val="0"/>
              <w:spacing w:line="360" w:lineRule="auto"/>
              <w:ind w:right="25"/>
              <w:jc w:val="center"/>
              <w:rPr>
                <w:rFonts w:ascii="宋体" w:hAnsi="宋体" w:eastAsia="宋体" w:cs="宋体"/>
                <w:b/>
                <w:color w:val="auto"/>
                <w:sz w:val="21"/>
                <w:szCs w:val="21"/>
              </w:rPr>
            </w:pPr>
            <w:r>
              <w:rPr>
                <w:rFonts w:hint="eastAsia" w:ascii="宋体" w:hAnsi="宋体" w:eastAsia="宋体" w:cs="宋体"/>
                <w:b/>
                <w:color w:val="auto"/>
                <w:sz w:val="21"/>
                <w:szCs w:val="21"/>
              </w:rPr>
              <w:t>单位</w:t>
            </w:r>
          </w:p>
        </w:tc>
        <w:tc>
          <w:tcPr>
            <w:tcW w:w="1179" w:type="dxa"/>
            <w:vAlign w:val="center"/>
          </w:tcPr>
          <w:p>
            <w:pPr>
              <w:tabs>
                <w:tab w:val="left" w:pos="8280"/>
              </w:tabs>
              <w:autoSpaceDE w:val="0"/>
              <w:autoSpaceDN w:val="0"/>
              <w:adjustRightInd w:val="0"/>
              <w:spacing w:line="360" w:lineRule="auto"/>
              <w:ind w:right="25"/>
              <w:jc w:val="center"/>
              <w:rPr>
                <w:rFonts w:ascii="宋体" w:hAnsi="宋体" w:eastAsia="宋体" w:cs="宋体"/>
                <w:b/>
                <w:color w:val="auto"/>
                <w:sz w:val="21"/>
                <w:szCs w:val="21"/>
              </w:rPr>
            </w:pPr>
            <w:r>
              <w:rPr>
                <w:rFonts w:hint="eastAsia" w:ascii="宋体" w:hAnsi="宋体" w:eastAsia="宋体" w:cs="宋体"/>
                <w:b/>
                <w:color w:val="auto"/>
                <w:sz w:val="21"/>
                <w:szCs w:val="21"/>
              </w:rPr>
              <w:t>预算（元）</w:t>
            </w:r>
          </w:p>
        </w:tc>
        <w:tc>
          <w:tcPr>
            <w:tcW w:w="1579" w:type="dxa"/>
            <w:vAlign w:val="center"/>
          </w:tcPr>
          <w:p>
            <w:pPr>
              <w:tabs>
                <w:tab w:val="left" w:pos="8280"/>
              </w:tabs>
              <w:autoSpaceDE w:val="0"/>
              <w:autoSpaceDN w:val="0"/>
              <w:adjustRightInd w:val="0"/>
              <w:spacing w:line="360" w:lineRule="auto"/>
              <w:ind w:right="25"/>
              <w:jc w:val="center"/>
              <w:rPr>
                <w:rFonts w:ascii="宋体" w:hAnsi="宋体" w:eastAsia="宋体" w:cs="宋体"/>
                <w:b/>
                <w:color w:val="auto"/>
                <w:sz w:val="21"/>
                <w:szCs w:val="21"/>
              </w:rPr>
            </w:pPr>
            <w:r>
              <w:rPr>
                <w:rFonts w:hint="eastAsia" w:ascii="宋体" w:hAnsi="宋体" w:eastAsia="宋体" w:cs="宋体"/>
                <w:b/>
                <w:color w:val="auto"/>
                <w:sz w:val="21"/>
                <w:szCs w:val="21"/>
              </w:rPr>
              <w:t>最高限价（万元）</w:t>
            </w:r>
          </w:p>
        </w:tc>
        <w:tc>
          <w:tcPr>
            <w:tcW w:w="1660" w:type="dxa"/>
            <w:vAlign w:val="center"/>
          </w:tcPr>
          <w:p>
            <w:pPr>
              <w:tabs>
                <w:tab w:val="left" w:pos="8280"/>
              </w:tabs>
              <w:autoSpaceDE w:val="0"/>
              <w:autoSpaceDN w:val="0"/>
              <w:adjustRightInd w:val="0"/>
              <w:spacing w:line="360" w:lineRule="auto"/>
              <w:ind w:right="25"/>
              <w:jc w:val="center"/>
              <w:rPr>
                <w:rFonts w:ascii="宋体" w:hAnsi="宋体" w:eastAsia="宋体" w:cs="宋体"/>
                <w:b/>
                <w:color w:val="auto"/>
                <w:sz w:val="21"/>
                <w:szCs w:val="21"/>
              </w:rPr>
            </w:pPr>
            <w:r>
              <w:rPr>
                <w:rFonts w:hint="eastAsia" w:ascii="宋体" w:hAnsi="宋体" w:eastAsia="宋体" w:cs="宋体"/>
                <w:b/>
                <w:color w:val="auto"/>
                <w:sz w:val="21"/>
                <w:szCs w:val="21"/>
              </w:rPr>
              <w:t>标的物</w:t>
            </w:r>
          </w:p>
          <w:p>
            <w:pPr>
              <w:tabs>
                <w:tab w:val="left" w:pos="8280"/>
              </w:tabs>
              <w:autoSpaceDE w:val="0"/>
              <w:autoSpaceDN w:val="0"/>
              <w:adjustRightInd w:val="0"/>
              <w:spacing w:line="360" w:lineRule="auto"/>
              <w:ind w:right="25"/>
              <w:jc w:val="center"/>
              <w:rPr>
                <w:rFonts w:ascii="宋体" w:hAnsi="宋体" w:eastAsia="宋体" w:cs="宋体"/>
                <w:b/>
                <w:color w:val="auto"/>
                <w:sz w:val="21"/>
                <w:szCs w:val="21"/>
              </w:rPr>
            </w:pPr>
            <w:r>
              <w:rPr>
                <w:rFonts w:hint="eastAsia" w:ascii="宋体" w:hAnsi="宋体" w:eastAsia="宋体" w:cs="宋体"/>
                <w:b/>
                <w:color w:val="auto"/>
                <w:sz w:val="21"/>
                <w:szCs w:val="21"/>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34" w:type="dxa"/>
            <w:vAlign w:val="center"/>
          </w:tcPr>
          <w:p>
            <w:pPr>
              <w:tabs>
                <w:tab w:val="left" w:pos="8280"/>
              </w:tabs>
              <w:autoSpaceDE w:val="0"/>
              <w:autoSpaceDN w:val="0"/>
              <w:adjustRightInd w:val="0"/>
              <w:spacing w:line="360" w:lineRule="auto"/>
              <w:ind w:right="25"/>
              <w:jc w:val="center"/>
              <w:rPr>
                <w:rFonts w:ascii="宋体" w:hAnsi="宋体" w:eastAsia="宋体" w:cs="宋体"/>
                <w:color w:val="auto"/>
                <w:sz w:val="21"/>
                <w:szCs w:val="21"/>
              </w:rPr>
            </w:pPr>
            <w:r>
              <w:rPr>
                <w:rFonts w:hint="eastAsia" w:ascii="宋体" w:hAnsi="宋体" w:eastAsia="宋体" w:cs="宋体"/>
                <w:color w:val="auto"/>
                <w:sz w:val="21"/>
                <w:szCs w:val="21"/>
              </w:rPr>
              <w:t>1</w:t>
            </w:r>
          </w:p>
        </w:tc>
        <w:tc>
          <w:tcPr>
            <w:tcW w:w="2022" w:type="dxa"/>
            <w:vAlign w:val="center"/>
          </w:tcPr>
          <w:p>
            <w:pPr>
              <w:tabs>
                <w:tab w:val="left" w:pos="8280"/>
              </w:tabs>
              <w:autoSpaceDE w:val="0"/>
              <w:autoSpaceDN w:val="0"/>
              <w:adjustRightInd w:val="0"/>
              <w:spacing w:line="360" w:lineRule="auto"/>
              <w:ind w:right="25"/>
              <w:jc w:val="center"/>
              <w:rPr>
                <w:rFonts w:hint="eastAsia" w:ascii="宋体" w:hAnsi="宋体" w:eastAsia="宋体" w:cs="宋体"/>
                <w:color w:val="auto"/>
                <w:sz w:val="21"/>
                <w:szCs w:val="21"/>
                <w:lang w:eastAsia="zh-CN"/>
              </w:rPr>
            </w:pPr>
            <w:r>
              <w:rPr>
                <w:rFonts w:hint="eastAsia" w:ascii="宋体" w:hAnsi="宋体" w:eastAsia="宋体" w:cs="宋体"/>
                <w:color w:val="auto"/>
                <w:kern w:val="0"/>
                <w:sz w:val="21"/>
                <w:szCs w:val="21"/>
                <w:lang w:eastAsia="zh-CN"/>
              </w:rPr>
              <w:t>仙居县人民医院病理科改造项目（重新招标）</w:t>
            </w:r>
          </w:p>
        </w:tc>
        <w:tc>
          <w:tcPr>
            <w:tcW w:w="945" w:type="dxa"/>
            <w:vAlign w:val="center"/>
          </w:tcPr>
          <w:p>
            <w:pPr>
              <w:tabs>
                <w:tab w:val="left" w:pos="8280"/>
              </w:tabs>
              <w:autoSpaceDE w:val="0"/>
              <w:autoSpaceDN w:val="0"/>
              <w:adjustRightInd w:val="0"/>
              <w:spacing w:line="360" w:lineRule="auto"/>
              <w:ind w:right="25"/>
              <w:jc w:val="center"/>
              <w:rPr>
                <w:rFonts w:ascii="宋体" w:hAnsi="宋体" w:eastAsia="宋体" w:cs="宋体"/>
                <w:color w:val="auto"/>
                <w:sz w:val="21"/>
                <w:szCs w:val="21"/>
              </w:rPr>
            </w:pPr>
            <w:r>
              <w:rPr>
                <w:rFonts w:hint="eastAsia" w:ascii="宋体" w:hAnsi="宋体" w:eastAsia="宋体" w:cs="宋体"/>
                <w:color w:val="auto"/>
                <w:sz w:val="21"/>
                <w:szCs w:val="21"/>
              </w:rPr>
              <w:t>1</w:t>
            </w:r>
          </w:p>
        </w:tc>
        <w:tc>
          <w:tcPr>
            <w:tcW w:w="977" w:type="dxa"/>
            <w:vAlign w:val="center"/>
          </w:tcPr>
          <w:p>
            <w:pPr>
              <w:widowControl/>
              <w:spacing w:line="360" w:lineRule="auto"/>
              <w:jc w:val="center"/>
              <w:rPr>
                <w:rFonts w:ascii="宋体" w:hAnsi="宋体" w:eastAsia="宋体" w:cs="宋体"/>
                <w:color w:val="auto"/>
                <w:sz w:val="21"/>
                <w:szCs w:val="21"/>
              </w:rPr>
            </w:pPr>
            <w:r>
              <w:rPr>
                <w:rFonts w:hint="eastAsia" w:ascii="宋体" w:hAnsi="宋体" w:eastAsia="宋体" w:cs="宋体"/>
                <w:color w:val="auto"/>
                <w:sz w:val="21"/>
                <w:szCs w:val="21"/>
              </w:rPr>
              <w:t>项</w:t>
            </w:r>
          </w:p>
        </w:tc>
        <w:tc>
          <w:tcPr>
            <w:tcW w:w="1179" w:type="dxa"/>
            <w:vAlign w:val="center"/>
          </w:tcPr>
          <w:p>
            <w:pPr>
              <w:tabs>
                <w:tab w:val="left" w:pos="8280"/>
              </w:tabs>
              <w:autoSpaceDE w:val="0"/>
              <w:autoSpaceDN w:val="0"/>
              <w:adjustRightInd w:val="0"/>
              <w:spacing w:line="360" w:lineRule="auto"/>
              <w:ind w:right="25"/>
              <w:jc w:val="center"/>
              <w:rPr>
                <w:rFonts w:ascii="宋体" w:hAnsi="宋体" w:eastAsia="宋体" w:cs="宋体"/>
                <w:color w:val="auto"/>
                <w:sz w:val="21"/>
                <w:szCs w:val="21"/>
              </w:rPr>
            </w:pPr>
            <w:r>
              <w:rPr>
                <w:rFonts w:hint="eastAsia" w:ascii="宋体" w:hAnsi="宋体" w:cs="宋体"/>
                <w:color w:val="auto"/>
                <w:sz w:val="21"/>
                <w:szCs w:val="21"/>
              </w:rPr>
              <w:t>1981411</w:t>
            </w:r>
          </w:p>
        </w:tc>
        <w:tc>
          <w:tcPr>
            <w:tcW w:w="1579" w:type="dxa"/>
            <w:vAlign w:val="center"/>
          </w:tcPr>
          <w:p>
            <w:pPr>
              <w:tabs>
                <w:tab w:val="left" w:pos="8280"/>
              </w:tabs>
              <w:autoSpaceDE w:val="0"/>
              <w:autoSpaceDN w:val="0"/>
              <w:adjustRightInd w:val="0"/>
              <w:spacing w:line="360" w:lineRule="auto"/>
              <w:ind w:right="25"/>
              <w:jc w:val="center"/>
              <w:rPr>
                <w:rFonts w:ascii="宋体" w:hAnsi="宋体" w:eastAsia="宋体" w:cs="宋体"/>
                <w:color w:val="auto"/>
                <w:sz w:val="21"/>
                <w:szCs w:val="21"/>
              </w:rPr>
            </w:pPr>
            <w:r>
              <w:rPr>
                <w:rFonts w:hint="eastAsia" w:ascii="宋体" w:hAnsi="宋体" w:cs="宋体"/>
                <w:color w:val="auto"/>
                <w:sz w:val="21"/>
                <w:szCs w:val="21"/>
              </w:rPr>
              <w:t>1783270</w:t>
            </w:r>
          </w:p>
        </w:tc>
        <w:tc>
          <w:tcPr>
            <w:tcW w:w="1660" w:type="dxa"/>
            <w:vAlign w:val="center"/>
          </w:tcPr>
          <w:p>
            <w:pPr>
              <w:tabs>
                <w:tab w:val="left" w:pos="8280"/>
              </w:tabs>
              <w:autoSpaceDE w:val="0"/>
              <w:autoSpaceDN w:val="0"/>
              <w:adjustRightInd w:val="0"/>
              <w:spacing w:line="360" w:lineRule="auto"/>
              <w:ind w:right="25"/>
              <w:jc w:val="center"/>
              <w:rPr>
                <w:rFonts w:ascii="宋体" w:hAnsi="宋体" w:eastAsia="宋体" w:cs="宋体"/>
                <w:color w:val="auto"/>
                <w:sz w:val="21"/>
                <w:szCs w:val="21"/>
              </w:rPr>
            </w:pPr>
            <w:r>
              <w:rPr>
                <w:rFonts w:hint="eastAsia" w:ascii="宋体" w:hAnsi="宋体" w:eastAsia="宋体" w:cs="宋体"/>
                <w:color w:val="auto"/>
                <w:sz w:val="21"/>
                <w:szCs w:val="21"/>
              </w:rPr>
              <w:t>建筑业</w:t>
            </w:r>
          </w:p>
        </w:tc>
      </w:tr>
    </w:tbl>
    <w:p>
      <w:pPr>
        <w:numPr>
          <w:ilvl w:val="0"/>
          <w:numId w:val="2"/>
        </w:numPr>
        <w:snapToGrid w:val="0"/>
        <w:spacing w:line="400" w:lineRule="exact"/>
        <w:jc w:val="left"/>
        <w:rPr>
          <w:rFonts w:ascii="宋体" w:hAnsi="宋体" w:eastAsia="宋体" w:cs="宋体"/>
          <w:b/>
          <w:color w:val="auto"/>
          <w:sz w:val="21"/>
          <w:szCs w:val="21"/>
        </w:rPr>
      </w:pPr>
      <w:r>
        <w:rPr>
          <w:rFonts w:hint="eastAsia" w:ascii="宋体" w:hAnsi="宋体" w:eastAsia="宋体" w:cs="宋体"/>
          <w:b/>
          <w:color w:val="auto"/>
          <w:sz w:val="21"/>
          <w:szCs w:val="21"/>
        </w:rPr>
        <w:t>项目概况：</w:t>
      </w:r>
    </w:p>
    <w:p>
      <w:pPr>
        <w:pStyle w:val="43"/>
        <w:snapToGrid w:val="0"/>
        <w:spacing w:before="0" w:beforeAutospacing="0" w:after="0" w:afterAutospacing="0" w:line="400" w:lineRule="exact"/>
        <w:ind w:firstLine="420" w:firstLineChars="200"/>
        <w:rPr>
          <w:rFonts w:eastAsia="宋体"/>
          <w:color w:val="auto"/>
          <w:sz w:val="21"/>
          <w:szCs w:val="21"/>
        </w:rPr>
      </w:pPr>
      <w:r>
        <w:rPr>
          <w:rFonts w:hint="eastAsia"/>
          <w:color w:val="auto"/>
          <w:sz w:val="21"/>
          <w:szCs w:val="21"/>
        </w:rPr>
        <w:t>1</w:t>
      </w:r>
      <w:r>
        <w:rPr>
          <w:rFonts w:hint="eastAsia" w:eastAsia="宋体"/>
          <w:color w:val="auto"/>
          <w:sz w:val="21"/>
          <w:szCs w:val="21"/>
        </w:rPr>
        <w:t>、服务范围及内容：本项目由采购人提供的施工图纸及预算书中所包含的</w:t>
      </w:r>
      <w:r>
        <w:rPr>
          <w:rFonts w:hint="eastAsia"/>
          <w:color w:val="auto"/>
          <w:sz w:val="21"/>
          <w:szCs w:val="21"/>
        </w:rPr>
        <w:t>安装、建筑等工程组成，</w:t>
      </w:r>
      <w:r>
        <w:rPr>
          <w:rFonts w:hint="eastAsia" w:eastAsia="宋体"/>
          <w:color w:val="auto"/>
          <w:sz w:val="21"/>
          <w:szCs w:val="21"/>
        </w:rPr>
        <w:t>具体详见拟采购清单。</w:t>
      </w:r>
    </w:p>
    <w:p>
      <w:pPr>
        <w:snapToGrid w:val="0"/>
        <w:spacing w:line="400" w:lineRule="exact"/>
        <w:ind w:firstLine="420" w:firstLineChars="200"/>
        <w:jc w:val="left"/>
        <w:rPr>
          <w:rFonts w:ascii="宋体" w:hAnsi="宋体" w:eastAsia="宋体" w:cs="宋体"/>
          <w:color w:val="auto"/>
          <w:kern w:val="0"/>
          <w:sz w:val="21"/>
          <w:szCs w:val="21"/>
        </w:rPr>
      </w:pPr>
      <w:r>
        <w:rPr>
          <w:rFonts w:hint="eastAsia" w:ascii="宋体" w:hAnsi="宋体" w:cs="宋体"/>
          <w:color w:val="auto"/>
          <w:kern w:val="0"/>
          <w:sz w:val="21"/>
          <w:szCs w:val="21"/>
        </w:rPr>
        <w:t>2</w:t>
      </w:r>
      <w:r>
        <w:rPr>
          <w:rFonts w:hint="eastAsia" w:ascii="宋体" w:hAnsi="宋体" w:eastAsia="宋体" w:cs="宋体"/>
          <w:color w:val="auto"/>
          <w:kern w:val="0"/>
          <w:sz w:val="21"/>
          <w:szCs w:val="21"/>
        </w:rPr>
        <w:t>、项目地点：</w:t>
      </w:r>
      <w:r>
        <w:rPr>
          <w:rFonts w:hint="eastAsia" w:ascii="宋体" w:hAnsi="宋体" w:cs="宋体"/>
          <w:color w:val="auto"/>
          <w:kern w:val="0"/>
          <w:sz w:val="21"/>
          <w:szCs w:val="21"/>
        </w:rPr>
        <w:t>仙居县人民医院内。</w:t>
      </w:r>
    </w:p>
    <w:p>
      <w:pPr>
        <w:tabs>
          <w:tab w:val="left" w:pos="8280"/>
        </w:tabs>
        <w:autoSpaceDE w:val="0"/>
        <w:autoSpaceDN w:val="0"/>
        <w:adjustRightInd w:val="0"/>
        <w:spacing w:line="420" w:lineRule="exact"/>
        <w:ind w:right="23" w:firstLine="420" w:firstLineChars="200"/>
        <w:rPr>
          <w:color w:val="auto"/>
        </w:rPr>
      </w:pPr>
      <w:r>
        <w:rPr>
          <w:rFonts w:hint="eastAsia" w:ascii="宋体" w:hAnsi="宋体" w:eastAsia="宋体" w:cs="宋体"/>
          <w:color w:val="auto"/>
          <w:sz w:val="21"/>
          <w:szCs w:val="21"/>
        </w:rPr>
        <w:t>3、采购人不组织现场踏勘，供应商应自行对工程现场和周围环境进行踏勘和了解，以获取有关编制响应文件和签署合同所需的各种资料，并应充分考虑影响本次报价的因素、预计实施过程中各种不利因素，由此可能发生的费用均由供应商考虑并包含在磋商响应报价中。成交后，供应商不得再以不完全了解现场情况等为理由而提出额外付款或延长工期等的要求，若有此类要求，采购人将不作任何答复与考虑，供应商应承担现场踏勘的责任和风险，踏勘现场的费用由供应商自行承担。</w:t>
      </w:r>
    </w:p>
    <w:p>
      <w:pPr>
        <w:snapToGrid w:val="0"/>
        <w:spacing w:line="400" w:lineRule="exact"/>
        <w:ind w:firstLine="420" w:firstLineChars="200"/>
        <w:jc w:val="left"/>
        <w:rPr>
          <w:rFonts w:ascii="宋体" w:hAnsi="宋体" w:eastAsia="宋体" w:cs="宋体"/>
          <w:color w:val="auto"/>
          <w:kern w:val="0"/>
          <w:sz w:val="21"/>
          <w:szCs w:val="21"/>
        </w:rPr>
      </w:pPr>
      <w:r>
        <w:rPr>
          <w:rFonts w:hint="eastAsia" w:ascii="宋体" w:hAnsi="宋体" w:cs="宋体"/>
          <w:color w:val="auto"/>
          <w:kern w:val="0"/>
          <w:sz w:val="21"/>
          <w:szCs w:val="21"/>
        </w:rPr>
        <w:t>4</w:t>
      </w:r>
      <w:r>
        <w:rPr>
          <w:rFonts w:hint="eastAsia" w:ascii="宋体" w:hAnsi="宋体" w:eastAsia="宋体" w:cs="宋体"/>
          <w:color w:val="auto"/>
          <w:kern w:val="0"/>
          <w:sz w:val="21"/>
          <w:szCs w:val="21"/>
        </w:rPr>
        <w:t>、拟采购清单</w:t>
      </w:r>
    </w:p>
    <w:tbl>
      <w:tblPr>
        <w:tblStyle w:val="24"/>
        <w:tblW w:w="10477" w:type="dxa"/>
        <w:tblInd w:w="-1121" w:type="dxa"/>
        <w:tblLayout w:type="fixed"/>
        <w:tblCellMar>
          <w:top w:w="15" w:type="dxa"/>
          <w:left w:w="15" w:type="dxa"/>
          <w:bottom w:w="15" w:type="dxa"/>
          <w:right w:w="15" w:type="dxa"/>
        </w:tblCellMar>
      </w:tblPr>
      <w:tblGrid>
        <w:gridCol w:w="532"/>
        <w:gridCol w:w="1134"/>
        <w:gridCol w:w="4167"/>
        <w:gridCol w:w="800"/>
        <w:gridCol w:w="722"/>
        <w:gridCol w:w="2319"/>
        <w:gridCol w:w="803"/>
      </w:tblGrid>
      <w:tr>
        <w:tblPrEx>
          <w:tblCellMar>
            <w:top w:w="15" w:type="dxa"/>
            <w:left w:w="15" w:type="dxa"/>
            <w:bottom w:w="15" w:type="dxa"/>
            <w:right w:w="15" w:type="dxa"/>
          </w:tblCellMar>
        </w:tblPrEx>
        <w:trPr>
          <w:trHeight w:val="492" w:hRule="atLeast"/>
        </w:trPr>
        <w:tc>
          <w:tcPr>
            <w:tcW w:w="53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序号</w:t>
            </w:r>
          </w:p>
        </w:tc>
        <w:tc>
          <w:tcPr>
            <w:tcW w:w="113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名称</w:t>
            </w:r>
          </w:p>
        </w:tc>
        <w:tc>
          <w:tcPr>
            <w:tcW w:w="416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技术参数</w:t>
            </w:r>
          </w:p>
        </w:tc>
        <w:tc>
          <w:tcPr>
            <w:tcW w:w="8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计量</w:t>
            </w:r>
          </w:p>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单位</w:t>
            </w:r>
          </w:p>
        </w:tc>
        <w:tc>
          <w:tcPr>
            <w:tcW w:w="72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数量</w:t>
            </w:r>
          </w:p>
        </w:tc>
        <w:tc>
          <w:tcPr>
            <w:tcW w:w="231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cs="宋体"/>
                <w:color w:val="auto"/>
                <w:kern w:val="0"/>
                <w:sz w:val="18"/>
                <w:szCs w:val="18"/>
                <w:highlight w:val="none"/>
              </w:rPr>
              <w:t>参考图片</w:t>
            </w:r>
          </w:p>
        </w:tc>
        <w:tc>
          <w:tcPr>
            <w:tcW w:w="80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备注</w:t>
            </w:r>
          </w:p>
        </w:tc>
      </w:tr>
      <w:tr>
        <w:tblPrEx>
          <w:tblCellMar>
            <w:top w:w="15" w:type="dxa"/>
            <w:left w:w="15" w:type="dxa"/>
            <w:bottom w:w="15" w:type="dxa"/>
            <w:right w:w="15" w:type="dxa"/>
          </w:tblCellMar>
        </w:tblPrEx>
        <w:trPr>
          <w:trHeight w:val="350" w:hRule="atLeast"/>
        </w:trPr>
        <w:tc>
          <w:tcPr>
            <w:tcW w:w="5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auto"/>
                <w:sz w:val="18"/>
                <w:szCs w:val="18"/>
                <w:highlight w:val="none"/>
              </w:rPr>
            </w:pPr>
          </w:p>
        </w:tc>
        <w:tc>
          <w:tcPr>
            <w:tcW w:w="113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auto"/>
                <w:sz w:val="18"/>
                <w:szCs w:val="18"/>
                <w:highlight w:val="none"/>
              </w:rPr>
            </w:pPr>
          </w:p>
        </w:tc>
        <w:tc>
          <w:tcPr>
            <w:tcW w:w="416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auto"/>
                <w:sz w:val="18"/>
                <w:szCs w:val="18"/>
                <w:highlight w:val="none"/>
              </w:rPr>
            </w:pPr>
          </w:p>
        </w:tc>
        <w:tc>
          <w:tcPr>
            <w:tcW w:w="8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auto"/>
                <w:sz w:val="18"/>
                <w:szCs w:val="18"/>
                <w:highlight w:val="none"/>
              </w:rPr>
            </w:pPr>
          </w:p>
        </w:tc>
        <w:tc>
          <w:tcPr>
            <w:tcW w:w="72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auto"/>
                <w:sz w:val="18"/>
                <w:szCs w:val="18"/>
                <w:highlight w:val="none"/>
              </w:rPr>
            </w:pPr>
          </w:p>
        </w:tc>
        <w:tc>
          <w:tcPr>
            <w:tcW w:w="231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auto"/>
                <w:sz w:val="18"/>
                <w:szCs w:val="18"/>
                <w:highlight w:val="none"/>
              </w:rPr>
            </w:pPr>
          </w:p>
        </w:tc>
        <w:tc>
          <w:tcPr>
            <w:tcW w:w="80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538" w:hRule="atLeast"/>
        </w:trPr>
        <w:tc>
          <w:tcPr>
            <w:tcW w:w="10477"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一、安装</w:t>
            </w:r>
          </w:p>
        </w:tc>
      </w:tr>
      <w:tr>
        <w:tblPrEx>
          <w:tblCellMar>
            <w:top w:w="15" w:type="dxa"/>
            <w:left w:w="15" w:type="dxa"/>
            <w:bottom w:w="15" w:type="dxa"/>
            <w:right w:w="15" w:type="dxa"/>
          </w:tblCellMar>
        </w:tblPrEx>
        <w:trPr>
          <w:trHeight w:val="538"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auto"/>
                <w:sz w:val="18"/>
                <w:szCs w:val="18"/>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给排水</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eastAsia="宋体" w:cs="宋体"/>
                <w:color w:val="auto"/>
                <w:sz w:val="18"/>
                <w:szCs w:val="18"/>
                <w:highlight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auto"/>
                <w:sz w:val="18"/>
                <w:szCs w:val="18"/>
                <w:highlight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1587"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塑料管</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1.安装部位：室内</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2.介质：给水</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3.材质、规格：PPR DN25</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4.连接形式：热熔</w:t>
            </w:r>
          </w:p>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5.压力试验及吹、洗设计要求：水压试验及水冲洗</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m</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158.13</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1278"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2</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塑料管</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1.安装部位：室内</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2.介质：排水</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3.材质、规格：PVC DN50</w:t>
            </w:r>
          </w:p>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4.连接形式：粘接</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m</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140.00</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538" w:hRule="atLeast"/>
        </w:trPr>
        <w:tc>
          <w:tcPr>
            <w:tcW w:w="5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3</w:t>
            </w:r>
          </w:p>
        </w:tc>
        <w:tc>
          <w:tcPr>
            <w:tcW w:w="113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淋浴器</w:t>
            </w:r>
          </w:p>
        </w:tc>
        <w:tc>
          <w:tcPr>
            <w:tcW w:w="4167"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1.成套淋浴器 手动开关冷热水</w:t>
            </w:r>
          </w:p>
        </w:tc>
        <w:tc>
          <w:tcPr>
            <w:tcW w:w="8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套</w:t>
            </w:r>
          </w:p>
        </w:tc>
        <w:tc>
          <w:tcPr>
            <w:tcW w:w="722"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w:t>
            </w:r>
          </w:p>
        </w:tc>
        <w:tc>
          <w:tcPr>
            <w:tcW w:w="2319"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661"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4</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洗脸盆</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1.洗脸盆 台上式冷热水（含水龙头等附件）</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组</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2</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659"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5</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给、排水附(配)件</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1.地漏安装 公称直径（mm以内）50</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个</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3</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538"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6</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小便器</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1.壁挂式小便器安装 感应开关埋入式</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组</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659"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7</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大便器</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1.蹲式大便器安装 手动开关（含阀门等附件）</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套</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2</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659"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8</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卫生间暗敷管道补贴</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1.卫生间（内周长在12m以下）暗敷管道，每间补贴1.0工日</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间</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2</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968"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9</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镀锌钢管</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1.安装部位：室内</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2.规格、压力等级：镀锌钢管DN125</w:t>
            </w:r>
          </w:p>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3.连接形式：焊接 电弧焊</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m</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65.00</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968"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10</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镀锌钢管</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1.安装部位：室内</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2.规格、压力等级：镀锌钢管DN80</w:t>
            </w:r>
          </w:p>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3.连接形式：焊接 电弧焊</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m</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12.00</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968"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11</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镀锌钢管</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1.安装部位：室内</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2.规格、压力等级：镀锌钢管DN65</w:t>
            </w:r>
          </w:p>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3.连接形式：螺纹连接</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m</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12.00</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968"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12</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镀锌钢管</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1.安装部位：室内</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2.规格、压力等级：镀锌钢管DN50</w:t>
            </w:r>
          </w:p>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3.连接形式：螺纹连接</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m</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6.00</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968"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13</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镀锌钢管</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1.安装部位：室内</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2.规格、压力等级：镀锌钢管DN40</w:t>
            </w:r>
          </w:p>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3.连接形式：螺纹连接</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m</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6.00</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659"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14</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塑料管</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1.塑料管（冷凝水管） 公称直径 （mm以内）40</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m</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18.00</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1278"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15</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铁构件</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1、管道支架制作及安装</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2、一般钢结构刷红丹防锈漆  两遍</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3、一般钢结构刷灰色调和漆  两遍</w:t>
            </w:r>
          </w:p>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4、管道支吊架除锈</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kg</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120.00</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968"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16</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焊接法兰阀门</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1.阀门类型：蝶阀</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2.阀门材质：碳钢</w:t>
            </w:r>
          </w:p>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3.规格、压力等级：DN125</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个</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2</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538"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17</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焊接法兰阀门</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1.阀门类型：铜球阀（排污阀）</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2.阀门材质：铜</w:t>
            </w:r>
          </w:p>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3.规格、压力等级：DN25</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个</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4</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968"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18</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焊接法兰阀门</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1.阀门类型：铜球阀</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2.阀门材质：铜</w:t>
            </w:r>
          </w:p>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3.规格、压力等级：DN65</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个</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2</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968" w:hRule="atLeast"/>
        </w:trPr>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19</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焊接法兰阀门</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1.阀门类型：铜球阀</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2.阀门材质：铜</w:t>
            </w:r>
          </w:p>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3.规格、压力等级：DN50</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个</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2</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968"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20</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焊接法兰阀门</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1.阀门类型：铜球阀</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2.阀门材质：铜</w:t>
            </w:r>
          </w:p>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3.规格、压力等级：DN40</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个</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2</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968"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21</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焊接法兰阀门</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1.阀门类型：铜球阀</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2.阀门材质：铜</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3.规格、压力等级：DN32</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个</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2</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659"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22</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除污器(过滤器）</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过滤器DN65</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个</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659"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23</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除污器(过滤器）</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过滤器DN50</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个</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659"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24</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除污器(过滤器）</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过滤器DN40</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个</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659"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25</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除污器(过滤器）</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过滤器DN32</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个</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659"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26</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软接头（软管）</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不锈钢软接DN65</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个</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2</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659"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27</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软接头（软管）</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不锈钢软接DN50</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个</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2</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659"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28</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软接头（软管）</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不锈钢软接DN40</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个</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2</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659"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29</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软接头（软管）</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不锈钢软接DN32</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个</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2</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467"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30</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管道绝热</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1.橡塑管壳安装(管道) 管道DN80mm以下</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m3</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1.20</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467"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电气</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eastAsia="宋体" w:cs="宋体"/>
                <w:color w:val="auto"/>
                <w:kern w:val="0"/>
                <w:sz w:val="18"/>
                <w:szCs w:val="18"/>
                <w:highlight w:val="none"/>
                <w:lang w:bidi="ar"/>
              </w:rPr>
            </w:pP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auto"/>
                <w:sz w:val="18"/>
                <w:szCs w:val="18"/>
                <w:highlight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1278"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31</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配电箱</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1.名称：风机配电箱</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2.规 格：半周长1.0m以内</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3.基础形式、材质、规格：箱内元件参考设计图纸</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台</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配电箱主要元器件</w:t>
            </w:r>
          </w:p>
        </w:tc>
      </w:tr>
      <w:tr>
        <w:tblPrEx>
          <w:tblCellMar>
            <w:top w:w="15" w:type="dxa"/>
            <w:left w:w="15" w:type="dxa"/>
            <w:bottom w:w="15" w:type="dxa"/>
            <w:right w:w="15" w:type="dxa"/>
          </w:tblCellMar>
        </w:tblPrEx>
        <w:trPr>
          <w:trHeight w:val="1278"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32</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配电箱</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1.名称：风机配电箱</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2.规 格：半周长1.0m以内</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3.基础形式、材质、规格：箱内元件参考设计图纸</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台</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配电箱主要元器件</w:t>
            </w:r>
          </w:p>
        </w:tc>
      </w:tr>
      <w:tr>
        <w:tblPrEx>
          <w:tblCellMar>
            <w:top w:w="15" w:type="dxa"/>
            <w:left w:w="15" w:type="dxa"/>
            <w:bottom w:w="15" w:type="dxa"/>
            <w:right w:w="15" w:type="dxa"/>
          </w:tblCellMar>
        </w:tblPrEx>
        <w:trPr>
          <w:trHeight w:val="467"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33</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原配电新增断路器</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原配电新增断路器</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项</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659"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34</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配管</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1.砖、混凝土结构明配刚性阻燃管 公称直径（mm）50</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m</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28.63</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659"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35</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配管</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1.砖、混凝土结构明配刚性阻燃管 公称直径（mm）20</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m</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621.23</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1587"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36</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配线</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1.名 称：绝缘软线</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2.配线形式：管内穿线</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3.配线型号：BVR</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4.规 格：4mm2</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5.配线材质：铜</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m</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1986.09</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1587"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37</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配线</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1.名 称：绝缘软线</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2.配线形式：管内穿线</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3.配线型号：BVR</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4.规 格：10mm2</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5.配线材质：铜</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m</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230.15</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467"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38</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插座</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1、五孔插座</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个</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79</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467"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39</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插座</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1、地插</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个</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4</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968"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40</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荧光灯</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1.荧光灯名称：LED平板灯</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2.规 格：600*600</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3.安装形式：嵌入式</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套</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72</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467"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41</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接线盒</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1.暗装接线盒</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个</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155</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467"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排风系统</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1278"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42</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离心式通风机</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无极变量组合式废气处理机组</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6600立方米/小时，机外余压：420pa，3kw（含风帽、防震垫、70°防火阀、电动阀、手动阀等附件）</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台</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1278"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43</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离心式通风机</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无极变量组合式废气处理机组</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9500立方米/小时，机外余压：480pa，5.5kw（含风帽、防震垫、70°防火阀、电动阀、手动阀等附件）</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台</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1278"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44</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离心式通风机</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无极变量组合式废气处理机组</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14000立方米/小时，机外余压：600pa，7.5kw（含风帽、防震垫、70°防火阀、电动阀、手动阀等附件）</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台</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1278"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45</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离心式通风机</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无极变量组合式废气处理机组</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3500立方米/小时，机外余压500pa，2.5kw（含风帽、防震垫、70°防火阀、电动阀、手动阀等附件）</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台</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659"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46</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塑料通风管道</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1.名 称：pp通风管</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2.形 状：矩形</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3.规 格：δ=5，长边长800mm以下</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4、采用法兰连接</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5、风管支吊架制安</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6、具体要求详见暖通设计说明</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m2</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276.12</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1897"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47</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塑料通风管道</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1.名 称：pp通风管</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2.形 状：矩形</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3.规 格：δ=6，长边长1250mm以下</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4、采用法兰连接</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5、风管支吊架制安</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6、具体要求详见暖通设计说明</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m2</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159.77</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659"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48</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通风工程检测、 调试</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1.通风空调系统调试费</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系统</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968"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49</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模块化活性炭废气处理系统</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1600*1000*1000</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台</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968"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50</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模块化活性炭废气处理系统</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2000*1000*1200</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台</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2</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968"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51</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模块化活性炭废气处理系统</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1300*750*750</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台</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3301"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52</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通风系统联动电器控制总成</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通风系统联动电器控制总成（含控制信号线及RVVP屏蔽线）</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1.整体隐蔽式安装，电气防护等级： IP53。</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2.须满足新风系统和排风系统的联动控制。</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3.须满足系统故障的及时报警与提醒。</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4.须满足系统的定时开启与关闭，可个性化调整具体时间。</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color w:val="auto"/>
                <w:sz w:val="18"/>
                <w:szCs w:val="18"/>
                <w:highlight w:val="none"/>
                <w:lang w:bidi="ar"/>
              </w:rPr>
              <w:t>5.所有电器元器件均使用国际著名品牌，满足电器设备安全运行需求。</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套</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4</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ascii="宋体" w:hAnsi="宋体"/>
                <w:color w:val="auto"/>
                <w:sz w:val="18"/>
                <w:szCs w:val="18"/>
                <w:highlight w:val="none"/>
              </w:rPr>
              <w:drawing>
                <wp:inline distT="0" distB="0" distL="114300" distR="114300">
                  <wp:extent cx="946785" cy="946785"/>
                  <wp:effectExtent l="0" t="0" r="5715" b="5715"/>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13"/>
                          <a:stretch>
                            <a:fillRect/>
                          </a:stretch>
                        </pic:blipFill>
                        <pic:spPr>
                          <a:xfrm>
                            <a:off x="0" y="0"/>
                            <a:ext cx="946785" cy="946785"/>
                          </a:xfrm>
                          <a:prstGeom prst="rect">
                            <a:avLst/>
                          </a:prstGeom>
                          <a:noFill/>
                          <a:ln>
                            <a:noFill/>
                          </a:ln>
                        </pic:spPr>
                      </pic:pic>
                    </a:graphicData>
                  </a:graphic>
                </wp:inline>
              </w:drawing>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3301"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53</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模拟变风量电动调节阀</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模拟变风量电动调节阀</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1.整体PP材质制作，耐腐蚀性能好，电气防护等级： IP53.</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2.扭矩/运行时间：8N/4S</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3.旋转角度：最大90度，通过开关可调</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4.按下手动按钮，执行器齿轮机构解锁，可手动旋转风轴。</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color w:val="auto"/>
                <w:sz w:val="18"/>
                <w:szCs w:val="18"/>
                <w:highlight w:val="none"/>
                <w:lang w:bidi="ar"/>
              </w:rPr>
              <w:t>5.使用环境温度：-20到50度，最大环境湿度：95%RH（无结露）。</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套</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15</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ascii="宋体" w:hAnsi="宋体"/>
                <w:color w:val="auto"/>
                <w:sz w:val="18"/>
                <w:szCs w:val="18"/>
                <w:highlight w:val="none"/>
              </w:rPr>
              <w:drawing>
                <wp:inline distT="0" distB="0" distL="114300" distR="114300">
                  <wp:extent cx="862965" cy="1295400"/>
                  <wp:effectExtent l="0" t="0" r="13335" b="0"/>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14"/>
                          <a:stretch>
                            <a:fillRect/>
                          </a:stretch>
                        </pic:blipFill>
                        <pic:spPr>
                          <a:xfrm>
                            <a:off x="0" y="0"/>
                            <a:ext cx="862965" cy="1295400"/>
                          </a:xfrm>
                          <a:prstGeom prst="rect">
                            <a:avLst/>
                          </a:prstGeom>
                          <a:noFill/>
                          <a:ln>
                            <a:noFill/>
                          </a:ln>
                        </pic:spPr>
                      </pic:pic>
                    </a:graphicData>
                  </a:graphic>
                </wp:inline>
              </w:drawing>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3491"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54</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全不锈钢立式废气导流装置</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全不锈钢立式废气导流装置</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1.整体采用SUS304不锈钢制作，厚度不低于1.0mm，整体激光切割工艺，表面精细打磨，无毛刺；</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2.内部配备空气导流装置，下部设计不锈钢百叶，使得废气通过导流装置快速有效排除。</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3.与实验室整体通风新风系统无缝对接，满足病理实验室生物安全需要。</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color w:val="auto"/>
                <w:sz w:val="18"/>
                <w:szCs w:val="18"/>
                <w:highlight w:val="none"/>
                <w:lang w:bidi="ar"/>
              </w:rPr>
              <w:t>4.内部配备可调变风量阀门，可对废气排放速度进行调整，满足实际需求</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套</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11</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ascii="宋体" w:hAnsi="宋体"/>
                <w:color w:val="auto"/>
                <w:sz w:val="18"/>
                <w:szCs w:val="18"/>
                <w:highlight w:val="none"/>
              </w:rPr>
              <w:drawing>
                <wp:inline distT="0" distB="0" distL="114300" distR="114300">
                  <wp:extent cx="273050" cy="767080"/>
                  <wp:effectExtent l="0" t="0" r="12700" b="13970"/>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15"/>
                          <a:stretch>
                            <a:fillRect/>
                          </a:stretch>
                        </pic:blipFill>
                        <pic:spPr>
                          <a:xfrm>
                            <a:off x="0" y="0"/>
                            <a:ext cx="273050" cy="767080"/>
                          </a:xfrm>
                          <a:prstGeom prst="rect">
                            <a:avLst/>
                          </a:prstGeom>
                          <a:noFill/>
                          <a:ln>
                            <a:noFill/>
                          </a:ln>
                        </pic:spPr>
                      </pic:pic>
                    </a:graphicData>
                  </a:graphic>
                </wp:inline>
              </w:drawing>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6205"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55</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全不锈钢吸顶式废气集风装置</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全不锈钢吸顶式废气集风装置</w:t>
            </w:r>
          </w:p>
          <w:p>
            <w:pPr>
              <w:pStyle w:val="2"/>
              <w:rPr>
                <w:color w:val="auto"/>
                <w:sz w:val="18"/>
                <w:szCs w:val="18"/>
                <w:highlight w:val="none"/>
              </w:rPr>
            </w:pPr>
            <w:r>
              <w:rPr>
                <w:rFonts w:hint="eastAsia"/>
                <w:color w:val="auto"/>
                <w:sz w:val="18"/>
                <w:szCs w:val="18"/>
                <w:highlight w:val="none"/>
              </w:rPr>
              <w:t>1</w:t>
            </w:r>
            <w:r>
              <w:rPr>
                <w:color w:val="auto"/>
                <w:sz w:val="18"/>
                <w:szCs w:val="18"/>
                <w:highlight w:val="none"/>
              </w:rPr>
              <w:t>.</w:t>
            </w:r>
            <w:r>
              <w:rPr>
                <w:rFonts w:hint="eastAsia"/>
                <w:color w:val="auto"/>
                <w:sz w:val="18"/>
                <w:szCs w:val="18"/>
                <w:highlight w:val="none"/>
              </w:rPr>
              <w:t>整体采用S</w:t>
            </w:r>
            <w:r>
              <w:rPr>
                <w:color w:val="auto"/>
                <w:sz w:val="18"/>
                <w:szCs w:val="18"/>
                <w:highlight w:val="none"/>
              </w:rPr>
              <w:t>US304</w:t>
            </w:r>
            <w:r>
              <w:rPr>
                <w:rFonts w:hint="eastAsia"/>
                <w:color w:val="auto"/>
                <w:sz w:val="18"/>
                <w:szCs w:val="18"/>
                <w:highlight w:val="none"/>
              </w:rPr>
              <w:t>不锈钢制作，厚度不低于</w:t>
            </w:r>
            <w:r>
              <w:rPr>
                <w:color w:val="auto"/>
                <w:sz w:val="18"/>
                <w:szCs w:val="18"/>
                <w:highlight w:val="none"/>
              </w:rPr>
              <w:t>0.8</w:t>
            </w:r>
            <w:r>
              <w:rPr>
                <w:rFonts w:hint="eastAsia"/>
                <w:color w:val="auto"/>
                <w:sz w:val="18"/>
                <w:szCs w:val="18"/>
                <w:highlight w:val="none"/>
              </w:rPr>
              <w:t>mm，整体激光切割工艺，表面精细打磨，无毛刺；</w:t>
            </w:r>
          </w:p>
          <w:p>
            <w:pPr>
              <w:pStyle w:val="2"/>
              <w:rPr>
                <w:color w:val="auto"/>
                <w:sz w:val="18"/>
                <w:szCs w:val="18"/>
                <w:highlight w:val="none"/>
              </w:rPr>
            </w:pPr>
            <w:r>
              <w:rPr>
                <w:rFonts w:hint="eastAsia"/>
                <w:color w:val="auto"/>
                <w:sz w:val="18"/>
                <w:szCs w:val="18"/>
                <w:highlight w:val="none"/>
              </w:rPr>
              <w:t>2</w:t>
            </w:r>
            <w:r>
              <w:rPr>
                <w:color w:val="auto"/>
                <w:sz w:val="18"/>
                <w:szCs w:val="18"/>
                <w:highlight w:val="none"/>
              </w:rPr>
              <w:t>.</w:t>
            </w:r>
            <w:r>
              <w:rPr>
                <w:rFonts w:hint="eastAsia"/>
                <w:color w:val="auto"/>
                <w:sz w:val="18"/>
                <w:szCs w:val="18"/>
                <w:highlight w:val="none"/>
              </w:rPr>
              <w:t>内部配备格栅式废气导流装置，使得废气通过导流装置快速有效排除。</w:t>
            </w:r>
          </w:p>
          <w:p>
            <w:pPr>
              <w:pStyle w:val="2"/>
              <w:rPr>
                <w:color w:val="auto"/>
                <w:sz w:val="18"/>
                <w:szCs w:val="18"/>
                <w:highlight w:val="none"/>
              </w:rPr>
            </w:pPr>
            <w:r>
              <w:rPr>
                <w:rFonts w:hint="eastAsia"/>
                <w:color w:val="auto"/>
                <w:sz w:val="18"/>
                <w:szCs w:val="18"/>
                <w:highlight w:val="none"/>
              </w:rPr>
              <w:t>3</w:t>
            </w:r>
            <w:r>
              <w:rPr>
                <w:color w:val="auto"/>
                <w:sz w:val="18"/>
                <w:szCs w:val="18"/>
                <w:highlight w:val="none"/>
              </w:rPr>
              <w:t>.</w:t>
            </w:r>
            <w:r>
              <w:rPr>
                <w:rFonts w:hint="eastAsia"/>
                <w:color w:val="auto"/>
                <w:sz w:val="18"/>
                <w:szCs w:val="18"/>
                <w:highlight w:val="none"/>
              </w:rPr>
              <w:t>与实验室整体通风新风系统无缝对接，满足病理实验室生物安全需要。</w:t>
            </w:r>
          </w:p>
          <w:p>
            <w:pPr>
              <w:pStyle w:val="2"/>
              <w:rPr>
                <w:rFonts w:ascii="等线" w:hAnsi="等线"/>
                <w:color w:val="auto"/>
                <w:sz w:val="18"/>
                <w:szCs w:val="18"/>
                <w:highlight w:val="none"/>
              </w:rPr>
            </w:pPr>
            <w:r>
              <w:rPr>
                <w:rFonts w:hint="eastAsia" w:ascii="等线" w:hAnsi="等线"/>
                <w:color w:val="auto"/>
                <w:sz w:val="18"/>
                <w:szCs w:val="18"/>
                <w:highlight w:val="none"/>
              </w:rPr>
              <w:t>4</w:t>
            </w:r>
            <w:r>
              <w:rPr>
                <w:rFonts w:ascii="等线" w:hAnsi="等线"/>
                <w:color w:val="auto"/>
                <w:sz w:val="18"/>
                <w:szCs w:val="18"/>
                <w:highlight w:val="none"/>
              </w:rPr>
              <w:t>.</w:t>
            </w:r>
            <w:r>
              <w:rPr>
                <w:rFonts w:hint="eastAsia" w:ascii="等线" w:hAnsi="等线"/>
                <w:color w:val="auto"/>
                <w:sz w:val="18"/>
                <w:szCs w:val="18"/>
                <w:highlight w:val="none"/>
              </w:rPr>
              <w:t>内部配备可调变风量阀门，可对废气排放速度进行调整，满足实际需求。</w:t>
            </w:r>
          </w:p>
          <w:p>
            <w:pPr>
              <w:pStyle w:val="22"/>
              <w:ind w:firstLine="0" w:firstLineChars="0"/>
              <w:rPr>
                <w:color w:val="auto"/>
                <w:sz w:val="18"/>
                <w:szCs w:val="18"/>
                <w:highlight w:val="none"/>
              </w:rPr>
            </w:pPr>
            <w:r>
              <w:rPr>
                <w:rFonts w:hint="eastAsia" w:ascii="宋体" w:hAnsi="宋体"/>
                <w:color w:val="auto"/>
                <w:sz w:val="18"/>
                <w:szCs w:val="18"/>
                <w:highlight w:val="none"/>
                <w:lang w:val="zh-CN"/>
              </w:rPr>
              <w:t>★</w:t>
            </w:r>
            <w:r>
              <w:rPr>
                <w:rFonts w:hint="eastAsia" w:ascii="宋体" w:hAnsi="宋体"/>
                <w:color w:val="auto"/>
                <w:sz w:val="18"/>
                <w:szCs w:val="18"/>
                <w:highlight w:val="none"/>
                <w:lang w:bidi="ar"/>
              </w:rPr>
              <w:t>5</w:t>
            </w:r>
            <w:r>
              <w:rPr>
                <w:rFonts w:ascii="宋体" w:hAnsi="宋体"/>
                <w:color w:val="auto"/>
                <w:sz w:val="18"/>
                <w:szCs w:val="18"/>
                <w:highlight w:val="none"/>
                <w:lang w:bidi="ar"/>
              </w:rPr>
              <w:t>.</w:t>
            </w:r>
            <w:r>
              <w:rPr>
                <w:rFonts w:hint="eastAsia" w:ascii="宋体" w:hAnsi="宋体"/>
                <w:color w:val="auto"/>
                <w:sz w:val="18"/>
                <w:szCs w:val="18"/>
                <w:highlight w:val="none"/>
                <w:lang w:bidi="ar"/>
              </w:rPr>
              <w:t>内部配备T型一体式废气导流箱，导流箱顶部与全不锈钢一体伸缩式风管接驳端口（无软接）固定，接驳端口可上下伸缩调节，调节范围≥150mm，方便与排风风主管对接</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color w:val="auto"/>
                <w:sz w:val="18"/>
                <w:szCs w:val="18"/>
                <w:highlight w:val="none"/>
                <w:lang w:val="zh-CN"/>
              </w:rPr>
              <w:t>★</w:t>
            </w:r>
            <w:r>
              <w:rPr>
                <w:rFonts w:ascii="宋体" w:hAnsi="宋体"/>
                <w:color w:val="auto"/>
                <w:sz w:val="18"/>
                <w:szCs w:val="18"/>
                <w:highlight w:val="none"/>
                <w:lang w:bidi="ar"/>
              </w:rPr>
              <w:t>6</w:t>
            </w:r>
            <w:r>
              <w:rPr>
                <w:rFonts w:hint="eastAsia" w:ascii="宋体" w:hAnsi="宋体"/>
                <w:color w:val="auto"/>
                <w:sz w:val="18"/>
                <w:szCs w:val="18"/>
                <w:highlight w:val="none"/>
                <w:lang w:bidi="ar"/>
              </w:rPr>
              <w:t>、开标时提供符合招标文件参数要求的全不锈钢吸顶式废气集风装置整机实物照片，且须提供证明废气集风装置接驳端口伸缩范围≥1</w:t>
            </w:r>
            <w:r>
              <w:rPr>
                <w:rFonts w:ascii="宋体" w:hAnsi="宋体"/>
                <w:color w:val="auto"/>
                <w:sz w:val="18"/>
                <w:szCs w:val="18"/>
                <w:highlight w:val="none"/>
                <w:lang w:bidi="ar"/>
              </w:rPr>
              <w:t>50</w:t>
            </w:r>
            <w:r>
              <w:rPr>
                <w:rFonts w:hint="eastAsia" w:ascii="宋体" w:hAnsi="宋体"/>
                <w:color w:val="auto"/>
                <w:sz w:val="18"/>
                <w:szCs w:val="18"/>
                <w:highlight w:val="none"/>
                <w:lang w:bidi="ar"/>
              </w:rPr>
              <w:t>mm（附标尺证明其伸缩范围≥1</w:t>
            </w:r>
            <w:r>
              <w:rPr>
                <w:rFonts w:ascii="宋体" w:hAnsi="宋体"/>
                <w:color w:val="auto"/>
                <w:sz w:val="18"/>
                <w:szCs w:val="18"/>
                <w:highlight w:val="none"/>
                <w:lang w:bidi="ar"/>
              </w:rPr>
              <w:t>50</w:t>
            </w:r>
            <w:r>
              <w:rPr>
                <w:rFonts w:hint="eastAsia" w:ascii="宋体" w:hAnsi="宋体"/>
                <w:color w:val="auto"/>
                <w:sz w:val="18"/>
                <w:szCs w:val="18"/>
                <w:highlight w:val="none"/>
                <w:lang w:bidi="ar"/>
              </w:rPr>
              <w:t>mm）</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套</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7</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ascii="宋体" w:hAnsi="宋体"/>
                <w:color w:val="auto"/>
                <w:sz w:val="18"/>
                <w:szCs w:val="18"/>
                <w:highlight w:val="none"/>
              </w:rPr>
              <w:drawing>
                <wp:inline distT="0" distB="0" distL="114300" distR="114300">
                  <wp:extent cx="1136015" cy="566420"/>
                  <wp:effectExtent l="0" t="0" r="6985" b="508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6"/>
                          <a:stretch>
                            <a:fillRect/>
                          </a:stretch>
                        </pic:blipFill>
                        <pic:spPr>
                          <a:xfrm>
                            <a:off x="0" y="0"/>
                            <a:ext cx="1136015" cy="566420"/>
                          </a:xfrm>
                          <a:prstGeom prst="rect">
                            <a:avLst/>
                          </a:prstGeom>
                          <a:noFill/>
                          <a:ln>
                            <a:noFill/>
                          </a:ln>
                        </pic:spPr>
                      </pic:pic>
                    </a:graphicData>
                  </a:graphic>
                </wp:inline>
              </w:drawing>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3991"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56</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全不锈钢孔式层流新风布气装置</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全不锈钢孔式层流新风布气装置</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1、整体采用SUS304不锈钢制作，厚度不低于0.8mm，扣板式安装工艺，整体激光切割工艺，表面精细打磨，无毛刺，耐腐蚀，经久耐用；</w:t>
            </w:r>
          </w:p>
          <w:p>
            <w:pPr>
              <w:pStyle w:val="2"/>
              <w:rPr>
                <w:rFonts w:ascii="宋体" w:hAnsi="宋体"/>
                <w:color w:val="auto"/>
                <w:sz w:val="18"/>
                <w:szCs w:val="18"/>
                <w:highlight w:val="none"/>
                <w:lang w:bidi="ar"/>
              </w:rPr>
            </w:pPr>
            <w:r>
              <w:rPr>
                <w:rFonts w:hint="eastAsia" w:ascii="宋体" w:hAnsi="宋体"/>
                <w:color w:val="auto"/>
                <w:sz w:val="18"/>
                <w:szCs w:val="18"/>
                <w:highlight w:val="none"/>
                <w:lang w:val="zh-CN"/>
              </w:rPr>
              <w:t>★</w:t>
            </w:r>
            <w:r>
              <w:rPr>
                <w:rFonts w:hint="eastAsia" w:ascii="宋体" w:hAnsi="宋体"/>
                <w:color w:val="auto"/>
                <w:sz w:val="18"/>
                <w:szCs w:val="18"/>
                <w:highlight w:val="none"/>
                <w:lang w:bidi="ar"/>
              </w:rPr>
              <w:t>2、出风口面板满布圆形空气流通孔，孔径：8.2mm，孔距：10mm，并设置高通量初级过滤网，不锈钢面板由不锈钢螺丝精工固定并可独立拆卸，方便维护和保洁。</w:t>
            </w:r>
          </w:p>
          <w:p>
            <w:pPr>
              <w:pStyle w:val="2"/>
              <w:rPr>
                <w:rFonts w:ascii="宋体" w:hAnsi="宋体"/>
                <w:color w:val="auto"/>
                <w:sz w:val="18"/>
                <w:szCs w:val="18"/>
                <w:highlight w:val="none"/>
                <w:lang w:bidi="ar"/>
              </w:rPr>
            </w:pPr>
            <w:r>
              <w:rPr>
                <w:rFonts w:hint="eastAsia" w:ascii="宋体" w:hAnsi="宋体"/>
                <w:color w:val="auto"/>
                <w:sz w:val="18"/>
                <w:szCs w:val="18"/>
                <w:highlight w:val="none"/>
                <w:lang w:val="zh-CN"/>
              </w:rPr>
              <w:t>★</w:t>
            </w:r>
            <w:r>
              <w:rPr>
                <w:rFonts w:hint="eastAsia" w:ascii="宋体" w:hAnsi="宋体"/>
                <w:color w:val="auto"/>
                <w:sz w:val="18"/>
                <w:szCs w:val="18"/>
                <w:highlight w:val="none"/>
                <w:lang w:bidi="ar"/>
              </w:rPr>
              <w:t>3、内部配备T型一体式新风导流箱，导流箱顶部与全不锈钢一体伸缩式风管接驳端口（无软接）固定，接驳端口可上下伸缩调节，调节范围≥150mm，方便与新风主管对接</w:t>
            </w:r>
          </w:p>
          <w:p>
            <w:pPr>
              <w:pStyle w:val="2"/>
              <w:rPr>
                <w:rFonts w:ascii="宋体" w:hAnsi="宋体"/>
                <w:color w:val="auto"/>
                <w:sz w:val="18"/>
                <w:szCs w:val="18"/>
                <w:highlight w:val="none"/>
                <w:lang w:bidi="ar"/>
              </w:rPr>
            </w:pPr>
            <w:r>
              <w:rPr>
                <w:rFonts w:ascii="宋体" w:hAnsi="宋体"/>
                <w:color w:val="auto"/>
                <w:sz w:val="18"/>
                <w:szCs w:val="18"/>
                <w:highlight w:val="none"/>
                <w:lang w:bidi="ar"/>
              </w:rPr>
              <w:t>4</w:t>
            </w:r>
            <w:r>
              <w:rPr>
                <w:rFonts w:hint="eastAsia" w:ascii="宋体" w:hAnsi="宋体"/>
                <w:color w:val="auto"/>
                <w:sz w:val="18"/>
                <w:szCs w:val="18"/>
                <w:highlight w:val="none"/>
                <w:lang w:bidi="ar"/>
              </w:rPr>
              <w:t>.与实验室整体通风新风系统无缝对接，满足病理实验室生物安全需要。</w:t>
            </w:r>
          </w:p>
          <w:p>
            <w:pPr>
              <w:pStyle w:val="2"/>
              <w:rPr>
                <w:rFonts w:ascii="宋体" w:hAnsi="宋体"/>
                <w:color w:val="auto"/>
                <w:sz w:val="18"/>
                <w:szCs w:val="18"/>
                <w:highlight w:val="none"/>
                <w:lang w:bidi="ar"/>
              </w:rPr>
            </w:pPr>
            <w:r>
              <w:rPr>
                <w:rFonts w:ascii="宋体" w:hAnsi="宋体"/>
                <w:color w:val="auto"/>
                <w:sz w:val="18"/>
                <w:szCs w:val="18"/>
                <w:highlight w:val="none"/>
                <w:lang w:bidi="ar"/>
              </w:rPr>
              <w:t>5</w:t>
            </w:r>
            <w:r>
              <w:rPr>
                <w:rFonts w:hint="eastAsia" w:ascii="宋体" w:hAnsi="宋体"/>
                <w:color w:val="auto"/>
                <w:sz w:val="18"/>
                <w:szCs w:val="18"/>
                <w:highlight w:val="none"/>
                <w:lang w:bidi="ar"/>
              </w:rPr>
              <w:t>.内部配备可调变风量阀门，可对新风布气速度进行调整，满足实际需求。</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color w:val="auto"/>
                <w:sz w:val="18"/>
                <w:szCs w:val="18"/>
                <w:highlight w:val="none"/>
                <w:lang w:val="zh-CN"/>
              </w:rPr>
              <w:t>★</w:t>
            </w:r>
            <w:r>
              <w:rPr>
                <w:rFonts w:ascii="宋体" w:hAnsi="宋体"/>
                <w:color w:val="auto"/>
                <w:sz w:val="18"/>
                <w:szCs w:val="18"/>
                <w:highlight w:val="none"/>
                <w:lang w:bidi="ar"/>
              </w:rPr>
              <w:t>6</w:t>
            </w:r>
            <w:r>
              <w:rPr>
                <w:rFonts w:hint="eastAsia" w:ascii="宋体" w:hAnsi="宋体"/>
                <w:color w:val="auto"/>
                <w:sz w:val="18"/>
                <w:szCs w:val="18"/>
                <w:highlight w:val="none"/>
                <w:lang w:bidi="ar"/>
              </w:rPr>
              <w:t>、开标时提供符合招标文件参数要求的全不锈钢孔式层流新风布气装置整机实物照片，且须提供证明新风布气装置伸缩范围≥1</w:t>
            </w:r>
            <w:r>
              <w:rPr>
                <w:rFonts w:ascii="宋体" w:hAnsi="宋体"/>
                <w:color w:val="auto"/>
                <w:sz w:val="18"/>
                <w:szCs w:val="18"/>
                <w:highlight w:val="none"/>
                <w:lang w:bidi="ar"/>
              </w:rPr>
              <w:t>50</w:t>
            </w:r>
            <w:r>
              <w:rPr>
                <w:rFonts w:hint="eastAsia" w:ascii="宋体" w:hAnsi="宋体"/>
                <w:color w:val="auto"/>
                <w:sz w:val="18"/>
                <w:szCs w:val="18"/>
                <w:highlight w:val="none"/>
                <w:lang w:bidi="ar"/>
              </w:rPr>
              <w:t>mm（附标尺证明其伸缩范围≥1</w:t>
            </w:r>
            <w:r>
              <w:rPr>
                <w:rFonts w:ascii="宋体" w:hAnsi="宋体"/>
                <w:color w:val="auto"/>
                <w:sz w:val="18"/>
                <w:szCs w:val="18"/>
                <w:highlight w:val="none"/>
                <w:lang w:bidi="ar"/>
              </w:rPr>
              <w:t>50</w:t>
            </w:r>
            <w:r>
              <w:rPr>
                <w:rFonts w:hint="eastAsia" w:ascii="宋体" w:hAnsi="宋体"/>
                <w:color w:val="auto"/>
                <w:sz w:val="18"/>
                <w:szCs w:val="18"/>
                <w:highlight w:val="none"/>
                <w:lang w:bidi="ar"/>
              </w:rPr>
              <w:t>mm）</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套</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30</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ascii="宋体" w:hAnsi="宋体"/>
                <w:color w:val="auto"/>
                <w:sz w:val="18"/>
                <w:szCs w:val="18"/>
                <w:highlight w:val="none"/>
              </w:rPr>
              <w:drawing>
                <wp:inline distT="0" distB="0" distL="114300" distR="114300">
                  <wp:extent cx="1136015" cy="566420"/>
                  <wp:effectExtent l="0" t="0" r="6985" b="508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7"/>
                          <a:stretch>
                            <a:fillRect/>
                          </a:stretch>
                        </pic:blipFill>
                        <pic:spPr>
                          <a:xfrm>
                            <a:off x="0" y="0"/>
                            <a:ext cx="1136015" cy="566420"/>
                          </a:xfrm>
                          <a:prstGeom prst="rect">
                            <a:avLst/>
                          </a:prstGeom>
                          <a:noFill/>
                          <a:ln>
                            <a:noFill/>
                          </a:ln>
                        </pic:spPr>
                      </pic:pic>
                    </a:graphicData>
                  </a:graphic>
                </wp:inline>
              </w:drawing>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467"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新风系统</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eastAsia="宋体" w:cs="宋体"/>
                <w:color w:val="auto"/>
                <w:kern w:val="0"/>
                <w:sz w:val="18"/>
                <w:szCs w:val="18"/>
                <w:highlight w:val="none"/>
                <w:lang w:bidi="ar"/>
              </w:rPr>
            </w:pP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auto"/>
                <w:sz w:val="18"/>
                <w:szCs w:val="18"/>
                <w:highlight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8282"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57</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离心式通风机</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ind w:left="126" w:leftChars="35"/>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无极变量组合式新风补充机组</w:t>
            </w:r>
          </w:p>
          <w:p>
            <w:pPr>
              <w:widowControl/>
              <w:ind w:left="126" w:leftChars="35"/>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1、新风量：5000立方米/小时，机外余压：200pa，冷量：64.5KW，热量：69KW（含风帽、防震垫、70°防火阀、电动阀、手动阀等附件）</w:t>
            </w:r>
          </w:p>
          <w:p>
            <w:pPr>
              <w:widowControl/>
              <w:ind w:left="126" w:leftChars="35"/>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2、新风系统主机空气处理部分结构须为无框架结构，采用榫头互扣密封。</w:t>
            </w:r>
          </w:p>
          <w:p>
            <w:pPr>
              <w:widowControl/>
              <w:ind w:left="126" w:leftChars="35"/>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val="zh-CN" w:bidi="ar"/>
              </w:rPr>
              <w:t>★</w:t>
            </w:r>
            <w:r>
              <w:rPr>
                <w:rFonts w:hint="eastAsia" w:ascii="宋体" w:hAnsi="宋体" w:cs="宋体"/>
                <w:color w:val="auto"/>
                <w:kern w:val="0"/>
                <w:sz w:val="18"/>
                <w:szCs w:val="18"/>
                <w:highlight w:val="none"/>
                <w:lang w:bidi="ar"/>
              </w:rPr>
              <w:t>3、主机空气处理部分箱体应有良好的气密性，机组内静压为700Pa时，漏风率不得大于0.16%；机组内静压为1000Pa时，漏风率不得大于0.5%；机组内静压为1500Pa时，漏风率不得大于1%。投标方应提供拥有国家认可的第三方检测公司出具的合格检测报告</w:t>
            </w:r>
          </w:p>
          <w:p>
            <w:pPr>
              <w:widowControl/>
              <w:ind w:left="126" w:leftChars="35"/>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val="zh-CN" w:bidi="ar"/>
              </w:rPr>
              <w:t>★</w:t>
            </w:r>
            <w:r>
              <w:rPr>
                <w:rFonts w:hint="eastAsia" w:ascii="宋体" w:hAnsi="宋体" w:cs="宋体"/>
                <w:color w:val="auto"/>
                <w:kern w:val="0"/>
                <w:sz w:val="18"/>
                <w:szCs w:val="18"/>
                <w:highlight w:val="none"/>
                <w:lang w:bidi="ar"/>
              </w:rPr>
              <w:t>4、主机空气处理部分箱体应有足够的强度，箱板之间采用螺栓螺母连接，不得采用自攻钉连接，投标人须提供箱体结构原理图。箱体变形率在机组内静压1000Pa时小于4mm/m，投标方应提供拥有国家认可的第三方检测公司出具的合格检测报告</w:t>
            </w:r>
          </w:p>
          <w:p>
            <w:pPr>
              <w:widowControl/>
              <w:ind w:left="126" w:leftChars="35"/>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val="zh-CN" w:bidi="ar"/>
              </w:rPr>
              <w:t>★</w:t>
            </w:r>
            <w:r>
              <w:rPr>
                <w:rFonts w:hint="eastAsia" w:ascii="宋体" w:hAnsi="宋体" w:cs="宋体"/>
                <w:color w:val="auto"/>
                <w:kern w:val="0"/>
                <w:sz w:val="18"/>
                <w:szCs w:val="18"/>
                <w:highlight w:val="none"/>
                <w:lang w:bidi="ar"/>
              </w:rPr>
              <w:t>5、主机空气处理部分箱体结构为防冷桥结构，冷桥因子应达到欧标EN1886的TB1级以上，传热系数应达到欧标EN1886的T1级以上。投标人应提供设备防止结露及消除冷桥的技术措施，并提供冷桥因子及传热系数的拥有国家认可的第三方检测公司出具的合格检测报告</w:t>
            </w:r>
          </w:p>
          <w:p>
            <w:pPr>
              <w:widowControl/>
              <w:ind w:left="126" w:leftChars="35"/>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val="zh-CN" w:bidi="ar"/>
              </w:rPr>
              <w:t>★</w:t>
            </w:r>
            <w:r>
              <w:rPr>
                <w:rFonts w:hint="eastAsia" w:ascii="宋体" w:hAnsi="宋体" w:cs="宋体"/>
                <w:color w:val="auto"/>
                <w:kern w:val="0"/>
                <w:sz w:val="18"/>
                <w:szCs w:val="18"/>
                <w:highlight w:val="none"/>
                <w:lang w:bidi="ar"/>
              </w:rPr>
              <w:t>6、主机空调处理部分壁板聚氨酯材料导热率不大于0.024W/m℃，提供国家认可的第三方检测机构出具的合格检测报告</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ind w:left="126" w:leftChars="35"/>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台</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1587"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58</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离心式通风机</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无极变量组合式新风补充机组</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新风量：7000立方米/小时，机外余压：300pa，冷量：90.1KW，热量：96.3KW（含风帽、防震垫、70°防火阀、电动阀、手动阀等附件）</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台</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1587"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59</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离心式通风机</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无极变量组合式新风补充机组</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新风量：10500立方米/小时，机外余压：300pa，冷量：141.7KW，热量：154.3KW（含风帽、防震垫、70°防火阀、电动阀、手动阀等附件）</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台</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1587"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60</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离心式通风机</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无极变量组合式新风补充机组</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新风量：3000立方米/小时，机外余压：200pa，冷量：41KW，热量：44.3KW（含风帽、防震垫、70°防火阀、电动阀、手动阀等附件）</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台</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1897"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61</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塑料通风管道</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1.名 称：pp通风管</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2.形 状：矩形</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3.规 格：δ=5，长边长800mm以下</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4、采用法兰连接</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5、风管支吊架制安</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6、具体要求详见暖通设计说明</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m2</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207.52</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1897"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62</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塑料通风管道</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1.名 称：pp通风管</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2.形 状：矩形</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3.规 格：δ=6，长边长1250mm以下</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4、采用法兰连接</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5、风管支吊架制安</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6、具体要求详见暖通设计说明</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m2</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30.56</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659"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63</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原新风管部分拆除</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原新风管部分拆除</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项</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659"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64</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铁构件</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1、一般铁构件制作</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2、一般铁构件安装</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kg</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280.00</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659"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65</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通风管道绝热</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1.橡塑板安装 风管(厚度mm)10mm</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m3</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13.00</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467" w:hRule="atLeast"/>
        </w:trPr>
        <w:tc>
          <w:tcPr>
            <w:tcW w:w="10477"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二、建筑</w:t>
            </w:r>
          </w:p>
        </w:tc>
      </w:tr>
      <w:tr>
        <w:tblPrEx>
          <w:tblCellMar>
            <w:top w:w="15" w:type="dxa"/>
            <w:left w:w="15" w:type="dxa"/>
            <w:bottom w:w="15" w:type="dxa"/>
            <w:right w:w="15" w:type="dxa"/>
          </w:tblCellMar>
        </w:tblPrEx>
        <w:trPr>
          <w:trHeight w:val="467"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砖砌体拆除</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1.多孔砖墙拆除</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m3</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4.61</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467"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2</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砌块墙</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1.蒸压加气混凝土砌块 墙厚150mm以内^水泥砂浆 M7.5</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m3</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12.65</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659"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3</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墙面一般抹灰</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1.内墙砂浆抹灰 14+6mm厚^水泥砂浆 1:3</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m2</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229.23</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659"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4</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墙面一般抹灰</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1.墙面贴玻璃纤维网格布</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m2</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229.23</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659"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5</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墙面涂料铲除至抹灰层</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1.墙面涂料铲除至抹灰层</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m2</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40.00</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659"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6</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墙面喷刷涂料</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1.墙、柱面刷乳胶漆 ~二遍</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m2</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450.78</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467"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7</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玻璃隔断</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1.铝合金框玻璃隔断（具体样式由业主确认）</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m2</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55.59</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968"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8</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石材窗台板</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1.石材窗台板 干混砂浆铺贴^水泥砂浆 M10.0</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2.石材磨小圆边</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m2</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0.84</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659"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9</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金属（塑钢）门</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1.铝合金平开门安装`设计为普通铝合金型材+单片玻璃时</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m2</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5.04</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659"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10</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电动气密门</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1.电动气密门（含其他五金配件）</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2.综合考虑电路接引费用</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m2</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10.32</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968"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11</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垫层</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1.现浇混凝土 基础 垫层^现浇现拌混凝土 C15（40）</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2.现场搅拌混凝土调整费</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m3</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0.61</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659"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12</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块料墙面</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1.墙面（干混砂浆）粘贴300*450瓷砖^水泥砂浆 1:3</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m2</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29.16</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659"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13</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墙面装饰抹灰</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1.墙面砂浆打底找平 15mm厚^水泥砂浆 M10.0</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m2</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29.16</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659"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14</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墙面涂膜防水</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1.立面聚合物水泥防水涂料 ~厚1.5(mm)</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m2</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29.16</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659"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15</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块料楼地面</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1.300*300地砖楼地面（干混砂浆铺贴） 周长1200mm以内 密缝 ^水泥砂浆 1:3</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m2</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15.92</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659"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16</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水泥砂浆楼地面</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1.砂浆找平层^水泥砂浆 1:3~厚20mm</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m2</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13.48</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659"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17</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楼（地）面涂膜防水</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1.平面聚合物水泥防水涂料 ~厚1.5(mm)</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m2</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13.48</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467"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18</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木质踢脚线</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1.木质面层成品踢脚线 粘贴式</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m</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99.62</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1278"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19</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木质防火门</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1.成品木质甲级防火门安装^水泥砂浆 1:3（含其他五金小配件）</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2.明装闭门器</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3.顺位器安装</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m2</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4.20</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659"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20</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木质门带套</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1.成品套装木门安装 双扇门</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2.含其他五金小配件</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樘</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659"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21</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木质门带套</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1.成品套装木门安装 单扇门</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2.含其他五金小配件</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樘</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15</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659"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22</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天棚面龙骨及饰面拆除</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1.天棚金属龙骨及金属面拆除</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m2</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20.00</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467"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23</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吊顶天棚</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1、铝扣板吊顶（含龙骨及相应配件）</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m2</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111.66</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659"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24</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水泥砂浆楼地面</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1.砂浆面层大便坑（10只）^水泥砂浆 1:3</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只</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659"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25</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平面块料拆除</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1.地砖地面拆除</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m2</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8.16</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659"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26</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垃圾清理及搬运</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1.垃圾清理及搬运</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车</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10</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10584"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27</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取材记录台</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1200*800*800取材记录台</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1、台面：不小于12.7mm厚白色实芯理化板台面，具有耐化学腐蚀、耐压、易清洁等特点</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2、柜体：不小于1.0mm优质冷扎钢板，经过酸洗除油、袪渍、清洁、磷化处理，再经EPOXY涂层厚度为80微米，最后经高温烘烤制作而成，抗压性强，耐酸碱，抗腐蚀，防水。</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3、背板、侧封板：不小于1.0mm优质冷轧钢板，经模具冲压成型，乳白色粉沫喷涂，涂层厚度为80微米，最后经高温烘烤制作而成。采用活动结构，安装预埋螺母，易装拆，便于水管、电气的维修。</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4、柜体门板及抽头：不小于1.0mm优质冷轧钢板双层结构夹心结构，外观浑然一体，整体美观大方且不变形、具有很强的抗压强度。</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5、层板：不小于1.0㎜优质冷轧钢板，经过酸洗除油、袪渍、清洁、磷化处理，再经乳白色粉体喷涂，涂层厚度为80微米，最后经高温烘烤制作而成，边缘光滑，不伤手。</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6、地脚：不小于1.8*￠38mm优质圆管经一次性模具冲压成型钢材，连接处由专用连接件(模具开发)连接，表面高压EPOXY静电粉沫喷涂，承载力强、结构合理、稳定性强。</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7、铰链：专用模具三合一锌合金旋转式铰链，弹性好，使用过程中无噪音，耐腐蚀。</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8、滑轨：进口阻尼优质三节导轨。</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9、拉手：采用铝合金拉手。</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color w:val="auto"/>
                <w:sz w:val="18"/>
                <w:szCs w:val="18"/>
                <w:highlight w:val="none"/>
                <w:lang w:bidi="ar"/>
              </w:rPr>
              <w:t>10、线槽：铝型材结构，可容纳电、网线、气体管道等；可自行拆卸，利于检修线路。</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台</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3</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ascii="宋体" w:hAnsi="宋体"/>
                <w:color w:val="auto"/>
                <w:sz w:val="18"/>
                <w:szCs w:val="18"/>
                <w:highlight w:val="none"/>
              </w:rPr>
              <w:drawing>
                <wp:inline distT="0" distB="0" distL="114300" distR="114300">
                  <wp:extent cx="1131570" cy="848360"/>
                  <wp:effectExtent l="0" t="0" r="11430" b="889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18"/>
                          <a:stretch>
                            <a:fillRect/>
                          </a:stretch>
                        </pic:blipFill>
                        <pic:spPr>
                          <a:xfrm>
                            <a:off x="0" y="0"/>
                            <a:ext cx="1131570" cy="848360"/>
                          </a:xfrm>
                          <a:prstGeom prst="rect">
                            <a:avLst/>
                          </a:prstGeom>
                          <a:noFill/>
                          <a:ln>
                            <a:noFill/>
                          </a:ln>
                        </pic:spPr>
                      </pic:pic>
                    </a:graphicData>
                  </a:graphic>
                </wp:inline>
              </w:drawing>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11631"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28</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全钢病理操作台</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2800*750*800全钢病理操作台</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1、台面：不小于12.7mm厚白色实芯理化板台面，具有耐化学腐蚀、耐压、易清洁等特点</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2、柜体：不小于1.0mm优质冷扎钢板，经过酸洗除油、袪渍、清洁、磷化处理，再经EPOXY涂层厚度为80微米，最后经高温烘烤制作而成，抗压性强，耐酸碱，抗腐蚀，防水。</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3、背板、侧封板：不小于1.0mm优质冷轧钢板，经模具冲压成型，乳白色粉沫喷涂，涂层厚度为80微米，最后经高温烘烤制作而成。采用活动结构，安装预埋螺母，易装拆，便于水管、电气的维修。</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4、柜体门板及抽头：不小于1.0mm优质冷轧钢板双层结构夹心结构，外观浑然一体，整体美观大方且不变形、具有很强的抗压强度。</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5、层板：不小于1.0㎜优质冷轧钢板，经过酸洗除油、袪渍、清洁、磷化处理，再经乳白色粉体喷涂，涂层厚度为80微米，最后经高温烘烤制作而成，边缘光滑，不伤手。</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6、地脚：不小于1.8*￠38mm优质圆管经一次性模具冲压成型钢材，连接处由专用连接件(模具开发)连接，表面高压EPOXY静电粉沫喷涂，承载力强、结构合理、稳定性强。</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7、铰链：专用模具三合一锌合金旋转式铰链，弹性好，使用过程中无噪音，耐腐蚀。</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8、滑轨：进口阻尼优质三节导轨。</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9、拉手：采用铝合金拉手。</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color w:val="auto"/>
                <w:sz w:val="18"/>
                <w:szCs w:val="18"/>
                <w:highlight w:val="none"/>
                <w:lang w:bidi="ar"/>
              </w:rPr>
              <w:t>10、线槽：铝型材结构，可容纳电、网线、气体管道等；可自行拆卸，利于检修线路。</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台</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2</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ascii="宋体" w:hAnsi="宋体"/>
                <w:color w:val="auto"/>
                <w:sz w:val="18"/>
                <w:szCs w:val="18"/>
                <w:highlight w:val="none"/>
              </w:rPr>
              <w:drawing>
                <wp:inline distT="0" distB="0" distL="114300" distR="114300">
                  <wp:extent cx="1131570" cy="848360"/>
                  <wp:effectExtent l="0" t="0" r="11430" b="889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8"/>
                          <a:stretch>
                            <a:fillRect/>
                          </a:stretch>
                        </pic:blipFill>
                        <pic:spPr>
                          <a:xfrm>
                            <a:off x="0" y="0"/>
                            <a:ext cx="1131570" cy="848360"/>
                          </a:xfrm>
                          <a:prstGeom prst="rect">
                            <a:avLst/>
                          </a:prstGeom>
                          <a:noFill/>
                          <a:ln>
                            <a:noFill/>
                          </a:ln>
                        </pic:spPr>
                      </pic:pic>
                    </a:graphicData>
                  </a:graphic>
                </wp:inline>
              </w:drawing>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7252"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29</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全不锈钢立式冲淋装置</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全不锈钢立式冲淋装置</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1.材质:不锈钢烤漆。</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2.涂层:高亮度环氧树脂烤漆涂层，有效抵御化学物质的腐蚀和紫外线的照射。</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3.冲淋器:SUS304不锈钢；紧急冲淋洗眼器用于冲洗全身；紧急冲淋洗眼器的冲淋开关球阀能在1秒内快速启动。在标准水压下，15分钟内，紧急冲淋洗眼器的冲淋喷头流量均可达到75.7升/分钟。</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4.冲淋器水流范围：标准水压下，在离固定底座1520mm水平面处，紧急冲淋洗眼器的冲淋器流出的水散开的范围为￠500mm。</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5.紧急洗眼器：SUS304不锈钢，紧急洗眼器用于清洗眼部、面部、手部等部位；紧急洗眼器洗眼盆高度适宜，双水孔出水设计，紧急洗眼器洗眼喷头孔位高度与角度完全依照面部比例进行设计；</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6.洗眼开关球阀能在1秒内快速启动。标准水压下，15分钟内，紧急洗眼器洗眼喷头流量均可达到1.5升/分钟。</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color w:val="auto"/>
                <w:sz w:val="18"/>
                <w:szCs w:val="18"/>
                <w:highlight w:val="none"/>
                <w:lang w:bidi="ar"/>
              </w:rPr>
              <w:t>7.洗眼喷头：加厚铜质。</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套</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ascii="宋体" w:hAnsi="宋体"/>
                <w:color w:val="auto"/>
                <w:sz w:val="18"/>
                <w:szCs w:val="18"/>
                <w:highlight w:val="none"/>
              </w:rPr>
              <w:drawing>
                <wp:inline distT="0" distB="0" distL="114300" distR="114300">
                  <wp:extent cx="1073150" cy="1073150"/>
                  <wp:effectExtent l="0" t="0" r="12700" b="12700"/>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19"/>
                          <a:stretch>
                            <a:fillRect/>
                          </a:stretch>
                        </pic:blipFill>
                        <pic:spPr>
                          <a:xfrm>
                            <a:off x="0" y="0"/>
                            <a:ext cx="1073150" cy="1073150"/>
                          </a:xfrm>
                          <a:prstGeom prst="rect">
                            <a:avLst/>
                          </a:prstGeom>
                          <a:noFill/>
                          <a:ln>
                            <a:noFill/>
                          </a:ln>
                        </pic:spPr>
                      </pic:pic>
                    </a:graphicData>
                  </a:graphic>
                </wp:inline>
              </w:drawing>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4271"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30</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立式脱水机通风排毒柜</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2000*1100*2350立式脱水机通风排毒柜</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val="zh-CN"/>
              </w:rPr>
              <w:t>★</w:t>
            </w:r>
            <w:r>
              <w:rPr>
                <w:rFonts w:hint="eastAsia" w:ascii="宋体" w:hAnsi="宋体"/>
                <w:color w:val="auto"/>
                <w:sz w:val="18"/>
                <w:szCs w:val="18"/>
                <w:highlight w:val="none"/>
                <w:lang w:bidi="ar"/>
              </w:rPr>
              <w:t>1、左、右立柱由铝型材开模挤出成型，壁厚2mm，带圆弧式设计（R45mm），经数控铣床机钻铣加工而成，表面经环氧树脂粉末静电流水线自动化喷涂及高温固化，美观大方；</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2、左右旁板、前钢板均采用1.0mm厚冷轧钢板，由全自动数控激光切割机下料，折弯采用全自动数控折弯机一次性一体折弯成型，表面经环氧树脂粉末静电流水线自动化喷涂及高温固化；</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 xml:space="preserve">3、顶板为7.5mm厚抗倍特板，后背板为5mm厚抗倍特板制作，具有良好的耐酸碱腐蚀性。 </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4、固定视窗≥4mm厚防爆钢化玻璃，上下各由铝型材扁料加固。</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5、移动视窗≥5mm厚防爆钢化玻璃，上下滑动自如，可停留于轨道任何位置，方便使用者操作。</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val="zh-CN"/>
              </w:rPr>
              <w:t>★</w:t>
            </w:r>
            <w:r>
              <w:rPr>
                <w:rFonts w:hint="eastAsia" w:ascii="宋体" w:hAnsi="宋体"/>
                <w:color w:val="auto"/>
                <w:sz w:val="18"/>
                <w:szCs w:val="18"/>
                <w:highlight w:val="none"/>
                <w:lang w:bidi="ar"/>
              </w:rPr>
              <w:t>6、内衬及导流板选用6mm厚岩板，内部经专业排风设计，可消除排气死角与不同密度气体的有效排放；</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val="zh-CN"/>
              </w:rPr>
              <w:t>★</w:t>
            </w:r>
            <w:r>
              <w:rPr>
                <w:rFonts w:hint="eastAsia" w:ascii="宋体" w:hAnsi="宋体"/>
                <w:color w:val="auto"/>
                <w:sz w:val="18"/>
                <w:szCs w:val="18"/>
                <w:highlight w:val="none"/>
                <w:lang w:bidi="ar"/>
              </w:rPr>
              <w:t>7.补风翼板采用304不锈钢材质，耐酸碱腐蚀性，比常规钣金喷涂更耐用；圆弧设计使导风更顺畅，无漩涡回流现象。</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8、整体左右三扇式移门设计，方便操作</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9、控制开关采用12V触摸式条形控制开关，集中控制整个电路系统</w:t>
            </w:r>
          </w:p>
          <w:p>
            <w:pPr>
              <w:pStyle w:val="2"/>
              <w:ind w:left="126" w:leftChars="35"/>
              <w:rPr>
                <w:rFonts w:ascii="宋体" w:hAnsi="宋体" w:eastAsiaTheme="minorEastAsia"/>
                <w:color w:val="auto"/>
                <w:sz w:val="18"/>
                <w:szCs w:val="18"/>
                <w:highlight w:val="none"/>
                <w:lang w:bidi="ar"/>
              </w:rPr>
            </w:pPr>
            <w:r>
              <w:rPr>
                <w:rFonts w:hint="eastAsia" w:ascii="宋体" w:hAnsi="宋体"/>
                <w:color w:val="auto"/>
                <w:sz w:val="18"/>
                <w:szCs w:val="18"/>
                <w:highlight w:val="none"/>
                <w:lang w:bidi="ar"/>
              </w:rPr>
              <w:t>10、 排气方式：须充分理解病理实验脱水试剂废气特性，为防止污染气体向实验室内挥发扩散，及时安全排除设备内部病理实验脱水试剂废气，提供优质具体解决方案，且需与实验室整体通风新风系统无缝对接，满足病理实验室生物安全需要。</w:t>
            </w:r>
          </w:p>
          <w:p>
            <w:pPr>
              <w:pStyle w:val="22"/>
              <w:ind w:firstLine="180"/>
              <w:rPr>
                <w:rFonts w:eastAsiaTheme="minorEastAsia"/>
                <w:color w:val="auto"/>
                <w:sz w:val="18"/>
                <w:szCs w:val="18"/>
                <w:highlight w:val="none"/>
                <w:lang w:bidi="ar"/>
              </w:rPr>
            </w:pPr>
            <w:r>
              <w:rPr>
                <w:rFonts w:hint="eastAsia" w:eastAsiaTheme="minorEastAsia"/>
                <w:color w:val="auto"/>
                <w:sz w:val="18"/>
                <w:szCs w:val="18"/>
                <w:highlight w:val="none"/>
                <w:lang w:bidi="ar"/>
              </w:rPr>
              <w:t>1</w:t>
            </w:r>
            <w:r>
              <w:rPr>
                <w:rFonts w:eastAsiaTheme="minorEastAsia"/>
                <w:color w:val="auto"/>
                <w:sz w:val="18"/>
                <w:szCs w:val="18"/>
                <w:highlight w:val="none"/>
                <w:lang w:bidi="ar"/>
              </w:rPr>
              <w:t>1</w:t>
            </w:r>
            <w:r>
              <w:rPr>
                <w:rFonts w:hint="eastAsia" w:eastAsiaTheme="minorEastAsia"/>
                <w:color w:val="auto"/>
                <w:sz w:val="18"/>
                <w:szCs w:val="18"/>
                <w:highlight w:val="none"/>
                <w:lang w:bidi="ar"/>
              </w:rPr>
              <w:t>、须配置紫外线杀菌装置，带定时启动器，可设置开启时间和关闭时间，方便操作</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color w:val="auto"/>
                <w:sz w:val="18"/>
                <w:szCs w:val="18"/>
                <w:highlight w:val="none"/>
                <w:lang w:bidi="ar"/>
              </w:rPr>
              <w:t>1</w:t>
            </w:r>
            <w:r>
              <w:rPr>
                <w:rFonts w:ascii="宋体" w:hAnsi="宋体"/>
                <w:color w:val="auto"/>
                <w:sz w:val="18"/>
                <w:szCs w:val="18"/>
                <w:highlight w:val="none"/>
                <w:lang w:bidi="ar"/>
              </w:rPr>
              <w:t>2</w:t>
            </w:r>
            <w:r>
              <w:rPr>
                <w:rFonts w:hint="eastAsia" w:ascii="宋体" w:hAnsi="宋体"/>
                <w:color w:val="auto"/>
                <w:sz w:val="18"/>
                <w:szCs w:val="18"/>
                <w:highlight w:val="none"/>
                <w:lang w:bidi="ar"/>
              </w:rPr>
              <w:t>、尺寸：2000*1100*2350mm</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台</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ascii="宋体" w:hAnsi="宋体"/>
                <w:color w:val="auto"/>
                <w:sz w:val="18"/>
                <w:szCs w:val="18"/>
                <w:highlight w:val="none"/>
              </w:rPr>
              <w:drawing>
                <wp:inline distT="0" distB="0" distL="114300" distR="114300">
                  <wp:extent cx="1132840" cy="1510030"/>
                  <wp:effectExtent l="0" t="0" r="10160" b="139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a:stretch>
                            <a:fillRect/>
                          </a:stretch>
                        </pic:blipFill>
                        <pic:spPr>
                          <a:xfrm>
                            <a:off x="0" y="0"/>
                            <a:ext cx="1132840" cy="1510030"/>
                          </a:xfrm>
                          <a:prstGeom prst="rect">
                            <a:avLst/>
                          </a:prstGeom>
                          <a:noFill/>
                          <a:ln>
                            <a:noFill/>
                          </a:ln>
                        </pic:spPr>
                      </pic:pic>
                    </a:graphicData>
                  </a:graphic>
                </wp:inline>
              </w:drawing>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565"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31</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全钢病理操作台</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3620*750*800全钢病理操作台</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1、台面：不小于12.7mm厚白色实芯理化板台面，具有耐化学腐蚀、耐压、易清洁等特点</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2、柜体：不小于1.0mm优质冷扎钢板，经过酸洗除油、袪渍、清洁、磷化处理，再经EPOXY涂层厚度为80微米，最后经高温烘烤制作而成，抗压性强，耐酸碱，抗腐蚀，防水。</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3、背板、侧封板：不小于1.0mm优质冷轧钢板，经模具冲压成型，乳白色粉沫喷涂，涂层厚度为80微米，最后经高温烘烤制作而成。采用活动结构，安装预埋螺母，易装拆，便于水管、电气的维修。</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4、柜体门板及抽头：不小于1.0mm优质冷轧钢板双层结构夹心结构，外观浑然一体，整体美观大方且不变形、具有很强的抗压强度。</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5、层板：不小于1.0㎜优质冷轧钢板，经过酸洗除油、袪渍、清洁、磷化处理，再经乳白色粉体喷涂，涂层厚度为80微米，最后经高温烘烤制作而成，边缘光滑，不伤手。</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6、地脚：不小于1.8*￠38mm优质圆管经一次性模具冲压成型钢材，连接处由专用连接件(模具开发)连接，表面高压EPOXY静电粉沫喷涂，承载力强、结构合理、稳定性强。</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7、铰链：专用模具三合一锌合金旋转式铰链，弹性好，使用过程中无噪音，耐腐蚀。</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8、滑轨：进口阻尼优质三节导轨。</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9、拉手：采用铝合金拉手。</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color w:val="auto"/>
                <w:sz w:val="18"/>
                <w:szCs w:val="18"/>
                <w:highlight w:val="none"/>
                <w:lang w:bidi="ar"/>
              </w:rPr>
              <w:t>10、线槽：铝型材结构，可容纳电、网线、气体管道等；可自行拆卸，利于检修线路。</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台</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2</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ascii="宋体" w:hAnsi="宋体"/>
                <w:color w:val="auto"/>
                <w:sz w:val="18"/>
                <w:szCs w:val="18"/>
                <w:highlight w:val="none"/>
              </w:rPr>
              <w:drawing>
                <wp:inline distT="0" distB="0" distL="114300" distR="114300">
                  <wp:extent cx="1131570" cy="848360"/>
                  <wp:effectExtent l="0" t="0" r="11430" b="8890"/>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18"/>
                          <a:stretch>
                            <a:fillRect/>
                          </a:stretch>
                        </pic:blipFill>
                        <pic:spPr>
                          <a:xfrm>
                            <a:off x="0" y="0"/>
                            <a:ext cx="1131570" cy="848360"/>
                          </a:xfrm>
                          <a:prstGeom prst="rect">
                            <a:avLst/>
                          </a:prstGeom>
                          <a:noFill/>
                          <a:ln>
                            <a:noFill/>
                          </a:ln>
                        </pic:spPr>
                      </pic:pic>
                    </a:graphicData>
                  </a:graphic>
                </wp:inline>
              </w:drawing>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9846"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32</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大型染色封片一体机通风排毒柜</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2500*1100*2350大型染色封片一体机通风排毒柜</w:t>
            </w:r>
          </w:p>
          <w:p>
            <w:pPr>
              <w:pStyle w:val="2"/>
              <w:rPr>
                <w:rFonts w:ascii="宋体" w:hAnsi="宋体"/>
                <w:color w:val="auto"/>
                <w:sz w:val="18"/>
                <w:szCs w:val="18"/>
                <w:highlight w:val="none"/>
                <w:lang w:bidi="ar"/>
              </w:rPr>
            </w:pPr>
            <w:r>
              <w:rPr>
                <w:rFonts w:hint="eastAsia" w:ascii="宋体" w:hAnsi="宋体"/>
                <w:color w:val="auto"/>
                <w:sz w:val="18"/>
                <w:szCs w:val="18"/>
                <w:highlight w:val="none"/>
                <w:lang w:val="zh-CN"/>
              </w:rPr>
              <w:t>★</w:t>
            </w:r>
            <w:r>
              <w:rPr>
                <w:rFonts w:hint="eastAsia" w:ascii="宋体" w:hAnsi="宋体"/>
                <w:color w:val="auto"/>
                <w:sz w:val="18"/>
                <w:szCs w:val="18"/>
                <w:highlight w:val="none"/>
                <w:lang w:bidi="ar"/>
              </w:rPr>
              <w:t>1、左、右立柱由铝型材开模挤出成型，壁厚2mm，带圆弧式设计（R45mm），经数控铣床机钻铣加工而成，表面经环氧树脂粉末静电流水线自动化喷涂及高温固化，美观大方；</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2、左右旁板、前钢板均采用1.0mm厚冷轧钢板，由全自动数控激光切割机下料，折弯采用全自动数控折弯机一次性一体折弯成型，表面经环氧树脂粉末静电流水线自动化喷涂及高温固化；</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3、顶板为7.5mm厚抗倍特板，后背板为5mm厚抗倍特板制作，具有良好的耐酸碱腐蚀性。</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4、整体落地式设计，内置可移动仪器台，台面采用一次成型全304不锈钢台面，厚度不小于2mm，可满足放置徕卡，樱花等所有品牌染色封片一体机。</w:t>
            </w:r>
          </w:p>
          <w:p>
            <w:pPr>
              <w:pStyle w:val="2"/>
              <w:rPr>
                <w:rFonts w:ascii="宋体" w:hAnsi="宋体"/>
                <w:color w:val="auto"/>
                <w:sz w:val="18"/>
                <w:szCs w:val="18"/>
                <w:highlight w:val="none"/>
                <w:lang w:bidi="ar"/>
              </w:rPr>
            </w:pPr>
            <w:r>
              <w:rPr>
                <w:rFonts w:hint="eastAsia" w:ascii="宋体" w:hAnsi="宋体"/>
                <w:color w:val="auto"/>
                <w:sz w:val="18"/>
                <w:szCs w:val="18"/>
                <w:highlight w:val="none"/>
                <w:lang w:val="zh-CN"/>
              </w:rPr>
              <w:t>★</w:t>
            </w:r>
            <w:r>
              <w:rPr>
                <w:rFonts w:hint="eastAsia" w:ascii="宋体" w:hAnsi="宋体"/>
                <w:color w:val="auto"/>
                <w:sz w:val="18"/>
                <w:szCs w:val="18"/>
                <w:highlight w:val="none"/>
                <w:lang w:bidi="ar"/>
              </w:rPr>
              <w:t>5、控制开关采用12V触摸式条形控制开关，集中控制整个电路系统</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6、整体左右三扇式移门设计，方便操作 。</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7、三块导流板使处于不同高度空间的有害气体分别从不同的段区排出。通风柜以操作表面风速0.5m/s的速度将通风柜中的空气排出，确保无任何残留气体存在。</w:t>
            </w:r>
          </w:p>
          <w:p>
            <w:pPr>
              <w:pStyle w:val="2"/>
              <w:rPr>
                <w:rFonts w:ascii="宋体" w:hAnsi="宋体" w:eastAsiaTheme="minorEastAsia"/>
                <w:color w:val="auto"/>
                <w:sz w:val="18"/>
                <w:szCs w:val="18"/>
                <w:highlight w:val="none"/>
                <w:lang w:bidi="ar"/>
              </w:rPr>
            </w:pPr>
            <w:r>
              <w:rPr>
                <w:rFonts w:hint="eastAsia" w:ascii="宋体" w:hAnsi="宋体"/>
                <w:color w:val="auto"/>
                <w:sz w:val="18"/>
                <w:szCs w:val="18"/>
                <w:highlight w:val="none"/>
                <w:lang w:bidi="ar"/>
              </w:rPr>
              <w:t>8.、排气方式：须充分理解病理染色废气特性，为防止污染气体向实验室内挥发扩散，及时安全排除设备内部病理染色废气，提供优质具体解决方案，且需与实验室整体通风新风系统无缝对接，满足病理实验室生物安全需要。</w:t>
            </w:r>
          </w:p>
          <w:p>
            <w:pPr>
              <w:pStyle w:val="22"/>
              <w:ind w:firstLine="0" w:firstLineChars="0"/>
              <w:rPr>
                <w:rFonts w:eastAsiaTheme="minorEastAsia"/>
                <w:color w:val="auto"/>
                <w:highlight w:val="none"/>
                <w:lang w:bidi="ar"/>
              </w:rPr>
            </w:pPr>
            <w:r>
              <w:rPr>
                <w:rFonts w:eastAsiaTheme="minorEastAsia"/>
                <w:color w:val="auto"/>
                <w:sz w:val="18"/>
                <w:szCs w:val="18"/>
                <w:highlight w:val="none"/>
                <w:lang w:bidi="ar"/>
              </w:rPr>
              <w:t>9</w:t>
            </w:r>
            <w:r>
              <w:rPr>
                <w:rFonts w:hint="eastAsia" w:eastAsiaTheme="minorEastAsia"/>
                <w:color w:val="auto"/>
                <w:sz w:val="18"/>
                <w:szCs w:val="18"/>
                <w:highlight w:val="none"/>
                <w:lang w:bidi="ar"/>
              </w:rPr>
              <w:t>、须配置紫外线杀菌装置，带定时启动器，可设置开启时间和关闭时间，方便操作</w:t>
            </w:r>
          </w:p>
          <w:p>
            <w:pPr>
              <w:widowControl/>
              <w:jc w:val="left"/>
              <w:textAlignment w:val="center"/>
              <w:rPr>
                <w:rFonts w:ascii="宋体" w:hAnsi="宋体" w:eastAsia="宋体" w:cs="宋体"/>
                <w:color w:val="auto"/>
                <w:kern w:val="0"/>
                <w:sz w:val="18"/>
                <w:szCs w:val="18"/>
                <w:highlight w:val="none"/>
                <w:lang w:bidi="ar"/>
              </w:rPr>
            </w:pPr>
            <w:r>
              <w:rPr>
                <w:rFonts w:ascii="宋体" w:hAnsi="宋体"/>
                <w:color w:val="auto"/>
                <w:sz w:val="18"/>
                <w:szCs w:val="18"/>
                <w:highlight w:val="none"/>
                <w:lang w:bidi="ar"/>
              </w:rPr>
              <w:t>10</w:t>
            </w:r>
            <w:r>
              <w:rPr>
                <w:rFonts w:hint="eastAsia" w:ascii="宋体" w:hAnsi="宋体"/>
                <w:color w:val="auto"/>
                <w:sz w:val="18"/>
                <w:szCs w:val="18"/>
                <w:highlight w:val="none"/>
                <w:lang w:bidi="ar"/>
              </w:rPr>
              <w:t>、规格：2500*1100*2350mm</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台</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ascii="宋体" w:hAnsi="宋体"/>
                <w:color w:val="auto"/>
                <w:sz w:val="18"/>
                <w:szCs w:val="18"/>
                <w:highlight w:val="none"/>
              </w:rPr>
              <w:drawing>
                <wp:inline distT="0" distB="0" distL="114300" distR="114300">
                  <wp:extent cx="1132840" cy="1510030"/>
                  <wp:effectExtent l="0" t="0" r="10160" b="13970"/>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1"/>
                          <a:stretch>
                            <a:fillRect/>
                          </a:stretch>
                        </pic:blipFill>
                        <pic:spPr>
                          <a:xfrm>
                            <a:off x="0" y="0"/>
                            <a:ext cx="1132840" cy="1510030"/>
                          </a:xfrm>
                          <a:prstGeom prst="rect">
                            <a:avLst/>
                          </a:prstGeom>
                          <a:noFill/>
                          <a:ln>
                            <a:noFill/>
                          </a:ln>
                        </pic:spPr>
                      </pic:pic>
                    </a:graphicData>
                  </a:graphic>
                </wp:inline>
              </w:drawing>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12679"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33</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手工染色通风排毒柜</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1500*850*2350手工染色通风排毒柜</w:t>
            </w:r>
          </w:p>
          <w:p>
            <w:pPr>
              <w:pStyle w:val="2"/>
              <w:spacing w:line="260" w:lineRule="exact"/>
              <w:rPr>
                <w:rFonts w:ascii="宋体" w:hAnsi="宋体"/>
                <w:color w:val="auto"/>
                <w:sz w:val="18"/>
                <w:szCs w:val="18"/>
                <w:highlight w:val="none"/>
                <w:lang w:bidi="ar"/>
              </w:rPr>
            </w:pPr>
            <w:r>
              <w:rPr>
                <w:rFonts w:hint="eastAsia" w:ascii="宋体" w:hAnsi="宋体"/>
                <w:color w:val="auto"/>
                <w:sz w:val="18"/>
                <w:szCs w:val="18"/>
                <w:highlight w:val="none"/>
                <w:lang w:val="zh-CN"/>
              </w:rPr>
              <w:t>★</w:t>
            </w:r>
            <w:r>
              <w:rPr>
                <w:rFonts w:hint="eastAsia" w:ascii="宋体" w:hAnsi="宋体"/>
                <w:color w:val="auto"/>
                <w:sz w:val="18"/>
                <w:szCs w:val="18"/>
                <w:highlight w:val="none"/>
                <w:lang w:bidi="ar"/>
              </w:rPr>
              <w:t>1、左、右立柱由铝型材开模挤出成型，壁厚2mm，带圆弧式设计（R45mm），经数控铣床机钻铣加工而成，表面经环氧树脂粉末静电流水线自动化喷涂及高温固化，美观大方；</w:t>
            </w:r>
          </w:p>
          <w:p>
            <w:pPr>
              <w:pStyle w:val="2"/>
              <w:spacing w:line="260" w:lineRule="exact"/>
              <w:rPr>
                <w:rFonts w:ascii="宋体" w:hAnsi="宋体"/>
                <w:color w:val="auto"/>
                <w:sz w:val="18"/>
                <w:szCs w:val="18"/>
                <w:highlight w:val="none"/>
                <w:lang w:bidi="ar"/>
              </w:rPr>
            </w:pPr>
            <w:r>
              <w:rPr>
                <w:rFonts w:hint="eastAsia" w:ascii="宋体" w:hAnsi="宋体"/>
                <w:color w:val="auto"/>
                <w:sz w:val="18"/>
                <w:szCs w:val="18"/>
                <w:highlight w:val="none"/>
                <w:lang w:bidi="ar"/>
              </w:rPr>
              <w:t>2、左右旁板、前钢板均采用1.0mm厚冷轧钢板，由全自动数控激光切割机下料，折弯采用全自动数控折弯机一次性一体折弯成型，表面经环氧树脂粉末静电流水线自动化喷涂及高温固化；</w:t>
            </w:r>
          </w:p>
          <w:p>
            <w:pPr>
              <w:pStyle w:val="2"/>
              <w:spacing w:line="260" w:lineRule="exact"/>
              <w:rPr>
                <w:rFonts w:ascii="宋体" w:hAnsi="宋体"/>
                <w:color w:val="auto"/>
                <w:sz w:val="18"/>
                <w:szCs w:val="18"/>
                <w:highlight w:val="none"/>
                <w:lang w:bidi="ar"/>
              </w:rPr>
            </w:pPr>
            <w:r>
              <w:rPr>
                <w:rFonts w:hint="eastAsia" w:ascii="宋体" w:hAnsi="宋体"/>
                <w:color w:val="auto"/>
                <w:sz w:val="18"/>
                <w:szCs w:val="18"/>
                <w:highlight w:val="none"/>
                <w:lang w:bidi="ar"/>
              </w:rPr>
              <w:t xml:space="preserve">3、顶板为7.5mm厚抗倍特板，后背板为5mm厚抗倍特板制作，具有良好的耐酸碱腐蚀性。 </w:t>
            </w:r>
          </w:p>
          <w:p>
            <w:pPr>
              <w:pStyle w:val="2"/>
              <w:spacing w:line="260" w:lineRule="exact"/>
              <w:rPr>
                <w:rFonts w:ascii="宋体" w:hAnsi="宋体"/>
                <w:color w:val="auto"/>
                <w:sz w:val="18"/>
                <w:szCs w:val="18"/>
                <w:highlight w:val="none"/>
                <w:lang w:bidi="ar"/>
              </w:rPr>
            </w:pPr>
            <w:r>
              <w:rPr>
                <w:rFonts w:hint="eastAsia" w:ascii="宋体" w:hAnsi="宋体"/>
                <w:color w:val="auto"/>
                <w:sz w:val="18"/>
                <w:szCs w:val="18"/>
                <w:highlight w:val="none"/>
                <w:lang w:bidi="ar"/>
              </w:rPr>
              <w:t>4、固定视窗≥4mm厚防爆钢化玻璃，上下各由铝型材扁料加固。</w:t>
            </w:r>
          </w:p>
          <w:p>
            <w:pPr>
              <w:pStyle w:val="2"/>
              <w:spacing w:line="260" w:lineRule="exact"/>
              <w:rPr>
                <w:rFonts w:ascii="宋体" w:hAnsi="宋体"/>
                <w:color w:val="auto"/>
                <w:sz w:val="18"/>
                <w:szCs w:val="18"/>
                <w:highlight w:val="none"/>
                <w:lang w:bidi="ar"/>
              </w:rPr>
            </w:pPr>
            <w:r>
              <w:rPr>
                <w:rFonts w:hint="eastAsia" w:ascii="宋体" w:hAnsi="宋体"/>
                <w:color w:val="auto"/>
                <w:sz w:val="18"/>
                <w:szCs w:val="18"/>
                <w:highlight w:val="none"/>
                <w:lang w:bidi="ar"/>
              </w:rPr>
              <w:t>5、移动视窗≥5mm厚防爆钢化玻璃，上下滑动自如，可停留于轨道任何位置，方便使用者操作。</w:t>
            </w:r>
          </w:p>
          <w:p>
            <w:pPr>
              <w:pStyle w:val="2"/>
              <w:spacing w:line="260" w:lineRule="exact"/>
              <w:rPr>
                <w:rFonts w:ascii="宋体" w:hAnsi="宋体"/>
                <w:color w:val="auto"/>
                <w:sz w:val="18"/>
                <w:szCs w:val="18"/>
                <w:highlight w:val="none"/>
                <w:lang w:bidi="ar"/>
              </w:rPr>
            </w:pPr>
            <w:r>
              <w:rPr>
                <w:rFonts w:hint="eastAsia" w:ascii="宋体" w:hAnsi="宋体"/>
                <w:color w:val="auto"/>
                <w:sz w:val="18"/>
                <w:szCs w:val="18"/>
                <w:highlight w:val="none"/>
                <w:lang w:val="zh-CN"/>
              </w:rPr>
              <w:t>★</w:t>
            </w:r>
            <w:r>
              <w:rPr>
                <w:rFonts w:hint="eastAsia" w:ascii="宋体" w:hAnsi="宋体"/>
                <w:color w:val="auto"/>
                <w:sz w:val="18"/>
                <w:szCs w:val="18"/>
                <w:highlight w:val="none"/>
                <w:lang w:bidi="ar"/>
              </w:rPr>
              <w:t>6、内衬及导流板选用6mm厚岩板，内部经专业排风设计，可消除排气死角与不同密度气体的有效排放；</w:t>
            </w:r>
          </w:p>
          <w:p>
            <w:pPr>
              <w:pStyle w:val="2"/>
              <w:spacing w:line="260" w:lineRule="exact"/>
              <w:rPr>
                <w:rFonts w:ascii="宋体" w:hAnsi="宋体"/>
                <w:color w:val="auto"/>
                <w:sz w:val="18"/>
                <w:szCs w:val="18"/>
                <w:highlight w:val="none"/>
                <w:lang w:bidi="ar"/>
              </w:rPr>
            </w:pPr>
            <w:r>
              <w:rPr>
                <w:rFonts w:hint="eastAsia" w:ascii="宋体" w:hAnsi="宋体"/>
                <w:color w:val="auto"/>
                <w:sz w:val="18"/>
                <w:szCs w:val="18"/>
                <w:highlight w:val="none"/>
                <w:lang w:val="zh-CN"/>
              </w:rPr>
              <w:t>★</w:t>
            </w:r>
            <w:r>
              <w:rPr>
                <w:rFonts w:hint="eastAsia" w:ascii="宋体" w:hAnsi="宋体"/>
                <w:color w:val="auto"/>
                <w:sz w:val="18"/>
                <w:szCs w:val="18"/>
                <w:highlight w:val="none"/>
                <w:lang w:bidi="ar"/>
              </w:rPr>
              <w:t>7.补风翼板采用304不锈钢材质，耐酸碱腐蚀性，比常规钣金喷涂更耐用；圆弧设计使导风更顺畅，无漩涡回流现象。</w:t>
            </w:r>
          </w:p>
          <w:p>
            <w:pPr>
              <w:pStyle w:val="2"/>
              <w:spacing w:line="260" w:lineRule="exact"/>
              <w:rPr>
                <w:rFonts w:ascii="宋体" w:hAnsi="宋体"/>
                <w:color w:val="auto"/>
                <w:sz w:val="18"/>
                <w:szCs w:val="18"/>
                <w:highlight w:val="none"/>
                <w:lang w:bidi="ar"/>
              </w:rPr>
            </w:pPr>
            <w:r>
              <w:rPr>
                <w:rFonts w:hint="eastAsia" w:ascii="宋体" w:hAnsi="宋体"/>
                <w:color w:val="auto"/>
                <w:sz w:val="18"/>
                <w:szCs w:val="18"/>
                <w:highlight w:val="none"/>
                <w:lang w:bidi="ar"/>
              </w:rPr>
              <w:t>8.限位装置有500mm高限位锁装置，需要手动解锁才能推拉玻璃门至超过500mm高的位置，让通风柜更安全。</w:t>
            </w:r>
          </w:p>
          <w:p>
            <w:pPr>
              <w:pStyle w:val="2"/>
              <w:spacing w:line="260" w:lineRule="exact"/>
              <w:rPr>
                <w:rFonts w:ascii="宋体" w:hAnsi="宋体"/>
                <w:color w:val="auto"/>
                <w:sz w:val="18"/>
                <w:szCs w:val="18"/>
                <w:highlight w:val="none"/>
                <w:lang w:bidi="ar"/>
              </w:rPr>
            </w:pPr>
            <w:r>
              <w:rPr>
                <w:rFonts w:hint="eastAsia" w:ascii="宋体" w:hAnsi="宋体"/>
                <w:color w:val="auto"/>
                <w:sz w:val="18"/>
                <w:szCs w:val="18"/>
                <w:highlight w:val="none"/>
                <w:lang w:bidi="ar"/>
              </w:rPr>
              <w:t>9、台面采用一次成型全304不锈钢台面，厚度不小于2mm，配备一次成型全不锈钢水池和单口水龙头，周围带一体式45度斜口挡水边，水池尺寸：440*330*250mm</w:t>
            </w:r>
          </w:p>
          <w:p>
            <w:pPr>
              <w:pStyle w:val="2"/>
              <w:spacing w:line="260" w:lineRule="exact"/>
              <w:rPr>
                <w:rFonts w:ascii="宋体" w:hAnsi="宋体"/>
                <w:color w:val="auto"/>
                <w:sz w:val="18"/>
                <w:szCs w:val="18"/>
                <w:highlight w:val="none"/>
                <w:lang w:bidi="ar"/>
              </w:rPr>
            </w:pPr>
            <w:r>
              <w:rPr>
                <w:rFonts w:hint="eastAsia" w:ascii="宋体" w:hAnsi="宋体"/>
                <w:color w:val="auto"/>
                <w:sz w:val="18"/>
                <w:szCs w:val="18"/>
                <w:highlight w:val="none"/>
                <w:lang w:val="zh-CN"/>
              </w:rPr>
              <w:t>★</w:t>
            </w:r>
            <w:r>
              <w:rPr>
                <w:rFonts w:hint="eastAsia" w:ascii="宋体" w:hAnsi="宋体"/>
                <w:color w:val="auto"/>
                <w:sz w:val="18"/>
                <w:szCs w:val="18"/>
                <w:highlight w:val="none"/>
                <w:lang w:bidi="ar"/>
              </w:rPr>
              <w:t>10、控制开关采用12V触摸式条形控制开关，集中控制整个电路系统</w:t>
            </w:r>
          </w:p>
          <w:p>
            <w:pPr>
              <w:pStyle w:val="2"/>
              <w:spacing w:line="260" w:lineRule="exact"/>
              <w:rPr>
                <w:rFonts w:ascii="宋体" w:hAnsi="宋体" w:eastAsia="宋体" w:cs="宋体"/>
                <w:color w:val="auto"/>
                <w:sz w:val="18"/>
                <w:szCs w:val="18"/>
                <w:highlight w:val="none"/>
                <w:lang w:bidi="ar"/>
              </w:rPr>
            </w:pPr>
            <w:r>
              <w:rPr>
                <w:rFonts w:hint="eastAsia" w:ascii="宋体" w:hAnsi="宋体"/>
                <w:color w:val="auto"/>
                <w:sz w:val="18"/>
                <w:szCs w:val="18"/>
                <w:highlight w:val="none"/>
                <w:lang w:bidi="ar"/>
              </w:rPr>
              <w:t>11</w:t>
            </w:r>
            <w:r>
              <w:rPr>
                <w:rFonts w:hint="eastAsia" w:ascii="宋体" w:hAnsi="宋体" w:eastAsia="宋体" w:cs="宋体"/>
                <w:color w:val="auto"/>
                <w:sz w:val="18"/>
                <w:szCs w:val="18"/>
                <w:highlight w:val="none"/>
                <w:lang w:bidi="ar"/>
              </w:rPr>
              <w:t>、排气方式：须充分理解病理染色废气特性，为防止污染气体向实验室内挥发扩散，及时安全排除设备内部病理染色废气，提供优质具体解决方案，且需与实验室整体通风新风系统无缝对接，满足病理实验室生物安全需要。</w:t>
            </w:r>
          </w:p>
          <w:p>
            <w:pPr>
              <w:pStyle w:val="2"/>
              <w:spacing w:line="260" w:lineRule="exact"/>
              <w:rPr>
                <w:rFonts w:ascii="宋体" w:hAnsi="宋体" w:eastAsiaTheme="minorEastAsia"/>
                <w:color w:val="auto"/>
                <w:sz w:val="18"/>
                <w:szCs w:val="18"/>
                <w:highlight w:val="none"/>
                <w:lang w:bidi="ar"/>
              </w:rPr>
            </w:pPr>
            <w:r>
              <w:rPr>
                <w:rFonts w:hint="eastAsia" w:eastAsiaTheme="minorEastAsia"/>
                <w:color w:val="auto"/>
                <w:sz w:val="18"/>
                <w:szCs w:val="18"/>
                <w:highlight w:val="none"/>
                <w:lang w:bidi="ar"/>
              </w:rPr>
              <w:t>1</w:t>
            </w:r>
            <w:r>
              <w:rPr>
                <w:rFonts w:eastAsiaTheme="minorEastAsia"/>
                <w:color w:val="auto"/>
                <w:sz w:val="18"/>
                <w:szCs w:val="18"/>
                <w:highlight w:val="none"/>
                <w:lang w:bidi="ar"/>
              </w:rPr>
              <w:t>2</w:t>
            </w:r>
            <w:r>
              <w:rPr>
                <w:rFonts w:hint="eastAsia" w:eastAsiaTheme="minorEastAsia"/>
                <w:color w:val="auto"/>
                <w:sz w:val="18"/>
                <w:szCs w:val="18"/>
                <w:highlight w:val="none"/>
                <w:lang w:bidi="ar"/>
              </w:rPr>
              <w:t>、须配置紫外线杀菌装置，带定时启动器，可设置开启时间和关闭时间，方便操作</w:t>
            </w:r>
          </w:p>
          <w:p>
            <w:pPr>
              <w:widowControl/>
              <w:spacing w:line="260" w:lineRule="exact"/>
              <w:jc w:val="left"/>
              <w:textAlignment w:val="center"/>
              <w:rPr>
                <w:rFonts w:ascii="宋体" w:hAnsi="宋体" w:eastAsia="宋体" w:cs="宋体"/>
                <w:color w:val="auto"/>
                <w:kern w:val="0"/>
                <w:sz w:val="18"/>
                <w:szCs w:val="18"/>
                <w:highlight w:val="none"/>
                <w:lang w:bidi="ar"/>
              </w:rPr>
            </w:pPr>
            <w:r>
              <w:rPr>
                <w:rFonts w:ascii="Segoe UI Symbol" w:hAnsi="Segoe UI Symbol" w:cs="Segoe UI Symbol"/>
                <w:color w:val="auto"/>
                <w:sz w:val="18"/>
                <w:szCs w:val="18"/>
                <w:highlight w:val="none"/>
                <w:lang w:val="zh-CN"/>
              </w:rPr>
              <w:t>★</w:t>
            </w:r>
            <w:r>
              <w:rPr>
                <w:rFonts w:ascii="宋体" w:hAnsi="宋体"/>
                <w:color w:val="auto"/>
                <w:sz w:val="18"/>
                <w:szCs w:val="18"/>
                <w:highlight w:val="none"/>
                <w:lang w:bidi="ar"/>
              </w:rPr>
              <w:t>13</w:t>
            </w:r>
            <w:r>
              <w:rPr>
                <w:rFonts w:hint="eastAsia" w:ascii="宋体" w:hAnsi="宋体"/>
                <w:color w:val="auto"/>
                <w:sz w:val="18"/>
                <w:szCs w:val="18"/>
                <w:highlight w:val="none"/>
                <w:lang w:bidi="ar"/>
              </w:rPr>
              <w:t>、开标时提供符合招标文件参数要求的手工染色通风排毒柜实物照片，须提供证明左、右立柱由铝型材开模挤出成型，壁厚2mm，带圆弧式设计（R45mm）（附标尺证明其圆弧角度）</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台</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3</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ascii="宋体" w:hAnsi="宋体"/>
                <w:color w:val="auto"/>
                <w:sz w:val="18"/>
                <w:szCs w:val="18"/>
                <w:highlight w:val="none"/>
              </w:rPr>
              <w:drawing>
                <wp:inline distT="0" distB="0" distL="114300" distR="114300">
                  <wp:extent cx="1126490" cy="845185"/>
                  <wp:effectExtent l="0" t="0" r="16510" b="12065"/>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22"/>
                          <a:stretch>
                            <a:fillRect/>
                          </a:stretch>
                        </pic:blipFill>
                        <pic:spPr>
                          <a:xfrm>
                            <a:off x="0" y="0"/>
                            <a:ext cx="1126490" cy="845185"/>
                          </a:xfrm>
                          <a:prstGeom prst="rect">
                            <a:avLst/>
                          </a:prstGeom>
                          <a:noFill/>
                          <a:ln>
                            <a:noFill/>
                          </a:ln>
                        </pic:spPr>
                      </pic:pic>
                    </a:graphicData>
                  </a:graphic>
                </wp:inline>
              </w:drawing>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11750"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34</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染色对片通风排毒柜</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1500*850*2350染色对片通风排毒柜</w:t>
            </w:r>
          </w:p>
          <w:p>
            <w:pPr>
              <w:pStyle w:val="2"/>
              <w:rPr>
                <w:rFonts w:ascii="宋体" w:hAnsi="宋体"/>
                <w:color w:val="auto"/>
                <w:sz w:val="18"/>
                <w:szCs w:val="18"/>
                <w:highlight w:val="none"/>
                <w:lang w:bidi="ar"/>
              </w:rPr>
            </w:pPr>
            <w:r>
              <w:rPr>
                <w:rFonts w:hint="eastAsia" w:ascii="宋体" w:hAnsi="宋体"/>
                <w:color w:val="auto"/>
                <w:sz w:val="18"/>
                <w:szCs w:val="18"/>
                <w:highlight w:val="none"/>
                <w:lang w:val="zh-CN"/>
              </w:rPr>
              <w:t>★</w:t>
            </w:r>
            <w:r>
              <w:rPr>
                <w:rFonts w:hint="eastAsia" w:ascii="宋体" w:hAnsi="宋体"/>
                <w:color w:val="auto"/>
                <w:sz w:val="18"/>
                <w:szCs w:val="18"/>
                <w:highlight w:val="none"/>
                <w:lang w:bidi="ar"/>
              </w:rPr>
              <w:t>1、左、右立柱由铝型材开模挤出成型，壁厚2mm，带圆弧式设计（R45mm），经数控铣床机钻铣加工而成，表面经环氧树脂粉末静电流水线自动化喷涂及高温固化，美观大方；</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2、左右旁板、前钢板均采用1.0mm厚冷轧钢板，由全自动数控激光切割机下料，折弯采用全自动数控折弯机一次性一体折弯成型，表面经环氧树脂粉末静电流水线自动化喷涂及高温固化；</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 xml:space="preserve">3、顶板为7.5mm厚抗倍特板，后背板为5mm厚抗倍特板制作，具有良好的耐酸碱腐蚀性。 </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4、固定视窗≥4mm厚防爆钢化玻璃，上下各由铝型材扁料加固。</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5、移动视窗≥5mm厚防爆钢化玻璃，上下滑动自如，可停留于轨道任何位置，方便使用者操作。</w:t>
            </w:r>
          </w:p>
          <w:p>
            <w:pPr>
              <w:pStyle w:val="2"/>
              <w:rPr>
                <w:rFonts w:ascii="宋体" w:hAnsi="宋体"/>
                <w:color w:val="auto"/>
                <w:sz w:val="18"/>
                <w:szCs w:val="18"/>
                <w:highlight w:val="none"/>
                <w:lang w:bidi="ar"/>
              </w:rPr>
            </w:pPr>
            <w:r>
              <w:rPr>
                <w:rFonts w:hint="eastAsia" w:ascii="宋体" w:hAnsi="宋体"/>
                <w:color w:val="auto"/>
                <w:sz w:val="18"/>
                <w:szCs w:val="18"/>
                <w:highlight w:val="none"/>
                <w:lang w:val="zh-CN"/>
              </w:rPr>
              <w:t>★</w:t>
            </w:r>
            <w:r>
              <w:rPr>
                <w:rFonts w:hint="eastAsia" w:ascii="宋体" w:hAnsi="宋体"/>
                <w:color w:val="auto"/>
                <w:sz w:val="18"/>
                <w:szCs w:val="18"/>
                <w:highlight w:val="none"/>
                <w:lang w:bidi="ar"/>
              </w:rPr>
              <w:t>6、内衬及导流板选用6mm厚岩板，内部经专业排风设计，可消除排气死角与不同密度气体的有效排放；</w:t>
            </w:r>
          </w:p>
          <w:p>
            <w:pPr>
              <w:pStyle w:val="2"/>
              <w:rPr>
                <w:rFonts w:ascii="宋体" w:hAnsi="宋体"/>
                <w:color w:val="auto"/>
                <w:sz w:val="18"/>
                <w:szCs w:val="18"/>
                <w:highlight w:val="none"/>
                <w:lang w:bidi="ar"/>
              </w:rPr>
            </w:pPr>
            <w:r>
              <w:rPr>
                <w:rFonts w:hint="eastAsia" w:ascii="宋体" w:hAnsi="宋体"/>
                <w:color w:val="auto"/>
                <w:sz w:val="18"/>
                <w:szCs w:val="18"/>
                <w:highlight w:val="none"/>
                <w:lang w:val="zh-CN"/>
              </w:rPr>
              <w:t>★</w:t>
            </w:r>
            <w:r>
              <w:rPr>
                <w:rFonts w:hint="eastAsia" w:ascii="宋体" w:hAnsi="宋体"/>
                <w:color w:val="auto"/>
                <w:sz w:val="18"/>
                <w:szCs w:val="18"/>
                <w:highlight w:val="none"/>
                <w:lang w:bidi="ar"/>
              </w:rPr>
              <w:t>7.补风翼板采用304不锈钢材质，耐酸碱腐蚀性，比常规钣金喷涂更耐用；圆弧设计使导风更顺畅，无漩涡回流现象。</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8.限位装置有500mm高限位锁装置，需要手动解锁才能推拉玻璃门至超过500mm高的位置，让通风柜更安全。</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9、台面采用一次成型全304不锈钢台面，厚度不小于2mm。</w:t>
            </w:r>
          </w:p>
          <w:p>
            <w:pPr>
              <w:pStyle w:val="2"/>
              <w:rPr>
                <w:rFonts w:ascii="宋体" w:hAnsi="宋体" w:eastAsiaTheme="minorEastAsia"/>
                <w:color w:val="auto"/>
                <w:sz w:val="18"/>
                <w:szCs w:val="18"/>
                <w:highlight w:val="none"/>
                <w:lang w:bidi="ar"/>
              </w:rPr>
            </w:pPr>
            <w:r>
              <w:rPr>
                <w:rFonts w:hint="eastAsia" w:ascii="宋体" w:hAnsi="宋体"/>
                <w:color w:val="auto"/>
                <w:sz w:val="18"/>
                <w:szCs w:val="18"/>
                <w:highlight w:val="none"/>
                <w:lang w:val="zh-CN"/>
              </w:rPr>
              <w:t>★</w:t>
            </w:r>
            <w:r>
              <w:rPr>
                <w:rFonts w:hint="eastAsia" w:ascii="宋体" w:hAnsi="宋体"/>
                <w:color w:val="auto"/>
                <w:sz w:val="18"/>
                <w:szCs w:val="18"/>
                <w:highlight w:val="none"/>
                <w:lang w:bidi="ar"/>
              </w:rPr>
              <w:t>10、控制开关采用12V触摸式条形控制开关，集中控制整个电路系统</w:t>
            </w:r>
          </w:p>
          <w:p>
            <w:pPr>
              <w:pStyle w:val="22"/>
              <w:ind w:firstLine="0" w:firstLineChars="0"/>
              <w:rPr>
                <w:rFonts w:eastAsiaTheme="minorEastAsia"/>
                <w:color w:val="auto"/>
                <w:highlight w:val="none"/>
                <w:lang w:bidi="ar"/>
              </w:rPr>
            </w:pPr>
            <w:r>
              <w:rPr>
                <w:rFonts w:hint="eastAsia" w:eastAsiaTheme="minorEastAsia"/>
                <w:color w:val="auto"/>
                <w:sz w:val="18"/>
                <w:szCs w:val="18"/>
                <w:highlight w:val="none"/>
                <w:lang w:bidi="ar"/>
              </w:rPr>
              <w:t>1</w:t>
            </w:r>
            <w:r>
              <w:rPr>
                <w:rFonts w:eastAsiaTheme="minorEastAsia"/>
                <w:color w:val="auto"/>
                <w:sz w:val="18"/>
                <w:szCs w:val="18"/>
                <w:highlight w:val="none"/>
                <w:lang w:bidi="ar"/>
              </w:rPr>
              <w:t>1</w:t>
            </w:r>
            <w:r>
              <w:rPr>
                <w:rFonts w:hint="eastAsia" w:eastAsiaTheme="minorEastAsia"/>
                <w:color w:val="auto"/>
                <w:sz w:val="18"/>
                <w:szCs w:val="18"/>
                <w:highlight w:val="none"/>
                <w:lang w:bidi="ar"/>
              </w:rPr>
              <w:t>、须配置紫外线杀菌装置，带定时启动器，可设置开启时间和关闭时间，方便操作</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color w:val="auto"/>
                <w:sz w:val="18"/>
                <w:szCs w:val="18"/>
                <w:highlight w:val="none"/>
                <w:lang w:bidi="ar"/>
              </w:rPr>
              <w:t>1</w:t>
            </w:r>
            <w:r>
              <w:rPr>
                <w:rFonts w:ascii="宋体" w:hAnsi="宋体"/>
                <w:color w:val="auto"/>
                <w:sz w:val="18"/>
                <w:szCs w:val="18"/>
                <w:highlight w:val="none"/>
                <w:lang w:bidi="ar"/>
              </w:rPr>
              <w:t>2</w:t>
            </w:r>
            <w:r>
              <w:rPr>
                <w:rFonts w:hint="eastAsia" w:ascii="宋体" w:hAnsi="宋体"/>
                <w:color w:val="auto"/>
                <w:sz w:val="18"/>
                <w:szCs w:val="18"/>
                <w:highlight w:val="none"/>
                <w:lang w:bidi="ar"/>
              </w:rPr>
              <w:t>. 排气方式：须充分理解病理实验废气特性，为防止污染气体向实验室内挥发扩散，及时安全排除设备内部病理实验废气，提供优质具体解决方案，且需与实验室整体通风新风系统无缝对接，满足病理实验室生物安全需要。</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台</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ascii="宋体" w:hAnsi="宋体"/>
                <w:color w:val="auto"/>
                <w:sz w:val="18"/>
                <w:szCs w:val="18"/>
                <w:highlight w:val="none"/>
              </w:rPr>
              <w:drawing>
                <wp:inline distT="0" distB="0" distL="114300" distR="114300">
                  <wp:extent cx="1126490" cy="845185"/>
                  <wp:effectExtent l="0" t="0" r="16510" b="12065"/>
                  <wp:docPr id="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3"/>
                          <pic:cNvPicPr>
                            <a:picLocks noChangeAspect="1"/>
                          </pic:cNvPicPr>
                        </pic:nvPicPr>
                        <pic:blipFill>
                          <a:blip r:embed="rId22"/>
                          <a:stretch>
                            <a:fillRect/>
                          </a:stretch>
                        </pic:blipFill>
                        <pic:spPr>
                          <a:xfrm>
                            <a:off x="0" y="0"/>
                            <a:ext cx="1126490" cy="845185"/>
                          </a:xfrm>
                          <a:prstGeom prst="rect">
                            <a:avLst/>
                          </a:prstGeom>
                          <a:noFill/>
                          <a:ln>
                            <a:noFill/>
                          </a:ln>
                        </pic:spPr>
                      </pic:pic>
                    </a:graphicData>
                  </a:graphic>
                </wp:inline>
              </w:drawing>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12679"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35</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烤箱通风排毒柜</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2000*1100*2350烤箱通风排毒柜</w:t>
            </w:r>
          </w:p>
          <w:p>
            <w:pPr>
              <w:pStyle w:val="2"/>
              <w:rPr>
                <w:rFonts w:ascii="宋体" w:hAnsi="宋体"/>
                <w:color w:val="auto"/>
                <w:sz w:val="18"/>
                <w:szCs w:val="18"/>
                <w:highlight w:val="none"/>
                <w:lang w:bidi="ar"/>
              </w:rPr>
            </w:pPr>
            <w:r>
              <w:rPr>
                <w:rFonts w:hint="eastAsia" w:ascii="宋体" w:hAnsi="宋体"/>
                <w:color w:val="auto"/>
                <w:sz w:val="18"/>
                <w:szCs w:val="18"/>
                <w:highlight w:val="none"/>
                <w:lang w:val="zh-CN"/>
              </w:rPr>
              <w:t>★</w:t>
            </w:r>
            <w:r>
              <w:rPr>
                <w:rFonts w:hint="eastAsia" w:ascii="宋体" w:hAnsi="宋体"/>
                <w:color w:val="auto"/>
                <w:sz w:val="18"/>
                <w:szCs w:val="18"/>
                <w:highlight w:val="none"/>
                <w:lang w:bidi="ar"/>
              </w:rPr>
              <w:t>1、左、右立柱由铝型材开模挤出成型，壁厚2mm，带圆弧式设计（R45mm），经数控铣床机钻铣加工而成，表面经环氧树脂粉末静电流水线自动化喷涂及高温固化，美观大方；</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2、左右旁板、前钢板均采用1.0mm厚冷轧钢板，由全自动数控激光切割机下料，折弯采用全自动数控折弯机一次性一体折弯成型，表面经环氧树脂粉末静电流水线自动化喷涂及高温固化；</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 xml:space="preserve">3、顶板为7.5mm厚抗倍特板，后背板为5mm厚抗倍特板制作，具有良好的耐酸碱腐蚀性。 </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4、固定视窗≥4mm厚防爆钢化玻璃，上下各由铝型材扁料加固。</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5、移动视窗≥5mm厚防爆钢化玻璃，上下滑动自如，可停留于轨道任何位置，方便使用者操作。</w:t>
            </w:r>
          </w:p>
          <w:p>
            <w:pPr>
              <w:pStyle w:val="2"/>
              <w:rPr>
                <w:rFonts w:ascii="宋体" w:hAnsi="宋体"/>
                <w:color w:val="auto"/>
                <w:sz w:val="18"/>
                <w:szCs w:val="18"/>
                <w:highlight w:val="none"/>
                <w:lang w:bidi="ar"/>
              </w:rPr>
            </w:pPr>
            <w:r>
              <w:rPr>
                <w:rFonts w:hint="eastAsia" w:ascii="宋体" w:hAnsi="宋体"/>
                <w:color w:val="auto"/>
                <w:sz w:val="18"/>
                <w:szCs w:val="18"/>
                <w:highlight w:val="none"/>
                <w:lang w:val="zh-CN"/>
              </w:rPr>
              <w:t>★</w:t>
            </w:r>
            <w:r>
              <w:rPr>
                <w:rFonts w:hint="eastAsia" w:ascii="宋体" w:hAnsi="宋体"/>
                <w:color w:val="auto"/>
                <w:sz w:val="18"/>
                <w:szCs w:val="18"/>
                <w:highlight w:val="none"/>
                <w:lang w:bidi="ar"/>
              </w:rPr>
              <w:t>6、内衬及导流板选用6mm厚岩板，内部经专业排风设计，可消除排气死角与不同密度气体的有效排放；</w:t>
            </w:r>
          </w:p>
          <w:p>
            <w:pPr>
              <w:pStyle w:val="2"/>
              <w:rPr>
                <w:rFonts w:ascii="宋体" w:hAnsi="宋体"/>
                <w:color w:val="auto"/>
                <w:sz w:val="18"/>
                <w:szCs w:val="18"/>
                <w:highlight w:val="none"/>
                <w:lang w:bidi="ar"/>
              </w:rPr>
            </w:pPr>
            <w:r>
              <w:rPr>
                <w:rFonts w:hint="eastAsia" w:ascii="宋体" w:hAnsi="宋体"/>
                <w:color w:val="auto"/>
                <w:sz w:val="18"/>
                <w:szCs w:val="18"/>
                <w:highlight w:val="none"/>
                <w:lang w:val="zh-CN"/>
              </w:rPr>
              <w:t>★</w:t>
            </w:r>
            <w:r>
              <w:rPr>
                <w:rFonts w:hint="eastAsia" w:ascii="宋体" w:hAnsi="宋体"/>
                <w:color w:val="auto"/>
                <w:sz w:val="18"/>
                <w:szCs w:val="18"/>
                <w:highlight w:val="none"/>
                <w:lang w:bidi="ar"/>
              </w:rPr>
              <w:t>7.补风翼板采用304不锈钢材质，耐酸碱腐蚀性，比常规钣金喷涂更耐用；圆弧设计使导风更顺畅，无漩涡回流现象。</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8.限位装置有500mm高限位锁装置，需要手动解锁才能推拉玻璃门至超过500mm高的位置，让通风柜更安全。</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9、台面为不小于12.7mm厚白色实芯理化板台面，具有耐化学腐蚀、耐压、易清洁等特点</w:t>
            </w:r>
          </w:p>
          <w:p>
            <w:pPr>
              <w:pStyle w:val="2"/>
              <w:rPr>
                <w:rFonts w:ascii="宋体" w:hAnsi="宋体" w:eastAsiaTheme="minorEastAsia"/>
                <w:color w:val="auto"/>
                <w:sz w:val="18"/>
                <w:szCs w:val="18"/>
                <w:highlight w:val="none"/>
                <w:lang w:bidi="ar"/>
              </w:rPr>
            </w:pPr>
            <w:r>
              <w:rPr>
                <w:rFonts w:hint="eastAsia" w:ascii="宋体" w:hAnsi="宋体"/>
                <w:color w:val="auto"/>
                <w:sz w:val="18"/>
                <w:szCs w:val="18"/>
                <w:highlight w:val="none"/>
                <w:lang w:val="zh-CN"/>
              </w:rPr>
              <w:t>★</w:t>
            </w:r>
            <w:r>
              <w:rPr>
                <w:rFonts w:hint="eastAsia" w:ascii="宋体" w:hAnsi="宋体"/>
                <w:color w:val="auto"/>
                <w:sz w:val="18"/>
                <w:szCs w:val="18"/>
                <w:highlight w:val="none"/>
                <w:lang w:bidi="ar"/>
              </w:rPr>
              <w:t>10、控制开关采用12V触摸式条形控制开关，集中控制整个电路系统</w:t>
            </w:r>
          </w:p>
          <w:p>
            <w:pPr>
              <w:pStyle w:val="22"/>
              <w:ind w:firstLine="0" w:firstLineChars="0"/>
              <w:rPr>
                <w:rFonts w:eastAsiaTheme="minorEastAsia"/>
                <w:color w:val="auto"/>
                <w:highlight w:val="none"/>
                <w:lang w:bidi="ar"/>
              </w:rPr>
            </w:pPr>
            <w:r>
              <w:rPr>
                <w:rFonts w:hint="eastAsia" w:eastAsiaTheme="minorEastAsia"/>
                <w:color w:val="auto"/>
                <w:sz w:val="18"/>
                <w:szCs w:val="18"/>
                <w:highlight w:val="none"/>
                <w:lang w:bidi="ar"/>
              </w:rPr>
              <w:t>1</w:t>
            </w:r>
            <w:r>
              <w:rPr>
                <w:rFonts w:eastAsiaTheme="minorEastAsia"/>
                <w:color w:val="auto"/>
                <w:sz w:val="18"/>
                <w:szCs w:val="18"/>
                <w:highlight w:val="none"/>
                <w:lang w:bidi="ar"/>
              </w:rPr>
              <w:t>1</w:t>
            </w:r>
            <w:r>
              <w:rPr>
                <w:rFonts w:hint="eastAsia" w:eastAsiaTheme="minorEastAsia"/>
                <w:color w:val="auto"/>
                <w:sz w:val="18"/>
                <w:szCs w:val="18"/>
                <w:highlight w:val="none"/>
                <w:lang w:bidi="ar"/>
              </w:rPr>
              <w:t>、须配置紫外线杀菌装置，带定时启动器，可设置开启时间和关闭时间，方便操作</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color w:val="auto"/>
                <w:sz w:val="18"/>
                <w:szCs w:val="18"/>
                <w:highlight w:val="none"/>
                <w:lang w:bidi="ar"/>
              </w:rPr>
              <w:t>1</w:t>
            </w:r>
            <w:r>
              <w:rPr>
                <w:rFonts w:ascii="宋体" w:hAnsi="宋体"/>
                <w:color w:val="auto"/>
                <w:sz w:val="18"/>
                <w:szCs w:val="18"/>
                <w:highlight w:val="none"/>
                <w:lang w:bidi="ar"/>
              </w:rPr>
              <w:t>2</w:t>
            </w:r>
            <w:r>
              <w:rPr>
                <w:rFonts w:hint="eastAsia" w:ascii="宋体" w:hAnsi="宋体"/>
                <w:color w:val="auto"/>
                <w:sz w:val="18"/>
                <w:szCs w:val="18"/>
                <w:highlight w:val="none"/>
                <w:lang w:bidi="ar"/>
              </w:rPr>
              <w:t>、排气方式：须充分理解病理实验烤箱废气特性，为防止污染气体向实验室内挥发扩散，及时安全排除设备内部病理实验烤箱废气，提供优质具体解决方案，且需与实验室整体通风新风系统无缝对接，满足病理实验室生物安全需要。</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台</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ascii="宋体" w:hAnsi="宋体"/>
                <w:color w:val="auto"/>
                <w:sz w:val="18"/>
                <w:szCs w:val="18"/>
                <w:highlight w:val="none"/>
              </w:rPr>
              <w:drawing>
                <wp:inline distT="0" distB="0" distL="114300" distR="114300">
                  <wp:extent cx="1126490" cy="845185"/>
                  <wp:effectExtent l="0" t="0" r="16510" b="12065"/>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pic:cNvPicPr>
                            <a:picLocks noChangeAspect="1"/>
                          </pic:cNvPicPr>
                        </pic:nvPicPr>
                        <pic:blipFill>
                          <a:blip r:embed="rId22"/>
                          <a:stretch>
                            <a:fillRect/>
                          </a:stretch>
                        </pic:blipFill>
                        <pic:spPr>
                          <a:xfrm>
                            <a:off x="0" y="0"/>
                            <a:ext cx="1126490" cy="845185"/>
                          </a:xfrm>
                          <a:prstGeom prst="rect">
                            <a:avLst/>
                          </a:prstGeom>
                          <a:noFill/>
                          <a:ln>
                            <a:noFill/>
                          </a:ln>
                        </pic:spPr>
                      </pic:pic>
                    </a:graphicData>
                  </a:graphic>
                </wp:inline>
              </w:drawing>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12369"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36</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包埋机通风排毒柜</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1500*850*2350包埋机通风排毒柜</w:t>
            </w:r>
          </w:p>
          <w:p>
            <w:pPr>
              <w:pStyle w:val="2"/>
              <w:rPr>
                <w:rFonts w:ascii="宋体" w:hAnsi="宋体"/>
                <w:color w:val="auto"/>
                <w:sz w:val="18"/>
                <w:szCs w:val="18"/>
                <w:highlight w:val="none"/>
                <w:lang w:bidi="ar"/>
              </w:rPr>
            </w:pPr>
            <w:r>
              <w:rPr>
                <w:rFonts w:hint="eastAsia" w:ascii="宋体" w:hAnsi="宋体"/>
                <w:color w:val="auto"/>
                <w:sz w:val="18"/>
                <w:szCs w:val="18"/>
                <w:highlight w:val="none"/>
                <w:lang w:val="zh-CN"/>
              </w:rPr>
              <w:t>★</w:t>
            </w:r>
            <w:r>
              <w:rPr>
                <w:rFonts w:hint="eastAsia" w:ascii="宋体" w:hAnsi="宋体"/>
                <w:color w:val="auto"/>
                <w:sz w:val="18"/>
                <w:szCs w:val="18"/>
                <w:highlight w:val="none"/>
                <w:lang w:bidi="ar"/>
              </w:rPr>
              <w:t>1、左、右立柱由铝型材开模挤出成型，壁厚2mm，带圆弧式设计（R45mm），经数控铣床机钻铣加工而成，表面经环氧树脂粉末静电流水线自动化喷涂及高温固化，美观大方；</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2、左右旁板、前钢板均采用1.0mm厚冷轧钢板，由全自动数控激光切割机下料，折弯采用全自动数控折弯机一次性一体折弯成型，表面经环氧树脂粉末静电流水线自动化喷涂及高温固化；</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 xml:space="preserve">3、顶板为7.5mm厚抗倍特板，后背板为5mm厚抗倍特板制作，具有良好的耐酸碱腐蚀性。 </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4、固定视窗≥4mm厚防爆钢化玻璃，上下各由铝型材扁料加固。</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5、移动视窗≥5mm厚防爆钢化玻璃，上下滑动自如，可停留于轨道任何位置，方便使用者操作。</w:t>
            </w:r>
          </w:p>
          <w:p>
            <w:pPr>
              <w:pStyle w:val="2"/>
              <w:rPr>
                <w:rFonts w:ascii="宋体" w:hAnsi="宋体"/>
                <w:color w:val="auto"/>
                <w:sz w:val="18"/>
                <w:szCs w:val="18"/>
                <w:highlight w:val="none"/>
                <w:lang w:bidi="ar"/>
              </w:rPr>
            </w:pPr>
            <w:r>
              <w:rPr>
                <w:rFonts w:hint="eastAsia" w:ascii="宋体" w:hAnsi="宋体"/>
                <w:color w:val="auto"/>
                <w:sz w:val="18"/>
                <w:szCs w:val="18"/>
                <w:highlight w:val="none"/>
                <w:lang w:val="zh-CN"/>
              </w:rPr>
              <w:t>★</w:t>
            </w:r>
            <w:r>
              <w:rPr>
                <w:rFonts w:hint="eastAsia" w:ascii="宋体" w:hAnsi="宋体"/>
                <w:color w:val="auto"/>
                <w:sz w:val="18"/>
                <w:szCs w:val="18"/>
                <w:highlight w:val="none"/>
                <w:lang w:bidi="ar"/>
              </w:rPr>
              <w:t>6、内衬及导流板选用6mm厚岩板，内部经专业排风设计，可消除排气死角与不同密度气体的有效排放；</w:t>
            </w:r>
          </w:p>
          <w:p>
            <w:pPr>
              <w:pStyle w:val="2"/>
              <w:rPr>
                <w:rFonts w:ascii="宋体" w:hAnsi="宋体"/>
                <w:color w:val="auto"/>
                <w:sz w:val="18"/>
                <w:szCs w:val="18"/>
                <w:highlight w:val="none"/>
                <w:lang w:bidi="ar"/>
              </w:rPr>
            </w:pPr>
            <w:r>
              <w:rPr>
                <w:rFonts w:hint="eastAsia" w:ascii="宋体" w:hAnsi="宋体"/>
                <w:color w:val="auto"/>
                <w:sz w:val="18"/>
                <w:szCs w:val="18"/>
                <w:highlight w:val="none"/>
                <w:lang w:val="zh-CN"/>
              </w:rPr>
              <w:t>★</w:t>
            </w:r>
            <w:r>
              <w:rPr>
                <w:rFonts w:hint="eastAsia" w:ascii="宋体" w:hAnsi="宋体"/>
                <w:color w:val="auto"/>
                <w:sz w:val="18"/>
                <w:szCs w:val="18"/>
                <w:highlight w:val="none"/>
                <w:lang w:bidi="ar"/>
              </w:rPr>
              <w:t>7.补风翼板采用304不锈钢材质，耐酸碱腐蚀性，比常规钣金喷涂更耐用；圆弧设计使导风更顺畅，无漩涡回流现象。</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8.限位装置有500mm高限位锁装置，需要手动解锁才能推拉玻璃门至超过500mm高的位置，让通风柜更安全。</w:t>
            </w:r>
          </w:p>
          <w:p>
            <w:pPr>
              <w:pStyle w:val="2"/>
              <w:rPr>
                <w:rFonts w:ascii="宋体" w:hAnsi="宋体"/>
                <w:color w:val="auto"/>
                <w:sz w:val="18"/>
                <w:szCs w:val="18"/>
                <w:highlight w:val="none"/>
                <w:lang w:bidi="ar"/>
              </w:rPr>
            </w:pPr>
            <w:r>
              <w:rPr>
                <w:rFonts w:hint="eastAsia" w:ascii="宋体" w:hAnsi="宋体"/>
                <w:color w:val="auto"/>
                <w:sz w:val="18"/>
                <w:szCs w:val="18"/>
                <w:highlight w:val="none"/>
                <w:lang w:val="zh-CN"/>
              </w:rPr>
              <w:t>★</w:t>
            </w:r>
            <w:r>
              <w:rPr>
                <w:rFonts w:hint="eastAsia" w:ascii="宋体" w:hAnsi="宋体"/>
                <w:color w:val="auto"/>
                <w:sz w:val="18"/>
                <w:szCs w:val="18"/>
                <w:highlight w:val="none"/>
                <w:lang w:bidi="ar"/>
              </w:rPr>
              <w:t>9、台面为厚度不小于20mm厚白色大理石台面</w:t>
            </w:r>
          </w:p>
          <w:p>
            <w:pPr>
              <w:pStyle w:val="2"/>
              <w:rPr>
                <w:rFonts w:ascii="宋体" w:hAnsi="宋体" w:eastAsiaTheme="minorEastAsia"/>
                <w:color w:val="auto"/>
                <w:sz w:val="18"/>
                <w:szCs w:val="18"/>
                <w:highlight w:val="none"/>
                <w:lang w:bidi="ar"/>
              </w:rPr>
            </w:pPr>
            <w:r>
              <w:rPr>
                <w:rFonts w:hint="eastAsia" w:ascii="宋体" w:hAnsi="宋体"/>
                <w:color w:val="auto"/>
                <w:sz w:val="18"/>
                <w:szCs w:val="18"/>
                <w:highlight w:val="none"/>
                <w:lang w:val="zh-CN"/>
              </w:rPr>
              <w:t>★</w:t>
            </w:r>
            <w:r>
              <w:rPr>
                <w:rFonts w:hint="eastAsia" w:ascii="宋体" w:hAnsi="宋体"/>
                <w:color w:val="auto"/>
                <w:sz w:val="18"/>
                <w:szCs w:val="18"/>
                <w:highlight w:val="none"/>
                <w:lang w:bidi="ar"/>
              </w:rPr>
              <w:t>10、控制开关采用12V触摸式条形控制开关，集中控制整个电路系统</w:t>
            </w:r>
          </w:p>
          <w:p>
            <w:pPr>
              <w:pStyle w:val="22"/>
              <w:ind w:firstLine="0" w:firstLineChars="0"/>
              <w:rPr>
                <w:rFonts w:eastAsiaTheme="minorEastAsia"/>
                <w:color w:val="auto"/>
                <w:highlight w:val="none"/>
                <w:lang w:bidi="ar"/>
              </w:rPr>
            </w:pPr>
            <w:r>
              <w:rPr>
                <w:rFonts w:hint="eastAsia" w:eastAsiaTheme="minorEastAsia"/>
                <w:color w:val="auto"/>
                <w:sz w:val="18"/>
                <w:szCs w:val="18"/>
                <w:highlight w:val="none"/>
                <w:lang w:bidi="ar"/>
              </w:rPr>
              <w:t>1</w:t>
            </w:r>
            <w:r>
              <w:rPr>
                <w:rFonts w:eastAsiaTheme="minorEastAsia"/>
                <w:color w:val="auto"/>
                <w:sz w:val="18"/>
                <w:szCs w:val="18"/>
                <w:highlight w:val="none"/>
                <w:lang w:bidi="ar"/>
              </w:rPr>
              <w:t>1</w:t>
            </w:r>
            <w:r>
              <w:rPr>
                <w:rFonts w:hint="eastAsia" w:eastAsiaTheme="minorEastAsia"/>
                <w:color w:val="auto"/>
                <w:sz w:val="18"/>
                <w:szCs w:val="18"/>
                <w:highlight w:val="none"/>
                <w:lang w:bidi="ar"/>
              </w:rPr>
              <w:t>、须配置紫外线杀菌装置，带定时启动器，可设置开启时间和关闭时间，方便操作</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color w:val="auto"/>
                <w:sz w:val="18"/>
                <w:szCs w:val="18"/>
                <w:highlight w:val="none"/>
                <w:lang w:bidi="ar"/>
              </w:rPr>
              <w:t>1</w:t>
            </w:r>
            <w:r>
              <w:rPr>
                <w:rFonts w:ascii="宋体" w:hAnsi="宋体"/>
                <w:color w:val="auto"/>
                <w:sz w:val="18"/>
                <w:szCs w:val="18"/>
                <w:highlight w:val="none"/>
                <w:lang w:bidi="ar"/>
              </w:rPr>
              <w:t>2</w:t>
            </w:r>
            <w:r>
              <w:rPr>
                <w:rFonts w:hint="eastAsia" w:ascii="宋体" w:hAnsi="宋体"/>
                <w:color w:val="auto"/>
                <w:sz w:val="18"/>
                <w:szCs w:val="18"/>
                <w:highlight w:val="none"/>
                <w:lang w:bidi="ar"/>
              </w:rPr>
              <w:t>、排气方式：须充分理解病理实验包埋石蜡废气特性，为防止污染气体向实验室内挥发扩散，及时安全排除设备内部病理实验包埋石蜡废气，提供优质具体解决方案，且需与实验室整体通风新风系统无缝对接，满足病理实验室生物安全需要。</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台</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2</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ascii="宋体" w:hAnsi="宋体"/>
                <w:color w:val="auto"/>
                <w:sz w:val="18"/>
                <w:szCs w:val="18"/>
                <w:highlight w:val="none"/>
              </w:rPr>
              <w:drawing>
                <wp:inline distT="0" distB="0" distL="114300" distR="114300">
                  <wp:extent cx="1012190" cy="1349375"/>
                  <wp:effectExtent l="0" t="0" r="16510" b="3175"/>
                  <wp:docPr id="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
                          <pic:cNvPicPr>
                            <a:picLocks noChangeAspect="1"/>
                          </pic:cNvPicPr>
                        </pic:nvPicPr>
                        <pic:blipFill>
                          <a:blip r:embed="rId23"/>
                          <a:stretch>
                            <a:fillRect/>
                          </a:stretch>
                        </pic:blipFill>
                        <pic:spPr>
                          <a:xfrm>
                            <a:off x="0" y="0"/>
                            <a:ext cx="1012190" cy="1349375"/>
                          </a:xfrm>
                          <a:prstGeom prst="rect">
                            <a:avLst/>
                          </a:prstGeom>
                          <a:noFill/>
                          <a:ln>
                            <a:noFill/>
                          </a:ln>
                        </pic:spPr>
                      </pic:pic>
                    </a:graphicData>
                  </a:graphic>
                </wp:inline>
              </w:drawing>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10054"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37</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全钢病理操作台</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1680*750*800全钢病理操作台</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1、台面：不小于12.7mm厚白色实芯理化板台面，具有耐化学腐蚀、耐压、易清洁等特点</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2、柜体：不小于1.0mm优质冷扎钢板，经过酸洗除油、袪渍、清洁、磷化处理，再经EPOXY涂层厚度为80微米，最后经高温烘烤制作而成，抗压性强，耐酸碱，抗腐蚀，防水。</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3、背板、侧封板：不小于1.0mm优质冷轧钢板，经模具冲压成型，乳白色粉沫喷涂，涂层厚度为80微米，最后经高温烘烤制作而成。采用活动结构，安装预埋螺母，易装拆，便于水管、电气的维修。</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4、柜体门板及抽头：不小于1.0mm优质冷轧钢板双层结构夹心结构，外观浑然一体，整体美观大方且不变形、具有很强的抗压强度。</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5、层板：不小于1.0㎜优质冷轧钢板，经过酸洗除油、袪渍、清洁、磷化处理，再经乳白色粉体喷涂，涂层厚度为80微米，最后经高温烘烤制作而成，边缘光滑，不伤手。</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6、地脚：不小于1.8*￠38mm优质圆管经一次性模具冲压成型钢材，连接处由专用连接件(模具开发)连接，表面高压EPOXY静电粉沫喷涂，承载力强、结构合理、稳定性强。</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7、铰链：专用模具三合一锌合金旋转式铰链，弹性好，使用过程中无噪音，耐腐蚀。</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8、滑轨：进口阻尼优质三节导轨。</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9、拉手：采用铝合金拉手。</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color w:val="auto"/>
                <w:sz w:val="18"/>
                <w:szCs w:val="18"/>
                <w:highlight w:val="none"/>
                <w:lang w:bidi="ar"/>
              </w:rPr>
              <w:t>10、线槽：铝型材结构，可容纳电、网线、气体管道等；可自行拆卸，利于检修线路。</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台</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2</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ascii="宋体" w:hAnsi="宋体"/>
                <w:color w:val="auto"/>
                <w:sz w:val="18"/>
                <w:szCs w:val="18"/>
                <w:highlight w:val="none"/>
              </w:rPr>
              <w:drawing>
                <wp:inline distT="0" distB="0" distL="114300" distR="114300">
                  <wp:extent cx="1131570" cy="848360"/>
                  <wp:effectExtent l="0" t="0" r="11430" b="8890"/>
                  <wp:docPr id="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pic:cNvPicPr>
                            <a:picLocks noChangeAspect="1"/>
                          </pic:cNvPicPr>
                        </pic:nvPicPr>
                        <pic:blipFill>
                          <a:blip r:embed="rId18"/>
                          <a:stretch>
                            <a:fillRect/>
                          </a:stretch>
                        </pic:blipFill>
                        <pic:spPr>
                          <a:xfrm>
                            <a:off x="0" y="0"/>
                            <a:ext cx="1131570" cy="848360"/>
                          </a:xfrm>
                          <a:prstGeom prst="rect">
                            <a:avLst/>
                          </a:prstGeom>
                          <a:noFill/>
                          <a:ln>
                            <a:noFill/>
                          </a:ln>
                        </pic:spPr>
                      </pic:pic>
                    </a:graphicData>
                  </a:graphic>
                </wp:inline>
              </w:drawing>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2016"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38</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全钢防震切片台</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1700*750*800全钢防震切片台</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1、台面：不小于12.7mm厚白色实芯理化板台面，具有耐化学腐蚀、耐压、易清洁等特点</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2、柜体：不小于1.0mm优质冷扎钢板，经过酸洗除油、袪渍、清洁、磷化处理，再经EPOXY涂层厚度为80微米，最后经高温烘烤制作而成，抗压性强，耐酸碱，抗腐蚀，防水。</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3、背板、侧封板：不小于1.0mm优质冷轧钢板，经模具冲压成型，乳白色粉沫喷涂，涂层厚度为80微米，最后经高温烘烤制作而成。采用活动结构，安装预埋螺母，易装拆，便于水管、电气的维修。</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4、柜体门板及抽头：不小于1.0mm优质冷轧钢板双层结构夹心结构，外观浑然一体，整体美观大方且不变形、具有很强的抗压强度。</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5、层板：不小于1.0㎜优质冷轧钢板，经过酸洗除油、袪渍、清洁、磷化处理，再经乳白色粉体喷涂，涂层厚度为80微米，最后经高温烘烤制作而成，边缘光滑，不伤手。</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6、地脚：不小于1.8*￠38mm优质圆管经一次性模具冲压成型钢材，连接处由专用连接件(模具开发)连接，表面高压EPOXY静电粉沫喷涂，承载力强、结构合理、稳定性强。</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7、铰链：专用模具三合一锌合金旋转式铰链，弹性好，使用过程中无噪音，耐腐蚀。</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8、滑轨：进口阻尼优质三节导轨。</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9、拉手：采用铝合金拉手。</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color w:val="auto"/>
                <w:sz w:val="18"/>
                <w:szCs w:val="18"/>
                <w:highlight w:val="none"/>
                <w:lang w:bidi="ar"/>
              </w:rPr>
              <w:t>10、线槽：铝型材结构，可容纳电、网线、气体管道等；可自行拆卸，利于检修线路。</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台</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ascii="宋体" w:hAnsi="宋体"/>
                <w:color w:val="auto"/>
                <w:sz w:val="18"/>
                <w:szCs w:val="18"/>
                <w:highlight w:val="none"/>
              </w:rPr>
              <w:drawing>
                <wp:inline distT="0" distB="0" distL="114300" distR="114300">
                  <wp:extent cx="1131570" cy="848360"/>
                  <wp:effectExtent l="0" t="0" r="11430" b="8890"/>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pic:cNvPicPr>
                            <a:picLocks noChangeAspect="1"/>
                          </pic:cNvPicPr>
                        </pic:nvPicPr>
                        <pic:blipFill>
                          <a:blip r:embed="rId18"/>
                          <a:stretch>
                            <a:fillRect/>
                          </a:stretch>
                        </pic:blipFill>
                        <pic:spPr>
                          <a:xfrm>
                            <a:off x="0" y="0"/>
                            <a:ext cx="1131570" cy="848360"/>
                          </a:xfrm>
                          <a:prstGeom prst="rect">
                            <a:avLst/>
                          </a:prstGeom>
                          <a:noFill/>
                          <a:ln>
                            <a:noFill/>
                          </a:ln>
                        </pic:spPr>
                      </pic:pic>
                    </a:graphicData>
                  </a:graphic>
                </wp:inline>
              </w:drawing>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2177"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39</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全钢防震切片台</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4680*750*800全钢防震切片台</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1、台面：不小于12.7mm厚白色实芯理化板台面，具有耐化学腐蚀、耐压、易清洁等特点</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2、柜体：不小于1.0mm优质冷扎钢板，经过酸洗除油、袪渍、清洁、磷化处理，再经EPOXY涂层厚度为80微米，最后经高温烘烤制作而成，抗压性强，耐酸碱，抗腐蚀，防水。</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3、背板、侧封板：不小于1.0mm优质冷轧钢板，经模具冲压成型，乳白色粉沫喷涂，涂层厚度为80微米，最后经高温烘烤制作而成。采用活动结构，安装预埋螺母，易装拆，便于水管、电气的维修。</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4、柜体门板及抽头：不小于1.0mm优质冷轧钢板双层结构夹心结构，外观浑然一体，整体美观大方且不变形、具有很强的抗压强度。</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5、层板：不小于1.0㎜优质冷轧钢板，经过酸洗除油、袪渍、清洁、磷化处理，再经乳白色粉体喷涂，涂层厚度为80微米，最后经高温烘烤制作而成，边缘光滑，不伤手。</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6、地脚：不小于1.8*￠38mm优质圆管经一次性模具冲压成型钢材，连接处由专用连接件(模具开发)连接，表面高压EPOXY静电粉沫喷涂，承载力强、结构合理、稳定性强。</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7、铰链：专用模具三合一锌合金旋转式铰链，弹性好，使用过程中无噪音，耐腐蚀。</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8、滑轨：进口阻尼优质三节导轨。</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9、拉手：采用铝合金拉手。</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color w:val="auto"/>
                <w:sz w:val="18"/>
                <w:szCs w:val="18"/>
                <w:highlight w:val="none"/>
                <w:lang w:bidi="ar"/>
              </w:rPr>
              <w:t>10、线槽：铝型材结构，可容纳电、网线、气体管道等；可自行拆卸，利于检修线路。</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台</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ascii="宋体" w:hAnsi="宋体"/>
                <w:color w:val="auto"/>
                <w:sz w:val="18"/>
                <w:szCs w:val="18"/>
                <w:highlight w:val="none"/>
              </w:rPr>
              <w:drawing>
                <wp:inline distT="0" distB="0" distL="114300" distR="114300">
                  <wp:extent cx="1131570" cy="848360"/>
                  <wp:effectExtent l="0" t="0" r="11430" b="8890"/>
                  <wp:docPr id="1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pic:cNvPicPr>
                            <a:picLocks noChangeAspect="1"/>
                          </pic:cNvPicPr>
                        </pic:nvPicPr>
                        <pic:blipFill>
                          <a:blip r:embed="rId18"/>
                          <a:stretch>
                            <a:fillRect/>
                          </a:stretch>
                        </pic:blipFill>
                        <pic:spPr>
                          <a:xfrm>
                            <a:off x="0" y="0"/>
                            <a:ext cx="1131570" cy="848360"/>
                          </a:xfrm>
                          <a:prstGeom prst="rect">
                            <a:avLst/>
                          </a:prstGeom>
                          <a:noFill/>
                          <a:ln>
                            <a:noFill/>
                          </a:ln>
                        </pic:spPr>
                      </pic:pic>
                    </a:graphicData>
                  </a:graphic>
                </wp:inline>
              </w:drawing>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6086"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40</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cs="宋体"/>
                <w:color w:val="auto"/>
                <w:kern w:val="0"/>
                <w:sz w:val="18"/>
                <w:szCs w:val="18"/>
                <w:highlight w:val="none"/>
                <w:lang w:bidi="ar"/>
              </w:rPr>
              <w:t>全钢病理操作台</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3680*750*800全钢病理操作台</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1、台面：不小于12.7mm厚白色实芯理化板台面，具有耐化学腐蚀、耐压、易清洁等特点</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2、柜体：不小于1.0mm优质冷扎钢板，经过酸洗除油、袪渍、清洁、磷化处理，再经EPOXY涂层厚度为80微米，最后经高温烘烤制作而成，抗压性强，耐酸碱，抗腐蚀，防水。</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3、背板、侧封板：不小于1.0mm优质冷轧钢板，经模具冲压成型，乳白色粉沫喷涂，涂层厚度为80微米，最后经高温烘烤制作而成。采用活动结构，安装预埋螺母，易装拆，便于水管、电气的维修。</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4、柜体门板及抽头：不小于1.0mm优质冷轧钢板双层结构夹心结构，外观浑然一体，整体美观大方且不变形、具有很强的抗压强度。</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5、层板：不小于1.0㎜优质冷轧钢板，经过酸洗除油、袪渍、清洁、磷化处理，再经乳白色粉体喷涂，涂层厚度为80微米，最后经高温烘烤制作而成，边缘光滑，不伤手。</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6、地脚：不小于1.8*￠38mm优质圆管经一次性模具冲压成型钢材，连接处由专用连接件(模具开发)连接，表面高压EPOXY静电粉沫喷涂，承载力强、结构合理、稳定性强。</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7、铰链：专用模具三合一锌合金旋转式铰链，弹性好，使用过程中无噪音，耐腐蚀。</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8、滑轨：进口阻尼优质三节导轨。</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9、拉手：采用铝合金拉手。</w:t>
            </w:r>
          </w:p>
          <w:p>
            <w:pPr>
              <w:pStyle w:val="2"/>
              <w:rPr>
                <w:rFonts w:ascii="宋体" w:hAnsi="宋体" w:eastAsia="宋体" w:cs="宋体"/>
                <w:color w:val="auto"/>
                <w:kern w:val="0"/>
                <w:sz w:val="18"/>
                <w:szCs w:val="18"/>
                <w:highlight w:val="none"/>
                <w:lang w:bidi="ar"/>
              </w:rPr>
            </w:pPr>
            <w:r>
              <w:rPr>
                <w:rFonts w:hint="eastAsia" w:ascii="宋体" w:hAnsi="宋体"/>
                <w:color w:val="auto"/>
                <w:sz w:val="18"/>
                <w:szCs w:val="18"/>
                <w:highlight w:val="none"/>
                <w:lang w:bidi="ar"/>
              </w:rPr>
              <w:t>10、线槽：铝型材结构，可容纳电、网线、气体管道等；可自行拆卸，利于检修线路。</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台</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ascii="宋体" w:hAnsi="宋体"/>
                <w:color w:val="auto"/>
                <w:sz w:val="18"/>
                <w:szCs w:val="18"/>
                <w:highlight w:val="none"/>
              </w:rPr>
              <w:drawing>
                <wp:inline distT="0" distB="0" distL="114300" distR="114300">
                  <wp:extent cx="1131570" cy="848360"/>
                  <wp:effectExtent l="0" t="0" r="11430" b="8890"/>
                  <wp:docPr id="1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9"/>
                          <pic:cNvPicPr>
                            <a:picLocks noChangeAspect="1"/>
                          </pic:cNvPicPr>
                        </pic:nvPicPr>
                        <pic:blipFill>
                          <a:blip r:embed="rId18"/>
                          <a:stretch>
                            <a:fillRect/>
                          </a:stretch>
                        </pic:blipFill>
                        <pic:spPr>
                          <a:xfrm>
                            <a:off x="0" y="0"/>
                            <a:ext cx="1131570" cy="848360"/>
                          </a:xfrm>
                          <a:prstGeom prst="rect">
                            <a:avLst/>
                          </a:prstGeom>
                          <a:noFill/>
                          <a:ln>
                            <a:noFill/>
                          </a:ln>
                        </pic:spPr>
                      </pic:pic>
                    </a:graphicData>
                  </a:graphic>
                </wp:inline>
              </w:drawing>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8061"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41</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全钢病理操作台</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1800*750*800全钢病理操作台</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1、台面：不小于12.7mm厚白色实芯理化板台面，具有耐化学腐蚀、耐压、易清洁等特点</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2、柜体：不小于1.0mm优质冷扎钢板，经过酸洗除油、袪渍、清洁、磷化处理，再经EPOXY涂层厚度为80微米，最后经高温烘烤制作而成，抗压性强，耐酸碱，抗腐蚀，防水。</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3、背板、侧封板：不小于1.0mm优质冷轧钢板，经模具冲压成型，乳白色粉沫喷涂，涂层厚度为80微米，最后经高温烘烤制作而成。采用活动结构，安装预埋螺母，易装拆，便于水管、电气的维修。</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4、柜体门板及抽头：不小于1.0mm优质冷轧钢板双层结构夹心结构，外观浑然一体，整体美观大方且不变形、具有很强的抗压强度。</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5、层板：不小于1.0㎜优质冷轧钢板，经过酸洗除油、袪渍、清洁、磷化处理，再经乳白色粉体喷涂，涂层厚度为80微米，最后经高温烘烤制作而成，边缘光滑，不伤手。</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6、地脚：不小于1.8*￠38mm优质圆管经一次性模具冲压成型钢材，连接处由专用连接件(模具开发)连接，表面高压EPOXY静电粉沫喷涂，承载力强、结构合理、稳定性强。</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7、铰链：专用模具三合一锌合金旋转式铰链，弹性好，使用过程中无噪音，耐腐蚀。</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8、滑轨：进口阻尼优质三节导轨。</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9、拉手：采用铝合金拉手。</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color w:val="auto"/>
                <w:sz w:val="18"/>
                <w:szCs w:val="18"/>
                <w:highlight w:val="none"/>
                <w:lang w:bidi="ar"/>
              </w:rPr>
              <w:t>10、线槽：铝型材结构，可容纳电、网线、气体管道等；可自行拆卸，利于检修线路。</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台</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ascii="宋体" w:hAnsi="宋体"/>
                <w:color w:val="auto"/>
                <w:sz w:val="18"/>
                <w:szCs w:val="18"/>
                <w:highlight w:val="none"/>
              </w:rPr>
              <w:drawing>
                <wp:inline distT="0" distB="0" distL="114300" distR="114300">
                  <wp:extent cx="1131570" cy="848360"/>
                  <wp:effectExtent l="0" t="0" r="11430" b="8890"/>
                  <wp:docPr id="1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0"/>
                          <pic:cNvPicPr>
                            <a:picLocks noChangeAspect="1"/>
                          </pic:cNvPicPr>
                        </pic:nvPicPr>
                        <pic:blipFill>
                          <a:blip r:embed="rId18"/>
                          <a:stretch>
                            <a:fillRect/>
                          </a:stretch>
                        </pic:blipFill>
                        <pic:spPr>
                          <a:xfrm>
                            <a:off x="0" y="0"/>
                            <a:ext cx="1131570" cy="848360"/>
                          </a:xfrm>
                          <a:prstGeom prst="rect">
                            <a:avLst/>
                          </a:prstGeom>
                          <a:noFill/>
                          <a:ln>
                            <a:noFill/>
                          </a:ln>
                        </pic:spPr>
                      </pic:pic>
                    </a:graphicData>
                  </a:graphic>
                </wp:inline>
              </w:drawing>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10156"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42</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全钢病理中央操作台</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2800*1500*800全钢病理中央操作台</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1、台面：不小于12.7mm厚白色实芯理化板台面，具有耐化学腐蚀、耐压、易清洁等特点</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2、柜体：不小于1.0mm优质冷扎钢板，经过酸洗除油、袪渍、清洁、磷化处理，再经EPOXY涂层厚度为80微米，最后经高温烘烤制作而成，抗压性强，耐酸碱，抗腐蚀，防水。</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3、背板、侧封板：不小于1.0mm优质冷轧钢板，经模具冲压成型，乳白色粉沫喷涂，涂层厚度为80微米，最后经高温烘烤制作而成。采用活动结构，安装预埋螺母，易装拆，便于水管、电气的维修。</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4、柜体门板及抽头：不小于1.0mm优质冷轧钢板双层结构夹心结构，外观浑然一体，整体美观大方且不变形、具有很强的抗压强度。</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5、层板：不小于1.0㎜优质冷轧钢板，经过酸洗除油、袪渍、清洁、磷化处理，再经乳白色粉体喷涂，涂层厚度为80微米，最后经高温烘烤制作而成，边缘光滑，不伤手。</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6、地脚：不小于1.8*￠38mm优质圆管经一次性模具冲压成型钢材，连接处由专用连接件(模具开发)连接，表面高压EPOXY静电粉沫喷涂，承载力强、结构合理、稳定性强。</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7、铰链：专用模具三合一锌合金旋转式铰链，弹性好，使用过程中无噪音，耐腐蚀。</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8、滑轨：进口阻尼优质三节导轨。</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9、拉手：采用铝合金拉手。</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color w:val="auto"/>
                <w:sz w:val="18"/>
                <w:szCs w:val="18"/>
                <w:highlight w:val="none"/>
                <w:lang w:bidi="ar"/>
              </w:rPr>
              <w:t>10、线槽：铝型材结构，可容纳电、网线、气体管道等；可自行拆卸，利于检修线路。</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台</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ascii="宋体" w:hAnsi="宋体"/>
                <w:color w:val="auto"/>
                <w:sz w:val="18"/>
                <w:szCs w:val="18"/>
                <w:highlight w:val="none"/>
              </w:rPr>
              <w:drawing>
                <wp:inline distT="0" distB="0" distL="114300" distR="114300">
                  <wp:extent cx="1134110" cy="850265"/>
                  <wp:effectExtent l="0" t="0" r="8890" b="6985"/>
                  <wp:docPr id="1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1"/>
                          <pic:cNvPicPr>
                            <a:picLocks noChangeAspect="1"/>
                          </pic:cNvPicPr>
                        </pic:nvPicPr>
                        <pic:blipFill>
                          <a:blip r:embed="rId24"/>
                          <a:stretch>
                            <a:fillRect/>
                          </a:stretch>
                        </pic:blipFill>
                        <pic:spPr>
                          <a:xfrm>
                            <a:off x="0" y="0"/>
                            <a:ext cx="1134110" cy="850265"/>
                          </a:xfrm>
                          <a:prstGeom prst="rect">
                            <a:avLst/>
                          </a:prstGeom>
                          <a:noFill/>
                          <a:ln>
                            <a:noFill/>
                          </a:ln>
                        </pic:spPr>
                      </pic:pic>
                    </a:graphicData>
                  </a:graphic>
                </wp:inline>
              </w:drawing>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10123"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43</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全钢病理操作台</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1830*750*800全钢病理操作台</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1、台面：不小于12.7mm厚白色实芯理化板台面，具有耐化学腐蚀、耐压、易清洁等特点</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2、柜体：不小于1.0mm优质冷扎钢板，经过酸洗除油、袪渍、清洁、磷化处理，再经EPOXY涂层厚度为80微米，最后经高温烘烤制作而成，抗压性强，耐酸碱，抗腐蚀，防水。</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3、背板、侧封板：不小于1.0mm优质冷轧钢板，经模具冲压成型，乳白色粉沫喷涂，涂层厚度为80微米，最后经高温烘烤制作而成。采用活动结构，安装预埋螺母，易装拆，便于水管、电气的维修。</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4、柜体门板及抽头：不小于1.0mm优质冷轧钢板双层结构夹心结构，外观浑然一体，整体美观大方且不变形、具有很强的抗压强度。</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5、层板：不小于1.0㎜优质冷轧钢板，经过酸洗除油、袪渍、清洁、磷化处理，再经乳白色粉体喷涂，涂层厚度为80微米，最后经高温烘烤制作而成，边缘光滑，不伤手。</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6、地脚：不小于1.8*￠38mm优质圆管经一次性模具冲压成型钢材，连接处由专用连接件(模具开发)连接，表面高压EPOXY静电粉沫喷涂，承载力强、结构合理、稳定性强。</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7、铰链：专用模具三合一锌合金旋转式铰链，弹性好，使用过程中无噪音，耐腐蚀。</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8、滑轨：进口阻尼优质三节导轨。</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9、拉手：采用铝合金拉手。</w:t>
            </w:r>
          </w:p>
          <w:p>
            <w:pPr>
              <w:pStyle w:val="2"/>
              <w:rPr>
                <w:rFonts w:ascii="宋体" w:hAnsi="宋体" w:eastAsia="宋体" w:cs="宋体"/>
                <w:color w:val="auto"/>
                <w:kern w:val="0"/>
                <w:sz w:val="18"/>
                <w:szCs w:val="18"/>
                <w:highlight w:val="none"/>
                <w:lang w:bidi="ar"/>
              </w:rPr>
            </w:pPr>
            <w:r>
              <w:rPr>
                <w:rFonts w:hint="eastAsia" w:ascii="宋体" w:hAnsi="宋体"/>
                <w:color w:val="auto"/>
                <w:sz w:val="18"/>
                <w:szCs w:val="18"/>
                <w:highlight w:val="none"/>
                <w:lang w:bidi="ar"/>
              </w:rPr>
              <w:t>10、线槽：铝型材结构，可容纳电、网线、气体管道等；可自行拆卸，利于检修线路。</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台</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ascii="宋体" w:hAnsi="宋体"/>
                <w:color w:val="auto"/>
                <w:sz w:val="18"/>
                <w:szCs w:val="18"/>
                <w:highlight w:val="none"/>
              </w:rPr>
              <w:drawing>
                <wp:inline distT="0" distB="0" distL="114300" distR="114300">
                  <wp:extent cx="1131570" cy="848360"/>
                  <wp:effectExtent l="0" t="0" r="11430" b="8890"/>
                  <wp:docPr id="1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2"/>
                          <pic:cNvPicPr>
                            <a:picLocks noChangeAspect="1"/>
                          </pic:cNvPicPr>
                        </pic:nvPicPr>
                        <pic:blipFill>
                          <a:blip r:embed="rId18"/>
                          <a:stretch>
                            <a:fillRect/>
                          </a:stretch>
                        </pic:blipFill>
                        <pic:spPr>
                          <a:xfrm>
                            <a:off x="0" y="0"/>
                            <a:ext cx="1131570" cy="848360"/>
                          </a:xfrm>
                          <a:prstGeom prst="rect">
                            <a:avLst/>
                          </a:prstGeom>
                          <a:noFill/>
                          <a:ln>
                            <a:noFill/>
                          </a:ln>
                        </pic:spPr>
                      </pic:pic>
                    </a:graphicData>
                  </a:graphic>
                </wp:inline>
              </w:drawing>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10123"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44</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全钢病理操作台</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2900*750*800全钢病理操作台</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1、台面：不小于12.7mm厚白色实芯理化板台面，具有耐化学腐蚀、耐压、易清洁等特点</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2、柜体：不小于1.0mm优质冷扎钢板，经过酸洗除油、袪渍、清洁、磷化处理，再经EPOXY涂层厚度为80微米，最后经高温烘烤制作而成，抗压性强，耐酸碱，抗腐蚀，防水。</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3、背板、侧封板：不小于1.0mm优质冷轧钢板，经模具冲压成型，乳白色粉沫喷涂，涂层厚度为80微米，最后经高温烘烤制作而成。采用活动结构，安装预埋螺母，易装拆，便于水管、电气的维修。</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4、柜体门板及抽头：不小于1.0mm优质冷轧钢板双层结构夹心结构，外观浑然一体，整体美观大方且不变形、具有很强的抗压强度。</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5、层板：不小于1.0㎜优质冷轧钢板，经过酸洗除油、袪渍、清洁、磷化处理，再经乳白色粉体喷涂，涂层厚度为80微米，最后经高温烘烤制作而成，边缘光滑，不伤手。</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6、地脚：不小于1.8*￠38mm优质圆管经一次性模具冲压成型钢材，连接处由专用连接件(模具开发)连接，表面高压EPOXY静电粉沫喷涂，承载力强、结构合理、稳定性强。</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7、铰链：专用模具三合一锌合金旋转式铰链，弹性好，使用过程中无噪音，耐腐蚀。</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8、滑轨：进口阻尼优质三节导轨。</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9、拉手：采用铝合金拉手。</w:t>
            </w:r>
          </w:p>
          <w:p>
            <w:pPr>
              <w:pStyle w:val="2"/>
              <w:rPr>
                <w:rFonts w:ascii="宋体" w:hAnsi="宋体" w:eastAsia="宋体" w:cs="宋体"/>
                <w:color w:val="auto"/>
                <w:kern w:val="0"/>
                <w:sz w:val="18"/>
                <w:szCs w:val="18"/>
                <w:highlight w:val="none"/>
                <w:lang w:bidi="ar"/>
              </w:rPr>
            </w:pPr>
            <w:r>
              <w:rPr>
                <w:rFonts w:hint="eastAsia" w:ascii="宋体" w:hAnsi="宋体"/>
                <w:color w:val="auto"/>
                <w:sz w:val="18"/>
                <w:szCs w:val="18"/>
                <w:highlight w:val="none"/>
                <w:lang w:bidi="ar"/>
              </w:rPr>
              <w:t>10、线槽：铝型材结构，可容纳电、网线、气体管道等；可自行拆卸，利于检修线路。</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台</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ascii="宋体" w:hAnsi="宋体"/>
                <w:color w:val="auto"/>
                <w:sz w:val="18"/>
                <w:szCs w:val="18"/>
                <w:highlight w:val="none"/>
              </w:rPr>
              <w:drawing>
                <wp:inline distT="0" distB="0" distL="114300" distR="114300">
                  <wp:extent cx="1131570" cy="848360"/>
                  <wp:effectExtent l="0" t="0" r="11430" b="8890"/>
                  <wp:docPr id="3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3"/>
                          <pic:cNvPicPr>
                            <a:picLocks noChangeAspect="1"/>
                          </pic:cNvPicPr>
                        </pic:nvPicPr>
                        <pic:blipFill>
                          <a:blip r:embed="rId18"/>
                          <a:stretch>
                            <a:fillRect/>
                          </a:stretch>
                        </pic:blipFill>
                        <pic:spPr>
                          <a:xfrm>
                            <a:off x="0" y="0"/>
                            <a:ext cx="1131570" cy="848360"/>
                          </a:xfrm>
                          <a:prstGeom prst="rect">
                            <a:avLst/>
                          </a:prstGeom>
                          <a:noFill/>
                          <a:ln>
                            <a:noFill/>
                          </a:ln>
                        </pic:spPr>
                      </pic:pic>
                    </a:graphicData>
                  </a:graphic>
                </wp:inline>
              </w:drawing>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2016"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45</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全钢病理操作台</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3100*750*800全钢病理操作台</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1、台面：不小于12.7mm厚白色实芯理化板台面，具有耐化学腐蚀、耐压、易清洁等特点</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2、柜体：不小于1.0mm优质冷扎钢板，经过酸洗除油、袪渍、清洁、磷化处理，再经EPOXY涂层厚度为80微米，最后经高温烘烤制作而成，抗压性强，耐酸碱，抗腐蚀，防水。</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3、背板、侧封板：不小于1.0mm优质冷轧钢板，经模具冲压成型，乳白色粉沫喷涂，涂层厚度为80微米，最后经高温烘烤制作而成。采用活动结构，安装预埋螺母，易装拆，便于水管、电气的维修。</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4、柜体门板及抽头：不小于1.0mm优质冷轧钢板双层结构夹心结构，外观浑然一体，整体美观大方且不变形、具有很强的抗压强度。</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5、层板：不小于1.0㎜优质冷轧钢板，经过酸洗除油、袪渍、清洁、磷化处理，再经乳白色粉体喷涂，涂层厚度为80微米，最后经高温烘烤制作而成，边缘光滑，不伤手。</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6、地脚：不小于1.8*￠38mm优质圆管经一次性模具冲压成型钢材，连接处由专用连接件(模具开发)连接，表面高压EPOXY静电粉沫喷涂，承载力强、结构合理、稳定性强。</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7、铰链：专用模具三合一锌合金旋转式铰链，弹性好，使用过程中无噪音，耐腐蚀。</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8、滑轨：进口阻尼优质三节导轨。</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9、拉手：采用铝合金拉手。</w:t>
            </w:r>
          </w:p>
          <w:p>
            <w:pPr>
              <w:pStyle w:val="2"/>
              <w:rPr>
                <w:rFonts w:ascii="宋体" w:hAnsi="宋体" w:eastAsia="宋体" w:cs="宋体"/>
                <w:color w:val="auto"/>
                <w:kern w:val="0"/>
                <w:sz w:val="18"/>
                <w:szCs w:val="18"/>
                <w:highlight w:val="none"/>
                <w:lang w:bidi="ar"/>
              </w:rPr>
            </w:pPr>
            <w:r>
              <w:rPr>
                <w:rFonts w:hint="eastAsia" w:ascii="宋体" w:hAnsi="宋体"/>
                <w:color w:val="auto"/>
                <w:sz w:val="18"/>
                <w:szCs w:val="18"/>
                <w:highlight w:val="none"/>
                <w:lang w:bidi="ar"/>
              </w:rPr>
              <w:t>10、线槽：铝型材结构，可容纳电、网线、气体管道等；可自行拆卸，利于检修线路。</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台</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ascii="宋体" w:hAnsi="宋体"/>
                <w:color w:val="auto"/>
                <w:sz w:val="18"/>
                <w:szCs w:val="18"/>
                <w:highlight w:val="none"/>
              </w:rPr>
              <w:drawing>
                <wp:inline distT="0" distB="0" distL="114300" distR="114300">
                  <wp:extent cx="1131570" cy="848360"/>
                  <wp:effectExtent l="0" t="0" r="11430" b="8890"/>
                  <wp:docPr id="1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4"/>
                          <pic:cNvPicPr>
                            <a:picLocks noChangeAspect="1"/>
                          </pic:cNvPicPr>
                        </pic:nvPicPr>
                        <pic:blipFill>
                          <a:blip r:embed="rId18"/>
                          <a:stretch>
                            <a:fillRect/>
                          </a:stretch>
                        </pic:blipFill>
                        <pic:spPr>
                          <a:xfrm>
                            <a:off x="0" y="0"/>
                            <a:ext cx="1131570" cy="848360"/>
                          </a:xfrm>
                          <a:prstGeom prst="rect">
                            <a:avLst/>
                          </a:prstGeom>
                          <a:noFill/>
                          <a:ln>
                            <a:noFill/>
                          </a:ln>
                        </pic:spPr>
                      </pic:pic>
                    </a:graphicData>
                  </a:graphic>
                </wp:inline>
              </w:drawing>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1659"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46</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耗材货架</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1460*500*2000耗材货架</w:t>
            </w:r>
          </w:p>
          <w:p>
            <w:pPr>
              <w:pStyle w:val="2"/>
              <w:rPr>
                <w:rFonts w:ascii="宋体" w:hAnsi="宋体" w:eastAsia="宋体" w:cs="宋体"/>
                <w:color w:val="auto"/>
                <w:kern w:val="0"/>
                <w:sz w:val="18"/>
                <w:szCs w:val="18"/>
                <w:highlight w:val="none"/>
                <w:lang w:bidi="ar"/>
              </w:rPr>
            </w:pPr>
            <w:r>
              <w:rPr>
                <w:rFonts w:hint="eastAsia" w:ascii="宋体" w:hAnsi="宋体"/>
                <w:color w:val="auto"/>
                <w:sz w:val="18"/>
                <w:szCs w:val="18"/>
                <w:highlight w:val="none"/>
                <w:lang w:bidi="ar"/>
              </w:rPr>
              <w:t>1、立柱采用40*60*1.5mmC型钢，横梁采用50*60*1.5mmP型钢，层板厚度0.8mm，整体乳白色粉体喷涂，涂层厚度为80微米，最后经高温烘烤制作而成，边缘光滑，不伤手。</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只</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3</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ascii="宋体" w:hAnsi="宋体"/>
                <w:color w:val="auto"/>
                <w:sz w:val="18"/>
                <w:szCs w:val="18"/>
                <w:highlight w:val="none"/>
              </w:rPr>
              <w:drawing>
                <wp:inline distT="0" distB="0" distL="114300" distR="114300">
                  <wp:extent cx="952500" cy="1224915"/>
                  <wp:effectExtent l="0" t="0" r="0" b="13335"/>
                  <wp:docPr id="1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5"/>
                          <pic:cNvPicPr>
                            <a:picLocks noChangeAspect="1"/>
                          </pic:cNvPicPr>
                        </pic:nvPicPr>
                        <pic:blipFill>
                          <a:blip r:embed="rId25"/>
                          <a:stretch>
                            <a:fillRect/>
                          </a:stretch>
                        </pic:blipFill>
                        <pic:spPr>
                          <a:xfrm>
                            <a:off x="0" y="0"/>
                            <a:ext cx="952500" cy="1224915"/>
                          </a:xfrm>
                          <a:prstGeom prst="rect">
                            <a:avLst/>
                          </a:prstGeom>
                          <a:noFill/>
                          <a:ln>
                            <a:noFill/>
                          </a:ln>
                        </pic:spPr>
                      </pic:pic>
                    </a:graphicData>
                  </a:graphic>
                </wp:inline>
              </w:drawing>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2206"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47</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耗材货架</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1730*500*2000耗材货架</w:t>
            </w:r>
          </w:p>
          <w:p>
            <w:pPr>
              <w:pStyle w:val="2"/>
              <w:rPr>
                <w:rFonts w:ascii="宋体" w:hAnsi="宋体" w:eastAsia="宋体" w:cs="宋体"/>
                <w:color w:val="auto"/>
                <w:kern w:val="0"/>
                <w:sz w:val="18"/>
                <w:szCs w:val="18"/>
                <w:highlight w:val="none"/>
                <w:lang w:bidi="ar"/>
              </w:rPr>
            </w:pPr>
            <w:r>
              <w:rPr>
                <w:rFonts w:hint="eastAsia" w:ascii="宋体" w:hAnsi="宋体"/>
                <w:color w:val="auto"/>
                <w:sz w:val="18"/>
                <w:szCs w:val="18"/>
                <w:highlight w:val="none"/>
                <w:lang w:bidi="ar"/>
              </w:rPr>
              <w:t>1、立柱采用40*60*1.5mmC型钢，横梁采用50*60*1.5mmP型钢，层板厚度0.8mm，整体乳白色粉体喷涂，涂层厚度为80微米，最后经高温烘烤制作而成，边缘光滑，不伤手。</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只</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2</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ascii="宋体" w:hAnsi="宋体"/>
                <w:color w:val="auto"/>
                <w:sz w:val="18"/>
                <w:szCs w:val="18"/>
                <w:highlight w:val="none"/>
              </w:rPr>
              <w:drawing>
                <wp:inline distT="0" distB="0" distL="114300" distR="114300">
                  <wp:extent cx="952500" cy="1224915"/>
                  <wp:effectExtent l="0" t="0" r="0" b="13335"/>
                  <wp:docPr id="2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6"/>
                          <pic:cNvPicPr>
                            <a:picLocks noChangeAspect="1"/>
                          </pic:cNvPicPr>
                        </pic:nvPicPr>
                        <pic:blipFill>
                          <a:blip r:embed="rId25"/>
                          <a:stretch>
                            <a:fillRect/>
                          </a:stretch>
                        </pic:blipFill>
                        <pic:spPr>
                          <a:xfrm>
                            <a:off x="0" y="0"/>
                            <a:ext cx="952500" cy="1224915"/>
                          </a:xfrm>
                          <a:prstGeom prst="rect">
                            <a:avLst/>
                          </a:prstGeom>
                          <a:noFill/>
                          <a:ln>
                            <a:noFill/>
                          </a:ln>
                        </pic:spPr>
                      </pic:pic>
                    </a:graphicData>
                  </a:graphic>
                </wp:inline>
              </w:drawing>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11441"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48</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TCT液基制片仪通风排毒柜</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2000*1100*2350TCT液基制片仪通风排毒柜</w:t>
            </w:r>
          </w:p>
          <w:p>
            <w:pPr>
              <w:pStyle w:val="2"/>
              <w:rPr>
                <w:rFonts w:ascii="宋体" w:hAnsi="宋体"/>
                <w:color w:val="auto"/>
                <w:sz w:val="18"/>
                <w:szCs w:val="18"/>
                <w:highlight w:val="none"/>
                <w:lang w:bidi="ar"/>
              </w:rPr>
            </w:pPr>
            <w:r>
              <w:rPr>
                <w:rFonts w:hint="eastAsia" w:ascii="宋体" w:hAnsi="宋体"/>
                <w:color w:val="auto"/>
                <w:sz w:val="18"/>
                <w:szCs w:val="18"/>
                <w:highlight w:val="none"/>
                <w:lang w:val="zh-CN"/>
              </w:rPr>
              <w:t>★</w:t>
            </w:r>
            <w:r>
              <w:rPr>
                <w:rFonts w:hint="eastAsia" w:ascii="宋体" w:hAnsi="宋体"/>
                <w:color w:val="auto"/>
                <w:sz w:val="18"/>
                <w:szCs w:val="18"/>
                <w:highlight w:val="none"/>
                <w:lang w:bidi="ar"/>
              </w:rPr>
              <w:t>1、左、右立柱由铝型材开模挤出成型，壁厚2mm，带圆弧式设计（R45mm），经数控铣床机钻铣加工而成，表面经环氧树脂粉末静电流水线自动化喷涂及高温固化，美观大方；</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2、左右旁板、前钢板均采用1.0mm厚冷轧钢板，由全自动数控激光切割机下料，折弯采用全自动数控折弯机一次性一体折弯成型，表面经环氧树脂粉末静电流水线自动化喷涂及高温固化；</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 xml:space="preserve">3、顶板为7.5mm厚抗倍特板，后背板为5mm厚抗倍特板制作，具有良好的耐酸碱腐蚀性。 </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4、固定视窗≥4mm厚防爆钢化玻璃，上下各由铝型材扁料加固。</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5、移动视窗≥5mm厚防爆钢化玻璃，上下滑动自如，可停留于轨道任何位置，方便使用者操作。</w:t>
            </w:r>
          </w:p>
          <w:p>
            <w:pPr>
              <w:pStyle w:val="2"/>
              <w:rPr>
                <w:rFonts w:ascii="宋体" w:hAnsi="宋体"/>
                <w:color w:val="auto"/>
                <w:sz w:val="18"/>
                <w:szCs w:val="18"/>
                <w:highlight w:val="none"/>
                <w:lang w:bidi="ar"/>
              </w:rPr>
            </w:pPr>
            <w:r>
              <w:rPr>
                <w:rFonts w:hint="eastAsia" w:ascii="宋体" w:hAnsi="宋体"/>
                <w:color w:val="auto"/>
                <w:sz w:val="18"/>
                <w:szCs w:val="18"/>
                <w:highlight w:val="none"/>
                <w:lang w:val="zh-CN"/>
              </w:rPr>
              <w:t>★</w:t>
            </w:r>
            <w:r>
              <w:rPr>
                <w:rFonts w:hint="eastAsia" w:ascii="宋体" w:hAnsi="宋体"/>
                <w:color w:val="auto"/>
                <w:sz w:val="18"/>
                <w:szCs w:val="18"/>
                <w:highlight w:val="none"/>
                <w:lang w:bidi="ar"/>
              </w:rPr>
              <w:t>6、内衬及导流板选用6mm厚岩板，内部经专业排风设计，可消除排气死角与不同密度气体的有效排放；</w:t>
            </w:r>
          </w:p>
          <w:p>
            <w:pPr>
              <w:pStyle w:val="2"/>
              <w:rPr>
                <w:rFonts w:ascii="宋体" w:hAnsi="宋体"/>
                <w:color w:val="auto"/>
                <w:sz w:val="18"/>
                <w:szCs w:val="18"/>
                <w:highlight w:val="none"/>
                <w:lang w:bidi="ar"/>
              </w:rPr>
            </w:pPr>
            <w:r>
              <w:rPr>
                <w:rFonts w:hint="eastAsia" w:ascii="宋体" w:hAnsi="宋体"/>
                <w:color w:val="auto"/>
                <w:sz w:val="18"/>
                <w:szCs w:val="18"/>
                <w:highlight w:val="none"/>
                <w:lang w:val="zh-CN"/>
              </w:rPr>
              <w:t>★</w:t>
            </w:r>
            <w:r>
              <w:rPr>
                <w:rFonts w:hint="eastAsia" w:ascii="宋体" w:hAnsi="宋体"/>
                <w:color w:val="auto"/>
                <w:sz w:val="18"/>
                <w:szCs w:val="18"/>
                <w:highlight w:val="none"/>
                <w:lang w:bidi="ar"/>
              </w:rPr>
              <w:t>7.补风翼板采用304不锈钢材质，耐酸碱腐蚀性，比常规钣金喷涂更耐用；圆弧设计使导风更顺畅，无漩涡回流现象。</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8.限位装置有500mm高限位锁装置，需要手动解锁才能推拉玻璃门至超过500mm高的位置，让通风柜更安全。</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9、台面为不小于12.7mm厚白色实芯理化板台面，具有耐化学腐蚀、耐压、易清洁等特点</w:t>
            </w:r>
          </w:p>
          <w:p>
            <w:pPr>
              <w:pStyle w:val="2"/>
              <w:rPr>
                <w:rFonts w:ascii="宋体" w:hAnsi="宋体" w:eastAsiaTheme="minorEastAsia"/>
                <w:color w:val="auto"/>
                <w:sz w:val="18"/>
                <w:szCs w:val="18"/>
                <w:highlight w:val="none"/>
                <w:lang w:bidi="ar"/>
              </w:rPr>
            </w:pPr>
            <w:r>
              <w:rPr>
                <w:rFonts w:hint="eastAsia" w:ascii="宋体" w:hAnsi="宋体"/>
                <w:color w:val="auto"/>
                <w:sz w:val="18"/>
                <w:szCs w:val="18"/>
                <w:highlight w:val="none"/>
                <w:lang w:val="zh-CN"/>
              </w:rPr>
              <w:t>★</w:t>
            </w:r>
            <w:r>
              <w:rPr>
                <w:rFonts w:hint="eastAsia" w:ascii="宋体" w:hAnsi="宋体"/>
                <w:color w:val="auto"/>
                <w:sz w:val="18"/>
                <w:szCs w:val="18"/>
                <w:highlight w:val="none"/>
                <w:lang w:bidi="ar"/>
              </w:rPr>
              <w:t>10、控制开关采用12V触摸式条形控制开关，集中控制整个电路系统</w:t>
            </w:r>
          </w:p>
          <w:p>
            <w:pPr>
              <w:pStyle w:val="22"/>
              <w:ind w:firstLine="0" w:firstLineChars="0"/>
              <w:rPr>
                <w:rFonts w:eastAsiaTheme="minorEastAsia"/>
                <w:color w:val="auto"/>
                <w:highlight w:val="none"/>
                <w:lang w:bidi="ar"/>
              </w:rPr>
            </w:pPr>
            <w:r>
              <w:rPr>
                <w:rFonts w:hint="eastAsia" w:eastAsiaTheme="minorEastAsia"/>
                <w:color w:val="auto"/>
                <w:sz w:val="18"/>
                <w:szCs w:val="18"/>
                <w:highlight w:val="none"/>
                <w:lang w:bidi="ar"/>
              </w:rPr>
              <w:t>1</w:t>
            </w:r>
            <w:r>
              <w:rPr>
                <w:rFonts w:eastAsiaTheme="minorEastAsia"/>
                <w:color w:val="auto"/>
                <w:sz w:val="18"/>
                <w:szCs w:val="18"/>
                <w:highlight w:val="none"/>
                <w:lang w:bidi="ar"/>
              </w:rPr>
              <w:t>1</w:t>
            </w:r>
            <w:r>
              <w:rPr>
                <w:rFonts w:hint="eastAsia" w:eastAsiaTheme="minorEastAsia"/>
                <w:color w:val="auto"/>
                <w:sz w:val="18"/>
                <w:szCs w:val="18"/>
                <w:highlight w:val="none"/>
                <w:lang w:bidi="ar"/>
              </w:rPr>
              <w:t>、须配置紫外线杀菌装置，带定时启动器，可设置开启时间和关闭时间，方便操作</w:t>
            </w:r>
          </w:p>
          <w:p>
            <w:pPr>
              <w:pStyle w:val="2"/>
              <w:rPr>
                <w:rFonts w:ascii="宋体" w:hAnsi="宋体" w:eastAsia="宋体" w:cs="宋体"/>
                <w:color w:val="auto"/>
                <w:kern w:val="0"/>
                <w:sz w:val="18"/>
                <w:szCs w:val="18"/>
                <w:highlight w:val="none"/>
                <w:lang w:bidi="ar"/>
              </w:rPr>
            </w:pPr>
            <w:r>
              <w:rPr>
                <w:rFonts w:hint="eastAsia" w:ascii="宋体" w:hAnsi="宋体"/>
                <w:color w:val="auto"/>
                <w:sz w:val="18"/>
                <w:szCs w:val="18"/>
                <w:highlight w:val="none"/>
                <w:lang w:bidi="ar"/>
              </w:rPr>
              <w:t>1</w:t>
            </w:r>
            <w:r>
              <w:rPr>
                <w:rFonts w:ascii="宋体" w:hAnsi="宋体"/>
                <w:color w:val="auto"/>
                <w:sz w:val="18"/>
                <w:szCs w:val="18"/>
                <w:highlight w:val="none"/>
                <w:lang w:bidi="ar"/>
              </w:rPr>
              <w:t>2</w:t>
            </w:r>
            <w:r>
              <w:rPr>
                <w:rFonts w:hint="eastAsia" w:ascii="宋体" w:hAnsi="宋体"/>
                <w:color w:val="auto"/>
                <w:sz w:val="18"/>
                <w:szCs w:val="18"/>
                <w:highlight w:val="none"/>
                <w:lang w:bidi="ar"/>
              </w:rPr>
              <w:t>、 排气方式：须充分理解病理实验TCT液基制片废气特性，为防止污染气体向实验室内挥发扩散，及时安全排除设备内部病理实验TCT液基制片废气，提供优质具体解决方案，且需与实验室整体通风新风系统无缝对接，满足病理实验室生物安全需要。</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台</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ascii="宋体" w:hAnsi="宋体"/>
                <w:color w:val="auto"/>
                <w:sz w:val="18"/>
                <w:szCs w:val="18"/>
                <w:highlight w:val="none"/>
              </w:rPr>
              <w:drawing>
                <wp:inline distT="0" distB="0" distL="114300" distR="114300">
                  <wp:extent cx="1126490" cy="845185"/>
                  <wp:effectExtent l="0" t="0" r="16510" b="12065"/>
                  <wp:docPr id="2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7"/>
                          <pic:cNvPicPr>
                            <a:picLocks noChangeAspect="1"/>
                          </pic:cNvPicPr>
                        </pic:nvPicPr>
                        <pic:blipFill>
                          <a:blip r:embed="rId22"/>
                          <a:stretch>
                            <a:fillRect/>
                          </a:stretch>
                        </pic:blipFill>
                        <pic:spPr>
                          <a:xfrm>
                            <a:off x="0" y="0"/>
                            <a:ext cx="1126490" cy="845185"/>
                          </a:xfrm>
                          <a:prstGeom prst="rect">
                            <a:avLst/>
                          </a:prstGeom>
                          <a:noFill/>
                          <a:ln>
                            <a:noFill/>
                          </a:ln>
                        </pic:spPr>
                      </pic:pic>
                    </a:graphicData>
                  </a:graphic>
                </wp:inline>
              </w:drawing>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5259"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49</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生物安全柜</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生物安全柜 b2</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 xml:space="preserve">1.分类：B2型，100%外排， </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2.外部尺寸≥（L×D×H）1500mm×760mm×2250mm；</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3.内部尺寸≥（L×D×H）1350mm ×600mm×660mm 。</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4.台面距离地面高度：750mm（尺寸可根据要求订制修改）</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5.风速： 平均下降风速：0.33±0.025m/s； 平均吸入口风速0.53±0.025m/s</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6.系统排风总量：1270 m3/h</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7.额定功率：1800W（包含操作区插座负载500W）</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8.噪音等级：≤67dB（A）</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9.照明：≥1000lx</w:t>
            </w:r>
          </w:p>
          <w:p>
            <w:pPr>
              <w:pStyle w:val="2"/>
              <w:rPr>
                <w:rFonts w:ascii="宋体" w:hAnsi="宋体"/>
                <w:color w:val="auto"/>
                <w:sz w:val="18"/>
                <w:szCs w:val="18"/>
                <w:highlight w:val="none"/>
                <w:lang w:bidi="ar"/>
              </w:rPr>
            </w:pPr>
            <w:r>
              <w:rPr>
                <w:rFonts w:hint="eastAsia" w:ascii="宋体" w:hAnsi="宋体"/>
                <w:color w:val="auto"/>
                <w:sz w:val="18"/>
                <w:szCs w:val="18"/>
                <w:highlight w:val="none"/>
                <w:lang w:val="zh-CN"/>
              </w:rPr>
              <w:t>★</w:t>
            </w:r>
            <w:r>
              <w:rPr>
                <w:rFonts w:hint="eastAsia" w:ascii="宋体" w:hAnsi="宋体"/>
                <w:color w:val="auto"/>
                <w:sz w:val="18"/>
                <w:szCs w:val="18"/>
                <w:highlight w:val="none"/>
                <w:lang w:bidi="ar"/>
              </w:rPr>
              <w:t>10.过滤效率:送风和排风过滤器均采用世界知名品牌的硼硅酸盐玻璃纤维材质的ULPA高效过滤器，对0.12μm颗粒过滤效率≥99.9995%</w:t>
            </w:r>
          </w:p>
          <w:p>
            <w:pPr>
              <w:pStyle w:val="2"/>
              <w:rPr>
                <w:rFonts w:ascii="宋体" w:hAnsi="宋体"/>
                <w:color w:val="auto"/>
                <w:sz w:val="18"/>
                <w:szCs w:val="18"/>
                <w:highlight w:val="none"/>
                <w:lang w:bidi="ar"/>
              </w:rPr>
            </w:pPr>
            <w:r>
              <w:rPr>
                <w:rFonts w:hint="eastAsia" w:ascii="宋体" w:hAnsi="宋体"/>
                <w:color w:val="auto"/>
                <w:sz w:val="18"/>
                <w:szCs w:val="18"/>
                <w:highlight w:val="none"/>
                <w:lang w:val="zh-CN"/>
              </w:rPr>
              <w:t>★</w:t>
            </w:r>
            <w:r>
              <w:rPr>
                <w:rFonts w:hint="eastAsia" w:ascii="宋体" w:hAnsi="宋体"/>
                <w:color w:val="auto"/>
                <w:sz w:val="18"/>
                <w:szCs w:val="18"/>
                <w:highlight w:val="none"/>
                <w:lang w:bidi="ar"/>
              </w:rPr>
              <w:t xml:space="preserve">11.人员安全性：用碘化钾（KI）法测试，前窗操作口的保护因子应不小于1×105 </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 xml:space="preserve">12.产品安全性：菌落数≤5CFU/次 </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13.交叉污染安全性：菌落数≤2CFU/次</w:t>
            </w:r>
          </w:p>
          <w:p>
            <w:pPr>
              <w:pStyle w:val="2"/>
              <w:rPr>
                <w:rFonts w:ascii="宋体" w:hAnsi="宋体"/>
                <w:color w:val="auto"/>
                <w:sz w:val="18"/>
                <w:szCs w:val="18"/>
                <w:highlight w:val="none"/>
                <w:lang w:bidi="ar"/>
              </w:rPr>
            </w:pPr>
            <w:r>
              <w:rPr>
                <w:rFonts w:hint="eastAsia" w:ascii="宋体" w:hAnsi="宋体"/>
                <w:color w:val="auto"/>
                <w:sz w:val="18"/>
                <w:szCs w:val="18"/>
                <w:highlight w:val="none"/>
                <w:lang w:val="zh-CN"/>
              </w:rPr>
              <w:t>★</w:t>
            </w:r>
            <w:r>
              <w:rPr>
                <w:rFonts w:hint="eastAsia" w:ascii="宋体" w:hAnsi="宋体"/>
                <w:color w:val="auto"/>
                <w:sz w:val="18"/>
                <w:szCs w:val="18"/>
                <w:highlight w:val="none"/>
                <w:lang w:bidi="ar"/>
              </w:rPr>
              <w:t xml:space="preserve"> 14.柜体采用10°倾斜角设计，符合人体工程学原理，视角更大，操作方便且更加人性化；   </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15.安全柜裸露工作区三侧壁板采用优质304#不锈钢一体化结构，内部可清洗部位采用8mm大圆角处理，不留死角，易于清洁；</w:t>
            </w:r>
          </w:p>
          <w:p>
            <w:pPr>
              <w:pStyle w:val="2"/>
              <w:rPr>
                <w:rFonts w:ascii="宋体" w:hAnsi="宋体"/>
                <w:color w:val="auto"/>
                <w:sz w:val="18"/>
                <w:szCs w:val="18"/>
                <w:highlight w:val="none"/>
                <w:lang w:bidi="ar"/>
              </w:rPr>
            </w:pPr>
            <w:r>
              <w:rPr>
                <w:rFonts w:hint="eastAsia" w:ascii="宋体" w:hAnsi="宋体"/>
                <w:color w:val="auto"/>
                <w:sz w:val="18"/>
                <w:szCs w:val="18"/>
                <w:highlight w:val="none"/>
                <w:lang w:val="zh-CN"/>
              </w:rPr>
              <w:t>★</w:t>
            </w:r>
            <w:r>
              <w:rPr>
                <w:rFonts w:hint="eastAsia" w:ascii="宋体" w:hAnsi="宋体"/>
                <w:color w:val="auto"/>
                <w:sz w:val="18"/>
                <w:szCs w:val="18"/>
                <w:highlight w:val="none"/>
                <w:lang w:bidi="ar"/>
              </w:rPr>
              <w:t>16.前窗玻璃采用双层夹胶防爆安全玻璃；即使玻璃破损，也不会伤人，并且生物安全柜还能正常工作，直到实验结束，更好的保护了人员及实验的安全；</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 xml:space="preserve"> </w:t>
            </w:r>
            <w:r>
              <w:rPr>
                <w:rFonts w:hint="eastAsia" w:ascii="宋体" w:hAnsi="宋体"/>
                <w:color w:val="auto"/>
                <w:sz w:val="18"/>
                <w:szCs w:val="18"/>
                <w:highlight w:val="none"/>
                <w:lang w:val="zh-CN"/>
              </w:rPr>
              <w:t>★</w:t>
            </w:r>
            <w:r>
              <w:rPr>
                <w:rFonts w:hint="eastAsia" w:ascii="宋体" w:hAnsi="宋体"/>
                <w:color w:val="auto"/>
                <w:sz w:val="18"/>
                <w:szCs w:val="18"/>
                <w:highlight w:val="none"/>
                <w:lang w:bidi="ar"/>
              </w:rPr>
              <w:t>17.高亮度LCD显示屏,实时动态显示操作区的下降气流流速和流入气流流速，显示安全柜的整体运行时间，UV灯的运行时间，操作区的温度和湿度，送风和排风过滤器的阻力，显示过滤器的使用时间并由条码显示过滤器的使用寿命，条码全部点亮是过滤器寿命到期，运行状态全部显示,一目了然；</w:t>
            </w:r>
          </w:p>
          <w:p>
            <w:pPr>
              <w:pStyle w:val="2"/>
              <w:rPr>
                <w:rFonts w:ascii="宋体" w:hAnsi="宋体"/>
                <w:color w:val="auto"/>
                <w:sz w:val="18"/>
                <w:szCs w:val="18"/>
                <w:highlight w:val="none"/>
                <w:lang w:bidi="ar"/>
              </w:rPr>
            </w:pPr>
            <w:r>
              <w:rPr>
                <w:rFonts w:hint="eastAsia" w:ascii="宋体" w:hAnsi="宋体"/>
                <w:color w:val="auto"/>
                <w:sz w:val="18"/>
                <w:szCs w:val="18"/>
                <w:highlight w:val="none"/>
                <w:lang w:val="zh-CN"/>
              </w:rPr>
              <w:t>★</w:t>
            </w:r>
            <w:r>
              <w:rPr>
                <w:rFonts w:hint="eastAsia" w:ascii="宋体" w:hAnsi="宋体"/>
                <w:color w:val="auto"/>
                <w:sz w:val="18"/>
                <w:szCs w:val="18"/>
                <w:highlight w:val="none"/>
                <w:lang w:bidi="ar"/>
              </w:rPr>
              <w:t>18.电动控制前窗玻璃门，可同时采用脚踏控制、按键控制或遥控控制，玻璃门升降到安全操作高度时，自动停止升降，使操作更加方便；且玻璃门升降时不用直接接触玻璃，使实验人员更安全；</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19.具有预约定时功能，能自动设定安全柜定时开机、关机及紫外灯消毒时间，大大节省了工作时间，提高了工作效率；</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20.玻璃门不在安全高度报警：玻璃门安全高度为200mm，当安全柜前侧高于或低于安全高度时，安全柜会声光报警；</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21.过滤器压力超高报警：当过滤器的阻力变大，安全柜会声光报警</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22.过滤器失效更换报警：当过滤器寿命使用到期后，会有过滤器更换声光报警；</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23.气流波动报警：当安全柜的气流波动超过标称值的20%时，声光报警，</w:t>
            </w:r>
          </w:p>
          <w:p>
            <w:pPr>
              <w:pStyle w:val="22"/>
              <w:ind w:firstLine="0" w:firstLineChars="0"/>
              <w:rPr>
                <w:rFonts w:ascii="宋体" w:hAnsi="宋体" w:eastAsia="宋体" w:cs="宋体"/>
                <w:color w:val="auto"/>
                <w:kern w:val="0"/>
                <w:sz w:val="18"/>
                <w:szCs w:val="18"/>
                <w:highlight w:val="none"/>
                <w:lang w:bidi="ar"/>
              </w:rPr>
            </w:pPr>
            <w:r>
              <w:rPr>
                <w:rFonts w:hint="eastAsia" w:ascii="宋体" w:hAnsi="宋体"/>
                <w:color w:val="auto"/>
                <w:sz w:val="18"/>
                <w:szCs w:val="18"/>
                <w:highlight w:val="none"/>
                <w:lang w:val="zh-CN"/>
              </w:rPr>
              <w:t>★</w:t>
            </w:r>
            <w:r>
              <w:rPr>
                <w:rFonts w:ascii="宋体" w:hAnsi="宋体"/>
                <w:color w:val="auto"/>
                <w:sz w:val="18"/>
                <w:szCs w:val="18"/>
                <w:highlight w:val="none"/>
                <w:lang w:bidi="ar"/>
              </w:rPr>
              <w:t>24</w:t>
            </w:r>
            <w:r>
              <w:rPr>
                <w:rFonts w:hint="eastAsia" w:ascii="宋体" w:hAnsi="宋体"/>
                <w:color w:val="auto"/>
                <w:sz w:val="18"/>
                <w:szCs w:val="18"/>
                <w:highlight w:val="none"/>
                <w:lang w:bidi="ar"/>
              </w:rPr>
              <w:t>、开标时提供符合参数要求的设备原厂产品技术说明书和原厂制造商出具的产品授权书</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台</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2</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ascii="宋体" w:hAnsi="宋体"/>
                <w:color w:val="auto"/>
                <w:sz w:val="18"/>
                <w:szCs w:val="18"/>
                <w:highlight w:val="none"/>
              </w:rPr>
              <w:drawing>
                <wp:inline distT="0" distB="0" distL="114300" distR="114300">
                  <wp:extent cx="1133475" cy="1133475"/>
                  <wp:effectExtent l="0" t="0" r="9525" b="9525"/>
                  <wp:docPr id="2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8"/>
                          <pic:cNvPicPr>
                            <a:picLocks noChangeAspect="1"/>
                          </pic:cNvPicPr>
                        </pic:nvPicPr>
                        <pic:blipFill>
                          <a:blip r:embed="rId26"/>
                          <a:stretch>
                            <a:fillRect/>
                          </a:stretch>
                        </pic:blipFill>
                        <pic:spPr>
                          <a:xfrm>
                            <a:off x="0" y="0"/>
                            <a:ext cx="1133475" cy="1133475"/>
                          </a:xfrm>
                          <a:prstGeom prst="rect">
                            <a:avLst/>
                          </a:prstGeom>
                          <a:noFill/>
                          <a:ln>
                            <a:noFill/>
                          </a:ln>
                        </pic:spPr>
                      </pic:pic>
                    </a:graphicData>
                  </a:graphic>
                </wp:inline>
              </w:drawing>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1536"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50</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全钢病理操作台</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ind w:left="126" w:leftChars="35"/>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2080*750*800全钢病理操作台</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1、台面：不小于12.7mm厚白色实芯理化板台面，具有耐化学腐蚀、耐压、易清洁等特点</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2、柜体：不小于1.0mm优质冷扎钢板，经过酸洗除油、袪渍、清洁、磷化处理，再经EPOXY涂层厚度为80微米，最后经高温烘烤制作而成，抗压性强，耐酸碱，抗腐蚀，防水。</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3、背板、侧封板：不小于1.0mm优质冷轧钢板，经模具冲压成型，乳白色粉沫喷涂，涂层厚度为80微米，最后经高温烘烤制作而成。采用活动结构，安装预埋螺母，易装拆，便于水管、电气的维修。</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4、柜体门板及抽头：不小于1.0mm优质冷轧钢板双层结构夹心结构，外观浑然一体，整体美观大方且不变形、具有很强的抗压强度。</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5、层板：不小于1.0㎜优质冷轧钢板，经过酸洗除油、袪渍、清洁、磷化处理，再经乳白色粉体喷涂，涂层厚度为80微米，最后经高温烘烤制作而成，边缘光滑，不伤手。</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6、地脚：不小于1.8*￠38mm优质圆管经一次性模具冲压成型钢材，连接处由专用连接件(模具开发)连接，表面高压EPOXY静电粉沫喷涂，承载力强、结构合理、稳定性强。</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7、铰链：专用模具三合一锌合金旋转式铰链，弹性好，使用过程中无噪音，耐腐蚀。</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8、滑轨：进口阻尼优质三节导轨。</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9、拉手：采用铝合金拉手。</w:t>
            </w:r>
          </w:p>
          <w:p>
            <w:pPr>
              <w:pStyle w:val="2"/>
              <w:rPr>
                <w:rFonts w:ascii="宋体" w:hAnsi="宋体" w:eastAsia="宋体" w:cs="宋体"/>
                <w:color w:val="auto"/>
                <w:kern w:val="0"/>
                <w:sz w:val="18"/>
                <w:szCs w:val="18"/>
                <w:highlight w:val="none"/>
                <w:lang w:bidi="ar"/>
              </w:rPr>
            </w:pPr>
            <w:r>
              <w:rPr>
                <w:rFonts w:hint="eastAsia" w:ascii="宋体" w:hAnsi="宋体"/>
                <w:color w:val="auto"/>
                <w:sz w:val="18"/>
                <w:szCs w:val="18"/>
                <w:highlight w:val="none"/>
                <w:lang w:bidi="ar"/>
              </w:rPr>
              <w:t>10、线槽：铝型材结构，可容纳电、网线、气体管道等；可自行拆卸，利于检修线路。</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台</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ascii="宋体" w:hAnsi="宋体"/>
                <w:color w:val="auto"/>
                <w:sz w:val="18"/>
                <w:szCs w:val="18"/>
                <w:highlight w:val="none"/>
              </w:rPr>
              <w:drawing>
                <wp:inline distT="0" distB="0" distL="114300" distR="114300">
                  <wp:extent cx="1131570" cy="848360"/>
                  <wp:effectExtent l="0" t="0" r="11430" b="8890"/>
                  <wp:docPr id="2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9"/>
                          <pic:cNvPicPr>
                            <a:picLocks noChangeAspect="1"/>
                          </pic:cNvPicPr>
                        </pic:nvPicPr>
                        <pic:blipFill>
                          <a:blip r:embed="rId18"/>
                          <a:stretch>
                            <a:fillRect/>
                          </a:stretch>
                        </pic:blipFill>
                        <pic:spPr>
                          <a:xfrm>
                            <a:off x="0" y="0"/>
                            <a:ext cx="1131570" cy="848360"/>
                          </a:xfrm>
                          <a:prstGeom prst="rect">
                            <a:avLst/>
                          </a:prstGeom>
                          <a:noFill/>
                          <a:ln>
                            <a:noFill/>
                          </a:ln>
                        </pic:spPr>
                      </pic:pic>
                    </a:graphicData>
                  </a:graphic>
                </wp:inline>
              </w:drawing>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384"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51</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常规通风排毒柜</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1500*850*2350常规通风排毒柜</w:t>
            </w:r>
          </w:p>
          <w:p>
            <w:pPr>
              <w:pStyle w:val="2"/>
              <w:rPr>
                <w:rFonts w:ascii="宋体" w:hAnsi="宋体"/>
                <w:color w:val="auto"/>
                <w:sz w:val="18"/>
                <w:szCs w:val="18"/>
                <w:highlight w:val="none"/>
                <w:lang w:bidi="ar"/>
              </w:rPr>
            </w:pPr>
            <w:r>
              <w:rPr>
                <w:rFonts w:hint="eastAsia" w:ascii="宋体" w:hAnsi="宋体"/>
                <w:color w:val="auto"/>
                <w:sz w:val="18"/>
                <w:szCs w:val="18"/>
                <w:highlight w:val="none"/>
                <w:lang w:val="zh-CN"/>
              </w:rPr>
              <w:t>★</w:t>
            </w:r>
            <w:r>
              <w:rPr>
                <w:rFonts w:hint="eastAsia" w:ascii="宋体" w:hAnsi="宋体"/>
                <w:color w:val="auto"/>
                <w:sz w:val="18"/>
                <w:szCs w:val="18"/>
                <w:highlight w:val="none"/>
                <w:lang w:bidi="ar"/>
              </w:rPr>
              <w:t>1、左、右立柱由铝型材开模挤出成型，壁厚2mm，带圆弧式设计（R45mm），经数控铣床机钻铣加工而成，表面经环氧树脂粉末静电流水线自动化喷涂及高温固化，美观大方；</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2、左右旁板、前钢板均采用1.0mm厚冷轧钢板，由全自动数控激光切割机下料，折弯采用全自动数控折弯机一次性一体折弯成型，表面经环氧树脂粉末静电流水线自动化喷涂及高温固化；</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 xml:space="preserve">3、顶板为7.5mm厚抗倍特板，后背板为5mm厚抗倍特板制作，具有良好的耐酸碱腐蚀性。 </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4、固定视窗≥4mm厚防爆钢化玻璃，上下各由铝型材扁料加固。</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5、移动视窗≥5mm厚防爆钢化玻璃，上下滑动自如，可停留于轨道任何位置，方便使用者操作。</w:t>
            </w:r>
          </w:p>
          <w:p>
            <w:pPr>
              <w:pStyle w:val="2"/>
              <w:rPr>
                <w:rFonts w:ascii="宋体" w:hAnsi="宋体"/>
                <w:color w:val="auto"/>
                <w:sz w:val="18"/>
                <w:szCs w:val="18"/>
                <w:highlight w:val="none"/>
                <w:lang w:bidi="ar"/>
              </w:rPr>
            </w:pPr>
            <w:r>
              <w:rPr>
                <w:rFonts w:hint="eastAsia" w:ascii="宋体" w:hAnsi="宋体"/>
                <w:color w:val="auto"/>
                <w:sz w:val="18"/>
                <w:szCs w:val="18"/>
                <w:highlight w:val="none"/>
                <w:lang w:val="zh-CN"/>
              </w:rPr>
              <w:t>★</w:t>
            </w:r>
            <w:r>
              <w:rPr>
                <w:rFonts w:hint="eastAsia" w:ascii="宋体" w:hAnsi="宋体"/>
                <w:color w:val="auto"/>
                <w:sz w:val="18"/>
                <w:szCs w:val="18"/>
                <w:highlight w:val="none"/>
                <w:lang w:bidi="ar"/>
              </w:rPr>
              <w:t>6、内衬及导流板选用6mm厚岩板，内部经专业排风设计，可消除排气死角与不同密度气体的有效排放；</w:t>
            </w:r>
          </w:p>
          <w:p>
            <w:pPr>
              <w:pStyle w:val="2"/>
              <w:rPr>
                <w:rFonts w:ascii="宋体" w:hAnsi="宋体"/>
                <w:color w:val="auto"/>
                <w:sz w:val="18"/>
                <w:szCs w:val="18"/>
                <w:highlight w:val="none"/>
                <w:lang w:bidi="ar"/>
              </w:rPr>
            </w:pPr>
            <w:r>
              <w:rPr>
                <w:rFonts w:hint="eastAsia" w:ascii="宋体" w:hAnsi="宋体"/>
                <w:color w:val="auto"/>
                <w:sz w:val="18"/>
                <w:szCs w:val="18"/>
                <w:highlight w:val="none"/>
                <w:lang w:val="zh-CN"/>
              </w:rPr>
              <w:t>★</w:t>
            </w:r>
            <w:r>
              <w:rPr>
                <w:rFonts w:hint="eastAsia" w:ascii="宋体" w:hAnsi="宋体"/>
                <w:color w:val="auto"/>
                <w:sz w:val="18"/>
                <w:szCs w:val="18"/>
                <w:highlight w:val="none"/>
                <w:lang w:bidi="ar"/>
              </w:rPr>
              <w:t>7.补风翼板采用304不锈钢材质，耐酸碱腐蚀性，比常规钣金喷涂更耐用；圆弧设计使导风更顺畅，无漩涡回流现象。</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8.限位装置有500mm高限位锁装置，需要手动解锁才能推拉玻璃门至超过500mm高的位置，让通风柜更安全。</w:t>
            </w:r>
          </w:p>
          <w:p>
            <w:pPr>
              <w:pStyle w:val="2"/>
              <w:rPr>
                <w:rFonts w:ascii="宋体" w:hAnsi="宋体"/>
                <w:color w:val="auto"/>
                <w:sz w:val="18"/>
                <w:szCs w:val="18"/>
                <w:highlight w:val="none"/>
                <w:lang w:bidi="ar"/>
              </w:rPr>
            </w:pPr>
            <w:r>
              <w:rPr>
                <w:rFonts w:hint="eastAsia" w:ascii="宋体" w:hAnsi="宋体"/>
                <w:color w:val="auto"/>
                <w:sz w:val="18"/>
                <w:szCs w:val="18"/>
                <w:highlight w:val="none"/>
                <w:lang w:val="zh-CN"/>
              </w:rPr>
              <w:t>★</w:t>
            </w:r>
            <w:r>
              <w:rPr>
                <w:rFonts w:hint="eastAsia" w:ascii="宋体" w:hAnsi="宋体"/>
                <w:color w:val="auto"/>
                <w:sz w:val="18"/>
                <w:szCs w:val="18"/>
                <w:highlight w:val="none"/>
                <w:lang w:bidi="ar"/>
              </w:rPr>
              <w:t>9、台面采用一次成型全304不锈钢台面，厚度不小于2mm。</w:t>
            </w:r>
          </w:p>
          <w:p>
            <w:pPr>
              <w:pStyle w:val="2"/>
              <w:rPr>
                <w:rFonts w:ascii="宋体" w:hAnsi="宋体" w:eastAsiaTheme="minorEastAsia"/>
                <w:color w:val="auto"/>
                <w:sz w:val="18"/>
                <w:szCs w:val="18"/>
                <w:highlight w:val="none"/>
                <w:lang w:bidi="ar"/>
              </w:rPr>
            </w:pPr>
            <w:r>
              <w:rPr>
                <w:rFonts w:hint="eastAsia" w:ascii="宋体" w:hAnsi="宋体"/>
                <w:color w:val="auto"/>
                <w:sz w:val="18"/>
                <w:szCs w:val="18"/>
                <w:highlight w:val="none"/>
                <w:lang w:val="zh-CN"/>
              </w:rPr>
              <w:t>★</w:t>
            </w:r>
            <w:r>
              <w:rPr>
                <w:rFonts w:hint="eastAsia" w:ascii="宋体" w:hAnsi="宋体"/>
                <w:color w:val="auto"/>
                <w:sz w:val="18"/>
                <w:szCs w:val="18"/>
                <w:highlight w:val="none"/>
                <w:lang w:bidi="ar"/>
              </w:rPr>
              <w:t>10、控制开关采用12V触摸式条形控制开关，集中控制整个电路系统</w:t>
            </w:r>
          </w:p>
          <w:p>
            <w:pPr>
              <w:pStyle w:val="22"/>
              <w:ind w:firstLine="0" w:firstLineChars="0"/>
              <w:rPr>
                <w:rFonts w:eastAsiaTheme="minorEastAsia"/>
                <w:color w:val="auto"/>
                <w:highlight w:val="none"/>
                <w:lang w:bidi="ar"/>
              </w:rPr>
            </w:pPr>
            <w:r>
              <w:rPr>
                <w:rFonts w:hint="eastAsia" w:eastAsiaTheme="minorEastAsia"/>
                <w:color w:val="auto"/>
                <w:sz w:val="18"/>
                <w:szCs w:val="18"/>
                <w:highlight w:val="none"/>
                <w:lang w:bidi="ar"/>
              </w:rPr>
              <w:t>1</w:t>
            </w:r>
            <w:r>
              <w:rPr>
                <w:rFonts w:eastAsiaTheme="minorEastAsia"/>
                <w:color w:val="auto"/>
                <w:sz w:val="18"/>
                <w:szCs w:val="18"/>
                <w:highlight w:val="none"/>
                <w:lang w:bidi="ar"/>
              </w:rPr>
              <w:t>1</w:t>
            </w:r>
            <w:r>
              <w:rPr>
                <w:rFonts w:hint="eastAsia" w:eastAsiaTheme="minorEastAsia"/>
                <w:color w:val="auto"/>
                <w:sz w:val="18"/>
                <w:szCs w:val="18"/>
                <w:highlight w:val="none"/>
                <w:lang w:bidi="ar"/>
              </w:rPr>
              <w:t>、须配置紫外线杀菌装置，带定时启动器，可设置开启时间和关闭时间，方便操作</w:t>
            </w:r>
          </w:p>
          <w:p>
            <w:pPr>
              <w:pStyle w:val="2"/>
              <w:rPr>
                <w:rFonts w:ascii="宋体" w:hAnsi="宋体" w:eastAsia="宋体" w:cs="宋体"/>
                <w:color w:val="auto"/>
                <w:kern w:val="0"/>
                <w:sz w:val="18"/>
                <w:szCs w:val="18"/>
                <w:highlight w:val="none"/>
                <w:lang w:bidi="ar"/>
              </w:rPr>
            </w:pPr>
            <w:r>
              <w:rPr>
                <w:rFonts w:hint="eastAsia" w:ascii="宋体" w:hAnsi="宋体"/>
                <w:color w:val="auto"/>
                <w:sz w:val="18"/>
                <w:szCs w:val="18"/>
                <w:highlight w:val="none"/>
                <w:lang w:bidi="ar"/>
              </w:rPr>
              <w:t>1</w:t>
            </w:r>
            <w:r>
              <w:rPr>
                <w:rFonts w:ascii="宋体" w:hAnsi="宋体"/>
                <w:color w:val="auto"/>
                <w:sz w:val="18"/>
                <w:szCs w:val="18"/>
                <w:highlight w:val="none"/>
                <w:lang w:bidi="ar"/>
              </w:rPr>
              <w:t>2</w:t>
            </w:r>
            <w:r>
              <w:rPr>
                <w:rFonts w:hint="eastAsia" w:ascii="宋体" w:hAnsi="宋体"/>
                <w:color w:val="auto"/>
                <w:sz w:val="18"/>
                <w:szCs w:val="18"/>
                <w:highlight w:val="none"/>
                <w:lang w:bidi="ar"/>
              </w:rPr>
              <w:t>. 排气方式：须充分理解病理实验废气特性，为防止污染气体向实验室内挥发扩散，及时安全排除设备内部病理实验废气，提供优质具体解决方案，且需与实验室整体通风新风系统无缝对接，满足病理实验室生物安全需要。</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台</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ascii="宋体" w:hAnsi="宋体"/>
                <w:color w:val="auto"/>
                <w:sz w:val="18"/>
                <w:szCs w:val="18"/>
                <w:highlight w:val="none"/>
              </w:rPr>
              <w:drawing>
                <wp:inline distT="0" distB="0" distL="114300" distR="114300">
                  <wp:extent cx="1126490" cy="845185"/>
                  <wp:effectExtent l="0" t="0" r="16510" b="12065"/>
                  <wp:docPr id="2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0"/>
                          <pic:cNvPicPr>
                            <a:picLocks noChangeAspect="1"/>
                          </pic:cNvPicPr>
                        </pic:nvPicPr>
                        <pic:blipFill>
                          <a:blip r:embed="rId22"/>
                          <a:stretch>
                            <a:fillRect/>
                          </a:stretch>
                        </pic:blipFill>
                        <pic:spPr>
                          <a:xfrm>
                            <a:off x="0" y="0"/>
                            <a:ext cx="1126490" cy="845185"/>
                          </a:xfrm>
                          <a:prstGeom prst="rect">
                            <a:avLst/>
                          </a:prstGeom>
                          <a:noFill/>
                          <a:ln>
                            <a:noFill/>
                          </a:ln>
                        </pic:spPr>
                      </pic:pic>
                    </a:graphicData>
                  </a:graphic>
                </wp:inline>
              </w:drawing>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7752"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52</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全钢病理操作台</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950*750*800全钢病理操作台</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1、台面：不小于12.7mm厚白色实芯理化板台面，具有耐化学腐蚀、耐压、易清洁等特点</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2、柜体：不小于1.0mm优质冷扎钢板，经过酸洗除油、袪渍、清洁、磷化处理，再经EPOXY涂层厚度为80微米，最后经高温烘烤制作而成，抗压性强，耐酸碱，抗腐蚀，防水。</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3、背板、侧封板：不小于1.0mm优质冷轧钢板，经模具冲压成型，乳白色粉沫喷涂，涂层厚度为80微米，最后经高温烘烤制作而成。采用活动结构，安装预埋螺母，易装拆，便于水管、电气的维修。</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4、柜体门板及抽头：不小于1.0mm优质冷轧钢板双层结构夹心结构，外观浑然一体，整体美观大方且不变形、具有很强的抗压强度。</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5、层板：不小于1.0㎜优质冷轧钢板，经过酸洗除油、袪渍、清洁、磷化处理，再经乳白色粉体喷涂，涂层厚度为80微米，最后经高温烘烤制作而成，边缘光滑，不伤手。</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6、地脚：不小于1.8*￠38mm优质圆管经一次性模具冲压成型钢材，连接处由专用连接件(模具开发)连接，表面高压EPOXY静电粉沫喷涂，承载力强、结构合理、稳定性强。</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7、铰链：专用模具三合一锌合金旋转式铰链，弹性好，使用过程中无噪音，耐腐蚀。</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8、滑轨：进口阻尼优质三节导轨。</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9、拉手：采用铝合金拉手。</w:t>
            </w:r>
          </w:p>
          <w:p>
            <w:pPr>
              <w:pStyle w:val="2"/>
              <w:rPr>
                <w:rFonts w:ascii="宋体" w:hAnsi="宋体" w:eastAsia="宋体" w:cs="宋体"/>
                <w:color w:val="auto"/>
                <w:kern w:val="0"/>
                <w:sz w:val="18"/>
                <w:szCs w:val="18"/>
                <w:highlight w:val="none"/>
                <w:lang w:bidi="ar"/>
              </w:rPr>
            </w:pPr>
            <w:r>
              <w:rPr>
                <w:rFonts w:hint="eastAsia" w:ascii="宋体" w:hAnsi="宋体"/>
                <w:color w:val="auto"/>
                <w:sz w:val="18"/>
                <w:szCs w:val="18"/>
                <w:highlight w:val="none"/>
                <w:lang w:bidi="ar"/>
              </w:rPr>
              <w:t>10、线槽：铝型材结构，可容纳电、网线、气体管道等；可自行拆卸，利于检修线路。</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台</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ascii="宋体" w:hAnsi="宋体"/>
                <w:color w:val="auto"/>
                <w:sz w:val="18"/>
                <w:szCs w:val="18"/>
                <w:highlight w:val="none"/>
              </w:rPr>
              <w:drawing>
                <wp:inline distT="0" distB="0" distL="114300" distR="114300">
                  <wp:extent cx="1131570" cy="848360"/>
                  <wp:effectExtent l="0" t="0" r="11430" b="8890"/>
                  <wp:docPr id="2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1"/>
                          <pic:cNvPicPr>
                            <a:picLocks noChangeAspect="1"/>
                          </pic:cNvPicPr>
                        </pic:nvPicPr>
                        <pic:blipFill>
                          <a:blip r:embed="rId18"/>
                          <a:stretch>
                            <a:fillRect/>
                          </a:stretch>
                        </pic:blipFill>
                        <pic:spPr>
                          <a:xfrm>
                            <a:off x="0" y="0"/>
                            <a:ext cx="1131570" cy="848360"/>
                          </a:xfrm>
                          <a:prstGeom prst="rect">
                            <a:avLst/>
                          </a:prstGeom>
                          <a:noFill/>
                          <a:ln>
                            <a:noFill/>
                          </a:ln>
                        </pic:spPr>
                      </pic:pic>
                    </a:graphicData>
                  </a:graphic>
                </wp:inline>
              </w:drawing>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9727"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53</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全钢病理操作台</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2000*750*800全钢病理操作台</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1、台面：不小于12.7mm厚白色实芯理化板台面，具有耐化学腐蚀、耐压、易清洁等特点</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2、柜体：不小于1.0mm优质冷扎钢板，经过酸洗除油、袪渍、清洁、磷化处理，再经EPOXY涂层厚度为80微米，最后经高温烘烤制作而成，抗压性强，耐酸碱，抗腐蚀，防水。</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3、背板、侧封板：不小于1.0mm优质冷轧钢板，经模具冲压成型，乳白色粉沫喷涂，涂层厚度为80微米，最后经高温烘烤制作而成。采用活动结构，安装预埋螺母，易装拆，便于水管、电气的维修。</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4、柜体门板及抽头：不小于1.0mm优质冷轧钢板双层结构夹心结构，外观浑然一体，整体美观大方且不变形、具有很强的抗压强度。</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5、层板：不小于1.0㎜优质冷轧钢板，经过酸洗除油、袪渍、清洁、磷化处理，再经乳白色粉体喷涂，涂层厚度为80微米，最后经高温烘烤制作而成，边缘光滑，不伤手。</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6、地脚：不小于1.8*￠38mm优质圆管经一次性模具冲压成型钢材，连接处由专用连接件(模具开发)连接，表面高压EPOXY静电粉沫喷涂，承载力强、结构合理、稳定性强。</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7、铰链：专用模具三合一锌合金旋转式铰链，弹性好，使用过程中无噪音，耐腐蚀。</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8、滑轨：进口阻尼优质三节导轨。</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9、拉手：采用铝合金拉手。</w:t>
            </w:r>
          </w:p>
          <w:p>
            <w:pPr>
              <w:pStyle w:val="2"/>
              <w:rPr>
                <w:rFonts w:ascii="宋体" w:hAnsi="宋体" w:eastAsia="宋体" w:cs="宋体"/>
                <w:color w:val="auto"/>
                <w:kern w:val="0"/>
                <w:sz w:val="18"/>
                <w:szCs w:val="18"/>
                <w:highlight w:val="none"/>
                <w:lang w:bidi="ar"/>
              </w:rPr>
            </w:pPr>
            <w:r>
              <w:rPr>
                <w:rFonts w:hint="eastAsia" w:ascii="宋体" w:hAnsi="宋体"/>
                <w:color w:val="auto"/>
                <w:sz w:val="18"/>
                <w:szCs w:val="18"/>
                <w:highlight w:val="none"/>
                <w:lang w:bidi="ar"/>
              </w:rPr>
              <w:t>10、线槽：铝型材结构，可容纳电、网线、气体管道等；可自行拆卸，利于检修线路。</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台</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ascii="宋体" w:hAnsi="宋体"/>
                <w:color w:val="auto"/>
                <w:sz w:val="18"/>
                <w:szCs w:val="18"/>
                <w:highlight w:val="none"/>
              </w:rPr>
              <w:drawing>
                <wp:inline distT="0" distB="0" distL="114300" distR="114300">
                  <wp:extent cx="1131570" cy="848360"/>
                  <wp:effectExtent l="0" t="0" r="11430" b="889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8"/>
                          <a:stretch>
                            <a:fillRect/>
                          </a:stretch>
                        </pic:blipFill>
                        <pic:spPr>
                          <a:xfrm>
                            <a:off x="0" y="0"/>
                            <a:ext cx="1131570" cy="848360"/>
                          </a:xfrm>
                          <a:prstGeom prst="rect">
                            <a:avLst/>
                          </a:prstGeom>
                          <a:noFill/>
                          <a:ln>
                            <a:noFill/>
                          </a:ln>
                        </pic:spPr>
                      </pic:pic>
                    </a:graphicData>
                  </a:graphic>
                </wp:inline>
              </w:drawing>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90"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54</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全钢病理操作台</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3340*750*800全钢病理操作台</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1、台面：不小于12.7mm厚白色实芯理化板台面，具有耐化学腐蚀、耐压、易清洁等特点</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2、柜体：不小于1.0mm优质冷扎钢板，经过酸洗除油、袪渍、清洁、磷化处理，再经EPOXY涂层厚度为80微米，最后经高温烘烤制作而成，抗压性强，耐酸碱，抗腐蚀，防水。</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3、背板、侧封板：不小于1.0mm优质冷轧钢板，经模具冲压成型，乳白色粉沫喷涂，涂层厚度为80微米，最后经高温烘烤制作而成。采用活动结构，安装预埋螺母，易装拆，便于水管、电气的维修。</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4、柜体门板及抽头：不小于1.0mm优质冷轧钢板双层结构夹心结构，外观浑然一体，整体美观大方且不变形、具有很强的抗压强度。</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5、层板：不小于1.0㎜优质冷轧钢板，经过酸洗除油、袪渍、清洁、磷化处理，再经乳白色粉体喷涂，涂层厚度为80微米，最后经高温烘烤制作而成，边缘光滑，不伤手。</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6、地脚：不小于1.8*￠38mm优质圆管经一次性模具冲压成型钢材，连接处由专用连接件(模具开发)连接，表面高压EPOXY静电粉沫喷涂，承载力强、结构合理、稳定性强。</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7、铰链：专用模具三合一锌合金旋转式铰链，弹性好，使用过程中无噪音，耐腐蚀。</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8、滑轨：进口阻尼优质三节导轨。</w:t>
            </w:r>
          </w:p>
          <w:p>
            <w:pPr>
              <w:pStyle w:val="2"/>
              <w:ind w:left="126" w:leftChars="35"/>
              <w:rPr>
                <w:rFonts w:ascii="宋体" w:hAnsi="宋体"/>
                <w:color w:val="auto"/>
                <w:sz w:val="18"/>
                <w:szCs w:val="18"/>
                <w:highlight w:val="none"/>
                <w:lang w:bidi="ar"/>
              </w:rPr>
            </w:pPr>
            <w:r>
              <w:rPr>
                <w:rFonts w:hint="eastAsia" w:ascii="宋体" w:hAnsi="宋体"/>
                <w:color w:val="auto"/>
                <w:sz w:val="18"/>
                <w:szCs w:val="18"/>
                <w:highlight w:val="none"/>
                <w:lang w:bidi="ar"/>
              </w:rPr>
              <w:t>9、拉手：采用铝合金拉手。</w:t>
            </w:r>
          </w:p>
          <w:p>
            <w:pPr>
              <w:pStyle w:val="2"/>
              <w:rPr>
                <w:rFonts w:ascii="宋体" w:hAnsi="宋体" w:eastAsia="宋体" w:cs="宋体"/>
                <w:color w:val="auto"/>
                <w:kern w:val="0"/>
                <w:sz w:val="18"/>
                <w:szCs w:val="18"/>
                <w:highlight w:val="none"/>
                <w:lang w:bidi="ar"/>
              </w:rPr>
            </w:pPr>
            <w:r>
              <w:rPr>
                <w:rFonts w:hint="eastAsia" w:ascii="宋体" w:hAnsi="宋体"/>
                <w:color w:val="auto"/>
                <w:sz w:val="18"/>
                <w:szCs w:val="18"/>
                <w:highlight w:val="none"/>
                <w:lang w:bidi="ar"/>
              </w:rPr>
              <w:t>10、线槽：铝型材结构，可容纳电、网线、气体管道等；可自行拆卸，利于检修线路。</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台</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ascii="宋体" w:hAnsi="宋体"/>
                <w:color w:val="auto"/>
                <w:sz w:val="18"/>
                <w:szCs w:val="18"/>
                <w:highlight w:val="none"/>
              </w:rPr>
              <w:drawing>
                <wp:inline distT="0" distB="0" distL="114300" distR="114300">
                  <wp:extent cx="1131570" cy="848360"/>
                  <wp:effectExtent l="0" t="0" r="11430" b="8890"/>
                  <wp:docPr id="2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3"/>
                          <pic:cNvPicPr>
                            <a:picLocks noChangeAspect="1"/>
                          </pic:cNvPicPr>
                        </pic:nvPicPr>
                        <pic:blipFill>
                          <a:blip r:embed="rId18"/>
                          <a:stretch>
                            <a:fillRect/>
                          </a:stretch>
                        </pic:blipFill>
                        <pic:spPr>
                          <a:xfrm>
                            <a:off x="0" y="0"/>
                            <a:ext cx="1131570" cy="848360"/>
                          </a:xfrm>
                          <a:prstGeom prst="rect">
                            <a:avLst/>
                          </a:prstGeom>
                          <a:noFill/>
                          <a:ln>
                            <a:noFill/>
                          </a:ln>
                        </pic:spPr>
                      </pic:pic>
                    </a:graphicData>
                  </a:graphic>
                </wp:inline>
              </w:drawing>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90"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55</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通风晾片柜</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1000*400*1800通风晾片柜</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1.整体采用宝钢SPCC优质冷轧板，厚度为1.0mm，内部放置8层凉片板柜，可自由组合，可放置192层凉片板；</w:t>
            </w:r>
          </w:p>
          <w:p>
            <w:pPr>
              <w:pStyle w:val="2"/>
              <w:rPr>
                <w:rFonts w:ascii="宋体" w:hAnsi="宋体"/>
                <w:color w:val="auto"/>
                <w:sz w:val="18"/>
                <w:szCs w:val="18"/>
                <w:highlight w:val="none"/>
                <w:lang w:bidi="ar"/>
              </w:rPr>
            </w:pPr>
            <w:r>
              <w:rPr>
                <w:rFonts w:hint="eastAsia" w:ascii="宋体" w:hAnsi="宋体"/>
                <w:color w:val="auto"/>
                <w:sz w:val="18"/>
                <w:szCs w:val="18"/>
                <w:highlight w:val="none"/>
                <w:lang w:bidi="ar"/>
              </w:rPr>
              <w:t>2.内部配备通风系统，柜体下部装有百叶进风口，在有效去除各种异味的同时也加速玻片晾干的速度。</w:t>
            </w:r>
          </w:p>
          <w:p>
            <w:pPr>
              <w:pStyle w:val="2"/>
              <w:rPr>
                <w:rFonts w:ascii="宋体" w:hAnsi="宋体" w:eastAsia="宋体" w:cs="宋体"/>
                <w:color w:val="auto"/>
                <w:kern w:val="0"/>
                <w:sz w:val="18"/>
                <w:szCs w:val="18"/>
                <w:highlight w:val="none"/>
                <w:lang w:bidi="ar"/>
              </w:rPr>
            </w:pPr>
            <w:r>
              <w:rPr>
                <w:rFonts w:hint="eastAsia" w:ascii="宋体" w:hAnsi="宋体"/>
                <w:color w:val="auto"/>
                <w:sz w:val="18"/>
                <w:szCs w:val="18"/>
                <w:highlight w:val="none"/>
                <w:lang w:bidi="ar"/>
              </w:rPr>
              <w:t>3. 排气方式：须充分理解玻片染色后慢性试剂挥发的废气特性，为防止污染气体向实验室内挥发扩散，及时安全排除设备内部染色试剂废气，提供优质具体解决方案，且需与实验室整体通风新风系统无缝对接，满足病理实验室生物安全需要。</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台</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3</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ascii="宋体" w:hAnsi="宋体"/>
                <w:color w:val="auto"/>
                <w:sz w:val="18"/>
                <w:szCs w:val="18"/>
                <w:highlight w:val="none"/>
              </w:rPr>
              <w:drawing>
                <wp:inline distT="0" distB="0" distL="114300" distR="114300">
                  <wp:extent cx="920115" cy="1394460"/>
                  <wp:effectExtent l="0" t="0" r="13335" b="15240"/>
                  <wp:docPr id="2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4"/>
                          <pic:cNvPicPr>
                            <a:picLocks noChangeAspect="1"/>
                          </pic:cNvPicPr>
                        </pic:nvPicPr>
                        <pic:blipFill>
                          <a:blip r:embed="rId27"/>
                          <a:stretch>
                            <a:fillRect/>
                          </a:stretch>
                        </pic:blipFill>
                        <pic:spPr>
                          <a:xfrm>
                            <a:off x="0" y="0"/>
                            <a:ext cx="920115" cy="1394460"/>
                          </a:xfrm>
                          <a:prstGeom prst="rect">
                            <a:avLst/>
                          </a:prstGeom>
                          <a:noFill/>
                          <a:ln>
                            <a:noFill/>
                          </a:ln>
                        </pic:spPr>
                      </pic:pic>
                    </a:graphicData>
                  </a:graphic>
                </wp:inline>
              </w:drawing>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2430"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56</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pp水池+三口水龙头</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olor w:val="auto"/>
                <w:sz w:val="18"/>
                <w:szCs w:val="18"/>
                <w:highlight w:val="none"/>
              </w:rPr>
            </w:pPr>
            <w:r>
              <w:rPr>
                <w:rFonts w:hint="eastAsia" w:ascii="宋体" w:hAnsi="宋体"/>
                <w:color w:val="auto"/>
                <w:sz w:val="18"/>
                <w:szCs w:val="18"/>
                <w:highlight w:val="none"/>
              </w:rPr>
              <w:t>pp水池+三口水龙头</w:t>
            </w:r>
          </w:p>
          <w:p>
            <w:pPr>
              <w:rPr>
                <w:rFonts w:ascii="宋体" w:hAnsi="宋体"/>
                <w:color w:val="auto"/>
                <w:sz w:val="18"/>
                <w:szCs w:val="18"/>
                <w:highlight w:val="none"/>
              </w:rPr>
            </w:pPr>
            <w:r>
              <w:rPr>
                <w:rFonts w:hint="eastAsia" w:ascii="宋体" w:hAnsi="宋体"/>
                <w:color w:val="auto"/>
                <w:sz w:val="18"/>
                <w:szCs w:val="18"/>
                <w:highlight w:val="none"/>
              </w:rPr>
              <w:t>1.产品材质：pp材质</w:t>
            </w:r>
          </w:p>
          <w:p>
            <w:pPr>
              <w:rPr>
                <w:rFonts w:ascii="宋体" w:hAnsi="宋体"/>
                <w:color w:val="auto"/>
                <w:sz w:val="18"/>
                <w:szCs w:val="18"/>
                <w:highlight w:val="none"/>
              </w:rPr>
            </w:pPr>
            <w:r>
              <w:rPr>
                <w:rFonts w:hint="eastAsia" w:ascii="宋体" w:hAnsi="宋体"/>
                <w:color w:val="auto"/>
                <w:sz w:val="18"/>
                <w:szCs w:val="18"/>
                <w:highlight w:val="none"/>
              </w:rPr>
              <w:t>2.材料厚度：不小于4mm</w:t>
            </w:r>
          </w:p>
          <w:p>
            <w:pPr>
              <w:rPr>
                <w:rFonts w:ascii="宋体" w:hAnsi="宋体"/>
                <w:color w:val="auto"/>
                <w:sz w:val="18"/>
                <w:szCs w:val="18"/>
                <w:highlight w:val="none"/>
              </w:rPr>
            </w:pPr>
            <w:r>
              <w:rPr>
                <w:rFonts w:hint="eastAsia" w:ascii="宋体" w:hAnsi="宋体"/>
                <w:color w:val="auto"/>
                <w:sz w:val="18"/>
                <w:szCs w:val="18"/>
                <w:highlight w:val="none"/>
              </w:rPr>
              <w:t>3.R角工艺，采用斜边工艺设计去水快无残留不滋生细菌。</w:t>
            </w:r>
          </w:p>
          <w:p>
            <w:pPr>
              <w:rPr>
                <w:rFonts w:ascii="宋体" w:hAnsi="宋体"/>
                <w:color w:val="auto"/>
                <w:sz w:val="18"/>
                <w:szCs w:val="18"/>
                <w:highlight w:val="none"/>
              </w:rPr>
            </w:pPr>
            <w:r>
              <w:rPr>
                <w:rFonts w:hint="eastAsia" w:ascii="宋体" w:hAnsi="宋体"/>
                <w:color w:val="auto"/>
                <w:sz w:val="18"/>
                <w:szCs w:val="18"/>
                <w:highlight w:val="none"/>
              </w:rPr>
              <w:t>4.下水口快速出水</w:t>
            </w:r>
          </w:p>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color w:val="auto"/>
                <w:sz w:val="18"/>
                <w:szCs w:val="18"/>
                <w:highlight w:val="none"/>
              </w:rPr>
              <w:t>5.螺旋式防堵塞，出水流畅，不堵塞，使用寿命长。</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套</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15</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olor w:val="auto"/>
                <w:sz w:val="18"/>
                <w:szCs w:val="18"/>
                <w:highlight w:val="none"/>
              </w:rPr>
            </w:pPr>
            <w:r>
              <w:rPr>
                <w:rFonts w:ascii="宋体" w:hAnsi="宋体"/>
                <w:color w:val="auto"/>
                <w:sz w:val="18"/>
                <w:szCs w:val="18"/>
                <w:highlight w:val="none"/>
              </w:rPr>
              <w:drawing>
                <wp:inline distT="0" distB="0" distL="114300" distR="114300">
                  <wp:extent cx="1099185" cy="781050"/>
                  <wp:effectExtent l="0" t="0" r="5715" b="0"/>
                  <wp:docPr id="28" name="图片 35" descr="PP中水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5" descr="PP中水盆"/>
                          <pic:cNvPicPr>
                            <a:picLocks noChangeAspect="1"/>
                          </pic:cNvPicPr>
                        </pic:nvPicPr>
                        <pic:blipFill>
                          <a:blip r:embed="rId28"/>
                          <a:stretch>
                            <a:fillRect/>
                          </a:stretch>
                        </pic:blipFill>
                        <pic:spPr>
                          <a:xfrm>
                            <a:off x="0" y="0"/>
                            <a:ext cx="1099185" cy="781050"/>
                          </a:xfrm>
                          <a:prstGeom prst="rect">
                            <a:avLst/>
                          </a:prstGeom>
                          <a:noFill/>
                          <a:ln>
                            <a:noFill/>
                          </a:ln>
                        </pic:spPr>
                      </pic:pic>
                    </a:graphicData>
                  </a:graphic>
                </wp:inline>
              </w:drawing>
            </w:r>
          </w:p>
          <w:p>
            <w:pPr>
              <w:pStyle w:val="2"/>
              <w:rPr>
                <w:rFonts w:ascii="宋体" w:hAnsi="宋体" w:eastAsia="宋体" w:cs="宋体"/>
                <w:color w:val="auto"/>
                <w:sz w:val="18"/>
                <w:szCs w:val="18"/>
                <w:highlight w:val="none"/>
              </w:rPr>
            </w:pPr>
            <w:r>
              <w:rPr>
                <w:rFonts w:ascii="宋体" w:hAnsi="宋体"/>
                <w:color w:val="auto"/>
                <w:sz w:val="18"/>
                <w:szCs w:val="18"/>
                <w:highlight w:val="none"/>
              </w:rPr>
              <w:drawing>
                <wp:inline distT="0" distB="0" distL="114300" distR="114300">
                  <wp:extent cx="840105" cy="786765"/>
                  <wp:effectExtent l="0" t="0" r="17145" b="13335"/>
                  <wp:docPr id="3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6"/>
                          <pic:cNvPicPr>
                            <a:picLocks noChangeAspect="1"/>
                          </pic:cNvPicPr>
                        </pic:nvPicPr>
                        <pic:blipFill>
                          <a:blip r:embed="rId29"/>
                          <a:stretch>
                            <a:fillRect/>
                          </a:stretch>
                        </pic:blipFill>
                        <pic:spPr>
                          <a:xfrm>
                            <a:off x="0" y="0"/>
                            <a:ext cx="840105" cy="786765"/>
                          </a:xfrm>
                          <a:prstGeom prst="rect">
                            <a:avLst/>
                          </a:prstGeom>
                          <a:noFill/>
                          <a:ln>
                            <a:noFill/>
                          </a:ln>
                        </pic:spPr>
                      </pic:pic>
                    </a:graphicData>
                  </a:graphic>
                </wp:inline>
              </w:drawing>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1587"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57</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cs="宋体"/>
                <w:color w:val="auto"/>
                <w:kern w:val="0"/>
                <w:sz w:val="18"/>
                <w:szCs w:val="18"/>
                <w:highlight w:val="none"/>
                <w:lang w:bidi="ar"/>
              </w:rPr>
              <w:t>岛式插座</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olor w:val="auto"/>
                <w:sz w:val="18"/>
                <w:szCs w:val="18"/>
                <w:highlight w:val="none"/>
              </w:rPr>
            </w:pPr>
            <w:r>
              <w:rPr>
                <w:rFonts w:hint="eastAsia" w:ascii="宋体" w:hAnsi="宋体"/>
                <w:color w:val="auto"/>
                <w:sz w:val="18"/>
                <w:szCs w:val="18"/>
                <w:highlight w:val="none"/>
              </w:rPr>
              <w:t>岛式插座</w:t>
            </w:r>
          </w:p>
          <w:p>
            <w:pPr>
              <w:rPr>
                <w:rFonts w:ascii="宋体" w:hAnsi="宋体" w:eastAsia="宋体" w:cs="宋体"/>
                <w:color w:val="auto"/>
                <w:kern w:val="0"/>
                <w:sz w:val="18"/>
                <w:szCs w:val="18"/>
                <w:highlight w:val="none"/>
                <w:lang w:bidi="ar"/>
              </w:rPr>
            </w:pPr>
            <w:r>
              <w:rPr>
                <w:rFonts w:hint="eastAsia" w:ascii="宋体" w:hAnsi="宋体"/>
                <w:color w:val="auto"/>
                <w:sz w:val="18"/>
                <w:szCs w:val="18"/>
                <w:highlight w:val="none"/>
              </w:rPr>
              <w:t>1. 材质：铝合金材质，厚度不小于1.3mm，两边黑色为塑料堵头。插座面板五孔孔多功能防水插座。</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套</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90</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ascii="宋体" w:hAnsi="宋体"/>
                <w:color w:val="auto"/>
                <w:sz w:val="18"/>
                <w:szCs w:val="18"/>
                <w:highlight w:val="none"/>
              </w:rPr>
              <w:drawing>
                <wp:inline distT="0" distB="0" distL="114300" distR="114300">
                  <wp:extent cx="1132840" cy="955040"/>
                  <wp:effectExtent l="0" t="0" r="10160" b="16510"/>
                  <wp:docPr id="3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7"/>
                          <pic:cNvPicPr>
                            <a:picLocks noChangeAspect="1"/>
                          </pic:cNvPicPr>
                        </pic:nvPicPr>
                        <pic:blipFill>
                          <a:blip r:embed="rId30"/>
                          <a:stretch>
                            <a:fillRect/>
                          </a:stretch>
                        </pic:blipFill>
                        <pic:spPr>
                          <a:xfrm>
                            <a:off x="0" y="0"/>
                            <a:ext cx="1132840" cy="955040"/>
                          </a:xfrm>
                          <a:prstGeom prst="rect">
                            <a:avLst/>
                          </a:prstGeom>
                          <a:noFill/>
                          <a:ln>
                            <a:noFill/>
                          </a:ln>
                        </pic:spPr>
                      </pic:pic>
                    </a:graphicData>
                  </a:graphic>
                </wp:inline>
              </w:drawing>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2944"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58</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钢板墙板</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1.钢结构墙面板安装 彩钢夹芯板</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m2</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84.00</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olor w:val="auto"/>
                <w:sz w:val="18"/>
                <w:szCs w:val="18"/>
                <w:highlight w:val="none"/>
              </w:rPr>
            </w:pPr>
            <w:r>
              <w:rPr>
                <w:rFonts w:ascii="宋体" w:hAnsi="宋体"/>
                <w:color w:val="auto"/>
                <w:sz w:val="18"/>
                <w:szCs w:val="18"/>
                <w:highlight w:val="none"/>
              </w:rPr>
              <w:drawing>
                <wp:inline distT="0" distB="0" distL="114300" distR="114300">
                  <wp:extent cx="1099185" cy="781050"/>
                  <wp:effectExtent l="0" t="0" r="5715" b="0"/>
                  <wp:docPr id="34" name="图片 38" descr="PP中水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8" descr="PP中水盆"/>
                          <pic:cNvPicPr>
                            <a:picLocks noChangeAspect="1"/>
                          </pic:cNvPicPr>
                        </pic:nvPicPr>
                        <pic:blipFill>
                          <a:blip r:embed="rId28"/>
                          <a:stretch>
                            <a:fillRect/>
                          </a:stretch>
                        </pic:blipFill>
                        <pic:spPr>
                          <a:xfrm>
                            <a:off x="0" y="0"/>
                            <a:ext cx="1099185" cy="781050"/>
                          </a:xfrm>
                          <a:prstGeom prst="rect">
                            <a:avLst/>
                          </a:prstGeom>
                          <a:noFill/>
                          <a:ln>
                            <a:noFill/>
                          </a:ln>
                        </pic:spPr>
                      </pic:pic>
                    </a:graphicData>
                  </a:graphic>
                </wp:inline>
              </w:drawing>
            </w:r>
          </w:p>
          <w:p>
            <w:pPr>
              <w:pStyle w:val="2"/>
              <w:rPr>
                <w:rFonts w:ascii="宋体" w:hAnsi="宋体" w:eastAsia="宋体" w:cs="宋体"/>
                <w:color w:val="auto"/>
                <w:sz w:val="18"/>
                <w:szCs w:val="18"/>
                <w:highlight w:val="none"/>
              </w:rPr>
            </w:pPr>
            <w:r>
              <w:rPr>
                <w:rFonts w:ascii="宋体" w:hAnsi="宋体"/>
                <w:color w:val="auto"/>
                <w:sz w:val="18"/>
                <w:szCs w:val="18"/>
                <w:highlight w:val="none"/>
              </w:rPr>
              <w:drawing>
                <wp:inline distT="0" distB="0" distL="114300" distR="114300">
                  <wp:extent cx="840105" cy="786765"/>
                  <wp:effectExtent l="0" t="0" r="17145" b="13335"/>
                  <wp:docPr id="3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9"/>
                          <pic:cNvPicPr>
                            <a:picLocks noChangeAspect="1"/>
                          </pic:cNvPicPr>
                        </pic:nvPicPr>
                        <pic:blipFill>
                          <a:blip r:embed="rId29"/>
                          <a:stretch>
                            <a:fillRect/>
                          </a:stretch>
                        </pic:blipFill>
                        <pic:spPr>
                          <a:xfrm>
                            <a:off x="0" y="0"/>
                            <a:ext cx="840105" cy="786765"/>
                          </a:xfrm>
                          <a:prstGeom prst="rect">
                            <a:avLst/>
                          </a:prstGeom>
                          <a:noFill/>
                          <a:ln>
                            <a:noFill/>
                          </a:ln>
                        </pic:spPr>
                      </pic:pic>
                    </a:graphicData>
                  </a:graphic>
                </wp:inline>
              </w:drawing>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467"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59</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钢板楼板</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1.钢结构屋面板安装 彩钢夹芯板</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m2</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48.00</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659"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60</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钢管柱</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1.住宅钢结构 40*60*1.5镀锌方管钢柱安装 质量（t以内）3</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t</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0.027</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659"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61</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钢梁</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1.住宅钢结构 40*60*1.5镀锌方管钢梁安装 质量（t以内）0.5</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t</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0.064</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6438"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kern w:val="0"/>
                <w:sz w:val="18"/>
                <w:szCs w:val="18"/>
                <w:highlight w:val="none"/>
                <w:lang w:bidi="ar"/>
              </w:rPr>
            </w:pPr>
            <w:r>
              <w:rPr>
                <w:rFonts w:hint="eastAsia" w:ascii="宋体" w:hAnsi="宋体" w:cs="宋体"/>
                <w:color w:val="auto"/>
                <w:kern w:val="0"/>
                <w:sz w:val="18"/>
                <w:szCs w:val="18"/>
                <w:highlight w:val="none"/>
                <w:lang w:bidi="ar"/>
              </w:rPr>
              <w:t>6</w:t>
            </w:r>
            <w:r>
              <w:rPr>
                <w:rFonts w:ascii="宋体" w:hAnsi="宋体" w:cs="宋体"/>
                <w:color w:val="auto"/>
                <w:kern w:val="0"/>
                <w:sz w:val="18"/>
                <w:szCs w:val="18"/>
                <w:highlight w:val="none"/>
                <w:lang w:bidi="ar"/>
              </w:rPr>
              <w:t>2</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kern w:val="0"/>
                <w:sz w:val="18"/>
                <w:szCs w:val="18"/>
                <w:highlight w:val="none"/>
                <w:lang w:bidi="ar"/>
              </w:rPr>
            </w:pPr>
            <w:r>
              <w:rPr>
                <w:rFonts w:hint="eastAsia" w:ascii="宋体" w:hAnsi="宋体" w:cs="宋体"/>
                <w:color w:val="auto"/>
                <w:kern w:val="0"/>
                <w:sz w:val="18"/>
                <w:szCs w:val="18"/>
                <w:highlight w:val="none"/>
                <w:lang w:bidi="ar"/>
              </w:rPr>
              <w:t>智能一体式二合一福尔马林加液仪（中标供应商</w:t>
            </w:r>
            <w:r>
              <w:rPr>
                <w:rFonts w:hint="eastAsia" w:ascii="宋体" w:hAnsi="宋体" w:eastAsia="宋体" w:cs="宋体"/>
                <w:color w:val="auto"/>
                <w:kern w:val="0"/>
                <w:sz w:val="18"/>
                <w:szCs w:val="18"/>
                <w:highlight w:val="none"/>
                <w:lang w:bidi="ar"/>
              </w:rPr>
              <w:t>增配</w:t>
            </w:r>
            <w:r>
              <w:rPr>
                <w:rFonts w:hint="eastAsia" w:ascii="宋体" w:hAnsi="宋体" w:cs="宋体"/>
                <w:color w:val="auto"/>
                <w:kern w:val="0"/>
                <w:sz w:val="18"/>
                <w:szCs w:val="18"/>
                <w:highlight w:val="none"/>
                <w:lang w:bidi="ar"/>
              </w:rPr>
              <w:t>，已包含在投标总价内</w:t>
            </w:r>
            <w:r>
              <w:rPr>
                <w:rFonts w:hint="eastAsia" w:ascii="宋体" w:hAnsi="宋体" w:eastAsia="宋体" w:cs="宋体"/>
                <w:color w:val="auto"/>
                <w:kern w:val="0"/>
                <w:sz w:val="18"/>
                <w:szCs w:val="18"/>
                <w:highlight w:val="none"/>
                <w:lang w:eastAsia="zh-CN" w:bidi="ar"/>
              </w:rPr>
              <w:t>，采购方</w:t>
            </w:r>
            <w:r>
              <w:rPr>
                <w:rFonts w:hint="eastAsia" w:ascii="宋体" w:hAnsi="宋体" w:cs="宋体"/>
                <w:color w:val="auto"/>
                <w:kern w:val="0"/>
                <w:sz w:val="18"/>
                <w:szCs w:val="18"/>
                <w:highlight w:val="none"/>
                <w:lang w:bidi="ar"/>
              </w:rPr>
              <w:t>不再另行支付费用）</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1、整机使用304不锈钢材质制作，表面精细打磨，耐强酸强碱。</w:t>
            </w:r>
          </w:p>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2、内置一体式不锈钢福尔马林存液罐，容量≥25L</w:t>
            </w:r>
          </w:p>
          <w:p>
            <w:pPr>
              <w:widowControl/>
              <w:jc w:val="left"/>
              <w:textAlignment w:val="center"/>
              <w:rPr>
                <w:rFonts w:ascii="宋体" w:hAnsi="宋体" w:cs="宋体"/>
                <w:color w:val="auto"/>
                <w:kern w:val="0"/>
                <w:sz w:val="18"/>
                <w:szCs w:val="18"/>
                <w:highlight w:val="none"/>
                <w:lang w:bidi="ar"/>
              </w:rPr>
            </w:pPr>
            <w:r>
              <w:rPr>
                <w:rFonts w:hint="eastAsia" w:ascii="宋体" w:hAnsi="宋体"/>
                <w:color w:val="auto"/>
                <w:sz w:val="18"/>
                <w:szCs w:val="18"/>
                <w:highlight w:val="none"/>
                <w:lang w:val="zh-CN"/>
              </w:rPr>
              <w:t>★</w:t>
            </w:r>
            <w:r>
              <w:rPr>
                <w:rFonts w:hint="eastAsia" w:ascii="宋体" w:hAnsi="宋体" w:cs="宋体"/>
                <w:color w:val="auto"/>
                <w:kern w:val="0"/>
                <w:sz w:val="18"/>
                <w:szCs w:val="18"/>
                <w:highlight w:val="none"/>
                <w:lang w:bidi="ar"/>
              </w:rPr>
              <w:t>3、配备全触摸式液晶操作面板，可个性化设置加液速度，单次加液容量（范围：0-200ml），可数字化或图形化显示存液容量，存液低于最小数值可自动报警提示。（投标人须提供实物操作照片证明文件）</w:t>
            </w:r>
          </w:p>
          <w:p>
            <w:pPr>
              <w:widowControl/>
              <w:jc w:val="left"/>
              <w:textAlignment w:val="center"/>
              <w:rPr>
                <w:rFonts w:ascii="宋体" w:hAnsi="宋体" w:cs="宋体"/>
                <w:color w:val="auto"/>
                <w:kern w:val="0"/>
                <w:sz w:val="18"/>
                <w:szCs w:val="18"/>
                <w:highlight w:val="none"/>
                <w:lang w:bidi="ar"/>
              </w:rPr>
            </w:pPr>
            <w:r>
              <w:rPr>
                <w:rFonts w:hint="eastAsia" w:ascii="宋体" w:hAnsi="宋体"/>
                <w:color w:val="auto"/>
                <w:sz w:val="18"/>
                <w:szCs w:val="18"/>
                <w:highlight w:val="none"/>
                <w:lang w:val="zh-CN"/>
              </w:rPr>
              <w:t>★</w:t>
            </w:r>
            <w:r>
              <w:rPr>
                <w:rFonts w:hint="eastAsia" w:ascii="宋体" w:hAnsi="宋体" w:cs="宋体"/>
                <w:color w:val="auto"/>
                <w:kern w:val="0"/>
                <w:sz w:val="18"/>
                <w:szCs w:val="18"/>
                <w:highlight w:val="none"/>
                <w:lang w:bidi="ar"/>
              </w:rPr>
              <w:t>4、配备主动式补液装置，将外部固定液抽入设备内部存液罐，并在存液罐满载后，自动停止加液，防止内部罐体满载而溢流。</w:t>
            </w:r>
          </w:p>
          <w:p>
            <w:pPr>
              <w:widowControl/>
              <w:jc w:val="left"/>
              <w:textAlignment w:val="center"/>
              <w:rPr>
                <w:rFonts w:ascii="宋体" w:hAnsi="宋体" w:cs="宋体"/>
                <w:color w:val="auto"/>
                <w:kern w:val="0"/>
                <w:sz w:val="18"/>
                <w:szCs w:val="18"/>
                <w:highlight w:val="none"/>
                <w:lang w:bidi="ar"/>
              </w:rPr>
            </w:pPr>
            <w:r>
              <w:rPr>
                <w:rFonts w:hint="eastAsia" w:ascii="宋体" w:hAnsi="宋体"/>
                <w:color w:val="auto"/>
                <w:sz w:val="18"/>
                <w:szCs w:val="18"/>
                <w:highlight w:val="none"/>
                <w:lang w:val="zh-CN"/>
              </w:rPr>
              <w:t>★</w:t>
            </w:r>
            <w:r>
              <w:rPr>
                <w:rFonts w:hint="eastAsia" w:ascii="宋体" w:hAnsi="宋体" w:cs="宋体"/>
                <w:color w:val="auto"/>
                <w:kern w:val="0"/>
                <w:sz w:val="18"/>
                <w:szCs w:val="18"/>
                <w:highlight w:val="none"/>
                <w:lang w:bidi="ar"/>
              </w:rPr>
              <w:t>5、出液水龙头使用不锈钢材质，并可通过触屏操作面板，上下电动调节出液水龙头的出液高度，调节范围≥150mm，满足不同标本袋的实际加液需求。（投标人须提供实物操作照片证明文件）</w:t>
            </w:r>
          </w:p>
          <w:p>
            <w:pPr>
              <w:widowControl/>
              <w:jc w:val="left"/>
              <w:textAlignment w:val="center"/>
              <w:rPr>
                <w:rFonts w:ascii="宋体" w:hAnsi="宋体" w:cs="宋体"/>
                <w:color w:val="auto"/>
                <w:kern w:val="0"/>
                <w:sz w:val="18"/>
                <w:szCs w:val="18"/>
                <w:highlight w:val="none"/>
                <w:lang w:bidi="ar"/>
              </w:rPr>
            </w:pPr>
            <w:r>
              <w:rPr>
                <w:rFonts w:hint="eastAsia" w:ascii="宋体" w:hAnsi="宋体"/>
                <w:color w:val="auto"/>
                <w:sz w:val="18"/>
                <w:szCs w:val="18"/>
                <w:highlight w:val="none"/>
                <w:lang w:val="zh-CN"/>
              </w:rPr>
              <w:t>★</w:t>
            </w:r>
            <w:r>
              <w:rPr>
                <w:rFonts w:hint="eastAsia" w:ascii="宋体" w:hAnsi="宋体" w:cs="宋体"/>
                <w:color w:val="auto"/>
                <w:kern w:val="0"/>
                <w:sz w:val="18"/>
                <w:szCs w:val="18"/>
                <w:highlight w:val="none"/>
                <w:lang w:bidi="ar"/>
              </w:rPr>
              <w:t>6、配备不锈钢补液管自动清洗装置，在补液完成后，插入自动清洗装置，将补液管清洗干净，防止残留在补液管上的固定液挥发造成二次污染。（投标人须提供实物操作照片证明文件）</w:t>
            </w:r>
          </w:p>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7、整机配备高质量脚轮，方便移动和转移</w:t>
            </w:r>
          </w:p>
          <w:p>
            <w:pPr>
              <w:pStyle w:val="2"/>
              <w:rPr>
                <w:rFonts w:hint="eastAsia" w:eastAsia="宋体"/>
                <w:color w:val="auto"/>
                <w:sz w:val="18"/>
                <w:szCs w:val="18"/>
                <w:highlight w:val="none"/>
                <w:lang w:eastAsia="zh-CN" w:bidi="ar"/>
              </w:rPr>
            </w:pPr>
            <w:r>
              <w:rPr>
                <w:rFonts w:hint="eastAsia" w:ascii="宋体" w:hAnsi="宋体"/>
                <w:color w:val="auto"/>
                <w:sz w:val="18"/>
                <w:szCs w:val="18"/>
                <w:highlight w:val="none"/>
                <w:lang w:val="zh-CN"/>
              </w:rPr>
              <w:t>★</w:t>
            </w:r>
            <w:r>
              <w:rPr>
                <w:color w:val="auto"/>
                <w:sz w:val="18"/>
                <w:szCs w:val="18"/>
                <w:highlight w:val="none"/>
                <w:lang w:bidi="ar"/>
              </w:rPr>
              <w:t>8</w:t>
            </w:r>
            <w:r>
              <w:rPr>
                <w:rFonts w:hint="eastAsia"/>
                <w:color w:val="auto"/>
                <w:sz w:val="18"/>
                <w:szCs w:val="18"/>
                <w:highlight w:val="none"/>
                <w:lang w:bidi="ar"/>
              </w:rPr>
              <w:t>、投标人须提供整机实物照片供评委评审</w:t>
            </w:r>
            <w:r>
              <w:rPr>
                <w:rFonts w:hint="eastAsia" w:eastAsia="宋体"/>
                <w:color w:val="auto"/>
                <w:sz w:val="18"/>
                <w:szCs w:val="18"/>
                <w:highlight w:val="none"/>
                <w:lang w:eastAsia="zh-CN" w:bidi="ar"/>
              </w:rPr>
              <w:t>。</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kern w:val="0"/>
                <w:sz w:val="18"/>
                <w:szCs w:val="18"/>
                <w:highlight w:val="none"/>
                <w:lang w:bidi="ar"/>
              </w:rPr>
            </w:pPr>
            <w:r>
              <w:rPr>
                <w:rFonts w:hint="eastAsia" w:ascii="宋体" w:hAnsi="宋体" w:cs="宋体"/>
                <w:color w:val="auto"/>
                <w:kern w:val="0"/>
                <w:sz w:val="18"/>
                <w:szCs w:val="18"/>
                <w:highlight w:val="none"/>
                <w:lang w:bidi="ar"/>
              </w:rPr>
              <w:t>台</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kern w:val="0"/>
                <w:sz w:val="18"/>
                <w:szCs w:val="18"/>
                <w:highlight w:val="none"/>
                <w:lang w:bidi="ar"/>
              </w:rPr>
            </w:pPr>
            <w:r>
              <w:rPr>
                <w:rFonts w:hint="eastAsia" w:ascii="宋体" w:hAnsi="宋体" w:cs="宋体"/>
                <w:color w:val="auto"/>
                <w:kern w:val="0"/>
                <w:sz w:val="18"/>
                <w:szCs w:val="18"/>
                <w:highlight w:val="none"/>
                <w:lang w:bidi="ar"/>
              </w:rPr>
              <w:t>1</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auto"/>
                <w:sz w:val="18"/>
                <w:szCs w:val="18"/>
                <w:highlight w:val="none"/>
              </w:rPr>
            </w:pPr>
            <w:r>
              <w:rPr>
                <w:rFonts w:ascii="宋体" w:hAnsi="宋体"/>
                <w:color w:val="auto"/>
                <w:sz w:val="18"/>
                <w:szCs w:val="18"/>
                <w:highlight w:val="none"/>
              </w:rPr>
              <w:drawing>
                <wp:inline distT="0" distB="0" distL="114300" distR="114300">
                  <wp:extent cx="1127760" cy="902335"/>
                  <wp:effectExtent l="0" t="0" r="15240" b="12065"/>
                  <wp:docPr id="2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0"/>
                          <pic:cNvPicPr>
                            <a:picLocks noChangeAspect="1"/>
                          </pic:cNvPicPr>
                        </pic:nvPicPr>
                        <pic:blipFill>
                          <a:blip r:embed="rId31"/>
                          <a:stretch>
                            <a:fillRect/>
                          </a:stretch>
                        </pic:blipFill>
                        <pic:spPr>
                          <a:xfrm>
                            <a:off x="0" y="0"/>
                            <a:ext cx="1127760" cy="902335"/>
                          </a:xfrm>
                          <a:prstGeom prst="rect">
                            <a:avLst/>
                          </a:prstGeom>
                          <a:noFill/>
                          <a:ln>
                            <a:noFill/>
                          </a:ln>
                        </pic:spPr>
                      </pic:pic>
                    </a:graphicData>
                  </a:graphic>
                </wp:inline>
              </w:drawing>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r>
        <w:tblPrEx>
          <w:tblCellMar>
            <w:top w:w="15" w:type="dxa"/>
            <w:left w:w="15" w:type="dxa"/>
            <w:bottom w:w="15" w:type="dxa"/>
            <w:right w:w="15" w:type="dxa"/>
          </w:tblCellMar>
        </w:tblPrEx>
        <w:trPr>
          <w:trHeight w:val="543" w:hRule="atLeast"/>
        </w:trPr>
        <w:tc>
          <w:tcPr>
            <w:tcW w:w="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eastAsiaTheme="minorEastAsia"/>
                <w:color w:val="auto"/>
                <w:kern w:val="0"/>
                <w:sz w:val="18"/>
                <w:szCs w:val="18"/>
                <w:highlight w:val="none"/>
                <w:lang w:bidi="ar"/>
              </w:rPr>
            </w:pPr>
            <w:r>
              <w:rPr>
                <w:rFonts w:hint="eastAsia" w:ascii="宋体" w:hAnsi="宋体" w:cs="宋体" w:eastAsiaTheme="minorEastAsia"/>
                <w:color w:val="auto"/>
                <w:kern w:val="0"/>
                <w:sz w:val="18"/>
                <w:szCs w:val="18"/>
                <w:highlight w:val="none"/>
                <w:lang w:bidi="ar"/>
              </w:rPr>
              <w:t>6</w:t>
            </w:r>
            <w:r>
              <w:rPr>
                <w:rFonts w:ascii="宋体" w:hAnsi="宋体" w:cs="宋体" w:eastAsiaTheme="minorEastAsia"/>
                <w:color w:val="auto"/>
                <w:kern w:val="0"/>
                <w:sz w:val="18"/>
                <w:szCs w:val="18"/>
                <w:highlight w:val="none"/>
                <w:lang w:bidi="ar"/>
              </w:rPr>
              <w:t>3</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等离子空气消毒机</w:t>
            </w:r>
            <w:r>
              <w:rPr>
                <w:rFonts w:hint="eastAsia" w:ascii="宋体" w:hAnsi="宋体" w:cs="宋体"/>
                <w:color w:val="auto"/>
                <w:kern w:val="0"/>
                <w:sz w:val="18"/>
                <w:szCs w:val="18"/>
                <w:highlight w:val="none"/>
                <w:lang w:bidi="ar"/>
              </w:rPr>
              <w:t>（中标供应商</w:t>
            </w:r>
            <w:r>
              <w:rPr>
                <w:rFonts w:hint="eastAsia" w:ascii="宋体" w:hAnsi="宋体" w:eastAsia="宋体" w:cs="宋体"/>
                <w:color w:val="auto"/>
                <w:kern w:val="0"/>
                <w:sz w:val="18"/>
                <w:szCs w:val="18"/>
                <w:highlight w:val="none"/>
                <w:lang w:bidi="ar"/>
              </w:rPr>
              <w:t>增配</w:t>
            </w:r>
            <w:r>
              <w:rPr>
                <w:rFonts w:hint="eastAsia" w:ascii="宋体" w:hAnsi="宋体" w:cs="宋体"/>
                <w:color w:val="auto"/>
                <w:kern w:val="0"/>
                <w:sz w:val="18"/>
                <w:szCs w:val="18"/>
                <w:highlight w:val="none"/>
                <w:lang w:bidi="ar"/>
              </w:rPr>
              <w:t>，已包含在投标总价内</w:t>
            </w:r>
            <w:r>
              <w:rPr>
                <w:rFonts w:hint="eastAsia" w:ascii="宋体" w:hAnsi="宋体" w:eastAsia="宋体" w:cs="宋体"/>
                <w:color w:val="auto"/>
                <w:kern w:val="0"/>
                <w:sz w:val="18"/>
                <w:szCs w:val="18"/>
                <w:highlight w:val="none"/>
                <w:lang w:eastAsia="zh-CN" w:bidi="ar"/>
              </w:rPr>
              <w:t>，采购方</w:t>
            </w:r>
            <w:r>
              <w:rPr>
                <w:rFonts w:hint="eastAsia" w:ascii="宋体" w:hAnsi="宋体" w:cs="宋体"/>
                <w:color w:val="auto"/>
                <w:kern w:val="0"/>
                <w:sz w:val="18"/>
                <w:szCs w:val="18"/>
                <w:highlight w:val="none"/>
                <w:lang w:bidi="ar"/>
              </w:rPr>
              <w:t>不再另行支付费用</w:t>
            </w:r>
            <w:r>
              <w:rPr>
                <w:rFonts w:hint="eastAsia" w:ascii="宋体" w:hAnsi="宋体" w:eastAsia="宋体" w:cs="宋体"/>
                <w:color w:val="auto"/>
                <w:kern w:val="0"/>
                <w:sz w:val="18"/>
                <w:szCs w:val="18"/>
                <w:highlight w:val="none"/>
                <w:lang w:eastAsia="zh-CN" w:bidi="ar"/>
              </w:rPr>
              <w:t>）</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left"/>
              <w:textAlignment w:val="baseline"/>
              <w:rPr>
                <w:color w:val="auto"/>
                <w:sz w:val="18"/>
                <w:szCs w:val="18"/>
                <w:highlight w:val="none"/>
              </w:rPr>
            </w:pPr>
            <w:r>
              <w:rPr>
                <w:rFonts w:hint="eastAsia"/>
                <w:color w:val="auto"/>
                <w:sz w:val="18"/>
                <w:szCs w:val="18"/>
                <w:highlight w:val="none"/>
              </w:rPr>
              <w:t>1、净化消毒因子：等离子体</w:t>
            </w:r>
          </w:p>
          <w:p>
            <w:pPr>
              <w:spacing w:line="360" w:lineRule="exact"/>
              <w:jc w:val="left"/>
              <w:textAlignment w:val="baseline"/>
              <w:rPr>
                <w:color w:val="auto"/>
                <w:sz w:val="18"/>
                <w:szCs w:val="18"/>
                <w:highlight w:val="none"/>
              </w:rPr>
            </w:pPr>
            <w:r>
              <w:rPr>
                <w:rFonts w:hint="eastAsia"/>
                <w:color w:val="auto"/>
                <w:sz w:val="18"/>
                <w:szCs w:val="18"/>
                <w:highlight w:val="none"/>
              </w:rPr>
              <w:t>2、电源：～220V±10%，50Hz</w:t>
            </w:r>
          </w:p>
          <w:p>
            <w:pPr>
              <w:spacing w:line="360" w:lineRule="exact"/>
              <w:jc w:val="left"/>
              <w:textAlignment w:val="baseline"/>
              <w:rPr>
                <w:color w:val="auto"/>
                <w:sz w:val="18"/>
                <w:szCs w:val="18"/>
                <w:highlight w:val="none"/>
                <w:vertAlign w:val="superscript"/>
              </w:rPr>
            </w:pPr>
            <w:r>
              <w:rPr>
                <w:rFonts w:hint="eastAsia"/>
                <w:color w:val="auto"/>
                <w:sz w:val="18"/>
                <w:szCs w:val="18"/>
                <w:highlight w:val="none"/>
              </w:rPr>
              <w:t>3、等离子体密度：2.5×10</w:t>
            </w:r>
            <w:r>
              <w:rPr>
                <w:rFonts w:hint="eastAsia"/>
                <w:color w:val="auto"/>
                <w:sz w:val="18"/>
                <w:szCs w:val="18"/>
                <w:highlight w:val="none"/>
                <w:vertAlign w:val="superscript"/>
              </w:rPr>
              <w:t>9</w:t>
            </w:r>
            <w:r>
              <w:rPr>
                <w:rFonts w:hint="eastAsia"/>
                <w:color w:val="auto"/>
                <w:sz w:val="18"/>
                <w:szCs w:val="18"/>
                <w:highlight w:val="none"/>
              </w:rPr>
              <w:t>cm</w:t>
            </w:r>
            <w:r>
              <w:rPr>
                <w:rFonts w:hint="eastAsia"/>
                <w:color w:val="auto"/>
                <w:sz w:val="18"/>
                <w:szCs w:val="18"/>
                <w:highlight w:val="none"/>
                <w:vertAlign w:val="superscript"/>
              </w:rPr>
              <w:t>-3</w:t>
            </w:r>
          </w:p>
          <w:p>
            <w:pPr>
              <w:spacing w:line="360" w:lineRule="exact"/>
              <w:jc w:val="left"/>
              <w:textAlignment w:val="baseline"/>
              <w:rPr>
                <w:color w:val="auto"/>
                <w:sz w:val="18"/>
                <w:szCs w:val="18"/>
                <w:highlight w:val="none"/>
              </w:rPr>
            </w:pPr>
            <w:r>
              <w:rPr>
                <w:rFonts w:hint="eastAsia"/>
                <w:color w:val="auto"/>
                <w:sz w:val="18"/>
                <w:szCs w:val="18"/>
                <w:highlight w:val="none"/>
              </w:rPr>
              <w:t>4、工作环境：温度0～40℃，湿度≤85%</w:t>
            </w:r>
          </w:p>
          <w:p>
            <w:pPr>
              <w:spacing w:line="380" w:lineRule="exact"/>
              <w:jc w:val="left"/>
              <w:textAlignment w:val="baseline"/>
              <w:rPr>
                <w:color w:val="auto"/>
                <w:sz w:val="18"/>
                <w:szCs w:val="18"/>
                <w:highlight w:val="none"/>
              </w:rPr>
            </w:pPr>
            <w:r>
              <w:rPr>
                <w:rFonts w:hint="eastAsia"/>
                <w:color w:val="auto"/>
                <w:sz w:val="18"/>
                <w:szCs w:val="18"/>
                <w:highlight w:val="none"/>
              </w:rPr>
              <w:t>5、菌落总数：</w:t>
            </w:r>
            <w:r>
              <w:rPr>
                <w:rFonts w:hint="eastAsia" w:ascii="宋体" w:hAnsi="宋体"/>
                <w:color w:val="auto"/>
                <w:sz w:val="18"/>
                <w:szCs w:val="18"/>
                <w:highlight w:val="none"/>
              </w:rPr>
              <w:t>Ⅱ类环境≤</w:t>
            </w:r>
            <w:r>
              <w:rPr>
                <w:rFonts w:ascii="宋体" w:hAnsi="宋体"/>
                <w:color w:val="auto"/>
                <w:sz w:val="18"/>
                <w:szCs w:val="18"/>
                <w:highlight w:val="none"/>
              </w:rPr>
              <w:t>4cfu/(15min</w:t>
            </w:r>
            <w:r>
              <w:rPr>
                <w:rFonts w:hint="eastAsia" w:ascii="宋体" w:hAnsi="宋体"/>
                <w:color w:val="auto"/>
                <w:sz w:val="18"/>
                <w:szCs w:val="18"/>
                <w:highlight w:val="none"/>
              </w:rPr>
              <w:t>·直径</w:t>
            </w:r>
            <w:r>
              <w:rPr>
                <w:rFonts w:ascii="宋体" w:hAnsi="宋体"/>
                <w:color w:val="auto"/>
                <w:sz w:val="18"/>
                <w:szCs w:val="18"/>
                <w:highlight w:val="none"/>
              </w:rPr>
              <w:t>9cm</w:t>
            </w:r>
            <w:r>
              <w:rPr>
                <w:rFonts w:hint="eastAsia" w:ascii="宋体" w:hAnsi="宋体"/>
                <w:color w:val="auto"/>
                <w:sz w:val="18"/>
                <w:szCs w:val="18"/>
                <w:highlight w:val="none"/>
              </w:rPr>
              <w:t>平皿</w:t>
            </w:r>
            <w:r>
              <w:rPr>
                <w:rFonts w:ascii="宋体" w:hAnsi="宋体"/>
                <w:color w:val="auto"/>
                <w:sz w:val="18"/>
                <w:szCs w:val="18"/>
                <w:highlight w:val="none"/>
              </w:rPr>
              <w:t>)</w:t>
            </w:r>
            <w:r>
              <w:rPr>
                <w:rFonts w:hint="eastAsia"/>
                <w:color w:val="auto"/>
                <w:sz w:val="18"/>
                <w:szCs w:val="18"/>
                <w:highlight w:val="none"/>
              </w:rPr>
              <w:t>，Ⅲ类环境</w:t>
            </w:r>
            <w:r>
              <w:rPr>
                <w:rFonts w:hint="eastAsia" w:ascii="宋体" w:hAnsi="宋体"/>
                <w:color w:val="auto"/>
                <w:sz w:val="18"/>
                <w:szCs w:val="18"/>
                <w:highlight w:val="none"/>
              </w:rPr>
              <w:t>≤</w:t>
            </w:r>
            <w:r>
              <w:rPr>
                <w:rFonts w:ascii="宋体" w:hAnsi="宋体"/>
                <w:color w:val="auto"/>
                <w:sz w:val="18"/>
                <w:szCs w:val="18"/>
                <w:highlight w:val="none"/>
              </w:rPr>
              <w:t>4cfu/(5min</w:t>
            </w:r>
            <w:r>
              <w:rPr>
                <w:rFonts w:hint="eastAsia" w:ascii="宋体" w:hAnsi="宋体"/>
                <w:color w:val="auto"/>
                <w:sz w:val="18"/>
                <w:szCs w:val="18"/>
                <w:highlight w:val="none"/>
              </w:rPr>
              <w:t>·直径</w:t>
            </w:r>
            <w:r>
              <w:rPr>
                <w:rFonts w:ascii="宋体" w:hAnsi="宋体"/>
                <w:color w:val="auto"/>
                <w:sz w:val="18"/>
                <w:szCs w:val="18"/>
                <w:highlight w:val="none"/>
              </w:rPr>
              <w:t>9cm</w:t>
            </w:r>
            <w:r>
              <w:rPr>
                <w:rFonts w:hint="eastAsia" w:ascii="宋体" w:hAnsi="宋体"/>
                <w:color w:val="auto"/>
                <w:sz w:val="18"/>
                <w:szCs w:val="18"/>
                <w:highlight w:val="none"/>
              </w:rPr>
              <w:t>平皿</w:t>
            </w:r>
            <w:r>
              <w:rPr>
                <w:rFonts w:ascii="宋体" w:hAnsi="宋体"/>
                <w:color w:val="auto"/>
                <w:sz w:val="18"/>
                <w:szCs w:val="18"/>
                <w:highlight w:val="none"/>
              </w:rPr>
              <w:t>)</w:t>
            </w:r>
          </w:p>
          <w:p>
            <w:pPr>
              <w:spacing w:line="360" w:lineRule="exact"/>
              <w:jc w:val="left"/>
              <w:textAlignment w:val="baseline"/>
              <w:rPr>
                <w:color w:val="auto"/>
                <w:sz w:val="18"/>
                <w:szCs w:val="18"/>
                <w:highlight w:val="none"/>
              </w:rPr>
            </w:pPr>
            <w:r>
              <w:rPr>
                <w:rFonts w:hint="eastAsia"/>
                <w:color w:val="auto"/>
                <w:sz w:val="18"/>
                <w:szCs w:val="18"/>
                <w:highlight w:val="none"/>
              </w:rPr>
              <w:t>6、二甲苯去除率：97.81%</w:t>
            </w:r>
          </w:p>
          <w:p>
            <w:pPr>
              <w:spacing w:line="360" w:lineRule="exact"/>
              <w:jc w:val="left"/>
              <w:textAlignment w:val="baseline"/>
              <w:rPr>
                <w:color w:val="auto"/>
                <w:sz w:val="18"/>
                <w:szCs w:val="18"/>
                <w:highlight w:val="none"/>
              </w:rPr>
            </w:pPr>
            <w:r>
              <w:rPr>
                <w:rFonts w:hint="eastAsia"/>
                <w:color w:val="auto"/>
                <w:sz w:val="18"/>
                <w:szCs w:val="18"/>
                <w:highlight w:val="none"/>
              </w:rPr>
              <w:t>7、苯去除率：98.19%</w:t>
            </w:r>
          </w:p>
          <w:p>
            <w:pPr>
              <w:spacing w:line="360" w:lineRule="exact"/>
              <w:jc w:val="left"/>
              <w:textAlignment w:val="baseline"/>
              <w:rPr>
                <w:color w:val="auto"/>
                <w:sz w:val="18"/>
                <w:szCs w:val="18"/>
                <w:highlight w:val="none"/>
              </w:rPr>
            </w:pPr>
            <w:r>
              <w:rPr>
                <w:rFonts w:hint="eastAsia"/>
                <w:color w:val="auto"/>
                <w:sz w:val="18"/>
                <w:szCs w:val="18"/>
                <w:highlight w:val="none"/>
              </w:rPr>
              <w:t>8、甲苯去除率：97.83%</w:t>
            </w:r>
          </w:p>
          <w:p>
            <w:pPr>
              <w:spacing w:line="360" w:lineRule="exact"/>
              <w:jc w:val="left"/>
              <w:textAlignment w:val="baseline"/>
              <w:rPr>
                <w:color w:val="auto"/>
                <w:sz w:val="18"/>
                <w:szCs w:val="18"/>
                <w:highlight w:val="none"/>
              </w:rPr>
            </w:pPr>
            <w:r>
              <w:rPr>
                <w:rFonts w:hint="eastAsia"/>
                <w:color w:val="auto"/>
                <w:sz w:val="18"/>
                <w:szCs w:val="18"/>
                <w:highlight w:val="none"/>
              </w:rPr>
              <w:t>9、甲醛去除率：81.29%</w:t>
            </w:r>
          </w:p>
          <w:p>
            <w:pPr>
              <w:spacing w:line="360" w:lineRule="exact"/>
              <w:jc w:val="left"/>
              <w:textAlignment w:val="baseline"/>
              <w:rPr>
                <w:color w:val="auto"/>
                <w:sz w:val="18"/>
                <w:szCs w:val="18"/>
                <w:highlight w:val="none"/>
              </w:rPr>
            </w:pPr>
            <w:r>
              <w:rPr>
                <w:rFonts w:hint="eastAsia"/>
                <w:color w:val="auto"/>
                <w:sz w:val="18"/>
                <w:szCs w:val="18"/>
                <w:highlight w:val="none"/>
              </w:rPr>
              <w:t>10、适用体积：≤80</w:t>
            </w:r>
            <w:r>
              <w:rPr>
                <w:color w:val="auto"/>
                <w:sz w:val="18"/>
                <w:szCs w:val="18"/>
                <w:highlight w:val="none"/>
              </w:rPr>
              <w:t>m</w:t>
            </w:r>
            <w:r>
              <w:rPr>
                <w:color w:val="auto"/>
                <w:sz w:val="18"/>
                <w:szCs w:val="18"/>
                <w:highlight w:val="none"/>
                <w:vertAlign w:val="superscript"/>
              </w:rPr>
              <w:t>3</w:t>
            </w:r>
          </w:p>
          <w:p>
            <w:pPr>
              <w:spacing w:line="360" w:lineRule="exact"/>
              <w:jc w:val="left"/>
              <w:textAlignment w:val="baseline"/>
              <w:rPr>
                <w:color w:val="auto"/>
                <w:sz w:val="18"/>
                <w:szCs w:val="18"/>
                <w:highlight w:val="none"/>
              </w:rPr>
            </w:pPr>
            <w:r>
              <w:rPr>
                <w:rFonts w:hint="eastAsia"/>
                <w:color w:val="auto"/>
                <w:sz w:val="18"/>
                <w:szCs w:val="18"/>
                <w:highlight w:val="none"/>
              </w:rPr>
              <w:t>11、循环风量：≤800m</w:t>
            </w:r>
            <w:r>
              <w:rPr>
                <w:rFonts w:hint="eastAsia"/>
                <w:color w:val="auto"/>
                <w:sz w:val="18"/>
                <w:szCs w:val="18"/>
                <w:highlight w:val="none"/>
                <w:vertAlign w:val="superscript"/>
              </w:rPr>
              <w:t>3</w:t>
            </w:r>
            <w:r>
              <w:rPr>
                <w:rFonts w:hint="eastAsia"/>
                <w:color w:val="auto"/>
                <w:sz w:val="18"/>
                <w:szCs w:val="18"/>
                <w:highlight w:val="none"/>
              </w:rPr>
              <w:t>/h</w:t>
            </w:r>
          </w:p>
          <w:p>
            <w:pPr>
              <w:spacing w:line="360" w:lineRule="exact"/>
              <w:jc w:val="left"/>
              <w:textAlignment w:val="baseline"/>
              <w:rPr>
                <w:color w:val="auto"/>
                <w:sz w:val="18"/>
                <w:szCs w:val="18"/>
                <w:highlight w:val="none"/>
              </w:rPr>
            </w:pPr>
            <w:r>
              <w:rPr>
                <w:rFonts w:hint="eastAsia"/>
                <w:color w:val="auto"/>
                <w:sz w:val="18"/>
                <w:szCs w:val="18"/>
                <w:highlight w:val="none"/>
              </w:rPr>
              <w:t>12、循环方式：下进风平射上送风</w:t>
            </w:r>
          </w:p>
          <w:p>
            <w:pPr>
              <w:adjustRightInd w:val="0"/>
              <w:snapToGrid w:val="0"/>
              <w:spacing w:before="25" w:after="25" w:line="360" w:lineRule="exact"/>
              <w:jc w:val="left"/>
              <w:rPr>
                <w:rFonts w:ascii="楷体_GB2312" w:hAnsi="宋体" w:eastAsia="楷体_GB2312"/>
                <w:b/>
                <w:bCs/>
                <w:color w:val="auto"/>
                <w:sz w:val="18"/>
                <w:szCs w:val="18"/>
                <w:highlight w:val="none"/>
              </w:rPr>
            </w:pPr>
            <w:r>
              <w:rPr>
                <w:color w:val="auto"/>
                <w:sz w:val="18"/>
                <w:szCs w:val="18"/>
                <w:highlight w:val="none"/>
              </w:rPr>
              <w:t>13</w:t>
            </w:r>
            <w:r>
              <w:rPr>
                <w:rFonts w:hint="eastAsia"/>
                <w:color w:val="auto"/>
                <w:sz w:val="18"/>
                <w:szCs w:val="18"/>
                <w:highlight w:val="none"/>
              </w:rPr>
              <w:t>、输入功率：≤28W</w:t>
            </w:r>
          </w:p>
          <w:p>
            <w:pPr>
              <w:spacing w:line="360" w:lineRule="exact"/>
              <w:jc w:val="left"/>
              <w:textAlignment w:val="baseline"/>
              <w:rPr>
                <w:color w:val="auto"/>
                <w:sz w:val="18"/>
                <w:szCs w:val="18"/>
                <w:highlight w:val="none"/>
              </w:rPr>
            </w:pPr>
            <w:r>
              <w:rPr>
                <w:rFonts w:hint="eastAsia"/>
                <w:color w:val="auto"/>
                <w:sz w:val="18"/>
                <w:szCs w:val="18"/>
                <w:highlight w:val="none"/>
              </w:rPr>
              <w:t>1</w:t>
            </w:r>
            <w:r>
              <w:rPr>
                <w:color w:val="auto"/>
                <w:sz w:val="18"/>
                <w:szCs w:val="18"/>
                <w:highlight w:val="none"/>
              </w:rPr>
              <w:t>4</w:t>
            </w:r>
            <w:r>
              <w:rPr>
                <w:rFonts w:hint="eastAsia"/>
                <w:color w:val="auto"/>
                <w:sz w:val="18"/>
                <w:szCs w:val="18"/>
                <w:highlight w:val="none"/>
              </w:rPr>
              <w:t>、噪声：≤50</w:t>
            </w:r>
            <w:r>
              <w:rPr>
                <w:color w:val="auto"/>
                <w:sz w:val="18"/>
                <w:szCs w:val="18"/>
                <w:highlight w:val="none"/>
              </w:rPr>
              <w:t>d</w:t>
            </w:r>
            <w:r>
              <w:rPr>
                <w:rFonts w:hint="eastAsia"/>
                <w:color w:val="auto"/>
                <w:sz w:val="18"/>
                <w:szCs w:val="18"/>
                <w:highlight w:val="none"/>
              </w:rPr>
              <w:t>B（A</w:t>
            </w:r>
            <w:r>
              <w:rPr>
                <w:color w:val="auto"/>
                <w:sz w:val="18"/>
                <w:szCs w:val="18"/>
                <w:highlight w:val="none"/>
              </w:rPr>
              <w:t>）</w:t>
            </w:r>
          </w:p>
          <w:p>
            <w:pPr>
              <w:spacing w:line="360" w:lineRule="exact"/>
              <w:textAlignment w:val="baseline"/>
              <w:rPr>
                <w:color w:val="auto"/>
                <w:sz w:val="18"/>
                <w:szCs w:val="18"/>
                <w:highlight w:val="none"/>
              </w:rPr>
            </w:pPr>
            <w:r>
              <w:rPr>
                <w:rFonts w:hint="eastAsia"/>
                <w:color w:val="auto"/>
                <w:sz w:val="18"/>
                <w:szCs w:val="18"/>
                <w:highlight w:val="none"/>
              </w:rPr>
              <w:t>1</w:t>
            </w:r>
            <w:r>
              <w:rPr>
                <w:color w:val="auto"/>
                <w:sz w:val="18"/>
                <w:szCs w:val="18"/>
                <w:highlight w:val="none"/>
              </w:rPr>
              <w:t>5</w:t>
            </w:r>
            <w:r>
              <w:rPr>
                <w:rFonts w:hint="eastAsia"/>
                <w:color w:val="auto"/>
                <w:sz w:val="18"/>
                <w:szCs w:val="18"/>
                <w:highlight w:val="none"/>
              </w:rPr>
              <w:t>、空气臭氧量：≤0.10</w:t>
            </w:r>
            <w:r>
              <w:rPr>
                <w:color w:val="auto"/>
                <w:sz w:val="18"/>
                <w:szCs w:val="18"/>
                <w:highlight w:val="none"/>
              </w:rPr>
              <w:t>mg/m</w:t>
            </w:r>
            <w:r>
              <w:rPr>
                <w:color w:val="auto"/>
                <w:sz w:val="18"/>
                <w:szCs w:val="18"/>
                <w:highlight w:val="none"/>
                <w:vertAlign w:val="superscript"/>
              </w:rPr>
              <w:t>3</w:t>
            </w:r>
          </w:p>
          <w:p>
            <w:pPr>
              <w:spacing w:line="360" w:lineRule="exact"/>
              <w:textAlignment w:val="baseline"/>
              <w:rPr>
                <w:color w:val="auto"/>
                <w:sz w:val="18"/>
                <w:szCs w:val="18"/>
                <w:highlight w:val="none"/>
              </w:rPr>
            </w:pPr>
            <w:r>
              <w:rPr>
                <w:rFonts w:hint="eastAsia"/>
                <w:color w:val="auto"/>
                <w:sz w:val="18"/>
                <w:szCs w:val="18"/>
                <w:highlight w:val="none"/>
              </w:rPr>
              <w:t>1</w:t>
            </w:r>
            <w:r>
              <w:rPr>
                <w:color w:val="auto"/>
                <w:sz w:val="18"/>
                <w:szCs w:val="18"/>
                <w:highlight w:val="none"/>
              </w:rPr>
              <w:t>6</w:t>
            </w:r>
            <w:r>
              <w:rPr>
                <w:rFonts w:hint="eastAsia"/>
                <w:color w:val="auto"/>
                <w:sz w:val="18"/>
                <w:szCs w:val="18"/>
                <w:highlight w:val="none"/>
              </w:rPr>
              <w:t>、设备类型：</w:t>
            </w:r>
            <w:r>
              <w:rPr>
                <w:rFonts w:hint="eastAsia"/>
                <w:color w:val="auto"/>
                <w:sz w:val="18"/>
                <w:szCs w:val="18"/>
                <w:highlight w:val="none"/>
              </w:rPr>
              <w:fldChar w:fldCharType="begin"/>
            </w:r>
            <w:r>
              <w:rPr>
                <w:rFonts w:hint="eastAsia"/>
                <w:color w:val="auto"/>
                <w:sz w:val="18"/>
                <w:szCs w:val="18"/>
                <w:highlight w:val="none"/>
              </w:rPr>
              <w:instrText xml:space="preserve"> = 1 \* ROMAN </w:instrText>
            </w:r>
            <w:r>
              <w:rPr>
                <w:color w:val="auto"/>
                <w:sz w:val="18"/>
                <w:szCs w:val="18"/>
                <w:highlight w:val="none"/>
              </w:rPr>
              <w:instrText xml:space="preserve"> \* MERGEFORMAT </w:instrText>
            </w:r>
            <w:r>
              <w:rPr>
                <w:rFonts w:hint="eastAsia"/>
                <w:color w:val="auto"/>
                <w:sz w:val="18"/>
                <w:szCs w:val="18"/>
                <w:highlight w:val="none"/>
              </w:rPr>
              <w:fldChar w:fldCharType="separate"/>
            </w:r>
            <w:r>
              <w:rPr>
                <w:rFonts w:hint="eastAsia"/>
                <w:color w:val="auto"/>
                <w:sz w:val="18"/>
                <w:szCs w:val="18"/>
                <w:highlight w:val="none"/>
              </w:rPr>
              <w:t>I</w:t>
            </w:r>
            <w:r>
              <w:rPr>
                <w:rFonts w:hint="eastAsia"/>
                <w:color w:val="auto"/>
                <w:sz w:val="18"/>
                <w:szCs w:val="18"/>
                <w:highlight w:val="none"/>
              </w:rPr>
              <w:fldChar w:fldCharType="end"/>
            </w:r>
            <w:r>
              <w:rPr>
                <w:rFonts w:hint="eastAsia"/>
                <w:color w:val="auto"/>
                <w:sz w:val="18"/>
                <w:szCs w:val="18"/>
                <w:highlight w:val="none"/>
              </w:rPr>
              <w:t>类B型</w:t>
            </w:r>
          </w:p>
          <w:p>
            <w:pPr>
              <w:spacing w:line="360" w:lineRule="exact"/>
              <w:textAlignment w:val="baseline"/>
              <w:rPr>
                <w:color w:val="auto"/>
                <w:sz w:val="18"/>
                <w:szCs w:val="18"/>
                <w:highlight w:val="none"/>
              </w:rPr>
            </w:pPr>
            <w:r>
              <w:rPr>
                <w:rFonts w:hint="eastAsia"/>
                <w:color w:val="auto"/>
                <w:sz w:val="18"/>
                <w:szCs w:val="18"/>
                <w:highlight w:val="none"/>
              </w:rPr>
              <w:t>1</w:t>
            </w:r>
            <w:r>
              <w:rPr>
                <w:color w:val="auto"/>
                <w:sz w:val="18"/>
                <w:szCs w:val="18"/>
                <w:highlight w:val="none"/>
              </w:rPr>
              <w:t>7</w:t>
            </w:r>
            <w:r>
              <w:rPr>
                <w:rFonts w:hint="eastAsia"/>
                <w:color w:val="auto"/>
                <w:sz w:val="18"/>
                <w:szCs w:val="18"/>
                <w:highlight w:val="none"/>
              </w:rPr>
              <w:t>、外型尺寸：</w:t>
            </w:r>
            <w:r>
              <w:rPr>
                <w:rFonts w:hint="eastAsia" w:ascii="宋体" w:hAnsi="宋体"/>
                <w:bCs/>
                <w:color w:val="auto"/>
                <w:sz w:val="18"/>
                <w:szCs w:val="18"/>
                <w:highlight w:val="none"/>
              </w:rPr>
              <w:t>940×340×210</w:t>
            </w:r>
            <w:r>
              <w:rPr>
                <w:rFonts w:hint="eastAsia"/>
                <w:color w:val="auto"/>
                <w:sz w:val="18"/>
                <w:szCs w:val="18"/>
                <w:highlight w:val="none"/>
              </w:rPr>
              <w:t>mm</w:t>
            </w:r>
          </w:p>
          <w:p>
            <w:pPr>
              <w:spacing w:line="360" w:lineRule="exact"/>
              <w:textAlignment w:val="baseline"/>
              <w:rPr>
                <w:color w:val="auto"/>
                <w:sz w:val="18"/>
                <w:szCs w:val="18"/>
                <w:highlight w:val="none"/>
              </w:rPr>
            </w:pPr>
            <w:r>
              <w:rPr>
                <w:rFonts w:hint="eastAsia"/>
                <w:color w:val="auto"/>
                <w:sz w:val="18"/>
                <w:szCs w:val="18"/>
                <w:highlight w:val="none"/>
              </w:rPr>
              <w:t>1</w:t>
            </w:r>
            <w:r>
              <w:rPr>
                <w:color w:val="auto"/>
                <w:sz w:val="18"/>
                <w:szCs w:val="18"/>
                <w:highlight w:val="none"/>
              </w:rPr>
              <w:t>8</w:t>
            </w:r>
            <w:r>
              <w:rPr>
                <w:rFonts w:hint="eastAsia"/>
                <w:color w:val="auto"/>
                <w:sz w:val="18"/>
                <w:szCs w:val="18"/>
                <w:highlight w:val="none"/>
              </w:rPr>
              <w:t>、机壳采用平板式全金属喷塑制作</w:t>
            </w:r>
            <w:r>
              <w:rPr>
                <w:rFonts w:hint="eastAsia" w:eastAsiaTheme="minorEastAsia"/>
                <w:color w:val="auto"/>
                <w:sz w:val="18"/>
                <w:szCs w:val="18"/>
                <w:highlight w:val="none"/>
              </w:rPr>
              <w:t>，</w:t>
            </w:r>
            <w:r>
              <w:rPr>
                <w:rFonts w:hint="eastAsia"/>
                <w:color w:val="auto"/>
                <w:sz w:val="18"/>
                <w:szCs w:val="18"/>
                <w:highlight w:val="none"/>
              </w:rPr>
              <w:t>液晶显示屏</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台</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eastAsiaTheme="minorEastAsia"/>
                <w:color w:val="auto"/>
                <w:kern w:val="0"/>
                <w:sz w:val="18"/>
                <w:szCs w:val="18"/>
                <w:highlight w:val="none"/>
                <w:lang w:bidi="ar"/>
              </w:rPr>
            </w:pPr>
            <w:r>
              <w:rPr>
                <w:rFonts w:ascii="宋体" w:hAnsi="宋体" w:cs="宋体" w:eastAsiaTheme="minorEastAsia"/>
                <w:color w:val="auto"/>
                <w:kern w:val="0"/>
                <w:sz w:val="18"/>
                <w:szCs w:val="18"/>
                <w:highlight w:val="none"/>
                <w:lang w:bidi="ar"/>
              </w:rPr>
              <w:t>3</w:t>
            </w:r>
          </w:p>
        </w:tc>
        <w:tc>
          <w:tcPr>
            <w:tcW w:w="23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olor w:val="auto"/>
                <w:sz w:val="18"/>
                <w:szCs w:val="18"/>
                <w:highlight w:val="none"/>
              </w:rPr>
            </w:pPr>
            <w:r>
              <w:rPr>
                <w:rFonts w:ascii="宋体" w:hAnsi="宋体"/>
                <w:color w:val="auto"/>
                <w:sz w:val="18"/>
                <w:szCs w:val="18"/>
                <w:highlight w:val="none"/>
              </w:rPr>
              <w:drawing>
                <wp:inline distT="0" distB="0" distL="0" distR="0">
                  <wp:extent cx="1453515" cy="562610"/>
                  <wp:effectExtent l="0" t="0" r="0" b="889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453515" cy="562610"/>
                          </a:xfrm>
                          <a:prstGeom prst="rect">
                            <a:avLst/>
                          </a:prstGeom>
                          <a:noFill/>
                          <a:ln>
                            <a:noFill/>
                          </a:ln>
                        </pic:spPr>
                      </pic:pic>
                    </a:graphicData>
                  </a:graphic>
                </wp:inline>
              </w:drawing>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宋体" w:hAnsi="宋体" w:eastAsia="宋体" w:cs="宋体"/>
                <w:color w:val="auto"/>
                <w:sz w:val="18"/>
                <w:szCs w:val="18"/>
                <w:highlight w:val="none"/>
              </w:rPr>
            </w:pPr>
          </w:p>
        </w:tc>
      </w:tr>
    </w:tbl>
    <w:p>
      <w:pPr>
        <w:snapToGrid w:val="0"/>
        <w:spacing w:line="400" w:lineRule="exact"/>
        <w:jc w:val="left"/>
        <w:rPr>
          <w:rFonts w:hint="eastAsia" w:ascii="宋体" w:hAnsi="宋体" w:eastAsia="宋体" w:cs="宋体"/>
          <w:b/>
          <w:bCs/>
          <w:color w:val="FF0000"/>
          <w:kern w:val="0"/>
          <w:sz w:val="21"/>
          <w:szCs w:val="21"/>
          <w:lang w:eastAsia="zh-CN"/>
        </w:rPr>
      </w:pPr>
      <w:r>
        <w:rPr>
          <w:rFonts w:hint="eastAsia" w:ascii="宋体" w:hAnsi="宋体" w:eastAsia="宋体" w:cs="宋体"/>
          <w:b/>
          <w:bCs/>
          <w:color w:val="FF0000"/>
          <w:kern w:val="0"/>
          <w:sz w:val="21"/>
          <w:szCs w:val="21"/>
          <w:lang w:eastAsia="zh-CN"/>
        </w:rPr>
        <w:t>注：由中标供应商增配的设备请供应商在报价中自行综合考虑，已包含在本次投标总价内，采购方不再另行支付费用。</w:t>
      </w:r>
    </w:p>
    <w:p>
      <w:pPr>
        <w:snapToGrid w:val="0"/>
        <w:spacing w:line="400" w:lineRule="exact"/>
        <w:jc w:val="left"/>
        <w:rPr>
          <w:rFonts w:ascii="宋体" w:hAnsi="宋体" w:eastAsia="宋体" w:cs="宋体"/>
          <w:b/>
          <w:bCs/>
          <w:color w:val="auto"/>
          <w:kern w:val="0"/>
          <w:sz w:val="21"/>
          <w:szCs w:val="21"/>
        </w:rPr>
      </w:pPr>
      <w:r>
        <w:rPr>
          <w:rFonts w:hint="eastAsia" w:ascii="宋体" w:hAnsi="宋体" w:eastAsia="宋体" w:cs="宋体"/>
          <w:b/>
          <w:bCs/>
          <w:color w:val="auto"/>
          <w:kern w:val="0"/>
          <w:sz w:val="21"/>
          <w:szCs w:val="21"/>
        </w:rPr>
        <w:t>三、规范要求</w:t>
      </w:r>
    </w:p>
    <w:p>
      <w:pPr>
        <w:pStyle w:val="45"/>
        <w:ind w:firstLine="420"/>
        <w:rPr>
          <w:rFonts w:ascii="宋体" w:hAnsi="宋体" w:eastAsia="宋体" w:cs="宋体"/>
          <w:color w:val="auto"/>
        </w:rPr>
      </w:pPr>
      <w:r>
        <w:rPr>
          <w:rFonts w:hint="eastAsia" w:ascii="宋体" w:hAnsi="宋体" w:eastAsia="宋体" w:cs="宋体"/>
          <w:color w:val="auto"/>
        </w:rPr>
        <w:t>1.依据设计施工图纸和技术规范要求，本工程项目的材料、设备、施工必须达到现行中华人民共和国及省、市、行业的一切有关法规、规范的要求，如标准及规范要求有出入则以较严格者为准。</w:t>
      </w:r>
    </w:p>
    <w:p>
      <w:pPr>
        <w:pStyle w:val="45"/>
        <w:ind w:firstLine="420"/>
        <w:rPr>
          <w:rFonts w:ascii="宋体" w:hAnsi="宋体" w:eastAsia="宋体" w:cs="宋体"/>
          <w:color w:val="auto"/>
        </w:rPr>
      </w:pPr>
      <w:r>
        <w:rPr>
          <w:rFonts w:hint="eastAsia" w:ascii="宋体" w:hAnsi="宋体" w:eastAsia="宋体" w:cs="宋体"/>
          <w:color w:val="auto"/>
        </w:rPr>
        <w:t>2.技术规范由供应商方自备，如有不足之处或未能达到国家最新标准时，供应商应使施工及选用的设备和材料符合最新版本的国家标准、规范。</w:t>
      </w:r>
    </w:p>
    <w:p>
      <w:pPr>
        <w:pStyle w:val="2"/>
        <w:snapToGrid w:val="0"/>
        <w:spacing w:after="0" w:line="400" w:lineRule="exact"/>
        <w:rPr>
          <w:rFonts w:ascii="宋体" w:hAnsi="宋体" w:eastAsia="宋体" w:cs="宋体"/>
          <w:b/>
          <w:color w:val="auto"/>
          <w:kern w:val="0"/>
          <w:szCs w:val="21"/>
        </w:rPr>
      </w:pPr>
      <w:r>
        <w:rPr>
          <w:rFonts w:hint="eastAsia" w:ascii="宋体" w:hAnsi="宋体" w:eastAsia="宋体" w:cs="宋体"/>
          <w:b/>
          <w:color w:val="auto"/>
          <w:kern w:val="0"/>
          <w:szCs w:val="21"/>
        </w:rPr>
        <w:t>四、施工要求</w:t>
      </w:r>
    </w:p>
    <w:p>
      <w:pPr>
        <w:pStyle w:val="45"/>
        <w:ind w:firstLine="420"/>
        <w:rPr>
          <w:rFonts w:ascii="宋体" w:hAnsi="宋体" w:eastAsia="宋体" w:cs="宋体"/>
          <w:color w:val="auto"/>
        </w:rPr>
      </w:pPr>
      <w:r>
        <w:rPr>
          <w:rFonts w:hint="eastAsia" w:ascii="宋体" w:hAnsi="宋体" w:eastAsia="宋体" w:cs="宋体"/>
          <w:color w:val="auto"/>
        </w:rPr>
        <w:t>1.本工程施工严格按照规范要求进行施工，达到各项拟定的设计指标，确保工程质量达到国家合格验收标准。</w:t>
      </w:r>
    </w:p>
    <w:p>
      <w:pPr>
        <w:pStyle w:val="45"/>
        <w:ind w:firstLine="420"/>
        <w:rPr>
          <w:rFonts w:ascii="宋体" w:hAnsi="宋体" w:eastAsia="宋体" w:cs="宋体"/>
          <w:color w:val="auto"/>
        </w:rPr>
      </w:pPr>
      <w:r>
        <w:rPr>
          <w:rFonts w:hint="eastAsia" w:ascii="宋体" w:hAnsi="宋体" w:eastAsia="宋体" w:cs="宋体"/>
          <w:color w:val="auto"/>
        </w:rPr>
        <w:t>2.本工程施工必须严格按照工程技术要求及行业规范进行施工，并无条件地接受采购人全方位、全过程的监督管理。保持现场和工程的井然有序，以免发生伤害事故。发生安全事故、火灾事故造成的损失，由承包商承担全部责任。</w:t>
      </w:r>
    </w:p>
    <w:p>
      <w:pPr>
        <w:pStyle w:val="45"/>
        <w:ind w:firstLine="420"/>
        <w:rPr>
          <w:rFonts w:ascii="宋体" w:hAnsi="宋体" w:eastAsia="宋体" w:cs="宋体"/>
          <w:color w:val="auto"/>
        </w:rPr>
      </w:pPr>
      <w:r>
        <w:rPr>
          <w:rFonts w:hint="eastAsia" w:ascii="宋体" w:hAnsi="宋体" w:eastAsia="宋体" w:cs="宋体"/>
          <w:color w:val="auto"/>
        </w:rPr>
        <w:t>3.</w:t>
      </w:r>
      <w:r>
        <w:rPr>
          <w:rFonts w:ascii="宋体" w:hAnsi="宋体" w:eastAsia="宋体" w:cs="宋体"/>
          <w:color w:val="auto"/>
        </w:rPr>
        <w:t>承包人必须严格按合同条款、施工图纸及设计说明文件、施工验收规范、国家和省市的有关质量验收标准，精心组织施工，确保工程质量达到国家合格验收标准。在合同履行期间，本工程所采用的标准或规范有修改或新颁，发包人和设计单位认为有必要采用时，向承包人发出变更指令。</w:t>
      </w:r>
    </w:p>
    <w:p>
      <w:pPr>
        <w:pStyle w:val="45"/>
        <w:ind w:firstLine="420"/>
        <w:rPr>
          <w:rFonts w:ascii="宋体" w:hAnsi="宋体" w:eastAsia="宋体" w:cs="宋体"/>
          <w:color w:val="auto"/>
        </w:rPr>
      </w:pPr>
      <w:r>
        <w:rPr>
          <w:rFonts w:hint="eastAsia" w:ascii="宋体" w:hAnsi="宋体" w:eastAsia="宋体" w:cs="宋体"/>
          <w:color w:val="auto"/>
        </w:rPr>
        <w:t>4.在施工过程中，采购人为保证工程质量和施工进度的要求，有权指示承包人或批准承包人采用新技术和新工艺，并增补和修改技术条款的内容。其增补和修改的内容涉及变更时，应按合同条款的规定办理。</w:t>
      </w:r>
    </w:p>
    <w:p>
      <w:pPr>
        <w:pStyle w:val="45"/>
        <w:ind w:firstLine="420"/>
        <w:rPr>
          <w:rFonts w:ascii="宋体" w:hAnsi="宋体" w:eastAsia="宋体" w:cs="宋体"/>
          <w:color w:val="auto"/>
        </w:rPr>
      </w:pPr>
      <w:r>
        <w:rPr>
          <w:rFonts w:hint="eastAsia" w:ascii="宋体" w:hAnsi="宋体" w:eastAsia="宋体" w:cs="宋体"/>
          <w:color w:val="auto"/>
        </w:rPr>
        <w:t>5.</w:t>
      </w:r>
      <w:r>
        <w:rPr>
          <w:rFonts w:ascii="宋体" w:hAnsi="宋体" w:eastAsia="宋体" w:cs="宋体"/>
          <w:color w:val="auto"/>
        </w:rPr>
        <w:t>隐蔽工程必须经采购人检查、验收后，方可进行下一道工序。</w:t>
      </w:r>
    </w:p>
    <w:p>
      <w:pPr>
        <w:pStyle w:val="45"/>
        <w:ind w:firstLine="420"/>
        <w:rPr>
          <w:rFonts w:ascii="宋体" w:hAnsi="宋体" w:eastAsia="宋体" w:cs="宋体"/>
          <w:color w:val="auto"/>
        </w:rPr>
      </w:pPr>
      <w:r>
        <w:rPr>
          <w:rFonts w:hint="eastAsia" w:ascii="宋体" w:hAnsi="宋体" w:eastAsia="宋体" w:cs="宋体"/>
          <w:color w:val="auto"/>
        </w:rPr>
        <w:t>6.</w:t>
      </w:r>
      <w:r>
        <w:rPr>
          <w:rFonts w:ascii="宋体" w:hAnsi="宋体" w:eastAsia="宋体" w:cs="宋体"/>
          <w:color w:val="auto"/>
        </w:rPr>
        <w:t>在免费保修期内，成交供应商对有缺陷的部位必须无偿地给予修理与更换，并承担一切由此引起的对采购人或第三者的直接损失，除非该缺陷是由于人为破坏或合同规定的不可抗因素造成的损坏。</w:t>
      </w:r>
    </w:p>
    <w:p>
      <w:pPr>
        <w:pStyle w:val="45"/>
        <w:ind w:firstLine="420"/>
        <w:rPr>
          <w:rFonts w:ascii="宋体" w:hAnsi="宋体" w:eastAsia="宋体" w:cs="宋体"/>
          <w:color w:val="auto"/>
        </w:rPr>
      </w:pPr>
      <w:r>
        <w:rPr>
          <w:rFonts w:hint="eastAsia" w:ascii="宋体" w:hAnsi="宋体" w:eastAsia="宋体" w:cs="宋体"/>
          <w:color w:val="auto"/>
        </w:rPr>
        <w:t>7.若采购人在项目实施过程中发现由承包人采购的主要建筑材料不符合采购文件要求时，保留更换的权利，且成交价不予调整。</w:t>
      </w:r>
    </w:p>
    <w:p>
      <w:pPr>
        <w:pStyle w:val="45"/>
        <w:ind w:firstLine="420"/>
        <w:rPr>
          <w:rFonts w:ascii="宋体" w:hAnsi="宋体" w:eastAsia="宋体" w:cs="宋体"/>
          <w:color w:val="auto"/>
        </w:rPr>
      </w:pPr>
      <w:r>
        <w:rPr>
          <w:rFonts w:hint="eastAsia" w:ascii="宋体" w:hAnsi="宋体" w:eastAsia="宋体" w:cs="宋体"/>
          <w:color w:val="auto"/>
        </w:rPr>
        <w:t>8.</w:t>
      </w:r>
      <w:r>
        <w:rPr>
          <w:rFonts w:ascii="宋体" w:hAnsi="宋体" w:eastAsia="宋体" w:cs="宋体"/>
          <w:color w:val="auto"/>
        </w:rPr>
        <w:t>供应商必须对所承包的工程的质量负全部责任，其责任不因其他材料生产商提供的保证书而减轻或更改。</w:t>
      </w:r>
    </w:p>
    <w:p>
      <w:pPr>
        <w:pStyle w:val="45"/>
        <w:ind w:firstLine="420"/>
        <w:rPr>
          <w:rFonts w:ascii="宋体" w:hAnsi="宋体" w:eastAsia="宋体" w:cs="宋体"/>
          <w:color w:val="auto"/>
        </w:rPr>
      </w:pPr>
      <w:r>
        <w:rPr>
          <w:rFonts w:hint="eastAsia" w:ascii="宋体" w:hAnsi="宋体" w:eastAsia="宋体" w:cs="宋体"/>
          <w:color w:val="auto"/>
        </w:rPr>
        <w:t>9.</w:t>
      </w:r>
      <w:r>
        <w:rPr>
          <w:rFonts w:ascii="宋体" w:hAnsi="宋体" w:eastAsia="宋体" w:cs="宋体"/>
          <w:color w:val="auto"/>
        </w:rPr>
        <w:t>施工时注意做好必要的劳动保护工作。</w:t>
      </w:r>
    </w:p>
    <w:p>
      <w:pPr>
        <w:spacing w:line="400" w:lineRule="exact"/>
        <w:rPr>
          <w:rFonts w:ascii="宋体" w:hAnsi="宋体" w:eastAsia="宋体" w:cs="宋体"/>
          <w:b/>
          <w:color w:val="auto"/>
          <w:sz w:val="21"/>
          <w:szCs w:val="21"/>
        </w:rPr>
      </w:pPr>
      <w:r>
        <w:rPr>
          <w:rFonts w:hint="eastAsia" w:ascii="宋体" w:hAnsi="宋体" w:eastAsia="宋体" w:cs="宋体"/>
          <w:b/>
          <w:color w:val="auto"/>
          <w:sz w:val="21"/>
          <w:szCs w:val="21"/>
        </w:rPr>
        <w:t>五、材料质量要求</w:t>
      </w:r>
    </w:p>
    <w:p>
      <w:pPr>
        <w:pStyle w:val="45"/>
        <w:spacing w:line="340" w:lineRule="exact"/>
        <w:ind w:firstLine="0" w:firstLineChars="0"/>
        <w:rPr>
          <w:rFonts w:ascii="宋体" w:hAnsi="宋体" w:eastAsia="宋体" w:cs="宋体"/>
          <w:bCs/>
          <w:color w:val="auto"/>
          <w:kern w:val="0"/>
        </w:rPr>
      </w:pPr>
      <w:r>
        <w:rPr>
          <w:rFonts w:hint="eastAsia" w:ascii="宋体" w:hAnsi="宋体" w:eastAsia="宋体" w:cs="宋体"/>
          <w:bCs/>
          <w:color w:val="auto"/>
          <w:kern w:val="0"/>
        </w:rPr>
        <w:t>材料选择</w:t>
      </w:r>
    </w:p>
    <w:p>
      <w:pPr>
        <w:pStyle w:val="45"/>
        <w:numPr>
          <w:ilvl w:val="0"/>
          <w:numId w:val="3"/>
        </w:numPr>
        <w:spacing w:line="340" w:lineRule="exact"/>
        <w:ind w:firstLine="420"/>
        <w:rPr>
          <w:rFonts w:ascii="宋体" w:hAnsi="宋体" w:eastAsia="宋体" w:cs="宋体"/>
          <w:bCs/>
          <w:color w:val="auto"/>
          <w:kern w:val="0"/>
        </w:rPr>
      </w:pPr>
      <w:r>
        <w:rPr>
          <w:rFonts w:hint="eastAsia" w:ascii="宋体" w:hAnsi="宋体" w:eastAsia="宋体" w:cs="宋体"/>
          <w:bCs/>
          <w:color w:val="auto"/>
          <w:kern w:val="0"/>
        </w:rPr>
        <w:t>本响应文件涉及的其他主要材料及零星材料，各供应商须根据设计施工图的要求及意图按中高档的用材标准进行选材并报价，所有建筑材料要求采用在行业内有一定知名度的品牌，并符合环保要求，严禁选择不合设计要求的低档材料进行投标报价及组织施工实施。</w:t>
      </w:r>
    </w:p>
    <w:p>
      <w:pPr>
        <w:pStyle w:val="45"/>
        <w:spacing w:line="340" w:lineRule="exact"/>
        <w:ind w:firstLine="0" w:firstLineChars="0"/>
        <w:rPr>
          <w:rFonts w:ascii="宋体" w:hAnsi="宋体" w:eastAsia="宋体" w:cs="宋体"/>
          <w:bCs/>
          <w:color w:val="auto"/>
          <w:kern w:val="0"/>
        </w:rPr>
      </w:pPr>
      <w:r>
        <w:rPr>
          <w:rFonts w:hint="eastAsia" w:ascii="宋体" w:hAnsi="宋体" w:eastAsia="宋体" w:cs="宋体"/>
          <w:bCs/>
          <w:color w:val="auto"/>
          <w:kern w:val="0"/>
        </w:rPr>
        <w:t>材料的质量保证</w:t>
      </w:r>
    </w:p>
    <w:p>
      <w:pPr>
        <w:pStyle w:val="55"/>
        <w:spacing w:line="340" w:lineRule="exact"/>
        <w:rPr>
          <w:rFonts w:ascii="宋体" w:hAnsi="宋体" w:eastAsia="宋体"/>
          <w:bCs/>
          <w:color w:val="auto"/>
          <w:kern w:val="0"/>
          <w:sz w:val="21"/>
          <w:szCs w:val="21"/>
        </w:rPr>
      </w:pPr>
      <w:r>
        <w:rPr>
          <w:rFonts w:hint="eastAsia" w:ascii="宋体" w:hAnsi="宋体" w:eastAsia="宋体"/>
          <w:bCs/>
          <w:color w:val="auto"/>
          <w:kern w:val="0"/>
          <w:sz w:val="21"/>
          <w:szCs w:val="21"/>
        </w:rPr>
        <w:t>2、在免费保修期内，承包人对有缺陷的部位必须无偿地给予修理与更换，并承担一切由此引起的对发包人或第三者的直接损失，除非该缺陷是由于人为破坏或合同规定的不可抗因素造成的损坏。</w:t>
      </w:r>
    </w:p>
    <w:p>
      <w:pPr>
        <w:pStyle w:val="55"/>
        <w:spacing w:line="340" w:lineRule="exact"/>
        <w:rPr>
          <w:rFonts w:ascii="宋体" w:hAnsi="宋体" w:eastAsia="宋体"/>
          <w:bCs/>
          <w:color w:val="auto"/>
          <w:kern w:val="0"/>
          <w:sz w:val="21"/>
          <w:szCs w:val="21"/>
        </w:rPr>
      </w:pPr>
      <w:r>
        <w:rPr>
          <w:rFonts w:hint="eastAsia" w:ascii="宋体" w:hAnsi="宋体" w:eastAsia="宋体"/>
          <w:bCs/>
          <w:color w:val="auto"/>
          <w:kern w:val="0"/>
          <w:sz w:val="21"/>
          <w:szCs w:val="21"/>
        </w:rPr>
        <w:t>3、承包人必须对所承包的工程的质量负全部责任，其责任不因其他材料生产商提供的保证书而减轻或更改。</w:t>
      </w:r>
    </w:p>
    <w:p>
      <w:pPr>
        <w:pStyle w:val="55"/>
        <w:spacing w:line="340" w:lineRule="exact"/>
        <w:rPr>
          <w:rFonts w:ascii="宋体" w:hAnsi="宋体" w:eastAsia="宋体"/>
          <w:bCs/>
          <w:color w:val="auto"/>
          <w:kern w:val="0"/>
          <w:sz w:val="21"/>
          <w:szCs w:val="21"/>
        </w:rPr>
      </w:pPr>
      <w:r>
        <w:rPr>
          <w:rFonts w:hint="eastAsia" w:ascii="宋体" w:hAnsi="宋体" w:eastAsia="宋体"/>
          <w:bCs/>
          <w:color w:val="auto"/>
          <w:kern w:val="0"/>
          <w:sz w:val="21"/>
          <w:szCs w:val="21"/>
        </w:rPr>
        <w:t>4、材料检验结果证明其有害物质含量指标超标的产品不得在工程上使用。</w:t>
      </w:r>
    </w:p>
    <w:p>
      <w:pPr>
        <w:pStyle w:val="55"/>
        <w:spacing w:line="340" w:lineRule="exact"/>
        <w:rPr>
          <w:rFonts w:ascii="宋体" w:hAnsi="宋体" w:eastAsia="宋体"/>
          <w:bCs/>
          <w:color w:val="auto"/>
          <w:kern w:val="0"/>
          <w:sz w:val="21"/>
          <w:szCs w:val="21"/>
        </w:rPr>
      </w:pPr>
      <w:r>
        <w:rPr>
          <w:rFonts w:hint="eastAsia" w:ascii="宋体" w:hAnsi="宋体" w:eastAsia="宋体"/>
          <w:bCs/>
          <w:color w:val="auto"/>
          <w:kern w:val="0"/>
          <w:sz w:val="21"/>
          <w:szCs w:val="21"/>
        </w:rPr>
        <w:t>5、所有材料设备必须提供检验合格证书，并经采购人（或采购人授权的监理）同意后，方可用于本工程。</w:t>
      </w:r>
    </w:p>
    <w:p>
      <w:pPr>
        <w:pStyle w:val="55"/>
        <w:spacing w:line="340" w:lineRule="exact"/>
        <w:rPr>
          <w:rFonts w:ascii="宋体" w:hAnsi="宋体" w:eastAsia="宋体"/>
          <w:bCs/>
          <w:color w:val="auto"/>
          <w:kern w:val="0"/>
          <w:sz w:val="21"/>
          <w:szCs w:val="21"/>
        </w:rPr>
      </w:pPr>
      <w:r>
        <w:rPr>
          <w:rFonts w:hint="eastAsia" w:ascii="宋体" w:hAnsi="宋体" w:eastAsia="宋体"/>
          <w:bCs/>
          <w:color w:val="auto"/>
          <w:kern w:val="0"/>
          <w:sz w:val="21"/>
          <w:szCs w:val="21"/>
        </w:rPr>
        <w:t>6、本次招标承包范围内的建筑施工材料均由承包人根据本响应文件、设计图纸和国家有关规定的具体要求进行采购、运输、检验、保管，但发包人保留变更和指定材料的权利；所有建筑材料须有产品合格证和质量保证书，应先送样品，样品经设计方、监理方、发包人确认与招标要求一致后封存，批量供应时应与样品一致，并经相关部门检验合格后方可使用。</w:t>
      </w:r>
      <w:bookmarkStart w:id="30" w:name="_Toc66769200"/>
      <w:bookmarkStart w:id="31" w:name="_Toc61168478"/>
      <w:bookmarkStart w:id="32" w:name="_Toc163749454"/>
    </w:p>
    <w:p>
      <w:pPr>
        <w:pStyle w:val="2"/>
        <w:snapToGrid w:val="0"/>
        <w:spacing w:after="0" w:line="340" w:lineRule="exact"/>
        <w:ind w:firstLine="420" w:firstLineChars="200"/>
        <w:rPr>
          <w:rFonts w:ascii="宋体" w:hAnsi="宋体" w:eastAsia="宋体" w:cs="宋体"/>
          <w:bCs/>
          <w:color w:val="auto"/>
          <w:kern w:val="0"/>
          <w:szCs w:val="21"/>
        </w:rPr>
      </w:pPr>
      <w:r>
        <w:rPr>
          <w:rFonts w:hint="eastAsia" w:ascii="宋体" w:hAnsi="宋体" w:eastAsia="宋体" w:cs="宋体"/>
          <w:bCs/>
          <w:color w:val="auto"/>
          <w:kern w:val="0"/>
          <w:szCs w:val="21"/>
        </w:rPr>
        <w:t>7、由承包人采购的主要建筑材料，当承包人选定的产品质量达不到设计要求和预期质量目标时，发包人保留更换的权利，且中标价不予调整。</w:t>
      </w:r>
      <w:bookmarkEnd w:id="30"/>
      <w:bookmarkEnd w:id="31"/>
      <w:bookmarkEnd w:id="32"/>
    </w:p>
    <w:p>
      <w:pPr>
        <w:pStyle w:val="45"/>
        <w:ind w:firstLine="0" w:firstLineChars="0"/>
        <w:rPr>
          <w:rFonts w:ascii="宋体" w:hAnsi="宋体" w:eastAsia="宋体" w:cs="宋体"/>
          <w:b/>
          <w:bCs/>
          <w:color w:val="auto"/>
        </w:rPr>
      </w:pPr>
      <w:r>
        <w:rPr>
          <w:rFonts w:hint="eastAsia" w:ascii="宋体" w:hAnsi="宋体" w:cs="宋体"/>
          <w:b/>
          <w:bCs/>
          <w:color w:val="auto"/>
        </w:rPr>
        <w:t>六</w:t>
      </w:r>
      <w:r>
        <w:rPr>
          <w:rFonts w:hint="eastAsia" w:ascii="宋体" w:hAnsi="宋体" w:eastAsia="宋体" w:cs="宋体"/>
          <w:b/>
          <w:bCs/>
          <w:color w:val="auto"/>
        </w:rPr>
        <w:t>、工程管理要求</w:t>
      </w:r>
    </w:p>
    <w:p>
      <w:pPr>
        <w:pStyle w:val="2"/>
        <w:snapToGrid w:val="0"/>
        <w:spacing w:after="0" w:line="360" w:lineRule="auto"/>
        <w:ind w:firstLine="420" w:firstLineChars="200"/>
        <w:rPr>
          <w:rFonts w:ascii="宋体" w:hAnsi="宋体" w:eastAsia="宋体" w:cs="宋体"/>
          <w:bCs/>
          <w:color w:val="auto"/>
          <w:szCs w:val="21"/>
        </w:rPr>
      </w:pPr>
      <w:r>
        <w:rPr>
          <w:rFonts w:hint="eastAsia" w:ascii="宋体" w:hAnsi="宋体" w:eastAsia="宋体" w:cs="宋体"/>
          <w:bCs/>
          <w:color w:val="auto"/>
          <w:szCs w:val="21"/>
        </w:rPr>
        <w:t>1.本工程承包范围内的工程项目，成交供应商未经采购人同意，一律不得分包、转包，成交供应商擅自分包、转包以违约论，一经发现立即取消成交供应商的承包资格，成交供应商应承担由此引起的一切经济责任和法律责任。</w:t>
      </w:r>
    </w:p>
    <w:p>
      <w:pPr>
        <w:pStyle w:val="2"/>
        <w:snapToGrid w:val="0"/>
        <w:spacing w:after="0" w:line="360" w:lineRule="auto"/>
        <w:ind w:firstLine="420" w:firstLineChars="200"/>
        <w:rPr>
          <w:rFonts w:ascii="宋体" w:hAnsi="宋体" w:eastAsia="宋体" w:cs="宋体"/>
          <w:bCs/>
          <w:color w:val="auto"/>
          <w:szCs w:val="21"/>
        </w:rPr>
      </w:pPr>
      <w:r>
        <w:rPr>
          <w:rFonts w:hint="eastAsia" w:ascii="宋体" w:hAnsi="宋体" w:eastAsia="宋体" w:cs="宋体"/>
          <w:bCs/>
          <w:color w:val="auto"/>
          <w:szCs w:val="21"/>
        </w:rPr>
        <w:t>2.供应商应严格按已确认施工技术方案组织施工，并无条件地接受采购人代表对施工质量的监督和管理。施工过程中，施工方必须要严格把关，按照相应规范标准要求施工，如出现不符合标准要求的情况，施工方必须无条件返工，直至达到规范标准要求。所发生的费用均由施工方承担。</w:t>
      </w:r>
    </w:p>
    <w:p>
      <w:pPr>
        <w:pStyle w:val="2"/>
        <w:snapToGrid w:val="0"/>
        <w:spacing w:after="0" w:line="360" w:lineRule="auto"/>
        <w:ind w:firstLine="420" w:firstLineChars="200"/>
        <w:rPr>
          <w:rFonts w:ascii="宋体" w:hAnsi="宋体" w:eastAsia="宋体" w:cs="宋体"/>
          <w:bCs/>
          <w:color w:val="auto"/>
          <w:szCs w:val="21"/>
        </w:rPr>
      </w:pPr>
      <w:r>
        <w:rPr>
          <w:rFonts w:hint="eastAsia" w:ascii="宋体" w:hAnsi="宋体" w:eastAsia="宋体" w:cs="宋体"/>
          <w:bCs/>
          <w:color w:val="auto"/>
          <w:szCs w:val="21"/>
        </w:rPr>
        <w:t>3.供应商在响应文件中的承诺的管理人员未经采购人同意，不得调换和撤离，并按工程进度及时到位。采购人有权要求撤换工作不负责任、管理不力、贻误工期和造成严重的安全事故和工程质量事故、违法乱纪的专业技术、管理人员、技术负责人，直至采购人满意为止。如相应资质的专业技术人员未按要求到位，视作违约，采购人有权单方面终止合同。</w:t>
      </w:r>
    </w:p>
    <w:p>
      <w:pPr>
        <w:pStyle w:val="2"/>
        <w:snapToGrid w:val="0"/>
        <w:spacing w:after="0" w:line="360" w:lineRule="auto"/>
        <w:ind w:firstLine="420" w:firstLineChars="200"/>
        <w:rPr>
          <w:rFonts w:ascii="宋体" w:hAnsi="宋体" w:eastAsia="宋体" w:cs="宋体"/>
          <w:bCs/>
          <w:color w:val="auto"/>
          <w:szCs w:val="21"/>
        </w:rPr>
      </w:pPr>
      <w:r>
        <w:rPr>
          <w:rFonts w:hint="eastAsia" w:ascii="宋体" w:hAnsi="宋体" w:eastAsia="宋体" w:cs="宋体"/>
          <w:bCs/>
          <w:color w:val="auto"/>
          <w:szCs w:val="21"/>
        </w:rPr>
        <w:t>4.供应商在工程施工全过程中要认真做好产品保护。因失窃或失火造成的损失均由承包人负责，凡由此而损及采购人利益时，采购人将向成交施工单位索赔。</w:t>
      </w:r>
    </w:p>
    <w:p>
      <w:pPr>
        <w:pStyle w:val="2"/>
        <w:snapToGrid w:val="0"/>
        <w:spacing w:after="0" w:line="360" w:lineRule="auto"/>
        <w:ind w:firstLine="420" w:firstLineChars="200"/>
        <w:rPr>
          <w:rFonts w:ascii="宋体" w:hAnsi="宋体" w:eastAsia="宋体" w:cs="宋体"/>
          <w:bCs/>
          <w:color w:val="auto"/>
          <w:szCs w:val="21"/>
        </w:rPr>
      </w:pPr>
      <w:r>
        <w:rPr>
          <w:rFonts w:hint="eastAsia" w:ascii="宋体" w:hAnsi="宋体" w:eastAsia="宋体" w:cs="宋体"/>
          <w:bCs/>
          <w:color w:val="auto"/>
          <w:szCs w:val="21"/>
        </w:rPr>
        <w:t>5.供应商应有详细的工程安全措施和安全组织及配备专职安全负责人的说明和承诺，以确保安全施工。</w:t>
      </w:r>
    </w:p>
    <w:p>
      <w:pPr>
        <w:pStyle w:val="2"/>
        <w:snapToGrid w:val="0"/>
        <w:spacing w:after="0" w:line="360" w:lineRule="auto"/>
        <w:ind w:firstLine="420" w:firstLineChars="200"/>
        <w:rPr>
          <w:rFonts w:ascii="宋体" w:hAnsi="宋体" w:eastAsia="宋体" w:cs="宋体"/>
          <w:bCs/>
          <w:color w:val="auto"/>
          <w:szCs w:val="21"/>
        </w:rPr>
      </w:pPr>
      <w:r>
        <w:rPr>
          <w:rFonts w:hint="eastAsia" w:ascii="宋体" w:hAnsi="宋体" w:eastAsia="宋体" w:cs="宋体"/>
          <w:bCs/>
          <w:color w:val="auto"/>
          <w:szCs w:val="21"/>
        </w:rPr>
        <w:t>6.施工期间，所有施工人员的食宿均由供应商自行安排，相关费用包含在报价中。</w:t>
      </w:r>
    </w:p>
    <w:p>
      <w:pPr>
        <w:pStyle w:val="2"/>
        <w:snapToGrid w:val="0"/>
        <w:spacing w:after="0" w:line="360" w:lineRule="auto"/>
        <w:ind w:firstLine="420" w:firstLineChars="200"/>
        <w:rPr>
          <w:rFonts w:ascii="宋体" w:hAnsi="宋体" w:eastAsia="宋体" w:cs="宋体"/>
          <w:bCs/>
          <w:color w:val="auto"/>
          <w:szCs w:val="21"/>
        </w:rPr>
      </w:pPr>
      <w:r>
        <w:rPr>
          <w:rFonts w:hint="eastAsia" w:ascii="宋体" w:hAnsi="宋体" w:eastAsia="宋体" w:cs="宋体"/>
          <w:bCs/>
          <w:color w:val="auto"/>
          <w:szCs w:val="21"/>
        </w:rPr>
        <w:t>7.本工程设及危大工程和重点难点工程的，供应商在施工前须制定充分、完整、详细的施工组织方案和计划，报监理、相关职能部门审核后开工，并编制应急预案一套。</w:t>
      </w:r>
    </w:p>
    <w:p>
      <w:pPr>
        <w:pStyle w:val="2"/>
        <w:snapToGrid w:val="0"/>
        <w:spacing w:after="0" w:line="360" w:lineRule="auto"/>
        <w:ind w:firstLine="420" w:firstLineChars="200"/>
        <w:rPr>
          <w:rFonts w:ascii="宋体" w:hAnsi="宋体" w:eastAsia="宋体" w:cs="宋体"/>
          <w:bCs/>
          <w:color w:val="auto"/>
          <w:szCs w:val="21"/>
        </w:rPr>
      </w:pPr>
      <w:r>
        <w:rPr>
          <w:rFonts w:hint="eastAsia" w:ascii="宋体" w:hAnsi="宋体" w:eastAsia="宋体" w:cs="宋体"/>
          <w:bCs/>
          <w:color w:val="auto"/>
          <w:szCs w:val="21"/>
        </w:rPr>
        <w:t>8.供应商在选用的产品及各项工作遵循的标准、规范必须等效或优于相关规定。</w:t>
      </w:r>
    </w:p>
    <w:p>
      <w:pPr>
        <w:pStyle w:val="2"/>
        <w:snapToGrid w:val="0"/>
        <w:spacing w:after="0" w:line="360" w:lineRule="auto"/>
        <w:ind w:firstLine="420" w:firstLineChars="200"/>
        <w:rPr>
          <w:rFonts w:ascii="宋体" w:hAnsi="宋体" w:eastAsia="宋体" w:cs="宋体"/>
          <w:bCs/>
          <w:color w:val="auto"/>
          <w:szCs w:val="21"/>
        </w:rPr>
      </w:pPr>
      <w:r>
        <w:rPr>
          <w:rFonts w:hint="eastAsia" w:ascii="宋体" w:hAnsi="宋体" w:eastAsia="宋体" w:cs="宋体"/>
          <w:bCs/>
          <w:color w:val="auto"/>
          <w:szCs w:val="21"/>
        </w:rPr>
        <w:t>9. 安全施工、文明管理：</w:t>
      </w:r>
    </w:p>
    <w:p>
      <w:pPr>
        <w:pStyle w:val="2"/>
        <w:snapToGrid w:val="0"/>
        <w:spacing w:after="0" w:line="360" w:lineRule="auto"/>
        <w:ind w:firstLine="420" w:firstLineChars="200"/>
        <w:rPr>
          <w:rFonts w:ascii="宋体" w:hAnsi="宋体" w:eastAsia="宋体" w:cs="宋体"/>
          <w:bCs/>
          <w:color w:val="auto"/>
          <w:szCs w:val="21"/>
        </w:rPr>
      </w:pPr>
      <w:r>
        <w:rPr>
          <w:rFonts w:hint="eastAsia" w:ascii="宋体" w:hAnsi="宋体" w:eastAsia="宋体" w:cs="宋体"/>
          <w:bCs/>
          <w:color w:val="auto"/>
          <w:szCs w:val="21"/>
        </w:rPr>
        <w:t>1）项目安全生产的达标目标以及治安保卫由成交供应商负责，无安全生产及治安事故。</w:t>
      </w:r>
    </w:p>
    <w:p>
      <w:pPr>
        <w:pStyle w:val="2"/>
        <w:snapToGrid w:val="0"/>
        <w:spacing w:after="0" w:line="360" w:lineRule="auto"/>
        <w:ind w:firstLine="420" w:firstLineChars="200"/>
        <w:rPr>
          <w:rFonts w:ascii="宋体" w:hAnsi="宋体" w:eastAsia="宋体" w:cs="宋体"/>
          <w:bCs/>
          <w:color w:val="auto"/>
          <w:szCs w:val="21"/>
        </w:rPr>
      </w:pPr>
      <w:r>
        <w:rPr>
          <w:rFonts w:hint="eastAsia" w:ascii="宋体" w:hAnsi="宋体" w:eastAsia="宋体" w:cs="宋体"/>
          <w:bCs/>
          <w:color w:val="auto"/>
          <w:szCs w:val="21"/>
        </w:rPr>
        <w:t>2）文明施工的要求：按台州市相关文明施工规范要求执行。</w:t>
      </w:r>
    </w:p>
    <w:p>
      <w:pPr>
        <w:pStyle w:val="45"/>
        <w:spacing w:line="360" w:lineRule="auto"/>
        <w:ind w:firstLine="0" w:firstLineChars="0"/>
        <w:rPr>
          <w:rFonts w:ascii="宋体" w:hAnsi="宋体" w:eastAsia="宋体" w:cs="宋体"/>
          <w:b/>
          <w:bCs/>
          <w:color w:val="auto"/>
        </w:rPr>
      </w:pPr>
      <w:r>
        <w:rPr>
          <w:rFonts w:hint="eastAsia" w:ascii="宋体" w:hAnsi="宋体" w:eastAsia="宋体" w:cs="宋体"/>
          <w:b/>
          <w:bCs/>
          <w:color w:val="auto"/>
        </w:rPr>
        <w:t>▲七、拟投入项目实施人员的要求</w:t>
      </w:r>
    </w:p>
    <w:p>
      <w:pPr>
        <w:pStyle w:val="13"/>
        <w:spacing w:line="400" w:lineRule="exact"/>
        <w:ind w:left="0" w:leftChars="0" w:firstLine="420" w:firstLineChars="200"/>
        <w:jc w:val="left"/>
        <w:rPr>
          <w:rFonts w:eastAsia="宋体"/>
          <w:b/>
          <w:bCs/>
          <w:color w:val="auto"/>
        </w:rPr>
      </w:pPr>
      <w:r>
        <w:rPr>
          <w:rFonts w:hint="eastAsia" w:ascii="宋体" w:hAnsi="宋体" w:eastAsia="宋体" w:cs="宋体"/>
          <w:color w:val="auto"/>
          <w:sz w:val="21"/>
          <w:szCs w:val="21"/>
        </w:rPr>
        <w:t>1、拟派本工程项目负责人须具有</w:t>
      </w:r>
      <w:r>
        <w:rPr>
          <w:rFonts w:hint="eastAsia" w:ascii="宋体" w:hAnsi="宋体" w:eastAsia="宋体" w:cs="宋体"/>
          <w:b/>
          <w:bCs/>
          <w:color w:val="auto"/>
          <w:sz w:val="21"/>
          <w:szCs w:val="21"/>
        </w:rPr>
        <w:t>建筑工程专业注册建造师二级及以上证书（不含临时建造师），并同时具有“三类人员”B类证书。</w:t>
      </w:r>
    </w:p>
    <w:p>
      <w:pPr>
        <w:pStyle w:val="45"/>
        <w:ind w:firstLine="420"/>
        <w:rPr>
          <w:rFonts w:ascii="宋体" w:hAnsi="宋体" w:eastAsia="宋体" w:cs="宋体"/>
          <w:color w:val="auto"/>
        </w:rPr>
      </w:pPr>
      <w:r>
        <w:rPr>
          <w:rFonts w:hint="eastAsia" w:ascii="宋体" w:hAnsi="宋体" w:eastAsia="宋体" w:cs="宋体"/>
          <w:color w:val="auto"/>
        </w:rPr>
        <w:t>2、项目负责人在建项目要求：项目负责人承接项目按照《注册建造师执业管理办法（试行）》（建市[2008]48号）第九条执行，同时在本工程投标文件提交截止日前，原以建造师身份承接（包括已办理项目负责人变更手续）的工程项目未通过竣工（交工）验收的（以竣工或交工验收记录为准），项目负责人不得参加投标。发生下列情形之一的除外：</w:t>
      </w:r>
    </w:p>
    <w:p>
      <w:pPr>
        <w:pStyle w:val="45"/>
        <w:ind w:firstLine="420"/>
        <w:rPr>
          <w:rFonts w:ascii="宋体" w:hAnsi="宋体" w:eastAsia="宋体" w:cs="宋体"/>
          <w:color w:val="auto"/>
        </w:rPr>
      </w:pPr>
      <w:r>
        <w:rPr>
          <w:rFonts w:hint="eastAsia" w:ascii="宋体" w:hAnsi="宋体" w:eastAsia="宋体" w:cs="宋体"/>
          <w:color w:val="auto"/>
        </w:rPr>
        <w:t>a.原承接的项目与本工程属于同一工程相邻分段发包或分期施工的；</w:t>
      </w:r>
    </w:p>
    <w:p>
      <w:pPr>
        <w:pStyle w:val="45"/>
        <w:ind w:firstLine="420"/>
        <w:rPr>
          <w:rFonts w:ascii="宋体" w:hAnsi="宋体" w:eastAsia="宋体" w:cs="宋体"/>
          <w:color w:val="auto"/>
        </w:rPr>
      </w:pPr>
      <w:r>
        <w:rPr>
          <w:rFonts w:hint="eastAsia" w:ascii="宋体" w:hAnsi="宋体" w:eastAsia="宋体" w:cs="宋体"/>
          <w:color w:val="auto"/>
        </w:rPr>
        <w:t>b.因非承包方原因致使工程项目停工超过120天（含），经建设单位同意的（并须提供经工程所在地建设（建筑业）行政主管部门同意停工的书面证明）。</w:t>
      </w:r>
    </w:p>
    <w:p>
      <w:pPr>
        <w:pStyle w:val="45"/>
        <w:ind w:firstLine="420"/>
        <w:rPr>
          <w:rFonts w:ascii="宋体" w:hAnsi="宋体" w:eastAsia="宋体" w:cs="宋体"/>
          <w:color w:val="auto"/>
        </w:rPr>
      </w:pPr>
      <w:r>
        <w:rPr>
          <w:rFonts w:hint="eastAsia" w:ascii="宋体" w:hAnsi="宋体" w:eastAsia="宋体" w:cs="宋体"/>
          <w:color w:val="auto"/>
        </w:rPr>
        <w:t>c.合同约定的工程已完工，承包方向建设单位提交竣工（交工）报告时间已超过120天（含），且经建设单位同意可承接其他项目的（并须提供经工程所在地建设（建筑业）行政主管部门书面证明和竣工（交工）报告）。</w:t>
      </w:r>
    </w:p>
    <w:p>
      <w:pPr>
        <w:pStyle w:val="33"/>
        <w:spacing w:line="400" w:lineRule="exact"/>
        <w:ind w:firstLine="420" w:firstLineChars="200"/>
        <w:rPr>
          <w:rFonts w:ascii="宋体" w:hAnsi="宋体" w:eastAsia="宋体" w:cs="宋体"/>
          <w:color w:val="auto"/>
          <w:sz w:val="21"/>
          <w:szCs w:val="21"/>
          <w:lang w:val="en-US"/>
        </w:rPr>
      </w:pPr>
      <w:r>
        <w:rPr>
          <w:rFonts w:hint="eastAsia" w:ascii="宋体" w:hAnsi="宋体" w:eastAsia="宋体" w:cs="宋体"/>
          <w:color w:val="auto"/>
          <w:sz w:val="21"/>
          <w:szCs w:val="21"/>
          <w:lang w:val="en-US"/>
        </w:rPr>
        <w:t>如发生以上情形，投标人应在递交投标文件的同时将有关书面证明材料提交给招标人，投标截止日后提供的证明材料视为瞒报、漏报，将不予认可。</w:t>
      </w:r>
    </w:p>
    <w:p>
      <w:pPr>
        <w:pStyle w:val="5"/>
        <w:snapToGrid w:val="0"/>
        <w:spacing w:before="0" w:after="0" w:line="400" w:lineRule="exact"/>
        <w:rPr>
          <w:rFonts w:ascii="宋体" w:hAnsi="宋体" w:eastAsia="宋体" w:cs="宋体"/>
          <w:bCs w:val="0"/>
          <w:color w:val="auto"/>
          <w:sz w:val="21"/>
          <w:szCs w:val="21"/>
        </w:rPr>
      </w:pPr>
      <w:r>
        <w:rPr>
          <w:rFonts w:hint="eastAsia" w:ascii="宋体" w:hAnsi="宋体" w:eastAsia="宋体" w:cs="宋体"/>
          <w:bCs w:val="0"/>
          <w:color w:val="auto"/>
          <w:sz w:val="21"/>
          <w:szCs w:val="21"/>
        </w:rPr>
        <w:t>八、报价要求</w:t>
      </w:r>
    </w:p>
    <w:p>
      <w:pPr>
        <w:adjustRightInd w:val="0"/>
        <w:snapToGrid w:val="0"/>
        <w:spacing w:line="360" w:lineRule="auto"/>
        <w:ind w:firstLine="480"/>
        <w:rPr>
          <w:rFonts w:ascii="宋体" w:hAnsi="宋体" w:cs="宋体" w:eastAsiaTheme="minorEastAsia"/>
          <w:color w:val="auto"/>
          <w:sz w:val="21"/>
          <w:szCs w:val="21"/>
        </w:rPr>
      </w:pPr>
      <w:r>
        <w:rPr>
          <w:rFonts w:hint="eastAsia" w:ascii="宋体" w:hAnsi="宋体" w:cs="宋体" w:eastAsiaTheme="minorEastAsia"/>
          <w:color w:val="auto"/>
          <w:sz w:val="21"/>
          <w:szCs w:val="21"/>
        </w:rPr>
        <w:t>1.承包方式</w:t>
      </w:r>
    </w:p>
    <w:p>
      <w:pPr>
        <w:adjustRightInd w:val="0"/>
        <w:snapToGrid w:val="0"/>
        <w:spacing w:line="360" w:lineRule="auto"/>
        <w:ind w:firstLine="420" w:firstLineChars="200"/>
        <w:rPr>
          <w:rFonts w:ascii="宋体" w:hAnsi="宋体" w:cs="宋体" w:eastAsiaTheme="minorEastAsia"/>
          <w:color w:val="auto"/>
          <w:sz w:val="21"/>
          <w:szCs w:val="21"/>
        </w:rPr>
      </w:pPr>
      <w:r>
        <w:rPr>
          <w:rFonts w:hint="eastAsia" w:ascii="宋体" w:hAnsi="宋体" w:cs="宋体" w:eastAsiaTheme="minorEastAsia"/>
          <w:color w:val="auto"/>
          <w:sz w:val="21"/>
          <w:szCs w:val="21"/>
        </w:rPr>
        <w:t>包工、包料、包工期、包质量、包安全文明施工等。</w:t>
      </w:r>
    </w:p>
    <w:p>
      <w:pPr>
        <w:adjustRightInd w:val="0"/>
        <w:snapToGrid w:val="0"/>
        <w:spacing w:line="360" w:lineRule="auto"/>
        <w:ind w:firstLine="420" w:firstLineChars="200"/>
        <w:rPr>
          <w:rFonts w:ascii="宋体" w:hAnsi="宋体" w:cs="宋体" w:eastAsiaTheme="minorEastAsia"/>
          <w:color w:val="auto"/>
          <w:sz w:val="21"/>
          <w:szCs w:val="21"/>
        </w:rPr>
      </w:pPr>
      <w:r>
        <w:rPr>
          <w:rFonts w:hint="eastAsia" w:ascii="宋体" w:hAnsi="宋体" w:cs="宋体" w:eastAsiaTheme="minorEastAsia"/>
          <w:color w:val="auto"/>
          <w:sz w:val="21"/>
          <w:szCs w:val="21"/>
        </w:rPr>
        <w:t>2.计价方式</w:t>
      </w:r>
    </w:p>
    <w:p>
      <w:pPr>
        <w:adjustRightInd w:val="0"/>
        <w:snapToGrid w:val="0"/>
        <w:spacing w:line="360" w:lineRule="auto"/>
        <w:ind w:firstLine="480"/>
        <w:rPr>
          <w:rFonts w:ascii="宋体" w:hAnsi="宋体" w:cs="宋体" w:eastAsiaTheme="minorEastAsia"/>
          <w:color w:val="auto"/>
          <w:sz w:val="21"/>
          <w:szCs w:val="21"/>
        </w:rPr>
      </w:pPr>
      <w:r>
        <w:rPr>
          <w:rFonts w:hint="eastAsia" w:ascii="宋体" w:hAnsi="宋体" w:cs="宋体" w:eastAsiaTheme="minorEastAsia"/>
          <w:color w:val="auto"/>
          <w:sz w:val="21"/>
          <w:szCs w:val="21"/>
        </w:rPr>
        <w:t>1）采用固定综合单价计价方式。</w:t>
      </w:r>
    </w:p>
    <w:p>
      <w:pPr>
        <w:adjustRightInd w:val="0"/>
        <w:snapToGrid w:val="0"/>
        <w:spacing w:line="360" w:lineRule="auto"/>
        <w:ind w:firstLine="480"/>
        <w:rPr>
          <w:rFonts w:ascii="宋体" w:hAnsi="宋体" w:cs="宋体" w:eastAsiaTheme="minorEastAsia"/>
          <w:color w:val="auto"/>
          <w:sz w:val="21"/>
          <w:szCs w:val="21"/>
        </w:rPr>
      </w:pPr>
      <w:r>
        <w:rPr>
          <w:rFonts w:hint="eastAsia" w:ascii="宋体" w:hAnsi="宋体" w:cs="宋体" w:eastAsiaTheme="minorEastAsia"/>
          <w:color w:val="auto"/>
          <w:sz w:val="21"/>
          <w:szCs w:val="21"/>
        </w:rPr>
        <w:t>2）在合同执行期内综合单价固定不变，工程量按实结算，采购人有权单方面做出决定增加或减少或取消数量，但不得调整综合单价。引起承包总价变化，最终以审计为准。</w:t>
      </w:r>
    </w:p>
    <w:p>
      <w:pPr>
        <w:adjustRightInd w:val="0"/>
        <w:snapToGrid w:val="0"/>
        <w:spacing w:line="360" w:lineRule="auto"/>
        <w:ind w:firstLine="480"/>
        <w:rPr>
          <w:rFonts w:ascii="宋体" w:hAnsi="宋体" w:cs="宋体" w:eastAsiaTheme="minorEastAsia"/>
          <w:color w:val="auto"/>
          <w:sz w:val="21"/>
          <w:szCs w:val="21"/>
        </w:rPr>
      </w:pPr>
      <w:r>
        <w:rPr>
          <w:rFonts w:hint="eastAsia" w:ascii="宋体" w:hAnsi="宋体" w:cs="宋体" w:eastAsiaTheme="minorEastAsia"/>
          <w:color w:val="auto"/>
          <w:sz w:val="21"/>
          <w:szCs w:val="21"/>
        </w:rPr>
        <w:t>3）供应商自行踏勘现场，认真核对工程量清单中施工内容和工程量，确立合理的施工方案并充分考虑相应的措施项目及费用，由供应商自行测算并进入报价，今后不得调整，清单里所列的技术措施项目只作为施工单位的参考，供应商可根据清单里所列的项目报价并增加其认为必要的技术措施费；若今后工程实施中发生新的措施项目但响应文件未列入的项目，视作供应商在风险费或其它项目中已考虑，今后不得调整。</w:t>
      </w:r>
    </w:p>
    <w:p>
      <w:pPr>
        <w:adjustRightInd w:val="0"/>
        <w:snapToGrid w:val="0"/>
        <w:spacing w:line="360" w:lineRule="auto"/>
        <w:ind w:firstLine="480"/>
        <w:rPr>
          <w:rFonts w:ascii="宋体" w:hAnsi="宋体" w:cs="宋体" w:eastAsiaTheme="minorEastAsia"/>
          <w:color w:val="auto"/>
          <w:sz w:val="21"/>
          <w:szCs w:val="21"/>
        </w:rPr>
      </w:pPr>
      <w:r>
        <w:rPr>
          <w:rFonts w:hint="eastAsia" w:ascii="宋体" w:hAnsi="宋体" w:cs="宋体" w:eastAsiaTheme="minorEastAsia"/>
          <w:color w:val="auto"/>
          <w:sz w:val="21"/>
          <w:szCs w:val="21"/>
        </w:rPr>
        <w:t>4）成交以后，在合同施工范围内，无论现场施工条件如何变化、设计如何变更、也无论工程量增减的幅度如何，施工组织措施费费率、规费费率、税金税率均不再调整。</w:t>
      </w:r>
    </w:p>
    <w:p>
      <w:pPr>
        <w:tabs>
          <w:tab w:val="left" w:pos="0"/>
        </w:tabs>
        <w:snapToGrid w:val="0"/>
        <w:spacing w:line="360" w:lineRule="auto"/>
        <w:rPr>
          <w:rFonts w:ascii="宋体" w:hAnsi="宋体" w:cs="宋体" w:eastAsiaTheme="minorEastAsia"/>
          <w:color w:val="auto"/>
          <w:sz w:val="21"/>
          <w:szCs w:val="21"/>
        </w:rPr>
      </w:pPr>
      <w:r>
        <w:rPr>
          <w:rFonts w:hint="eastAsia" w:ascii="宋体" w:hAnsi="宋体" w:cs="宋体" w:eastAsiaTheme="minorEastAsia"/>
          <w:color w:val="auto"/>
          <w:sz w:val="21"/>
          <w:szCs w:val="21"/>
        </w:rPr>
        <w:t xml:space="preserve">    5）除非采购人对采购文件予以修改，供应商应按采购人提供的清单报价表中列出的工程项目和工程量填报单价和合价（如供应商提供的工程项目单项名称、项目主要特征、单位、工程量与采购人提供的有不同时以采购人提供的为准）。每一项目只允许有一个报价。任何有选择的报价将不予接受。供应商未填单价或合价的工程项目，在实施后，采购人将不予以支付，并视为该项费用已包括在其他有价款的单价或合价内。</w:t>
      </w:r>
    </w:p>
    <w:p>
      <w:pPr>
        <w:adjustRightInd w:val="0"/>
        <w:snapToGrid w:val="0"/>
        <w:spacing w:line="360" w:lineRule="auto"/>
        <w:ind w:firstLine="420" w:firstLineChars="200"/>
        <w:rPr>
          <w:rFonts w:ascii="宋体" w:hAnsi="宋体" w:cs="宋体" w:eastAsiaTheme="minorEastAsia"/>
          <w:color w:val="auto"/>
          <w:sz w:val="21"/>
          <w:szCs w:val="21"/>
        </w:rPr>
      </w:pPr>
      <w:r>
        <w:rPr>
          <w:rFonts w:hint="eastAsia" w:ascii="宋体" w:hAnsi="宋体" w:cs="宋体" w:eastAsiaTheme="minorEastAsia"/>
          <w:color w:val="auto"/>
          <w:sz w:val="21"/>
          <w:szCs w:val="21"/>
        </w:rPr>
        <w:t>3.供应商应按 “清单报价表”的要求填写相应表格，在填报价格及费用时应充分考虑国家现行技术标准、规范和施工说明要求。</w:t>
      </w:r>
    </w:p>
    <w:p>
      <w:pPr>
        <w:tabs>
          <w:tab w:val="left" w:pos="0"/>
        </w:tabs>
        <w:snapToGrid w:val="0"/>
        <w:spacing w:line="400" w:lineRule="exact"/>
        <w:ind w:firstLine="420" w:firstLineChars="200"/>
        <w:rPr>
          <w:rFonts w:ascii="宋体" w:hAnsi="宋体" w:cs="宋体" w:eastAsiaTheme="minorEastAsia"/>
          <w:color w:val="auto"/>
          <w:sz w:val="21"/>
          <w:szCs w:val="21"/>
        </w:rPr>
      </w:pPr>
      <w:r>
        <w:rPr>
          <w:rFonts w:hint="eastAsia" w:ascii="宋体" w:hAnsi="宋体" w:cs="宋体" w:eastAsiaTheme="minorEastAsia"/>
          <w:color w:val="auto"/>
          <w:sz w:val="21"/>
          <w:szCs w:val="21"/>
        </w:rPr>
        <w:t>4.工程总报价应是采购文件所确定的采购范围内全部工作内容的价格表现，包括项目实施所需的包含人工费、材料费、燃料费、机械费、安装费、运输费、行车、保险费、管理费、利润、措施费（如临时措施、环境保护、成品保护等）、税费、水费、电费、安全文明施工费、采购代理服务费、政策性文件规定及合同包含的所有风险责任等一切费用等完成合同所需的一切本身和不可或缺的所有工作开支、政策性文件规定及合同包含的所有风险、责任等各项全部费用并承担一切风险责任。</w:t>
      </w:r>
    </w:p>
    <w:p>
      <w:pPr>
        <w:pStyle w:val="33"/>
        <w:spacing w:line="400" w:lineRule="exact"/>
        <w:ind w:firstLine="420" w:firstLineChars="200"/>
        <w:rPr>
          <w:rFonts w:ascii="宋体" w:hAnsi="宋体" w:cs="宋体" w:eastAsiaTheme="minorEastAsia"/>
          <w:color w:val="auto"/>
          <w:sz w:val="21"/>
          <w:szCs w:val="21"/>
          <w:lang w:val="en-US"/>
        </w:rPr>
      </w:pPr>
      <w:r>
        <w:rPr>
          <w:rFonts w:hint="eastAsia" w:ascii="宋体" w:hAnsi="宋体" w:cs="宋体" w:eastAsiaTheme="minorEastAsia"/>
          <w:color w:val="auto"/>
          <w:sz w:val="21"/>
          <w:szCs w:val="21"/>
          <w:lang w:val="en-US"/>
        </w:rPr>
        <w:t>5.具体采购数量按实结算，采购人有权单方面做出决定增加或减少或取消数量，但不得调整综合单价。引起承包总价变化，最终以审计为准。</w:t>
      </w:r>
    </w:p>
    <w:p>
      <w:pPr>
        <w:pStyle w:val="22"/>
        <w:snapToGrid w:val="0"/>
        <w:spacing w:after="0" w:line="400" w:lineRule="exact"/>
        <w:ind w:firstLine="211"/>
        <w:rPr>
          <w:rFonts w:ascii="宋体" w:hAnsi="宋体" w:eastAsia="宋体" w:cs="宋体"/>
          <w:b/>
          <w:color w:val="auto"/>
          <w:szCs w:val="21"/>
        </w:rPr>
      </w:pPr>
      <w:r>
        <w:rPr>
          <w:rFonts w:hint="eastAsia" w:ascii="宋体" w:hAnsi="宋体"/>
          <w:b/>
          <w:color w:val="auto"/>
          <w:szCs w:val="21"/>
        </w:rPr>
        <w:t>▲</w:t>
      </w:r>
      <w:r>
        <w:rPr>
          <w:rFonts w:hint="eastAsia" w:ascii="宋体" w:hAnsi="宋体" w:cs="宋体"/>
          <w:b/>
          <w:color w:val="auto"/>
          <w:szCs w:val="21"/>
        </w:rPr>
        <w:t>九</w:t>
      </w:r>
      <w:r>
        <w:rPr>
          <w:rFonts w:hint="eastAsia" w:ascii="宋体" w:hAnsi="宋体" w:eastAsia="宋体" w:cs="宋体"/>
          <w:b/>
          <w:color w:val="auto"/>
          <w:szCs w:val="21"/>
        </w:rPr>
        <w:t>、商务条款</w:t>
      </w:r>
    </w:p>
    <w:p>
      <w:pPr>
        <w:pStyle w:val="22"/>
        <w:snapToGrid w:val="0"/>
        <w:spacing w:after="0" w:line="400" w:lineRule="exact"/>
        <w:ind w:firstLineChars="200"/>
        <w:rPr>
          <w:rFonts w:ascii="宋体" w:hAnsi="宋体" w:eastAsia="宋体" w:cs="宋体"/>
          <w:color w:val="auto"/>
          <w:szCs w:val="21"/>
        </w:rPr>
      </w:pPr>
      <w:r>
        <w:rPr>
          <w:rFonts w:hint="eastAsia" w:ascii="宋体" w:hAnsi="宋体" w:cs="宋体"/>
          <w:color w:val="auto"/>
          <w:szCs w:val="21"/>
        </w:rPr>
        <w:t>1、合同履约期限：</w:t>
      </w:r>
      <w:r>
        <w:rPr>
          <w:rFonts w:hint="eastAsia" w:ascii="宋体" w:hAnsi="宋体" w:eastAsia="宋体" w:cs="宋体"/>
          <w:color w:val="auto"/>
          <w:kern w:val="0"/>
          <w:szCs w:val="21"/>
        </w:rPr>
        <w:t>工期不超过</w:t>
      </w:r>
      <w:r>
        <w:rPr>
          <w:rFonts w:hint="eastAsia" w:ascii="宋体" w:hAnsi="宋体" w:cs="宋体"/>
          <w:color w:val="auto"/>
          <w:kern w:val="0"/>
          <w:szCs w:val="21"/>
          <w:u w:val="single"/>
        </w:rPr>
        <w:t xml:space="preserve"> 60  </w:t>
      </w:r>
      <w:r>
        <w:rPr>
          <w:rFonts w:hint="eastAsia" w:ascii="宋体" w:hAnsi="宋体" w:eastAsia="宋体" w:cs="宋体"/>
          <w:color w:val="auto"/>
          <w:kern w:val="0"/>
          <w:szCs w:val="21"/>
        </w:rPr>
        <w:t>天</w:t>
      </w:r>
      <w:r>
        <w:rPr>
          <w:rFonts w:hint="eastAsia" w:ascii="宋体" w:hAnsi="宋体" w:eastAsia="宋体" w:cs="宋体"/>
          <w:color w:val="auto"/>
          <w:szCs w:val="21"/>
        </w:rPr>
        <w:t xml:space="preserve"> （</w:t>
      </w:r>
      <w:r>
        <w:rPr>
          <w:rFonts w:hint="eastAsia" w:ascii="宋体" w:hAnsi="宋体" w:cs="宋体"/>
          <w:color w:val="auto"/>
          <w:szCs w:val="21"/>
        </w:rPr>
        <w:t>日历天</w:t>
      </w:r>
      <w:r>
        <w:rPr>
          <w:rFonts w:hint="eastAsia" w:ascii="宋体" w:hAnsi="宋体" w:eastAsia="宋体" w:cs="宋体"/>
          <w:color w:val="auto"/>
          <w:szCs w:val="21"/>
        </w:rPr>
        <w:t>）</w:t>
      </w:r>
    </w:p>
    <w:p>
      <w:pPr>
        <w:pStyle w:val="22"/>
        <w:spacing w:after="0" w:line="340" w:lineRule="exact"/>
        <w:ind w:firstLineChars="200"/>
        <w:rPr>
          <w:rFonts w:ascii="宋体" w:hAnsi="宋体" w:eastAsia="宋体" w:cs="宋体"/>
          <w:color w:val="auto"/>
          <w:szCs w:val="21"/>
          <w:highlight w:val="yellow"/>
        </w:rPr>
      </w:pPr>
      <w:r>
        <w:rPr>
          <w:rFonts w:hint="eastAsia" w:ascii="宋体" w:hAnsi="宋体" w:eastAsia="宋体" w:cs="宋体"/>
          <w:color w:val="auto"/>
          <w:szCs w:val="21"/>
        </w:rPr>
        <w:t>2、质量要求：合格。</w:t>
      </w:r>
    </w:p>
    <w:p>
      <w:pPr>
        <w:pStyle w:val="22"/>
        <w:snapToGrid w:val="0"/>
        <w:spacing w:after="0" w:line="400" w:lineRule="exact"/>
        <w:ind w:firstLineChars="200"/>
        <w:rPr>
          <w:rFonts w:ascii="宋体" w:hAnsi="宋体" w:eastAsia="宋体" w:cs="宋体"/>
          <w:color w:val="auto"/>
          <w:szCs w:val="21"/>
        </w:rPr>
      </w:pPr>
      <w:r>
        <w:rPr>
          <w:rFonts w:hint="eastAsia" w:ascii="宋体" w:hAnsi="宋体" w:cs="宋体"/>
          <w:color w:val="auto"/>
          <w:szCs w:val="21"/>
        </w:rPr>
        <w:t>3</w:t>
      </w:r>
      <w:r>
        <w:rPr>
          <w:rFonts w:hint="eastAsia" w:ascii="宋体" w:hAnsi="宋体" w:eastAsia="宋体" w:cs="宋体"/>
          <w:color w:val="auto"/>
          <w:szCs w:val="21"/>
        </w:rPr>
        <w:t>、履约保证金</w:t>
      </w:r>
    </w:p>
    <w:p>
      <w:pPr>
        <w:snapToGrid w:val="0"/>
        <w:spacing w:line="400" w:lineRule="exact"/>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cs="宋体"/>
          <w:color w:val="auto"/>
          <w:sz w:val="21"/>
          <w:szCs w:val="21"/>
        </w:rPr>
        <w:t>成交供应商向采购人提供履约担保，担保方式为：</w:t>
      </w:r>
      <w:r>
        <w:rPr>
          <w:rFonts w:ascii="宋体" w:hAnsi="宋体" w:cs="宋体"/>
          <w:color w:val="auto"/>
          <w:sz w:val="21"/>
          <w:szCs w:val="21"/>
          <w:u w:val="single"/>
        </w:rPr>
        <w:t xml:space="preserve"> </w:t>
      </w:r>
      <w:r>
        <w:rPr>
          <w:rFonts w:hint="eastAsia" w:ascii="宋体" w:hAnsi="宋体" w:cs="宋体"/>
          <w:color w:val="auto"/>
          <w:sz w:val="21"/>
          <w:szCs w:val="21"/>
          <w:u w:val="single"/>
        </w:rPr>
        <w:t>现金、转账、及采购人认可的包含形式（如银行保函、保险机构保证保险保单和融资担保公司保函）</w:t>
      </w:r>
      <w:r>
        <w:rPr>
          <w:rFonts w:ascii="宋体" w:hAnsi="宋体" w:cs="宋体"/>
          <w:color w:val="auto"/>
          <w:sz w:val="21"/>
          <w:szCs w:val="21"/>
          <w:u w:val="single"/>
        </w:rPr>
        <w:t xml:space="preserve"> </w:t>
      </w:r>
      <w:r>
        <w:rPr>
          <w:rFonts w:hint="eastAsia" w:ascii="宋体" w:hAnsi="宋体" w:cs="宋体"/>
          <w:color w:val="auto"/>
          <w:sz w:val="21"/>
          <w:szCs w:val="21"/>
        </w:rPr>
        <w:t>，担保合同作为合同附件。担保额度：合同价的</w:t>
      </w:r>
      <w:r>
        <w:rPr>
          <w:rFonts w:ascii="宋体" w:hAnsi="宋体" w:cs="宋体"/>
          <w:color w:val="auto"/>
          <w:sz w:val="21"/>
          <w:szCs w:val="21"/>
        </w:rPr>
        <w:t>2%</w:t>
      </w:r>
      <w:r>
        <w:rPr>
          <w:rFonts w:hint="eastAsia" w:ascii="宋体" w:hAnsi="宋体" w:cs="宋体"/>
          <w:color w:val="auto"/>
          <w:sz w:val="21"/>
          <w:szCs w:val="21"/>
        </w:rPr>
        <w:t>。成交供应商在合同协议签订后</w:t>
      </w:r>
      <w:r>
        <w:rPr>
          <w:rFonts w:ascii="宋体" w:hAnsi="宋体" w:cs="宋体"/>
          <w:color w:val="auto"/>
          <w:sz w:val="21"/>
          <w:szCs w:val="21"/>
        </w:rPr>
        <w:t>7</w:t>
      </w:r>
      <w:r>
        <w:rPr>
          <w:rFonts w:hint="eastAsia" w:ascii="宋体" w:hAnsi="宋体" w:cs="宋体"/>
          <w:color w:val="auto"/>
          <w:sz w:val="21"/>
          <w:szCs w:val="21"/>
        </w:rPr>
        <w:t>天内，应按合同规定向采购人提交履约保证金。</w:t>
      </w:r>
    </w:p>
    <w:p>
      <w:pPr>
        <w:snapToGrid w:val="0"/>
        <w:spacing w:line="400" w:lineRule="exact"/>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（2）</w:t>
      </w:r>
      <w:r>
        <w:rPr>
          <w:rFonts w:hint="eastAsia" w:ascii="宋体" w:hAnsi="宋体" w:eastAsia="宋体" w:cs="宋体"/>
          <w:color w:val="auto"/>
          <w:kern w:val="0"/>
          <w:sz w:val="21"/>
          <w:szCs w:val="21"/>
          <w:lang w:val="zh-CN"/>
        </w:rPr>
        <w:t>工程竣工验收合格后</w:t>
      </w:r>
      <w:r>
        <w:rPr>
          <w:rFonts w:hint="eastAsia" w:ascii="宋体" w:hAnsi="宋体" w:cs="宋体"/>
          <w:color w:val="auto"/>
          <w:sz w:val="21"/>
          <w:szCs w:val="21"/>
        </w:rPr>
        <w:t>10日内</w:t>
      </w:r>
      <w:r>
        <w:rPr>
          <w:rFonts w:hint="eastAsia" w:ascii="宋体" w:hAnsi="宋体" w:eastAsia="宋体" w:cs="宋体"/>
          <w:color w:val="auto"/>
          <w:kern w:val="0"/>
          <w:sz w:val="21"/>
          <w:szCs w:val="21"/>
          <w:lang w:val="zh-CN"/>
        </w:rPr>
        <w:t>无息退还。</w:t>
      </w:r>
      <w:r>
        <w:rPr>
          <w:rFonts w:hint="eastAsia" w:ascii="宋体" w:hAnsi="宋体" w:eastAsia="宋体" w:cs="宋体"/>
          <w:color w:val="auto"/>
          <w:sz w:val="21"/>
          <w:szCs w:val="21"/>
        </w:rPr>
        <w:t>如成交供应商原因造成合同中止，履约担保金不返还；如成交供应商不能按承诺和合同要求履约，采购人将有权扣除相应甚至全部履约保证金。</w:t>
      </w:r>
    </w:p>
    <w:p>
      <w:pPr>
        <w:pStyle w:val="22"/>
        <w:snapToGrid w:val="0"/>
        <w:spacing w:after="0" w:line="400" w:lineRule="exact"/>
        <w:ind w:firstLineChars="200"/>
        <w:rPr>
          <w:rFonts w:ascii="宋体" w:hAnsi="宋体" w:eastAsia="宋体" w:cs="宋体"/>
          <w:color w:val="auto"/>
          <w:szCs w:val="21"/>
        </w:rPr>
      </w:pPr>
      <w:r>
        <w:rPr>
          <w:rFonts w:hint="eastAsia" w:ascii="宋体" w:hAnsi="宋体" w:cs="宋体"/>
          <w:color w:val="auto"/>
          <w:szCs w:val="21"/>
        </w:rPr>
        <w:t>4</w:t>
      </w:r>
      <w:r>
        <w:rPr>
          <w:rFonts w:hint="eastAsia" w:ascii="宋体" w:hAnsi="宋体" w:eastAsia="宋体" w:cs="宋体"/>
          <w:color w:val="auto"/>
          <w:szCs w:val="21"/>
        </w:rPr>
        <w:t>、保修要求</w:t>
      </w:r>
    </w:p>
    <w:p>
      <w:pPr>
        <w:snapToGrid w:val="0"/>
        <w:spacing w:line="400" w:lineRule="exact"/>
        <w:ind w:firstLine="420" w:firstLineChars="200"/>
        <w:rPr>
          <w:rFonts w:ascii="宋体" w:eastAsia="宋体" w:cs="宋体"/>
          <w:color w:val="auto"/>
          <w:sz w:val="21"/>
          <w:szCs w:val="21"/>
        </w:rPr>
      </w:pPr>
      <w:r>
        <w:rPr>
          <w:rFonts w:hint="eastAsia" w:ascii="宋体" w:hAnsi="宋体" w:cs="宋体"/>
          <w:color w:val="auto"/>
          <w:sz w:val="21"/>
          <w:szCs w:val="21"/>
        </w:rPr>
        <w:t>（</w:t>
      </w:r>
      <w:r>
        <w:rPr>
          <w:rFonts w:ascii="宋体" w:hAnsi="宋体" w:cs="宋体"/>
          <w:color w:val="auto"/>
          <w:sz w:val="21"/>
          <w:szCs w:val="21"/>
        </w:rPr>
        <w:t>1</w:t>
      </w:r>
      <w:r>
        <w:rPr>
          <w:rFonts w:hint="eastAsia" w:ascii="宋体" w:hAnsi="宋体" w:cs="宋体"/>
          <w:color w:val="auto"/>
          <w:sz w:val="21"/>
          <w:szCs w:val="21"/>
        </w:rPr>
        <w:t>）本工程缺陷责任期（工程质量保修期）为</w:t>
      </w:r>
      <w:r>
        <w:rPr>
          <w:rFonts w:ascii="宋体" w:hAnsi="宋体" w:cs="宋体"/>
          <w:color w:val="auto"/>
          <w:sz w:val="21"/>
          <w:szCs w:val="21"/>
          <w:u w:val="single"/>
        </w:rPr>
        <w:t xml:space="preserve">  </w:t>
      </w:r>
      <w:r>
        <w:rPr>
          <w:rFonts w:hint="eastAsia" w:ascii="宋体" w:hAnsi="宋体" w:eastAsia="宋体" w:cs="宋体"/>
          <w:color w:val="auto"/>
          <w:sz w:val="21"/>
          <w:szCs w:val="21"/>
          <w:u w:val="single"/>
        </w:rPr>
        <w:t>2</w:t>
      </w:r>
      <w:r>
        <w:rPr>
          <w:rFonts w:ascii="宋体" w:hAnsi="宋体" w:cs="宋体"/>
          <w:color w:val="auto"/>
          <w:sz w:val="21"/>
          <w:szCs w:val="21"/>
          <w:u w:val="single"/>
        </w:rPr>
        <w:t xml:space="preserve">  </w:t>
      </w:r>
      <w:r>
        <w:rPr>
          <w:rFonts w:hint="eastAsia" w:ascii="宋体" w:hAnsi="宋体" w:cs="宋体"/>
          <w:color w:val="auto"/>
          <w:sz w:val="21"/>
          <w:szCs w:val="21"/>
        </w:rPr>
        <w:t>年。</w:t>
      </w:r>
      <w:r>
        <w:rPr>
          <w:rFonts w:hint="eastAsia" w:ascii="宋体" w:hAnsi="宋体" w:eastAsia="宋体" w:cs="宋体"/>
          <w:color w:val="auto"/>
          <w:sz w:val="21"/>
          <w:szCs w:val="21"/>
        </w:rPr>
        <w:t>其中设备质量保修期为</w:t>
      </w:r>
      <w:r>
        <w:rPr>
          <w:rFonts w:hint="eastAsia" w:ascii="宋体" w:hAnsi="宋体" w:eastAsia="宋体" w:cs="宋体"/>
          <w:color w:val="auto"/>
          <w:sz w:val="21"/>
          <w:szCs w:val="21"/>
          <w:u w:val="single"/>
        </w:rPr>
        <w:t xml:space="preserve">  5  </w:t>
      </w:r>
      <w:r>
        <w:rPr>
          <w:rFonts w:hint="eastAsia" w:ascii="宋体" w:hAnsi="宋体" w:eastAsia="宋体" w:cs="宋体"/>
          <w:color w:val="auto"/>
          <w:sz w:val="21"/>
          <w:szCs w:val="21"/>
        </w:rPr>
        <w:t>年。</w:t>
      </w:r>
    </w:p>
    <w:p>
      <w:pPr>
        <w:snapToGrid w:val="0"/>
        <w:spacing w:line="400" w:lineRule="exact"/>
        <w:ind w:firstLine="420" w:firstLineChars="200"/>
        <w:rPr>
          <w:rFonts w:ascii="宋体" w:cs="宋体"/>
          <w:color w:val="auto"/>
          <w:sz w:val="21"/>
          <w:szCs w:val="21"/>
        </w:rPr>
      </w:pPr>
      <w:r>
        <w:rPr>
          <w:rFonts w:hint="eastAsia" w:ascii="宋体" w:hAnsi="宋体" w:cs="宋体"/>
          <w:color w:val="auto"/>
          <w:sz w:val="21"/>
          <w:szCs w:val="21"/>
        </w:rPr>
        <w:t>（</w:t>
      </w:r>
      <w:r>
        <w:rPr>
          <w:rFonts w:ascii="宋体" w:hAnsi="宋体" w:cs="宋体"/>
          <w:color w:val="auto"/>
          <w:sz w:val="21"/>
          <w:szCs w:val="21"/>
        </w:rPr>
        <w:t>2</w:t>
      </w:r>
      <w:r>
        <w:rPr>
          <w:rFonts w:hint="eastAsia" w:ascii="宋体" w:hAnsi="宋体" w:cs="宋体"/>
          <w:color w:val="auto"/>
          <w:sz w:val="21"/>
          <w:szCs w:val="21"/>
        </w:rPr>
        <w:t>）成交供应商在质量保修期内，按照有关法律、法规、规章的管理规定和双方约定，承担本工程质量保修责任。</w:t>
      </w:r>
    </w:p>
    <w:p>
      <w:pPr>
        <w:pStyle w:val="22"/>
        <w:snapToGrid w:val="0"/>
        <w:spacing w:after="0" w:line="400" w:lineRule="exact"/>
        <w:ind w:firstLineChars="200"/>
        <w:rPr>
          <w:rFonts w:ascii="宋体" w:hAnsi="宋体" w:eastAsia="宋体" w:cs="宋体"/>
          <w:bCs/>
          <w:color w:val="auto"/>
          <w:szCs w:val="21"/>
        </w:rPr>
      </w:pPr>
      <w:r>
        <w:rPr>
          <w:rFonts w:hint="eastAsia" w:ascii="宋体" w:hAnsi="宋体" w:cs="宋体"/>
          <w:bCs/>
          <w:color w:val="auto"/>
          <w:szCs w:val="21"/>
        </w:rPr>
        <w:t>（</w:t>
      </w:r>
      <w:r>
        <w:rPr>
          <w:rFonts w:ascii="宋体" w:hAnsi="宋体" w:cs="宋体"/>
          <w:bCs/>
          <w:color w:val="auto"/>
          <w:szCs w:val="21"/>
        </w:rPr>
        <w:t>3</w:t>
      </w:r>
      <w:r>
        <w:rPr>
          <w:rFonts w:hint="eastAsia" w:ascii="宋体" w:hAnsi="宋体" w:cs="宋体"/>
          <w:bCs/>
          <w:color w:val="auto"/>
          <w:szCs w:val="21"/>
        </w:rPr>
        <w:t>）成交供应商要对其所提供的施工、材料、设备及其内在工程质量负全部责任。</w:t>
      </w:r>
    </w:p>
    <w:p>
      <w:pPr>
        <w:pStyle w:val="22"/>
        <w:snapToGrid w:val="0"/>
        <w:spacing w:after="0" w:line="400" w:lineRule="exact"/>
        <w:ind w:firstLineChars="200"/>
        <w:rPr>
          <w:b/>
          <w:color w:val="auto"/>
          <w:sz w:val="32"/>
          <w:szCs w:val="32"/>
        </w:rPr>
      </w:pPr>
      <w:r>
        <w:rPr>
          <w:rFonts w:hint="eastAsia" w:ascii="宋体" w:hAnsi="宋体" w:cs="宋体"/>
          <w:color w:val="auto"/>
          <w:szCs w:val="21"/>
        </w:rPr>
        <w:t>5</w:t>
      </w:r>
      <w:r>
        <w:rPr>
          <w:rFonts w:hint="eastAsia" w:ascii="宋体" w:hAnsi="宋体" w:eastAsia="宋体" w:cs="宋体"/>
          <w:color w:val="auto"/>
          <w:szCs w:val="21"/>
        </w:rPr>
        <w:t>、付款方式：</w:t>
      </w:r>
      <w:r>
        <w:rPr>
          <w:rFonts w:hint="eastAsia" w:ascii="宋体" w:hAnsi="宋体" w:cs="宋体"/>
          <w:color w:val="auto"/>
          <w:szCs w:val="21"/>
        </w:rPr>
        <w:t>合同签订</w:t>
      </w:r>
      <w:r>
        <w:rPr>
          <w:rFonts w:hint="eastAsia" w:ascii="宋体" w:hAnsi="宋体" w:eastAsia="宋体" w:cs="宋体"/>
          <w:color w:val="auto"/>
          <w:szCs w:val="21"/>
        </w:rPr>
        <w:t>后</w:t>
      </w:r>
      <w:r>
        <w:rPr>
          <w:rFonts w:hint="eastAsia" w:ascii="宋体" w:hAnsi="宋体" w:cs="宋体"/>
          <w:color w:val="auto"/>
          <w:szCs w:val="21"/>
        </w:rPr>
        <w:t>承包人施工队伍主要管理人员</w:t>
      </w:r>
      <w:r>
        <w:rPr>
          <w:rFonts w:hint="eastAsia" w:ascii="宋体" w:hAnsi="宋体" w:eastAsia="宋体" w:cs="宋体"/>
          <w:color w:val="auto"/>
          <w:szCs w:val="21"/>
        </w:rPr>
        <w:t>、</w:t>
      </w:r>
      <w:r>
        <w:rPr>
          <w:rFonts w:hint="eastAsia" w:ascii="宋体" w:hAnsi="宋体" w:cs="宋体"/>
          <w:color w:val="auto"/>
          <w:szCs w:val="21"/>
        </w:rPr>
        <w:t>主要施工机械进场后7天内，支付合同总价的</w:t>
      </w:r>
      <w:r>
        <w:rPr>
          <w:rFonts w:hint="eastAsia" w:ascii="宋体" w:hAnsi="宋体" w:eastAsia="宋体" w:cs="宋体"/>
          <w:color w:val="auto"/>
          <w:szCs w:val="21"/>
        </w:rPr>
        <w:t>2</w:t>
      </w:r>
      <w:r>
        <w:rPr>
          <w:rFonts w:hint="eastAsia" w:ascii="宋体" w:hAnsi="宋体" w:cs="宋体"/>
          <w:color w:val="auto"/>
          <w:szCs w:val="21"/>
        </w:rPr>
        <w:t>0%，作为工程预付款。待工程完工并验收</w:t>
      </w:r>
      <w:r>
        <w:rPr>
          <w:rFonts w:hint="eastAsia" w:ascii="宋体" w:hAnsi="宋体" w:cs="宋体"/>
          <w:color w:val="auto"/>
          <w:kern w:val="0"/>
          <w:szCs w:val="21"/>
        </w:rPr>
        <w:t>合格后，付至合同总额的</w:t>
      </w:r>
      <w:r>
        <w:rPr>
          <w:rFonts w:hint="eastAsia" w:ascii="宋体" w:hAnsi="宋体" w:eastAsia="宋体" w:cs="宋体"/>
          <w:color w:val="auto"/>
          <w:kern w:val="0"/>
          <w:szCs w:val="21"/>
        </w:rPr>
        <w:t>50</w:t>
      </w:r>
      <w:r>
        <w:rPr>
          <w:rFonts w:hint="eastAsia" w:ascii="宋体" w:hAnsi="宋体" w:cs="宋体"/>
          <w:color w:val="auto"/>
          <w:kern w:val="0"/>
          <w:szCs w:val="21"/>
        </w:rPr>
        <w:t>%</w:t>
      </w:r>
      <w:r>
        <w:rPr>
          <w:rFonts w:hint="eastAsia" w:ascii="宋体" w:hAnsi="宋体" w:eastAsia="宋体" w:cs="宋体"/>
          <w:color w:val="auto"/>
          <w:kern w:val="0"/>
          <w:szCs w:val="21"/>
        </w:rPr>
        <w:t>（包括预付款）</w:t>
      </w:r>
      <w:r>
        <w:rPr>
          <w:rFonts w:hint="eastAsia" w:ascii="宋体" w:hAnsi="宋体" w:cs="宋体"/>
          <w:color w:val="auto"/>
          <w:kern w:val="0"/>
          <w:szCs w:val="21"/>
        </w:rPr>
        <w:t>；</w:t>
      </w:r>
      <w:r>
        <w:rPr>
          <w:rFonts w:hint="eastAsia" w:ascii="宋体" w:hAnsi="宋体" w:eastAsia="宋体" w:cs="宋体"/>
          <w:color w:val="auto"/>
          <w:kern w:val="0"/>
          <w:szCs w:val="21"/>
        </w:rPr>
        <w:t>设备运行3个月后并经第三方检测合格后，</w:t>
      </w:r>
      <w:r>
        <w:rPr>
          <w:rFonts w:hint="eastAsia" w:ascii="宋体" w:hAnsi="宋体" w:cs="宋体"/>
          <w:color w:val="auto"/>
          <w:kern w:val="0"/>
          <w:szCs w:val="21"/>
        </w:rPr>
        <w:t>付至合同总额的</w:t>
      </w:r>
      <w:r>
        <w:rPr>
          <w:rFonts w:hint="eastAsia" w:ascii="宋体" w:hAnsi="宋体" w:eastAsia="宋体" w:cs="宋体"/>
          <w:color w:val="auto"/>
          <w:kern w:val="0"/>
          <w:szCs w:val="21"/>
        </w:rPr>
        <w:t>85</w:t>
      </w:r>
      <w:r>
        <w:rPr>
          <w:rFonts w:hint="eastAsia" w:ascii="宋体" w:hAnsi="宋体" w:cs="宋体"/>
          <w:color w:val="auto"/>
          <w:kern w:val="0"/>
          <w:szCs w:val="21"/>
        </w:rPr>
        <w:t>%</w:t>
      </w:r>
      <w:r>
        <w:rPr>
          <w:rFonts w:hint="eastAsia" w:ascii="宋体" w:hAnsi="宋体" w:eastAsia="宋体" w:cs="宋体"/>
          <w:color w:val="auto"/>
          <w:kern w:val="0"/>
          <w:szCs w:val="21"/>
        </w:rPr>
        <w:t>（包括预付款）；</w:t>
      </w:r>
      <w:r>
        <w:rPr>
          <w:rFonts w:hint="eastAsia" w:ascii="宋体" w:hAnsi="宋体" w:cs="宋体"/>
          <w:color w:val="auto"/>
          <w:kern w:val="0"/>
          <w:szCs w:val="21"/>
        </w:rPr>
        <w:t>结算经有资质的造价机构审定并出具审计报告后，付至审计价款的98.5%，</w:t>
      </w:r>
      <w:r>
        <w:rPr>
          <w:rFonts w:hint="eastAsia" w:ascii="宋体" w:hAnsi="宋体" w:eastAsia="宋体" w:cs="宋体"/>
          <w:color w:val="auto"/>
          <w:szCs w:val="21"/>
        </w:rPr>
        <w:t>剩余1.5％（不计息）在缺陷责任期满后工程无质量问题、成交供应商无违约行为的情况下（2年后付0.5%,5年后付剩余的1%）15日内付清。其余按合同通用条款。承包人收取每期工程款时应开具正式发票。承包人应在每个付款周期末，向监理人提交进度付款申请单，并附相应的支持性证明文件。</w:t>
      </w:r>
    </w:p>
    <w:p>
      <w:pPr>
        <w:keepNext/>
        <w:keepLines/>
        <w:spacing w:line="360" w:lineRule="auto"/>
        <w:outlineLvl w:val="2"/>
        <w:rPr>
          <w:rFonts w:ascii="Times New Roman" w:hAnsi="Times New Roman" w:eastAsia="黑体" w:cs="Arial"/>
          <w:b/>
          <w:bCs/>
          <w:color w:val="auto"/>
          <w:sz w:val="24"/>
          <w:szCs w:val="21"/>
        </w:rPr>
      </w:pPr>
      <w:r>
        <w:rPr>
          <w:rFonts w:hint="eastAsia" w:ascii="Times New Roman" w:hAnsi="Times New Roman" w:eastAsia="宋体" w:cs="Arial"/>
          <w:b/>
          <w:bCs/>
          <w:color w:val="auto"/>
          <w:sz w:val="24"/>
          <w:szCs w:val="21"/>
        </w:rPr>
        <w:t>附件：</w:t>
      </w:r>
      <w:r>
        <w:rPr>
          <w:rFonts w:ascii="Times New Roman" w:hAnsi="Times New Roman" w:eastAsia="宋体" w:cs="Arial"/>
          <w:b/>
          <w:bCs/>
          <w:color w:val="auto"/>
          <w:sz w:val="24"/>
          <w:szCs w:val="21"/>
        </w:rPr>
        <w:t>主要设备材料备选品牌一览表</w:t>
      </w:r>
    </w:p>
    <w:tbl>
      <w:tblPr>
        <w:tblStyle w:val="25"/>
        <w:tblW w:w="8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3"/>
        <w:gridCol w:w="2688"/>
        <w:gridCol w:w="4090"/>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tcPr>
          <w:p>
            <w:pPr>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2688" w:type="dxa"/>
          </w:tcPr>
          <w:p>
            <w:pPr>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设备或材料名称</w:t>
            </w:r>
          </w:p>
        </w:tc>
        <w:tc>
          <w:tcPr>
            <w:tcW w:w="4090" w:type="dxa"/>
          </w:tcPr>
          <w:p>
            <w:pPr>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备选品牌或厂家</w:t>
            </w:r>
          </w:p>
        </w:tc>
        <w:tc>
          <w:tcPr>
            <w:tcW w:w="1417" w:type="dxa"/>
          </w:tcPr>
          <w:p>
            <w:pPr>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c>
          <w:tcPr>
            <w:tcW w:w="2688"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塑料管</w:t>
            </w:r>
          </w:p>
        </w:tc>
        <w:tc>
          <w:tcPr>
            <w:tcW w:w="4090"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伟星、中财、联塑</w:t>
            </w:r>
          </w:p>
        </w:tc>
        <w:tc>
          <w:tcPr>
            <w:tcW w:w="1417"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w:t>
            </w:r>
          </w:p>
        </w:tc>
        <w:tc>
          <w:tcPr>
            <w:tcW w:w="2688"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淋浴器</w:t>
            </w:r>
          </w:p>
        </w:tc>
        <w:tc>
          <w:tcPr>
            <w:tcW w:w="4090"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恒洁、九牧、箭牌</w:t>
            </w:r>
          </w:p>
        </w:tc>
        <w:tc>
          <w:tcPr>
            <w:tcW w:w="1417"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w:t>
            </w:r>
          </w:p>
        </w:tc>
        <w:tc>
          <w:tcPr>
            <w:tcW w:w="2688"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洗脸盆</w:t>
            </w:r>
          </w:p>
        </w:tc>
        <w:tc>
          <w:tcPr>
            <w:tcW w:w="4090"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恒洁、九牧、箭牌</w:t>
            </w:r>
          </w:p>
        </w:tc>
        <w:tc>
          <w:tcPr>
            <w:tcW w:w="1417"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w:t>
            </w:r>
          </w:p>
        </w:tc>
        <w:tc>
          <w:tcPr>
            <w:tcW w:w="2688"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给、排水附(配)件</w:t>
            </w:r>
          </w:p>
        </w:tc>
        <w:tc>
          <w:tcPr>
            <w:tcW w:w="4090"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潜水艇、九牧、箭牌</w:t>
            </w:r>
          </w:p>
        </w:tc>
        <w:tc>
          <w:tcPr>
            <w:tcW w:w="1417"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w:t>
            </w:r>
          </w:p>
        </w:tc>
        <w:tc>
          <w:tcPr>
            <w:tcW w:w="2688"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小便器</w:t>
            </w:r>
          </w:p>
        </w:tc>
        <w:tc>
          <w:tcPr>
            <w:tcW w:w="4090"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恒洁、九牧、箭牌</w:t>
            </w:r>
          </w:p>
        </w:tc>
        <w:tc>
          <w:tcPr>
            <w:tcW w:w="1417"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w:t>
            </w:r>
          </w:p>
        </w:tc>
        <w:tc>
          <w:tcPr>
            <w:tcW w:w="2688"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大便器</w:t>
            </w:r>
          </w:p>
        </w:tc>
        <w:tc>
          <w:tcPr>
            <w:tcW w:w="4090"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恒洁、九牧、箭牌</w:t>
            </w:r>
          </w:p>
        </w:tc>
        <w:tc>
          <w:tcPr>
            <w:tcW w:w="1417"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7</w:t>
            </w:r>
          </w:p>
        </w:tc>
        <w:tc>
          <w:tcPr>
            <w:tcW w:w="2688"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镀锌钢管</w:t>
            </w:r>
          </w:p>
        </w:tc>
        <w:tc>
          <w:tcPr>
            <w:tcW w:w="4090"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宝钢、马钢、首钢</w:t>
            </w:r>
          </w:p>
        </w:tc>
        <w:tc>
          <w:tcPr>
            <w:tcW w:w="1417"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8</w:t>
            </w:r>
          </w:p>
        </w:tc>
        <w:tc>
          <w:tcPr>
            <w:tcW w:w="2688"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焊接法兰阀门</w:t>
            </w:r>
          </w:p>
        </w:tc>
        <w:tc>
          <w:tcPr>
            <w:tcW w:w="4090"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埃美柯、沪工、邦富</w:t>
            </w:r>
          </w:p>
        </w:tc>
        <w:tc>
          <w:tcPr>
            <w:tcW w:w="1417"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9</w:t>
            </w:r>
          </w:p>
        </w:tc>
        <w:tc>
          <w:tcPr>
            <w:tcW w:w="2688"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除污器(过滤器）</w:t>
            </w:r>
          </w:p>
        </w:tc>
        <w:tc>
          <w:tcPr>
            <w:tcW w:w="4090"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埃美柯、沪工、邦富</w:t>
            </w:r>
          </w:p>
        </w:tc>
        <w:tc>
          <w:tcPr>
            <w:tcW w:w="1417"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10</w:t>
            </w:r>
          </w:p>
        </w:tc>
        <w:tc>
          <w:tcPr>
            <w:tcW w:w="2688"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软接头（软管）</w:t>
            </w:r>
          </w:p>
        </w:tc>
        <w:tc>
          <w:tcPr>
            <w:tcW w:w="4090"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埃美柯、沪工、邦富</w:t>
            </w:r>
          </w:p>
        </w:tc>
        <w:tc>
          <w:tcPr>
            <w:tcW w:w="1417"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11</w:t>
            </w:r>
          </w:p>
        </w:tc>
        <w:tc>
          <w:tcPr>
            <w:tcW w:w="2688"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管道绝热</w:t>
            </w:r>
          </w:p>
        </w:tc>
        <w:tc>
          <w:tcPr>
            <w:tcW w:w="4090"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华美、杜肯、赢胜</w:t>
            </w:r>
          </w:p>
        </w:tc>
        <w:tc>
          <w:tcPr>
            <w:tcW w:w="1417"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12</w:t>
            </w:r>
          </w:p>
        </w:tc>
        <w:tc>
          <w:tcPr>
            <w:tcW w:w="2688"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配电箱</w:t>
            </w:r>
          </w:p>
        </w:tc>
        <w:tc>
          <w:tcPr>
            <w:tcW w:w="4090"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施耐德、ABB、西门子</w:t>
            </w:r>
          </w:p>
        </w:tc>
        <w:tc>
          <w:tcPr>
            <w:tcW w:w="1417"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13</w:t>
            </w:r>
          </w:p>
        </w:tc>
        <w:tc>
          <w:tcPr>
            <w:tcW w:w="2688"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原配电新增断路器</w:t>
            </w:r>
          </w:p>
        </w:tc>
        <w:tc>
          <w:tcPr>
            <w:tcW w:w="4090"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施耐德、ABB、西门子</w:t>
            </w:r>
          </w:p>
        </w:tc>
        <w:tc>
          <w:tcPr>
            <w:tcW w:w="1417"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14</w:t>
            </w:r>
          </w:p>
        </w:tc>
        <w:tc>
          <w:tcPr>
            <w:tcW w:w="2688"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配线</w:t>
            </w:r>
          </w:p>
        </w:tc>
        <w:tc>
          <w:tcPr>
            <w:tcW w:w="4090"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sz w:val="21"/>
                <w:szCs w:val="21"/>
                <w:highlight w:val="none"/>
              </w:rPr>
              <w:t>江南、远东、东旭</w:t>
            </w:r>
          </w:p>
        </w:tc>
        <w:tc>
          <w:tcPr>
            <w:tcW w:w="1417"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15</w:t>
            </w:r>
          </w:p>
        </w:tc>
        <w:tc>
          <w:tcPr>
            <w:tcW w:w="2688"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插座</w:t>
            </w:r>
          </w:p>
        </w:tc>
        <w:tc>
          <w:tcPr>
            <w:tcW w:w="4090"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西门子、罗格朗、施耐德</w:t>
            </w:r>
          </w:p>
        </w:tc>
        <w:tc>
          <w:tcPr>
            <w:tcW w:w="1417"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16</w:t>
            </w:r>
          </w:p>
        </w:tc>
        <w:tc>
          <w:tcPr>
            <w:tcW w:w="2688"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荧光灯</w:t>
            </w:r>
          </w:p>
        </w:tc>
        <w:tc>
          <w:tcPr>
            <w:tcW w:w="4090"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飞利浦、雷士、欧普</w:t>
            </w:r>
          </w:p>
        </w:tc>
        <w:tc>
          <w:tcPr>
            <w:tcW w:w="1417"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17</w:t>
            </w:r>
          </w:p>
        </w:tc>
        <w:tc>
          <w:tcPr>
            <w:tcW w:w="2688"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离心式通风机(排风系统)</w:t>
            </w:r>
          </w:p>
        </w:tc>
        <w:tc>
          <w:tcPr>
            <w:tcW w:w="4090"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东门、应达、亿利达、菲兰、荆翼、特锐德</w:t>
            </w:r>
          </w:p>
        </w:tc>
        <w:tc>
          <w:tcPr>
            <w:tcW w:w="1417"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18</w:t>
            </w:r>
          </w:p>
        </w:tc>
        <w:tc>
          <w:tcPr>
            <w:tcW w:w="2688"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塑料通风管道</w:t>
            </w:r>
          </w:p>
        </w:tc>
        <w:tc>
          <w:tcPr>
            <w:tcW w:w="4090"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鸿远、欧立德、远达</w:t>
            </w:r>
          </w:p>
        </w:tc>
        <w:tc>
          <w:tcPr>
            <w:tcW w:w="1417"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19</w:t>
            </w:r>
          </w:p>
        </w:tc>
        <w:tc>
          <w:tcPr>
            <w:tcW w:w="2688"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模块化活性炭废气处理系统</w:t>
            </w:r>
          </w:p>
        </w:tc>
        <w:tc>
          <w:tcPr>
            <w:tcW w:w="4090"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东门、和气、特福佳、菲兰、荆翼、特锐德</w:t>
            </w:r>
          </w:p>
        </w:tc>
        <w:tc>
          <w:tcPr>
            <w:tcW w:w="1417"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20</w:t>
            </w:r>
          </w:p>
        </w:tc>
        <w:tc>
          <w:tcPr>
            <w:tcW w:w="2688"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模拟变风量电动调节阀</w:t>
            </w:r>
          </w:p>
        </w:tc>
        <w:tc>
          <w:tcPr>
            <w:tcW w:w="4090"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伊特耐尔、金永利、盈达</w:t>
            </w:r>
          </w:p>
        </w:tc>
        <w:tc>
          <w:tcPr>
            <w:tcW w:w="1417"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21</w:t>
            </w:r>
          </w:p>
        </w:tc>
        <w:tc>
          <w:tcPr>
            <w:tcW w:w="2688"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全不锈钢立式废气导流装置</w:t>
            </w:r>
          </w:p>
        </w:tc>
        <w:tc>
          <w:tcPr>
            <w:tcW w:w="4090"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金井、玖月、中博锐、菲兰、荆翼、特锐德</w:t>
            </w:r>
          </w:p>
        </w:tc>
        <w:tc>
          <w:tcPr>
            <w:tcW w:w="1417"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22</w:t>
            </w:r>
          </w:p>
        </w:tc>
        <w:tc>
          <w:tcPr>
            <w:tcW w:w="2688"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全不锈钢吸顶式废气集风装置</w:t>
            </w:r>
          </w:p>
        </w:tc>
        <w:tc>
          <w:tcPr>
            <w:tcW w:w="4090"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金井、玖月、中博锐、菲兰、天之海、思之泉</w:t>
            </w:r>
          </w:p>
        </w:tc>
        <w:tc>
          <w:tcPr>
            <w:tcW w:w="1417"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23</w:t>
            </w:r>
          </w:p>
        </w:tc>
        <w:tc>
          <w:tcPr>
            <w:tcW w:w="2688"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全不锈钢孔式层流新风布气装置</w:t>
            </w:r>
          </w:p>
        </w:tc>
        <w:tc>
          <w:tcPr>
            <w:tcW w:w="4090"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金井、玖月、中博锐、菲兰、天之海、思之泉</w:t>
            </w:r>
          </w:p>
        </w:tc>
        <w:tc>
          <w:tcPr>
            <w:tcW w:w="1417"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24</w:t>
            </w:r>
          </w:p>
        </w:tc>
        <w:tc>
          <w:tcPr>
            <w:tcW w:w="2688"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离心式通风机（新风系统）</w:t>
            </w:r>
          </w:p>
        </w:tc>
        <w:tc>
          <w:tcPr>
            <w:tcW w:w="4090"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天加、欧科、国祥</w:t>
            </w:r>
          </w:p>
        </w:tc>
        <w:tc>
          <w:tcPr>
            <w:tcW w:w="1417"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25</w:t>
            </w:r>
          </w:p>
        </w:tc>
        <w:tc>
          <w:tcPr>
            <w:tcW w:w="2688"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通风管道绝热</w:t>
            </w:r>
          </w:p>
        </w:tc>
        <w:tc>
          <w:tcPr>
            <w:tcW w:w="4090"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华美、杜肯、赢胜</w:t>
            </w:r>
          </w:p>
        </w:tc>
        <w:tc>
          <w:tcPr>
            <w:tcW w:w="1417"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26</w:t>
            </w:r>
          </w:p>
        </w:tc>
        <w:tc>
          <w:tcPr>
            <w:tcW w:w="2688"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墙面喷刷涂料</w:t>
            </w:r>
          </w:p>
        </w:tc>
        <w:tc>
          <w:tcPr>
            <w:tcW w:w="4090"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立邦、多乐士、华润、三棵树</w:t>
            </w:r>
          </w:p>
        </w:tc>
        <w:tc>
          <w:tcPr>
            <w:tcW w:w="1417"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27</w:t>
            </w:r>
          </w:p>
        </w:tc>
        <w:tc>
          <w:tcPr>
            <w:tcW w:w="2688"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金属（塑钢）门</w:t>
            </w:r>
          </w:p>
        </w:tc>
        <w:tc>
          <w:tcPr>
            <w:tcW w:w="4090"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协多利、中电创达（艾净）、畅达</w:t>
            </w:r>
          </w:p>
        </w:tc>
        <w:tc>
          <w:tcPr>
            <w:tcW w:w="1417"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28</w:t>
            </w:r>
          </w:p>
        </w:tc>
        <w:tc>
          <w:tcPr>
            <w:tcW w:w="2688"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电动气密门</w:t>
            </w:r>
          </w:p>
        </w:tc>
        <w:tc>
          <w:tcPr>
            <w:tcW w:w="4090"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马斯德克、汤臣瑞、畅达</w:t>
            </w:r>
          </w:p>
        </w:tc>
        <w:tc>
          <w:tcPr>
            <w:tcW w:w="1417"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29</w:t>
            </w:r>
          </w:p>
        </w:tc>
        <w:tc>
          <w:tcPr>
            <w:tcW w:w="2688"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块料墙面</w:t>
            </w:r>
          </w:p>
        </w:tc>
        <w:tc>
          <w:tcPr>
            <w:tcW w:w="4090"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冠军、马可波罗、斯米克</w:t>
            </w:r>
          </w:p>
        </w:tc>
        <w:tc>
          <w:tcPr>
            <w:tcW w:w="1417"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30</w:t>
            </w:r>
          </w:p>
        </w:tc>
        <w:tc>
          <w:tcPr>
            <w:tcW w:w="2688"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块料楼地面</w:t>
            </w:r>
          </w:p>
        </w:tc>
        <w:tc>
          <w:tcPr>
            <w:tcW w:w="4090"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冠军、马可波罗、斯米克</w:t>
            </w:r>
          </w:p>
        </w:tc>
        <w:tc>
          <w:tcPr>
            <w:tcW w:w="1417"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31</w:t>
            </w:r>
          </w:p>
        </w:tc>
        <w:tc>
          <w:tcPr>
            <w:tcW w:w="2688"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吊顶天棚</w:t>
            </w:r>
          </w:p>
        </w:tc>
        <w:tc>
          <w:tcPr>
            <w:tcW w:w="4090"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sz w:val="21"/>
                <w:szCs w:val="21"/>
                <w:highlight w:val="none"/>
              </w:rPr>
              <w:t>建龙、法狮龙、友邦</w:t>
            </w:r>
          </w:p>
        </w:tc>
        <w:tc>
          <w:tcPr>
            <w:tcW w:w="1417"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32</w:t>
            </w:r>
          </w:p>
        </w:tc>
        <w:tc>
          <w:tcPr>
            <w:tcW w:w="2688"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取材记录台</w:t>
            </w:r>
          </w:p>
        </w:tc>
        <w:tc>
          <w:tcPr>
            <w:tcW w:w="4090"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金井、玖月、中博锐、菲兰、优派、泰尔</w:t>
            </w:r>
          </w:p>
        </w:tc>
        <w:tc>
          <w:tcPr>
            <w:tcW w:w="1417"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33</w:t>
            </w:r>
          </w:p>
        </w:tc>
        <w:tc>
          <w:tcPr>
            <w:tcW w:w="2688" w:type="dxa"/>
            <w:vAlign w:val="center"/>
          </w:tcPr>
          <w:p>
            <w:pPr>
              <w:widowControl/>
              <w:tabs>
                <w:tab w:val="left" w:pos="610"/>
              </w:tabs>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全钢病理操作台</w:t>
            </w:r>
          </w:p>
        </w:tc>
        <w:tc>
          <w:tcPr>
            <w:tcW w:w="4090"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金井、玖月、中博锐、菲兰、优派、泰尔</w:t>
            </w:r>
          </w:p>
        </w:tc>
        <w:tc>
          <w:tcPr>
            <w:tcW w:w="1417"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34</w:t>
            </w:r>
          </w:p>
        </w:tc>
        <w:tc>
          <w:tcPr>
            <w:tcW w:w="2688" w:type="dxa"/>
            <w:vAlign w:val="center"/>
          </w:tcPr>
          <w:p>
            <w:pPr>
              <w:widowControl/>
              <w:tabs>
                <w:tab w:val="left" w:pos="610"/>
              </w:tabs>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全不锈钢立式冲淋装置</w:t>
            </w:r>
          </w:p>
        </w:tc>
        <w:tc>
          <w:tcPr>
            <w:tcW w:w="4090"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科恩、博化、台雄</w:t>
            </w:r>
          </w:p>
        </w:tc>
        <w:tc>
          <w:tcPr>
            <w:tcW w:w="1417"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35</w:t>
            </w:r>
          </w:p>
        </w:tc>
        <w:tc>
          <w:tcPr>
            <w:tcW w:w="2688" w:type="dxa"/>
            <w:vAlign w:val="center"/>
          </w:tcPr>
          <w:p>
            <w:pPr>
              <w:widowControl/>
              <w:tabs>
                <w:tab w:val="left" w:pos="610"/>
              </w:tabs>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立式脱水机通风排毒柜</w:t>
            </w:r>
          </w:p>
        </w:tc>
        <w:tc>
          <w:tcPr>
            <w:tcW w:w="4090"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金井、玖月、中博锐、菲兰、优派、泰尔</w:t>
            </w:r>
          </w:p>
        </w:tc>
        <w:tc>
          <w:tcPr>
            <w:tcW w:w="1417"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36</w:t>
            </w:r>
          </w:p>
        </w:tc>
        <w:tc>
          <w:tcPr>
            <w:tcW w:w="2688" w:type="dxa"/>
            <w:vAlign w:val="center"/>
          </w:tcPr>
          <w:p>
            <w:pPr>
              <w:widowControl/>
              <w:tabs>
                <w:tab w:val="left" w:pos="610"/>
              </w:tabs>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大型染色封片一体机通风排毒柜</w:t>
            </w:r>
          </w:p>
        </w:tc>
        <w:tc>
          <w:tcPr>
            <w:tcW w:w="4090"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金井、玖月、中博锐、菲兰、优派、泰尔</w:t>
            </w:r>
          </w:p>
        </w:tc>
        <w:tc>
          <w:tcPr>
            <w:tcW w:w="1417"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37</w:t>
            </w:r>
          </w:p>
        </w:tc>
        <w:tc>
          <w:tcPr>
            <w:tcW w:w="2688" w:type="dxa"/>
            <w:vAlign w:val="center"/>
          </w:tcPr>
          <w:p>
            <w:pPr>
              <w:widowControl/>
              <w:tabs>
                <w:tab w:val="left" w:pos="610"/>
              </w:tabs>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手工染色通风排毒柜</w:t>
            </w:r>
          </w:p>
        </w:tc>
        <w:tc>
          <w:tcPr>
            <w:tcW w:w="4090"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金井、玖月、中博锐、菲兰、优派、泰尔</w:t>
            </w:r>
          </w:p>
        </w:tc>
        <w:tc>
          <w:tcPr>
            <w:tcW w:w="1417"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38</w:t>
            </w:r>
          </w:p>
        </w:tc>
        <w:tc>
          <w:tcPr>
            <w:tcW w:w="2688" w:type="dxa"/>
            <w:vAlign w:val="center"/>
          </w:tcPr>
          <w:p>
            <w:pPr>
              <w:widowControl/>
              <w:tabs>
                <w:tab w:val="left" w:pos="610"/>
              </w:tabs>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染色对片通风排毒柜</w:t>
            </w:r>
          </w:p>
        </w:tc>
        <w:tc>
          <w:tcPr>
            <w:tcW w:w="4090"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金井、玖月、中博锐、菲兰、优派、泰尔</w:t>
            </w:r>
          </w:p>
        </w:tc>
        <w:tc>
          <w:tcPr>
            <w:tcW w:w="1417"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39</w:t>
            </w:r>
          </w:p>
        </w:tc>
        <w:tc>
          <w:tcPr>
            <w:tcW w:w="2688" w:type="dxa"/>
            <w:vAlign w:val="center"/>
          </w:tcPr>
          <w:p>
            <w:pPr>
              <w:widowControl/>
              <w:tabs>
                <w:tab w:val="left" w:pos="610"/>
              </w:tabs>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烤箱通风排毒柜</w:t>
            </w:r>
          </w:p>
        </w:tc>
        <w:tc>
          <w:tcPr>
            <w:tcW w:w="4090"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金井、玖月、中博锐、菲兰、优派、泰尔</w:t>
            </w:r>
          </w:p>
        </w:tc>
        <w:tc>
          <w:tcPr>
            <w:tcW w:w="1417"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40</w:t>
            </w:r>
          </w:p>
        </w:tc>
        <w:tc>
          <w:tcPr>
            <w:tcW w:w="2688" w:type="dxa"/>
            <w:vAlign w:val="center"/>
          </w:tcPr>
          <w:p>
            <w:pPr>
              <w:widowControl/>
              <w:tabs>
                <w:tab w:val="left" w:pos="610"/>
              </w:tabs>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包埋机通风排毒柜</w:t>
            </w:r>
          </w:p>
        </w:tc>
        <w:tc>
          <w:tcPr>
            <w:tcW w:w="4090"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金井、玖月、中博锐、菲兰、优派、泰尔</w:t>
            </w:r>
          </w:p>
        </w:tc>
        <w:tc>
          <w:tcPr>
            <w:tcW w:w="1417"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41</w:t>
            </w:r>
          </w:p>
        </w:tc>
        <w:tc>
          <w:tcPr>
            <w:tcW w:w="2688" w:type="dxa"/>
            <w:vAlign w:val="center"/>
          </w:tcPr>
          <w:p>
            <w:pPr>
              <w:widowControl/>
              <w:tabs>
                <w:tab w:val="left" w:pos="610"/>
              </w:tabs>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全钢防震切片台</w:t>
            </w:r>
          </w:p>
        </w:tc>
        <w:tc>
          <w:tcPr>
            <w:tcW w:w="4090"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金井、玖月、中博锐、菲兰、优派、泰尔</w:t>
            </w:r>
          </w:p>
        </w:tc>
        <w:tc>
          <w:tcPr>
            <w:tcW w:w="1417"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42</w:t>
            </w:r>
          </w:p>
        </w:tc>
        <w:tc>
          <w:tcPr>
            <w:tcW w:w="2688" w:type="dxa"/>
            <w:vAlign w:val="center"/>
          </w:tcPr>
          <w:p>
            <w:pPr>
              <w:widowControl/>
              <w:tabs>
                <w:tab w:val="left" w:pos="610"/>
              </w:tabs>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全钢病理中央操作台</w:t>
            </w:r>
          </w:p>
        </w:tc>
        <w:tc>
          <w:tcPr>
            <w:tcW w:w="4090"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金井、玖月、中博锐、菲兰、优派、泰尔</w:t>
            </w:r>
          </w:p>
        </w:tc>
        <w:tc>
          <w:tcPr>
            <w:tcW w:w="1417"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43</w:t>
            </w:r>
          </w:p>
        </w:tc>
        <w:tc>
          <w:tcPr>
            <w:tcW w:w="2688"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耗材货架</w:t>
            </w:r>
          </w:p>
        </w:tc>
        <w:tc>
          <w:tcPr>
            <w:tcW w:w="4090"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sz w:val="21"/>
                <w:szCs w:val="21"/>
                <w:highlight w:val="none"/>
              </w:rPr>
              <w:t>金井、玖月、中博锐、菲兰、优派、泰尔</w:t>
            </w:r>
          </w:p>
        </w:tc>
        <w:tc>
          <w:tcPr>
            <w:tcW w:w="1417"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44</w:t>
            </w:r>
          </w:p>
        </w:tc>
        <w:tc>
          <w:tcPr>
            <w:tcW w:w="2688" w:type="dxa"/>
            <w:vAlign w:val="center"/>
          </w:tcPr>
          <w:p>
            <w:pPr>
              <w:widowControl/>
              <w:tabs>
                <w:tab w:val="left" w:pos="610"/>
              </w:tabs>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TCT液基制片仪通风排毒柜</w:t>
            </w:r>
          </w:p>
        </w:tc>
        <w:tc>
          <w:tcPr>
            <w:tcW w:w="4090"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金井、玖月、中博锐、菲兰、优派、泰尔</w:t>
            </w:r>
          </w:p>
        </w:tc>
        <w:tc>
          <w:tcPr>
            <w:tcW w:w="1417"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45</w:t>
            </w:r>
          </w:p>
        </w:tc>
        <w:tc>
          <w:tcPr>
            <w:tcW w:w="2688"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生物安全柜</w:t>
            </w:r>
          </w:p>
        </w:tc>
        <w:tc>
          <w:tcPr>
            <w:tcW w:w="4090"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sz w:val="21"/>
                <w:szCs w:val="21"/>
                <w:highlight w:val="none"/>
              </w:rPr>
              <w:t>鑫贝西、海尔、苏净</w:t>
            </w:r>
          </w:p>
        </w:tc>
        <w:tc>
          <w:tcPr>
            <w:tcW w:w="1417"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46</w:t>
            </w:r>
          </w:p>
        </w:tc>
        <w:tc>
          <w:tcPr>
            <w:tcW w:w="2688" w:type="dxa"/>
            <w:vAlign w:val="center"/>
          </w:tcPr>
          <w:p>
            <w:pPr>
              <w:widowControl/>
              <w:tabs>
                <w:tab w:val="left" w:pos="610"/>
              </w:tabs>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常规通风排毒柜</w:t>
            </w:r>
          </w:p>
        </w:tc>
        <w:tc>
          <w:tcPr>
            <w:tcW w:w="4090"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金井、玖月、中博锐、菲兰、优派、泰尔</w:t>
            </w:r>
          </w:p>
        </w:tc>
        <w:tc>
          <w:tcPr>
            <w:tcW w:w="1417"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47</w:t>
            </w:r>
          </w:p>
        </w:tc>
        <w:tc>
          <w:tcPr>
            <w:tcW w:w="2688" w:type="dxa"/>
            <w:vAlign w:val="center"/>
          </w:tcPr>
          <w:p>
            <w:pPr>
              <w:widowControl/>
              <w:tabs>
                <w:tab w:val="left" w:pos="610"/>
              </w:tabs>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通风晾片柜</w:t>
            </w:r>
          </w:p>
        </w:tc>
        <w:tc>
          <w:tcPr>
            <w:tcW w:w="4090"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金井、玖月、中博锐、菲兰、优派、泰尔</w:t>
            </w:r>
          </w:p>
        </w:tc>
        <w:tc>
          <w:tcPr>
            <w:tcW w:w="1417"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48</w:t>
            </w:r>
          </w:p>
        </w:tc>
        <w:tc>
          <w:tcPr>
            <w:tcW w:w="2688" w:type="dxa"/>
            <w:vAlign w:val="center"/>
          </w:tcPr>
          <w:p>
            <w:pPr>
              <w:widowControl/>
              <w:tabs>
                <w:tab w:val="left" w:pos="610"/>
              </w:tabs>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pp水池+三口水龙头</w:t>
            </w:r>
          </w:p>
        </w:tc>
        <w:tc>
          <w:tcPr>
            <w:tcW w:w="4090"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科恩、博化、台雄</w:t>
            </w:r>
          </w:p>
        </w:tc>
        <w:tc>
          <w:tcPr>
            <w:tcW w:w="1417"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49</w:t>
            </w:r>
          </w:p>
        </w:tc>
        <w:tc>
          <w:tcPr>
            <w:tcW w:w="2688" w:type="dxa"/>
            <w:vAlign w:val="center"/>
          </w:tcPr>
          <w:p>
            <w:pPr>
              <w:widowControl/>
              <w:tabs>
                <w:tab w:val="left" w:pos="610"/>
              </w:tabs>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岛式插座</w:t>
            </w:r>
          </w:p>
        </w:tc>
        <w:tc>
          <w:tcPr>
            <w:tcW w:w="4090"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台雄、科恩、飞客</w:t>
            </w:r>
          </w:p>
        </w:tc>
        <w:tc>
          <w:tcPr>
            <w:tcW w:w="1417"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50</w:t>
            </w:r>
          </w:p>
        </w:tc>
        <w:tc>
          <w:tcPr>
            <w:tcW w:w="2688" w:type="dxa"/>
            <w:vAlign w:val="center"/>
          </w:tcPr>
          <w:p>
            <w:pPr>
              <w:widowControl/>
              <w:tabs>
                <w:tab w:val="left" w:pos="610"/>
              </w:tabs>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钢板墙板</w:t>
            </w:r>
          </w:p>
        </w:tc>
        <w:tc>
          <w:tcPr>
            <w:tcW w:w="4090"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协多利、中电创达（艾净）、畅达</w:t>
            </w:r>
          </w:p>
        </w:tc>
        <w:tc>
          <w:tcPr>
            <w:tcW w:w="1417"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51</w:t>
            </w:r>
          </w:p>
        </w:tc>
        <w:tc>
          <w:tcPr>
            <w:tcW w:w="2688" w:type="dxa"/>
            <w:vAlign w:val="center"/>
          </w:tcPr>
          <w:p>
            <w:pPr>
              <w:widowControl/>
              <w:tabs>
                <w:tab w:val="left" w:pos="610"/>
              </w:tabs>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钢板楼板</w:t>
            </w:r>
          </w:p>
        </w:tc>
        <w:tc>
          <w:tcPr>
            <w:tcW w:w="4090"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协多利、中电创达（艾净）、畅达</w:t>
            </w:r>
          </w:p>
        </w:tc>
        <w:tc>
          <w:tcPr>
            <w:tcW w:w="1417"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52</w:t>
            </w:r>
          </w:p>
        </w:tc>
        <w:tc>
          <w:tcPr>
            <w:tcW w:w="2688" w:type="dxa"/>
            <w:vAlign w:val="center"/>
          </w:tcPr>
          <w:p>
            <w:pPr>
              <w:widowControl/>
              <w:tabs>
                <w:tab w:val="left" w:pos="610"/>
              </w:tabs>
              <w:jc w:val="left"/>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智能一体式二合一福尔马林加液仪（</w:t>
            </w:r>
            <w:r>
              <w:rPr>
                <w:rFonts w:hint="eastAsia" w:ascii="宋体" w:hAnsi="宋体" w:eastAsia="宋体" w:cs="宋体"/>
                <w:color w:val="auto"/>
                <w:kern w:val="0"/>
                <w:sz w:val="21"/>
                <w:szCs w:val="21"/>
                <w:highlight w:val="none"/>
                <w:lang w:eastAsia="zh-CN" w:bidi="ar"/>
              </w:rPr>
              <w:t>中标供应商增配，已包含在投标总价内，采购方不再另行支付费用</w:t>
            </w:r>
            <w:r>
              <w:rPr>
                <w:rFonts w:hint="eastAsia" w:ascii="宋体" w:hAnsi="宋体" w:eastAsia="宋体" w:cs="宋体"/>
                <w:color w:val="auto"/>
                <w:kern w:val="0"/>
                <w:sz w:val="21"/>
                <w:szCs w:val="21"/>
                <w:highlight w:val="none"/>
                <w:lang w:bidi="ar"/>
              </w:rPr>
              <w:t>）</w:t>
            </w:r>
          </w:p>
        </w:tc>
        <w:tc>
          <w:tcPr>
            <w:tcW w:w="4090" w:type="dxa"/>
            <w:vAlign w:val="center"/>
          </w:tcPr>
          <w:p>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金井、玖月、中博锐</w:t>
            </w:r>
          </w:p>
        </w:tc>
        <w:tc>
          <w:tcPr>
            <w:tcW w:w="1417" w:type="dxa"/>
            <w:vAlign w:val="center"/>
          </w:tcPr>
          <w:p>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kern w:val="0"/>
                <w:sz w:val="24"/>
                <w:highlight w:val="none"/>
                <w:lang w:bidi="ar"/>
              </w:rPr>
            </w:pPr>
            <w:r>
              <w:rPr>
                <w:rFonts w:ascii="宋体" w:hAnsi="宋体" w:eastAsia="宋体" w:cs="宋体"/>
                <w:color w:val="auto"/>
                <w:kern w:val="0"/>
                <w:sz w:val="24"/>
                <w:highlight w:val="none"/>
                <w:lang w:bidi="ar"/>
              </w:rPr>
              <w:t>53</w:t>
            </w:r>
          </w:p>
        </w:tc>
        <w:tc>
          <w:tcPr>
            <w:tcW w:w="2688" w:type="dxa"/>
            <w:vAlign w:val="center"/>
          </w:tcPr>
          <w:p>
            <w:pPr>
              <w:widowControl/>
              <w:tabs>
                <w:tab w:val="left" w:pos="610"/>
              </w:tabs>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通风系统联动电器控制总成</w:t>
            </w:r>
          </w:p>
        </w:tc>
        <w:tc>
          <w:tcPr>
            <w:tcW w:w="4090" w:type="dxa"/>
            <w:vAlign w:val="center"/>
          </w:tcPr>
          <w:p>
            <w:pPr>
              <w:widowControl/>
              <w:tabs>
                <w:tab w:val="left" w:pos="610"/>
              </w:tabs>
              <w:jc w:val="center"/>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控制器：西门子、ABB、三菱</w:t>
            </w:r>
          </w:p>
          <w:p>
            <w:pPr>
              <w:widowControl/>
              <w:tabs>
                <w:tab w:val="left" w:pos="610"/>
              </w:tabs>
              <w:jc w:val="center"/>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继电器：和泉、欧姆龙、施耐德</w:t>
            </w:r>
          </w:p>
          <w:p>
            <w:pPr>
              <w:widowControl/>
              <w:tabs>
                <w:tab w:val="left" w:pos="610"/>
              </w:tabs>
              <w:jc w:val="center"/>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触摸屏：繁易、步科、威纶通</w:t>
            </w:r>
          </w:p>
        </w:tc>
        <w:tc>
          <w:tcPr>
            <w:tcW w:w="1417" w:type="dxa"/>
            <w:vAlign w:val="center"/>
          </w:tcPr>
          <w:p>
            <w:pPr>
              <w:widowControl/>
              <w:tabs>
                <w:tab w:val="left" w:pos="610"/>
              </w:tabs>
              <w:jc w:val="center"/>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color w:val="auto"/>
                <w:kern w:val="0"/>
                <w:sz w:val="24"/>
                <w:highlight w:val="none"/>
                <w:lang w:bidi="ar"/>
              </w:rPr>
            </w:pPr>
            <w:r>
              <w:rPr>
                <w:rFonts w:hint="eastAsia" w:ascii="宋体" w:hAnsi="宋体" w:eastAsia="宋体" w:cs="宋体"/>
                <w:color w:val="auto"/>
                <w:kern w:val="0"/>
                <w:sz w:val="24"/>
                <w:highlight w:val="none"/>
                <w:lang w:bidi="ar"/>
              </w:rPr>
              <w:t>5</w:t>
            </w:r>
            <w:r>
              <w:rPr>
                <w:rFonts w:ascii="宋体" w:hAnsi="宋体" w:eastAsia="宋体" w:cs="宋体"/>
                <w:color w:val="auto"/>
                <w:kern w:val="0"/>
                <w:sz w:val="24"/>
                <w:highlight w:val="none"/>
                <w:lang w:bidi="ar"/>
              </w:rPr>
              <w:t>4</w:t>
            </w:r>
          </w:p>
        </w:tc>
        <w:tc>
          <w:tcPr>
            <w:tcW w:w="2688" w:type="dxa"/>
            <w:vAlign w:val="center"/>
          </w:tcPr>
          <w:p>
            <w:pPr>
              <w:widowControl/>
              <w:tabs>
                <w:tab w:val="left" w:pos="610"/>
              </w:tabs>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等离子空气消毒机（</w:t>
            </w:r>
            <w:r>
              <w:rPr>
                <w:rFonts w:hint="eastAsia" w:ascii="宋体" w:hAnsi="宋体" w:eastAsia="宋体" w:cs="宋体"/>
                <w:color w:val="auto"/>
                <w:kern w:val="0"/>
                <w:sz w:val="21"/>
                <w:szCs w:val="21"/>
                <w:highlight w:val="none"/>
                <w:lang w:eastAsia="zh-CN" w:bidi="ar"/>
              </w:rPr>
              <w:t>中标供应商增配，已包含在投标总价内，采购方不再另行支付费用</w:t>
            </w:r>
            <w:r>
              <w:rPr>
                <w:rFonts w:hint="eastAsia" w:ascii="宋体" w:hAnsi="宋体" w:eastAsia="宋体" w:cs="宋体"/>
                <w:color w:val="auto"/>
                <w:kern w:val="0"/>
                <w:sz w:val="21"/>
                <w:szCs w:val="21"/>
                <w:highlight w:val="none"/>
                <w:lang w:bidi="ar"/>
              </w:rPr>
              <w:t>）</w:t>
            </w:r>
          </w:p>
        </w:tc>
        <w:tc>
          <w:tcPr>
            <w:tcW w:w="4090" w:type="dxa"/>
            <w:vAlign w:val="center"/>
          </w:tcPr>
          <w:p>
            <w:pPr>
              <w:widowControl/>
              <w:tabs>
                <w:tab w:val="left" w:pos="610"/>
              </w:tabs>
              <w:jc w:val="center"/>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佩洁尔、奥洁、欧朗德斯</w:t>
            </w:r>
          </w:p>
        </w:tc>
        <w:tc>
          <w:tcPr>
            <w:tcW w:w="1417" w:type="dxa"/>
            <w:vAlign w:val="center"/>
          </w:tcPr>
          <w:p>
            <w:pPr>
              <w:widowControl/>
              <w:tabs>
                <w:tab w:val="left" w:pos="610"/>
              </w:tabs>
              <w:jc w:val="center"/>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或相当于</w:t>
            </w:r>
          </w:p>
        </w:tc>
      </w:tr>
    </w:tbl>
    <w:p>
      <w:pPr>
        <w:widowControl/>
        <w:jc w:val="left"/>
        <w:textAlignment w:val="center"/>
        <w:rPr>
          <w:rFonts w:ascii="宋体" w:hAnsi="宋体" w:eastAsia="宋体" w:cs="宋体"/>
          <w:color w:val="auto"/>
          <w:sz w:val="21"/>
          <w:szCs w:val="21"/>
        </w:rPr>
      </w:pPr>
      <w:r>
        <w:rPr>
          <w:rFonts w:hint="eastAsia" w:ascii="宋体" w:hAnsi="宋体" w:eastAsia="宋体" w:cs="宋体"/>
          <w:color w:val="auto"/>
          <w:sz w:val="21"/>
          <w:szCs w:val="21"/>
        </w:rPr>
        <w:t>注：1.承包人应优先采用以上品牌、生产厂家的产品，若采用其他品牌、生产厂家的产品时，替代产品品质不低于原有产品并经业主签证认可。</w:t>
      </w:r>
    </w:p>
    <w:p>
      <w:pPr>
        <w:tabs>
          <w:tab w:val="left" w:pos="8280"/>
        </w:tabs>
        <w:autoSpaceDE w:val="0"/>
        <w:autoSpaceDN w:val="0"/>
        <w:adjustRightInd w:val="0"/>
        <w:spacing w:before="156" w:beforeLines="50" w:after="156" w:afterLines="50" w:line="400" w:lineRule="exact"/>
        <w:ind w:right="23" w:firstLine="420" w:firstLineChars="200"/>
        <w:rPr>
          <w:rFonts w:ascii="宋体" w:hAnsi="宋体" w:eastAsia="宋体" w:cs="宋体"/>
          <w:color w:val="auto"/>
          <w:sz w:val="21"/>
          <w:szCs w:val="21"/>
        </w:rPr>
      </w:pPr>
      <w:r>
        <w:rPr>
          <w:rFonts w:hint="eastAsia" w:ascii="宋体" w:hAnsi="宋体" w:eastAsia="宋体" w:cs="宋体"/>
          <w:color w:val="auto"/>
          <w:sz w:val="21"/>
          <w:szCs w:val="21"/>
        </w:rPr>
        <w:t>2.若某设备材料的品牌与厂家存在同名时，以品牌为先。</w:t>
      </w:r>
    </w:p>
    <w:p>
      <w:pPr>
        <w:widowControl/>
        <w:snapToGrid w:val="0"/>
        <w:spacing w:line="400" w:lineRule="exact"/>
        <w:jc w:val="center"/>
        <w:rPr>
          <w:b/>
          <w:color w:val="auto"/>
          <w:sz w:val="32"/>
          <w:szCs w:val="32"/>
        </w:rPr>
      </w:pPr>
    </w:p>
    <w:p>
      <w:pPr>
        <w:widowControl/>
        <w:snapToGrid w:val="0"/>
        <w:spacing w:line="400" w:lineRule="exact"/>
        <w:jc w:val="center"/>
        <w:rPr>
          <w:b/>
          <w:color w:val="auto"/>
          <w:sz w:val="32"/>
          <w:szCs w:val="32"/>
        </w:rPr>
      </w:pPr>
    </w:p>
    <w:p>
      <w:pPr>
        <w:widowControl/>
        <w:snapToGrid w:val="0"/>
        <w:spacing w:line="400" w:lineRule="exact"/>
        <w:jc w:val="center"/>
        <w:rPr>
          <w:b/>
          <w:color w:val="auto"/>
          <w:sz w:val="32"/>
          <w:szCs w:val="32"/>
        </w:rPr>
      </w:pPr>
    </w:p>
    <w:p>
      <w:pPr>
        <w:pStyle w:val="2"/>
        <w:rPr>
          <w:b/>
          <w:color w:val="auto"/>
          <w:sz w:val="32"/>
          <w:szCs w:val="32"/>
        </w:rPr>
      </w:pPr>
    </w:p>
    <w:p>
      <w:pPr>
        <w:pStyle w:val="3"/>
        <w:rPr>
          <w:b/>
          <w:color w:val="auto"/>
          <w:sz w:val="32"/>
          <w:szCs w:val="32"/>
        </w:rPr>
      </w:pPr>
    </w:p>
    <w:p>
      <w:pPr>
        <w:rPr>
          <w:b/>
          <w:color w:val="auto"/>
          <w:sz w:val="32"/>
          <w:szCs w:val="32"/>
        </w:rPr>
      </w:pPr>
    </w:p>
    <w:p>
      <w:pPr>
        <w:pStyle w:val="2"/>
        <w:rPr>
          <w:b/>
          <w:color w:val="auto"/>
          <w:sz w:val="32"/>
          <w:szCs w:val="32"/>
        </w:rPr>
      </w:pPr>
    </w:p>
    <w:p>
      <w:pPr>
        <w:pStyle w:val="3"/>
        <w:rPr>
          <w:b/>
          <w:color w:val="auto"/>
          <w:sz w:val="32"/>
          <w:szCs w:val="32"/>
        </w:rPr>
      </w:pPr>
    </w:p>
    <w:p>
      <w:pPr>
        <w:rPr>
          <w:b/>
          <w:color w:val="auto"/>
          <w:sz w:val="32"/>
          <w:szCs w:val="32"/>
        </w:rPr>
      </w:pPr>
    </w:p>
    <w:p>
      <w:pPr>
        <w:pStyle w:val="2"/>
        <w:rPr>
          <w:b/>
          <w:color w:val="auto"/>
          <w:sz w:val="32"/>
          <w:szCs w:val="32"/>
        </w:rPr>
      </w:pPr>
    </w:p>
    <w:p>
      <w:pPr>
        <w:pStyle w:val="3"/>
        <w:rPr>
          <w:b/>
          <w:color w:val="auto"/>
          <w:sz w:val="32"/>
          <w:szCs w:val="32"/>
        </w:rPr>
      </w:pPr>
    </w:p>
    <w:p>
      <w:pPr>
        <w:rPr>
          <w:b/>
          <w:color w:val="auto"/>
          <w:sz w:val="32"/>
          <w:szCs w:val="32"/>
        </w:rPr>
      </w:pPr>
    </w:p>
    <w:p>
      <w:pPr>
        <w:pStyle w:val="2"/>
      </w:pPr>
    </w:p>
    <w:p>
      <w:pPr>
        <w:pStyle w:val="3"/>
      </w:pPr>
    </w:p>
    <w:p>
      <w:pPr>
        <w:widowControl/>
        <w:snapToGrid w:val="0"/>
        <w:spacing w:line="400" w:lineRule="exact"/>
        <w:rPr>
          <w:rFonts w:eastAsiaTheme="minorEastAsia"/>
          <w:b/>
          <w:color w:val="auto"/>
          <w:sz w:val="32"/>
          <w:szCs w:val="32"/>
        </w:rPr>
      </w:pPr>
    </w:p>
    <w:p>
      <w:pPr>
        <w:widowControl/>
        <w:snapToGrid w:val="0"/>
        <w:spacing w:line="400" w:lineRule="exact"/>
        <w:jc w:val="center"/>
        <w:rPr>
          <w:rFonts w:ascii="宋体"/>
          <w:color w:val="auto"/>
          <w:sz w:val="32"/>
          <w:szCs w:val="32"/>
        </w:rPr>
      </w:pPr>
      <w:r>
        <w:rPr>
          <w:rFonts w:hint="eastAsia"/>
          <w:b/>
          <w:color w:val="auto"/>
          <w:sz w:val="32"/>
          <w:szCs w:val="32"/>
        </w:rPr>
        <w:t xml:space="preserve">第三部分 </w:t>
      </w:r>
      <w:bookmarkEnd w:id="29"/>
      <w:bookmarkStart w:id="33" w:name="_Toc257923936"/>
      <w:r>
        <w:rPr>
          <w:rFonts w:hint="eastAsia"/>
          <w:b/>
          <w:color w:val="auto"/>
          <w:sz w:val="32"/>
          <w:szCs w:val="32"/>
        </w:rPr>
        <w:t>磋商须知</w:t>
      </w:r>
    </w:p>
    <w:p>
      <w:pPr>
        <w:adjustRightInd w:val="0"/>
        <w:snapToGrid w:val="0"/>
        <w:jc w:val="center"/>
        <w:outlineLvl w:val="0"/>
        <w:rPr>
          <w:b/>
          <w:color w:val="auto"/>
          <w:sz w:val="32"/>
          <w:szCs w:val="32"/>
        </w:rPr>
      </w:pPr>
      <w:bookmarkStart w:id="34" w:name="_Toc302983094"/>
      <w:bookmarkStart w:id="35" w:name="_Toc283973075"/>
      <w:bookmarkStart w:id="36" w:name="_Toc306901445"/>
      <w:r>
        <w:rPr>
          <w:rFonts w:hint="eastAsia"/>
          <w:b/>
          <w:color w:val="auto"/>
          <w:sz w:val="32"/>
          <w:szCs w:val="32"/>
        </w:rPr>
        <w:t xml:space="preserve"> 前附表</w:t>
      </w:r>
      <w:bookmarkEnd w:id="33"/>
      <w:bookmarkEnd w:id="34"/>
      <w:bookmarkEnd w:id="35"/>
      <w:bookmarkEnd w:id="36"/>
    </w:p>
    <w:tbl>
      <w:tblPr>
        <w:tblStyle w:val="24"/>
        <w:tblW w:w="9663"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8"/>
        <w:gridCol w:w="2019"/>
        <w:gridCol w:w="6906"/>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34" w:hRule="atLeast"/>
        </w:trPr>
        <w:tc>
          <w:tcPr>
            <w:tcW w:w="738" w:type="dxa"/>
            <w:vAlign w:val="center"/>
          </w:tcPr>
          <w:p>
            <w:pPr>
              <w:spacing w:line="300" w:lineRule="exact"/>
              <w:jc w:val="center"/>
              <w:rPr>
                <w:rFonts w:ascii="宋体" w:hAnsi="宋体"/>
                <w:b/>
                <w:color w:val="auto"/>
                <w:sz w:val="21"/>
                <w:szCs w:val="21"/>
              </w:rPr>
            </w:pPr>
            <w:r>
              <w:rPr>
                <w:rFonts w:hint="eastAsia" w:ascii="宋体" w:hAnsi="宋体"/>
                <w:b/>
                <w:color w:val="auto"/>
                <w:sz w:val="21"/>
                <w:szCs w:val="21"/>
              </w:rPr>
              <w:t>序号</w:t>
            </w:r>
          </w:p>
        </w:tc>
        <w:tc>
          <w:tcPr>
            <w:tcW w:w="2019" w:type="dxa"/>
            <w:vAlign w:val="center"/>
          </w:tcPr>
          <w:p>
            <w:pPr>
              <w:spacing w:line="300" w:lineRule="exact"/>
              <w:ind w:firstLine="210" w:firstLineChars="100"/>
              <w:jc w:val="center"/>
              <w:rPr>
                <w:rFonts w:ascii="宋体" w:hAnsi="宋体"/>
                <w:b/>
                <w:color w:val="auto"/>
                <w:sz w:val="21"/>
                <w:szCs w:val="21"/>
              </w:rPr>
            </w:pPr>
            <w:r>
              <w:rPr>
                <w:rFonts w:hint="eastAsia" w:ascii="宋体" w:hAnsi="宋体"/>
                <w:b/>
                <w:color w:val="auto"/>
                <w:sz w:val="21"/>
                <w:szCs w:val="21"/>
              </w:rPr>
              <w:t>项   目</w:t>
            </w:r>
          </w:p>
        </w:tc>
        <w:tc>
          <w:tcPr>
            <w:tcW w:w="6906" w:type="dxa"/>
            <w:vAlign w:val="center"/>
          </w:tcPr>
          <w:p>
            <w:pPr>
              <w:spacing w:line="300" w:lineRule="exact"/>
              <w:jc w:val="center"/>
              <w:rPr>
                <w:rFonts w:ascii="宋体" w:hAnsi="宋体"/>
                <w:b/>
                <w:color w:val="auto"/>
                <w:sz w:val="21"/>
                <w:szCs w:val="21"/>
              </w:rPr>
            </w:pPr>
            <w:r>
              <w:rPr>
                <w:rFonts w:hint="eastAsia" w:ascii="宋体" w:hAnsi="宋体"/>
                <w:b/>
                <w:color w:val="auto"/>
                <w:sz w:val="21"/>
                <w:szCs w:val="21"/>
              </w:rPr>
              <w:t>内                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50" w:hRule="atLeast"/>
        </w:trPr>
        <w:tc>
          <w:tcPr>
            <w:tcW w:w="738" w:type="dxa"/>
            <w:vAlign w:val="center"/>
          </w:tcPr>
          <w:p>
            <w:pPr>
              <w:spacing w:line="300" w:lineRule="exact"/>
              <w:jc w:val="center"/>
              <w:rPr>
                <w:rFonts w:ascii="宋体" w:hAnsi="宋体"/>
                <w:color w:val="auto"/>
                <w:sz w:val="24"/>
              </w:rPr>
            </w:pPr>
            <w:r>
              <w:rPr>
                <w:rFonts w:hint="eastAsia" w:ascii="宋体" w:hAnsi="宋体"/>
                <w:color w:val="auto"/>
                <w:sz w:val="24"/>
              </w:rPr>
              <w:t>1</w:t>
            </w:r>
          </w:p>
        </w:tc>
        <w:tc>
          <w:tcPr>
            <w:tcW w:w="2019" w:type="dxa"/>
            <w:vAlign w:val="center"/>
          </w:tcPr>
          <w:p>
            <w:pPr>
              <w:spacing w:line="300" w:lineRule="exact"/>
              <w:jc w:val="center"/>
              <w:rPr>
                <w:rFonts w:ascii="宋体" w:hAnsi="宋体"/>
                <w:bCs/>
                <w:color w:val="auto"/>
                <w:sz w:val="21"/>
                <w:szCs w:val="21"/>
              </w:rPr>
            </w:pPr>
            <w:r>
              <w:rPr>
                <w:rFonts w:hint="eastAsia" w:ascii="宋体" w:hAnsi="宋体"/>
                <w:bCs/>
                <w:color w:val="auto"/>
                <w:sz w:val="21"/>
                <w:szCs w:val="21"/>
              </w:rPr>
              <w:t>项目名称</w:t>
            </w:r>
          </w:p>
        </w:tc>
        <w:tc>
          <w:tcPr>
            <w:tcW w:w="6906" w:type="dxa"/>
            <w:vAlign w:val="center"/>
          </w:tcPr>
          <w:p>
            <w:pPr>
              <w:spacing w:line="300" w:lineRule="exact"/>
              <w:ind w:left="-4" w:leftChars="-1" w:firstLine="2" w:firstLineChars="1"/>
              <w:rPr>
                <w:rFonts w:hint="eastAsia" w:ascii="宋体" w:hAnsi="宋体" w:eastAsia="宋体"/>
                <w:bCs/>
                <w:color w:val="auto"/>
                <w:sz w:val="21"/>
                <w:szCs w:val="21"/>
                <w:lang w:eastAsia="zh-CN"/>
              </w:rPr>
            </w:pPr>
            <w:r>
              <w:rPr>
                <w:rFonts w:hint="eastAsia" w:ascii="宋体" w:hAnsi="宋体" w:eastAsia="宋体"/>
                <w:bCs/>
                <w:color w:val="auto"/>
                <w:sz w:val="21"/>
                <w:szCs w:val="21"/>
                <w:lang w:eastAsia="zh-CN"/>
              </w:rPr>
              <w:t>仙居县人民医院病理科改造项目（重新招标）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50" w:hRule="atLeast"/>
        </w:trPr>
        <w:tc>
          <w:tcPr>
            <w:tcW w:w="738" w:type="dxa"/>
            <w:vAlign w:val="center"/>
          </w:tcPr>
          <w:p>
            <w:pPr>
              <w:spacing w:line="300" w:lineRule="exact"/>
              <w:jc w:val="center"/>
              <w:rPr>
                <w:rFonts w:ascii="宋体" w:hAnsi="宋体"/>
                <w:color w:val="auto"/>
                <w:sz w:val="24"/>
              </w:rPr>
            </w:pPr>
            <w:r>
              <w:rPr>
                <w:rFonts w:hint="eastAsia" w:ascii="宋体" w:hAnsi="宋体"/>
                <w:color w:val="auto"/>
                <w:sz w:val="24"/>
              </w:rPr>
              <w:t>2</w:t>
            </w:r>
          </w:p>
        </w:tc>
        <w:tc>
          <w:tcPr>
            <w:tcW w:w="2019" w:type="dxa"/>
            <w:vAlign w:val="center"/>
          </w:tcPr>
          <w:p>
            <w:pPr>
              <w:spacing w:line="300" w:lineRule="exact"/>
              <w:jc w:val="center"/>
              <w:rPr>
                <w:rFonts w:ascii="宋体" w:hAnsi="宋体"/>
                <w:bCs/>
                <w:color w:val="auto"/>
                <w:sz w:val="21"/>
                <w:szCs w:val="21"/>
              </w:rPr>
            </w:pPr>
            <w:r>
              <w:rPr>
                <w:rFonts w:hint="eastAsia" w:ascii="宋体" w:hAnsi="宋体"/>
                <w:bCs/>
                <w:color w:val="auto"/>
                <w:sz w:val="21"/>
                <w:szCs w:val="21"/>
              </w:rPr>
              <w:t>采购内容</w:t>
            </w:r>
          </w:p>
        </w:tc>
        <w:tc>
          <w:tcPr>
            <w:tcW w:w="6906" w:type="dxa"/>
            <w:vAlign w:val="center"/>
          </w:tcPr>
          <w:p>
            <w:pPr>
              <w:spacing w:line="300" w:lineRule="exact"/>
              <w:ind w:left="-4" w:leftChars="-1" w:firstLine="2" w:firstLineChars="1"/>
              <w:rPr>
                <w:rFonts w:ascii="宋体" w:hAnsi="宋体"/>
                <w:bCs/>
                <w:color w:val="auto"/>
                <w:sz w:val="21"/>
                <w:szCs w:val="21"/>
              </w:rPr>
            </w:pPr>
            <w:r>
              <w:rPr>
                <w:rFonts w:hint="eastAsia" w:ascii="宋体" w:hAnsi="宋体"/>
                <w:bCs/>
                <w:color w:val="auto"/>
                <w:sz w:val="21"/>
                <w:szCs w:val="21"/>
              </w:rPr>
              <w:t>详见本磋商响应文件“第二部分采购需求”内容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50" w:hRule="atLeast"/>
        </w:trPr>
        <w:tc>
          <w:tcPr>
            <w:tcW w:w="738" w:type="dxa"/>
            <w:vAlign w:val="center"/>
          </w:tcPr>
          <w:p>
            <w:pPr>
              <w:spacing w:line="300" w:lineRule="exact"/>
              <w:jc w:val="center"/>
              <w:rPr>
                <w:rFonts w:ascii="宋体" w:hAnsi="宋体"/>
                <w:color w:val="auto"/>
                <w:sz w:val="24"/>
              </w:rPr>
            </w:pPr>
            <w:r>
              <w:rPr>
                <w:rFonts w:hint="eastAsia" w:ascii="宋体" w:hAnsi="宋体"/>
                <w:color w:val="auto"/>
                <w:sz w:val="24"/>
              </w:rPr>
              <w:t>3</w:t>
            </w:r>
          </w:p>
        </w:tc>
        <w:tc>
          <w:tcPr>
            <w:tcW w:w="2019" w:type="dxa"/>
            <w:vAlign w:val="center"/>
          </w:tcPr>
          <w:p>
            <w:pPr>
              <w:spacing w:line="300" w:lineRule="exact"/>
              <w:jc w:val="center"/>
              <w:rPr>
                <w:rFonts w:ascii="宋体" w:hAnsi="宋体"/>
                <w:bCs/>
                <w:color w:val="auto"/>
                <w:sz w:val="21"/>
                <w:szCs w:val="21"/>
              </w:rPr>
            </w:pPr>
            <w:r>
              <w:rPr>
                <w:rFonts w:hint="eastAsia" w:ascii="宋体" w:hAnsi="宋体"/>
                <w:bCs/>
                <w:color w:val="auto"/>
                <w:sz w:val="21"/>
                <w:szCs w:val="21"/>
              </w:rPr>
              <w:t>采购方式</w:t>
            </w:r>
          </w:p>
        </w:tc>
        <w:tc>
          <w:tcPr>
            <w:tcW w:w="6906" w:type="dxa"/>
            <w:vAlign w:val="center"/>
          </w:tcPr>
          <w:p>
            <w:pPr>
              <w:spacing w:line="300" w:lineRule="exact"/>
              <w:rPr>
                <w:rFonts w:ascii="宋体" w:hAnsi="宋体" w:eastAsia="宋体"/>
                <w:bCs/>
                <w:color w:val="auto"/>
                <w:sz w:val="21"/>
                <w:szCs w:val="21"/>
              </w:rPr>
            </w:pPr>
            <w:r>
              <w:rPr>
                <w:rFonts w:hint="eastAsia" w:ascii="宋体" w:hAnsi="宋体"/>
                <w:bCs/>
                <w:color w:val="auto"/>
                <w:sz w:val="21"/>
                <w:szCs w:val="21"/>
              </w:rPr>
              <w:t>竞争性磋商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0" w:hRule="atLeast"/>
        </w:trPr>
        <w:tc>
          <w:tcPr>
            <w:tcW w:w="738" w:type="dxa"/>
            <w:vAlign w:val="center"/>
          </w:tcPr>
          <w:p>
            <w:pPr>
              <w:spacing w:line="300" w:lineRule="exact"/>
              <w:jc w:val="center"/>
              <w:rPr>
                <w:rFonts w:ascii="宋体" w:hAnsi="宋体"/>
                <w:color w:val="auto"/>
                <w:sz w:val="24"/>
              </w:rPr>
            </w:pPr>
            <w:r>
              <w:rPr>
                <w:rFonts w:hint="eastAsia" w:ascii="宋体" w:hAnsi="宋体"/>
                <w:color w:val="auto"/>
                <w:sz w:val="24"/>
              </w:rPr>
              <w:t>4</w:t>
            </w:r>
          </w:p>
        </w:tc>
        <w:tc>
          <w:tcPr>
            <w:tcW w:w="2019" w:type="dxa"/>
            <w:vAlign w:val="center"/>
          </w:tcPr>
          <w:p>
            <w:pPr>
              <w:spacing w:line="300" w:lineRule="exact"/>
              <w:jc w:val="center"/>
              <w:rPr>
                <w:rFonts w:ascii="宋体" w:hAnsi="宋体"/>
                <w:bCs/>
                <w:color w:val="auto"/>
                <w:sz w:val="21"/>
                <w:szCs w:val="21"/>
              </w:rPr>
            </w:pPr>
            <w:r>
              <w:rPr>
                <w:rFonts w:hint="eastAsia" w:ascii="宋体" w:hAnsi="宋体"/>
                <w:b/>
                <w:color w:val="auto"/>
                <w:sz w:val="24"/>
              </w:rPr>
              <w:t>▲</w:t>
            </w:r>
            <w:r>
              <w:rPr>
                <w:rFonts w:hint="eastAsia" w:ascii="宋体" w:hAnsi="宋体"/>
                <w:bCs/>
                <w:color w:val="auto"/>
                <w:sz w:val="21"/>
                <w:szCs w:val="21"/>
              </w:rPr>
              <w:t>服务期限</w:t>
            </w:r>
          </w:p>
        </w:tc>
        <w:tc>
          <w:tcPr>
            <w:tcW w:w="6906" w:type="dxa"/>
            <w:vAlign w:val="center"/>
          </w:tcPr>
          <w:p>
            <w:pPr>
              <w:spacing w:line="300" w:lineRule="exact"/>
              <w:ind w:left="-4" w:leftChars="-1" w:firstLine="2" w:firstLineChars="1"/>
              <w:rPr>
                <w:rFonts w:ascii="宋体" w:hAnsi="宋体" w:eastAsia="宋体"/>
                <w:bCs/>
                <w:color w:val="auto"/>
                <w:sz w:val="21"/>
                <w:szCs w:val="21"/>
              </w:rPr>
            </w:pPr>
            <w:r>
              <w:rPr>
                <w:rFonts w:hint="eastAsia" w:ascii="宋体" w:hAnsi="宋体" w:eastAsia="宋体"/>
                <w:bCs/>
                <w:color w:val="auto"/>
                <w:sz w:val="21"/>
                <w:szCs w:val="21"/>
              </w:rPr>
              <w:t>工期不超过60天。</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738" w:type="dxa"/>
            <w:vAlign w:val="center"/>
          </w:tcPr>
          <w:p>
            <w:pPr>
              <w:spacing w:line="300" w:lineRule="exact"/>
              <w:jc w:val="center"/>
              <w:rPr>
                <w:rFonts w:ascii="宋体" w:hAnsi="宋体" w:eastAsia="宋体"/>
                <w:color w:val="auto"/>
                <w:sz w:val="24"/>
              </w:rPr>
            </w:pPr>
            <w:r>
              <w:rPr>
                <w:rFonts w:hint="eastAsia" w:ascii="宋体" w:hAnsi="宋体"/>
                <w:color w:val="auto"/>
                <w:sz w:val="24"/>
              </w:rPr>
              <w:t>5</w:t>
            </w:r>
          </w:p>
        </w:tc>
        <w:tc>
          <w:tcPr>
            <w:tcW w:w="2019" w:type="dxa"/>
            <w:vAlign w:val="center"/>
          </w:tcPr>
          <w:p>
            <w:pPr>
              <w:spacing w:line="300" w:lineRule="exact"/>
              <w:jc w:val="center"/>
              <w:rPr>
                <w:rFonts w:ascii="宋体" w:hAnsi="宋体"/>
                <w:bCs/>
                <w:color w:val="auto"/>
                <w:sz w:val="21"/>
                <w:szCs w:val="21"/>
              </w:rPr>
            </w:pPr>
            <w:r>
              <w:rPr>
                <w:rFonts w:hint="eastAsia" w:ascii="宋体" w:hAnsi="宋体"/>
                <w:bCs/>
                <w:color w:val="auto"/>
                <w:sz w:val="21"/>
                <w:szCs w:val="21"/>
              </w:rPr>
              <w:t>评标办法</w:t>
            </w:r>
          </w:p>
        </w:tc>
        <w:tc>
          <w:tcPr>
            <w:tcW w:w="6906" w:type="dxa"/>
            <w:vAlign w:val="center"/>
          </w:tcPr>
          <w:p>
            <w:pPr>
              <w:spacing w:line="300" w:lineRule="exact"/>
              <w:jc w:val="left"/>
              <w:rPr>
                <w:rFonts w:ascii="宋体" w:hAnsi="宋体"/>
                <w:color w:val="auto"/>
                <w:sz w:val="21"/>
                <w:szCs w:val="21"/>
              </w:rPr>
            </w:pPr>
            <w:r>
              <w:rPr>
                <w:rFonts w:hint="eastAsia" w:ascii="宋体" w:hAnsi="宋体" w:cs="Arial"/>
                <w:bCs/>
                <w:color w:val="auto"/>
                <w:kern w:val="0"/>
                <w:sz w:val="21"/>
                <w:szCs w:val="21"/>
              </w:rPr>
              <w:t>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2" w:hRule="atLeast"/>
        </w:trPr>
        <w:tc>
          <w:tcPr>
            <w:tcW w:w="738" w:type="dxa"/>
            <w:vAlign w:val="center"/>
          </w:tcPr>
          <w:p>
            <w:pPr>
              <w:spacing w:line="300" w:lineRule="exact"/>
              <w:jc w:val="center"/>
              <w:rPr>
                <w:rFonts w:ascii="宋体" w:hAnsi="宋体" w:eastAsia="宋体"/>
                <w:color w:val="auto"/>
                <w:sz w:val="24"/>
              </w:rPr>
            </w:pPr>
            <w:r>
              <w:rPr>
                <w:rFonts w:hint="eastAsia" w:ascii="宋体" w:hAnsi="宋体"/>
                <w:color w:val="auto"/>
                <w:sz w:val="24"/>
              </w:rPr>
              <w:t>6</w:t>
            </w:r>
          </w:p>
        </w:tc>
        <w:tc>
          <w:tcPr>
            <w:tcW w:w="2019" w:type="dxa"/>
            <w:vAlign w:val="center"/>
          </w:tcPr>
          <w:p>
            <w:pPr>
              <w:spacing w:line="300" w:lineRule="exact"/>
              <w:jc w:val="center"/>
              <w:rPr>
                <w:rFonts w:ascii="宋体" w:hAnsi="宋体"/>
                <w:bCs/>
                <w:color w:val="auto"/>
                <w:sz w:val="21"/>
                <w:szCs w:val="21"/>
              </w:rPr>
            </w:pPr>
            <w:r>
              <w:rPr>
                <w:rFonts w:hint="eastAsia" w:ascii="宋体" w:hAnsi="宋体"/>
                <w:bCs/>
                <w:color w:val="auto"/>
                <w:sz w:val="21"/>
                <w:szCs w:val="21"/>
              </w:rPr>
              <w:t>▲磋商响应文件有效期</w:t>
            </w:r>
          </w:p>
        </w:tc>
        <w:tc>
          <w:tcPr>
            <w:tcW w:w="6906" w:type="dxa"/>
            <w:vAlign w:val="center"/>
          </w:tcPr>
          <w:p>
            <w:pPr>
              <w:pStyle w:val="20"/>
              <w:snapToGrid w:val="0"/>
              <w:spacing w:line="300" w:lineRule="exact"/>
              <w:rPr>
                <w:rFonts w:hint="default"/>
                <w:bCs/>
                <w:color w:val="auto"/>
                <w:sz w:val="21"/>
                <w:szCs w:val="21"/>
              </w:rPr>
            </w:pPr>
            <w:r>
              <w:rPr>
                <w:bCs/>
                <w:color w:val="auto"/>
                <w:sz w:val="21"/>
                <w:szCs w:val="21"/>
              </w:rPr>
              <w:t>磋商响应有效期为90天，磋商响应有效期从提交磋商响应文件的截止之日起算。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5" w:hRule="atLeast"/>
        </w:trPr>
        <w:tc>
          <w:tcPr>
            <w:tcW w:w="738" w:type="dxa"/>
            <w:vAlign w:val="center"/>
          </w:tcPr>
          <w:p>
            <w:pPr>
              <w:spacing w:line="300" w:lineRule="exact"/>
              <w:jc w:val="center"/>
              <w:rPr>
                <w:rFonts w:ascii="宋体" w:hAnsi="宋体" w:eastAsia="宋体"/>
                <w:color w:val="auto"/>
                <w:sz w:val="24"/>
              </w:rPr>
            </w:pPr>
            <w:r>
              <w:rPr>
                <w:rFonts w:hint="eastAsia" w:ascii="宋体" w:hAnsi="宋体"/>
                <w:color w:val="auto"/>
                <w:sz w:val="24"/>
              </w:rPr>
              <w:t>7</w:t>
            </w:r>
          </w:p>
        </w:tc>
        <w:tc>
          <w:tcPr>
            <w:tcW w:w="2019" w:type="dxa"/>
            <w:vAlign w:val="center"/>
          </w:tcPr>
          <w:p>
            <w:pPr>
              <w:spacing w:line="300" w:lineRule="exact"/>
              <w:jc w:val="center"/>
              <w:rPr>
                <w:rFonts w:ascii="宋体" w:hAnsi="宋体"/>
                <w:bCs/>
                <w:color w:val="auto"/>
                <w:sz w:val="21"/>
                <w:szCs w:val="21"/>
              </w:rPr>
            </w:pPr>
            <w:r>
              <w:rPr>
                <w:rFonts w:hint="eastAsia" w:ascii="宋体" w:hAnsi="宋体"/>
                <w:bCs/>
                <w:color w:val="auto"/>
                <w:sz w:val="21"/>
                <w:szCs w:val="21"/>
              </w:rPr>
              <w:t>▲履约保证金</w:t>
            </w:r>
          </w:p>
        </w:tc>
        <w:tc>
          <w:tcPr>
            <w:tcW w:w="6906" w:type="dxa"/>
            <w:vAlign w:val="center"/>
          </w:tcPr>
          <w:p>
            <w:pPr>
              <w:spacing w:line="300" w:lineRule="exact"/>
              <w:rPr>
                <w:rFonts w:ascii="宋体" w:hAnsi="宋体" w:eastAsia="宋体"/>
                <w:color w:val="auto"/>
                <w:sz w:val="21"/>
                <w:szCs w:val="21"/>
              </w:rPr>
            </w:pPr>
            <w:r>
              <w:rPr>
                <w:rFonts w:hint="eastAsia" w:ascii="宋体" w:hAnsi="宋体"/>
                <w:color w:val="auto"/>
                <w:sz w:val="21"/>
                <w:szCs w:val="21"/>
              </w:rPr>
              <w:t>本项目履约保证金为合同</w:t>
            </w:r>
            <w:r>
              <w:rPr>
                <w:rFonts w:hint="eastAsia" w:ascii="宋体" w:hAnsi="宋体" w:eastAsia="宋体"/>
                <w:color w:val="auto"/>
                <w:sz w:val="21"/>
                <w:szCs w:val="21"/>
              </w:rPr>
              <w:t>价</w:t>
            </w:r>
            <w:r>
              <w:rPr>
                <w:rFonts w:hint="eastAsia" w:ascii="宋体" w:hAnsi="宋体"/>
                <w:color w:val="auto"/>
                <w:sz w:val="21"/>
                <w:szCs w:val="21"/>
              </w:rPr>
              <w:t>的</w:t>
            </w:r>
            <w:r>
              <w:rPr>
                <w:rFonts w:hint="eastAsia" w:ascii="宋体" w:hAnsi="宋体" w:eastAsia="宋体"/>
                <w:color w:val="auto"/>
                <w:sz w:val="21"/>
                <w:szCs w:val="21"/>
              </w:rPr>
              <w:t>2</w:t>
            </w:r>
            <w:r>
              <w:rPr>
                <w:rFonts w:hint="eastAsia" w:ascii="宋体" w:hAnsi="宋体"/>
                <w:color w:val="auto"/>
                <w:sz w:val="21"/>
                <w:szCs w:val="21"/>
              </w:rPr>
              <w:t>%。</w:t>
            </w:r>
          </w:p>
          <w:p>
            <w:pPr>
              <w:spacing w:line="300" w:lineRule="exact"/>
              <w:rPr>
                <w:rFonts w:ascii="宋体" w:hAnsi="宋体"/>
                <w:color w:val="auto"/>
                <w:sz w:val="21"/>
                <w:szCs w:val="21"/>
              </w:rPr>
            </w:pPr>
            <w:r>
              <w:rPr>
                <w:rFonts w:hint="eastAsia" w:ascii="宋体" w:hAnsi="宋体"/>
                <w:color w:val="auto"/>
                <w:sz w:val="21"/>
                <w:szCs w:val="21"/>
              </w:rPr>
              <w:t>鼓励供应商开展政采贷、履约保函等政府采购金融服务，供应商以银行、保险公司出具保函形式提交履约保证金的，采购单位不得拒收。</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071" w:hRule="atLeast"/>
        </w:trPr>
        <w:tc>
          <w:tcPr>
            <w:tcW w:w="738" w:type="dxa"/>
            <w:vAlign w:val="center"/>
          </w:tcPr>
          <w:p>
            <w:pPr>
              <w:spacing w:line="300" w:lineRule="exact"/>
              <w:jc w:val="center"/>
              <w:rPr>
                <w:rFonts w:ascii="宋体" w:hAnsi="宋体"/>
                <w:color w:val="auto"/>
                <w:sz w:val="24"/>
              </w:rPr>
            </w:pPr>
            <w:r>
              <w:rPr>
                <w:rFonts w:hint="eastAsia" w:ascii="宋体" w:hAnsi="宋体"/>
                <w:color w:val="auto"/>
                <w:sz w:val="24"/>
              </w:rPr>
              <w:t>8</w:t>
            </w:r>
          </w:p>
        </w:tc>
        <w:tc>
          <w:tcPr>
            <w:tcW w:w="2019" w:type="dxa"/>
            <w:vAlign w:val="center"/>
          </w:tcPr>
          <w:p>
            <w:pPr>
              <w:spacing w:line="300" w:lineRule="exact"/>
              <w:jc w:val="center"/>
              <w:rPr>
                <w:rFonts w:ascii="宋体" w:hAnsi="宋体" w:eastAsia="宋体"/>
                <w:color w:val="auto"/>
                <w:sz w:val="21"/>
                <w:szCs w:val="21"/>
              </w:rPr>
            </w:pPr>
            <w:r>
              <w:rPr>
                <w:rFonts w:hint="eastAsia" w:ascii="宋体" w:hAnsi="宋体"/>
                <w:color w:val="auto"/>
                <w:sz w:val="21"/>
                <w:szCs w:val="21"/>
              </w:rPr>
              <w:t>响应文件要求</w:t>
            </w:r>
          </w:p>
        </w:tc>
        <w:tc>
          <w:tcPr>
            <w:tcW w:w="6906" w:type="dxa"/>
            <w:vAlign w:val="center"/>
          </w:tcPr>
          <w:p>
            <w:pPr>
              <w:spacing w:line="300" w:lineRule="exact"/>
              <w:rPr>
                <w:rFonts w:ascii="宋体" w:hAnsi="宋体"/>
                <w:color w:val="auto"/>
                <w:sz w:val="21"/>
                <w:szCs w:val="21"/>
              </w:rPr>
            </w:pPr>
            <w:r>
              <w:rPr>
                <w:rFonts w:hint="eastAsia" w:ascii="宋体" w:hAnsi="宋体"/>
                <w:color w:val="auto"/>
                <w:sz w:val="21"/>
                <w:szCs w:val="21"/>
              </w:rPr>
              <w:t xml:space="preserve">（1）“电子加密响应文件”：在线上传递交一份。 </w:t>
            </w:r>
          </w:p>
          <w:p>
            <w:pPr>
              <w:spacing w:line="300" w:lineRule="exact"/>
              <w:rPr>
                <w:rFonts w:ascii="宋体" w:hAnsi="宋体"/>
                <w:color w:val="auto"/>
                <w:sz w:val="21"/>
                <w:szCs w:val="21"/>
              </w:rPr>
            </w:pPr>
            <w:r>
              <w:rPr>
                <w:rFonts w:hint="eastAsia" w:ascii="宋体" w:hAnsi="宋体"/>
                <w:color w:val="auto"/>
                <w:sz w:val="21"/>
                <w:szCs w:val="21"/>
              </w:rPr>
              <w:t>（2）</w:t>
            </w:r>
            <w:r>
              <w:rPr>
                <w:rFonts w:hint="eastAsia" w:ascii="宋体" w:hAnsi="宋体"/>
                <w:b/>
                <w:bCs/>
                <w:color w:val="auto"/>
                <w:sz w:val="21"/>
                <w:szCs w:val="21"/>
              </w:rPr>
              <w:t>“备份响应文件”（如有）：</w:t>
            </w:r>
            <w:r>
              <w:rPr>
                <w:rFonts w:hint="eastAsia" w:ascii="宋体" w:hAnsi="宋体"/>
                <w:color w:val="auto"/>
                <w:sz w:val="21"/>
                <w:szCs w:val="21"/>
              </w:rPr>
              <w:t>政采云平台上最后生成的具备电子签章的备份响应文件，文件名后缀为备份标书四字的首字母）。</w:t>
            </w:r>
            <w:r>
              <w:rPr>
                <w:rFonts w:hint="eastAsia" w:eastAsia="宋体" w:cs="宋体"/>
                <w:color w:val="auto"/>
                <w:sz w:val="21"/>
                <w:szCs w:val="21"/>
              </w:rPr>
              <w:t>供应商</w:t>
            </w:r>
            <w:r>
              <w:rPr>
                <w:rFonts w:hint="eastAsia" w:ascii="宋体" w:hAnsi="宋体" w:eastAsia="宋体" w:cs="宋体"/>
                <w:color w:val="auto"/>
                <w:sz w:val="21"/>
                <w:szCs w:val="21"/>
              </w:rPr>
              <w:t>自行确定是否提交；若提交请</w:t>
            </w:r>
            <w:r>
              <w:rPr>
                <w:rFonts w:hint="eastAsia" w:eastAsia="宋体" w:cs="宋体"/>
                <w:color w:val="auto"/>
                <w:sz w:val="21"/>
                <w:szCs w:val="21"/>
              </w:rPr>
              <w:t>在提交磋商响应文件</w:t>
            </w:r>
            <w:r>
              <w:rPr>
                <w:rFonts w:hint="eastAsia" w:ascii="宋体" w:hAnsi="宋体" w:eastAsia="宋体" w:cs="宋体"/>
                <w:color w:val="auto"/>
                <w:sz w:val="21"/>
                <w:szCs w:val="21"/>
              </w:rPr>
              <w:t>截止时间</w:t>
            </w:r>
            <w:r>
              <w:rPr>
                <w:rFonts w:hint="eastAsia" w:eastAsia="宋体" w:cs="宋体"/>
                <w:color w:val="auto"/>
                <w:sz w:val="21"/>
                <w:szCs w:val="21"/>
              </w:rPr>
              <w:t>前</w:t>
            </w:r>
            <w:r>
              <w:rPr>
                <w:rFonts w:hint="eastAsia" w:ascii="宋体" w:hAnsi="宋体" w:eastAsia="宋体" w:cs="宋体"/>
                <w:color w:val="auto"/>
                <w:sz w:val="21"/>
                <w:szCs w:val="21"/>
              </w:rPr>
              <w:t>将备份响应文件打包压缩加密（未加密造成泄密的由投标人自行承担）后以电子邮件的形式发送至</w:t>
            </w:r>
            <w:r>
              <w:rPr>
                <w:rFonts w:hint="eastAsia" w:eastAsia="宋体" w:cs="宋体"/>
                <w:color w:val="auto"/>
                <w:sz w:val="21"/>
                <w:szCs w:val="21"/>
              </w:rPr>
              <w:t>3050868501@qq.com，逾期</w:t>
            </w:r>
            <w:r>
              <w:rPr>
                <w:rFonts w:hint="eastAsia" w:ascii="宋体" w:hAnsi="宋体" w:eastAsia="宋体" w:cs="宋体"/>
                <w:color w:val="auto"/>
                <w:sz w:val="21"/>
                <w:szCs w:val="21"/>
              </w:rPr>
              <w:t>发送</w:t>
            </w:r>
            <w:r>
              <w:rPr>
                <w:rFonts w:hint="eastAsia" w:eastAsia="宋体" w:cs="宋体"/>
                <w:color w:val="auto"/>
                <w:sz w:val="21"/>
                <w:szCs w:val="21"/>
              </w:rPr>
              <w:t>的</w:t>
            </w:r>
            <w:r>
              <w:rPr>
                <w:rFonts w:hint="eastAsia" w:ascii="Arial" w:hAnsi="Arial" w:cs="Arial"/>
                <w:color w:val="auto"/>
                <w:kern w:val="0"/>
                <w:sz w:val="21"/>
                <w:szCs w:val="21"/>
              </w:rPr>
              <w:t>将被</w:t>
            </w:r>
            <w:r>
              <w:rPr>
                <w:rFonts w:hint="eastAsia" w:ascii="Arial" w:hAnsi="Arial" w:eastAsia="宋体" w:cs="Arial"/>
                <w:color w:val="auto"/>
                <w:kern w:val="0"/>
                <w:sz w:val="21"/>
                <w:szCs w:val="21"/>
              </w:rPr>
              <w:t>视为未提交。</w:t>
            </w:r>
          </w:p>
          <w:p>
            <w:pPr>
              <w:spacing w:line="300" w:lineRule="exact"/>
              <w:ind w:firstLine="420" w:firstLineChars="200"/>
              <w:rPr>
                <w:color w:val="auto"/>
                <w:sz w:val="21"/>
                <w:szCs w:val="21"/>
                <w:u w:val="single"/>
              </w:rPr>
            </w:pPr>
            <w:r>
              <w:rPr>
                <w:rFonts w:hint="eastAsia" w:ascii="宋体" w:hAnsi="宋体"/>
                <w:color w:val="auto"/>
                <w:sz w:val="21"/>
                <w:szCs w:val="21"/>
              </w:rPr>
              <w:t>备份响应文件在“电子加密响应文件”在线解密失败后启用，否则不予以启用；供应商确认“电子加密响应文件”在线解密失败后，将打包压缩加密的备份响应文件的解密密码在解密规定的时间（发出解密通知后60分钟内）发送至上述邮箱内，未在规定时间内发送造成的投标无效或失败由供应商人自行承担。</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298" w:hRule="atLeast"/>
        </w:trPr>
        <w:tc>
          <w:tcPr>
            <w:tcW w:w="738" w:type="dxa"/>
            <w:vAlign w:val="center"/>
          </w:tcPr>
          <w:p>
            <w:pPr>
              <w:spacing w:line="300" w:lineRule="exact"/>
              <w:jc w:val="center"/>
              <w:rPr>
                <w:rFonts w:ascii="宋体" w:hAnsi="宋体"/>
                <w:color w:val="auto"/>
                <w:sz w:val="24"/>
              </w:rPr>
            </w:pPr>
            <w:r>
              <w:rPr>
                <w:rFonts w:hint="eastAsia" w:ascii="宋体" w:hAnsi="宋体"/>
                <w:color w:val="auto"/>
                <w:sz w:val="24"/>
              </w:rPr>
              <w:t>9</w:t>
            </w:r>
          </w:p>
        </w:tc>
        <w:tc>
          <w:tcPr>
            <w:tcW w:w="2019" w:type="dxa"/>
            <w:vAlign w:val="center"/>
          </w:tcPr>
          <w:p>
            <w:pPr>
              <w:spacing w:line="300" w:lineRule="exact"/>
              <w:jc w:val="center"/>
              <w:rPr>
                <w:rFonts w:ascii="宋体" w:hAnsi="宋体"/>
                <w:color w:val="auto"/>
                <w:sz w:val="21"/>
                <w:szCs w:val="21"/>
              </w:rPr>
            </w:pPr>
            <w:r>
              <w:rPr>
                <w:rFonts w:hint="eastAsia" w:ascii="宋体" w:hAnsi="宋体"/>
                <w:bCs/>
                <w:color w:val="auto"/>
                <w:sz w:val="21"/>
                <w:szCs w:val="21"/>
              </w:rPr>
              <w:t>▲响应文件磋商截止时间</w:t>
            </w:r>
          </w:p>
        </w:tc>
        <w:tc>
          <w:tcPr>
            <w:tcW w:w="6906" w:type="dxa"/>
            <w:vAlign w:val="center"/>
          </w:tcPr>
          <w:p>
            <w:pPr>
              <w:spacing w:line="300" w:lineRule="exact"/>
              <w:rPr>
                <w:color w:val="auto"/>
              </w:rPr>
            </w:pPr>
            <w:r>
              <w:rPr>
                <w:rFonts w:hint="eastAsia" w:ascii="宋体" w:hAnsi="宋体" w:eastAsia="宋体" w:cs="宋体"/>
                <w:color w:val="auto"/>
                <w:sz w:val="21"/>
                <w:szCs w:val="21"/>
              </w:rPr>
              <w:t>供应商应当在</w:t>
            </w:r>
            <w:r>
              <w:rPr>
                <w:rFonts w:hint="eastAsia" w:ascii="宋体" w:hAnsi="宋体" w:eastAsia="宋体" w:cs="宋体"/>
                <w:b/>
                <w:bCs/>
                <w:color w:val="auto"/>
                <w:sz w:val="21"/>
                <w:szCs w:val="21"/>
              </w:rPr>
              <w:t>磋商截止时间：2022年</w:t>
            </w:r>
            <w:r>
              <w:rPr>
                <w:rFonts w:hint="eastAsia" w:ascii="宋体" w:hAnsi="宋体" w:eastAsia="宋体" w:cs="宋体"/>
                <w:b/>
                <w:bCs/>
                <w:color w:val="auto"/>
                <w:sz w:val="21"/>
                <w:szCs w:val="21"/>
                <w:lang w:val="en-US" w:eastAsia="zh-CN"/>
              </w:rPr>
              <w:t>05</w:t>
            </w:r>
            <w:r>
              <w:rPr>
                <w:rFonts w:hint="eastAsia" w:ascii="宋体" w:hAnsi="宋体" w:eastAsia="宋体" w:cs="宋体"/>
                <w:b/>
                <w:bCs/>
                <w:color w:val="auto"/>
                <w:sz w:val="21"/>
                <w:szCs w:val="21"/>
              </w:rPr>
              <w:t>月</w:t>
            </w:r>
            <w:r>
              <w:rPr>
                <w:rFonts w:hint="eastAsia" w:ascii="宋体" w:hAnsi="宋体" w:eastAsia="宋体" w:cs="宋体"/>
                <w:b/>
                <w:bCs/>
                <w:color w:val="auto"/>
                <w:sz w:val="21"/>
                <w:szCs w:val="21"/>
                <w:lang w:val="en-US" w:eastAsia="zh-CN"/>
              </w:rPr>
              <w:t>06</w:t>
            </w:r>
            <w:r>
              <w:rPr>
                <w:rFonts w:hint="eastAsia" w:ascii="宋体" w:hAnsi="宋体" w:eastAsia="宋体" w:cs="宋体"/>
                <w:b/>
                <w:bCs/>
                <w:color w:val="auto"/>
                <w:sz w:val="21"/>
                <w:szCs w:val="21"/>
              </w:rPr>
              <w:t>日09：00（北京时间）前</w:t>
            </w:r>
            <w:r>
              <w:rPr>
                <w:rFonts w:hint="eastAsia" w:ascii="宋体" w:hAnsi="宋体" w:eastAsia="宋体" w:cs="宋体"/>
                <w:color w:val="auto"/>
                <w:sz w:val="21"/>
                <w:szCs w:val="21"/>
              </w:rPr>
              <w:t>完成</w:t>
            </w:r>
            <w:r>
              <w:rPr>
                <w:rFonts w:hint="eastAsia" w:ascii="宋体" w:hAnsi="宋体"/>
                <w:color w:val="auto"/>
                <w:sz w:val="21"/>
                <w:szCs w:val="21"/>
              </w:rPr>
              <w:t>电子加密响应文件</w:t>
            </w:r>
            <w:r>
              <w:rPr>
                <w:rFonts w:hint="eastAsia" w:ascii="宋体" w:hAnsi="宋体" w:eastAsia="宋体" w:cs="宋体"/>
                <w:color w:val="auto"/>
                <w:sz w:val="21"/>
                <w:szCs w:val="21"/>
              </w:rPr>
              <w:t>的传输提交，磋商截止时间前可以补充、修改或者撤回</w:t>
            </w:r>
            <w:r>
              <w:rPr>
                <w:rFonts w:hint="eastAsia" w:ascii="宋体" w:hAnsi="宋体"/>
                <w:color w:val="auto"/>
                <w:sz w:val="21"/>
                <w:szCs w:val="21"/>
              </w:rPr>
              <w:t>电子加密响应文件</w:t>
            </w:r>
            <w:r>
              <w:rPr>
                <w:rFonts w:hint="eastAsia" w:ascii="宋体" w:hAnsi="宋体" w:eastAsia="宋体" w:cs="宋体"/>
                <w:color w:val="auto"/>
                <w:sz w:val="21"/>
                <w:szCs w:val="21"/>
              </w:rPr>
              <w:t>。补充或者修改</w:t>
            </w:r>
            <w:r>
              <w:rPr>
                <w:rFonts w:hint="eastAsia" w:ascii="宋体" w:hAnsi="宋体"/>
                <w:color w:val="auto"/>
                <w:sz w:val="21"/>
                <w:szCs w:val="21"/>
              </w:rPr>
              <w:t>电子加密响应文件</w:t>
            </w:r>
            <w:r>
              <w:rPr>
                <w:rFonts w:hint="eastAsia" w:ascii="宋体" w:hAnsi="宋体" w:eastAsia="宋体" w:cs="宋体"/>
                <w:color w:val="auto"/>
                <w:sz w:val="21"/>
                <w:szCs w:val="21"/>
              </w:rPr>
              <w:t>的，应当先行撤回原文件，补充、修改后重新传输提交。磋商截止时间前未完成传输的，视为撤回</w:t>
            </w:r>
            <w:r>
              <w:rPr>
                <w:rFonts w:hint="eastAsia" w:ascii="宋体" w:hAnsi="宋体"/>
                <w:color w:val="auto"/>
                <w:sz w:val="21"/>
                <w:szCs w:val="21"/>
              </w:rPr>
              <w:t>电子加密响应文件</w:t>
            </w:r>
            <w:r>
              <w:rPr>
                <w:rFonts w:hint="eastAsia" w:ascii="宋体" w:hAnsi="宋体" w:eastAsia="宋体" w:cs="宋体"/>
                <w:color w:val="auto"/>
                <w:sz w:val="21"/>
                <w:szCs w:val="21"/>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5" w:hRule="atLeast"/>
        </w:trPr>
        <w:tc>
          <w:tcPr>
            <w:tcW w:w="738" w:type="dxa"/>
            <w:vAlign w:val="center"/>
          </w:tcPr>
          <w:p>
            <w:pPr>
              <w:spacing w:line="300" w:lineRule="exact"/>
              <w:jc w:val="center"/>
              <w:rPr>
                <w:rFonts w:ascii="宋体" w:hAnsi="宋体" w:eastAsia="宋体"/>
                <w:color w:val="auto"/>
                <w:sz w:val="24"/>
              </w:rPr>
            </w:pPr>
            <w:r>
              <w:rPr>
                <w:rFonts w:hint="eastAsia" w:ascii="宋体" w:hAnsi="宋体"/>
                <w:color w:val="auto"/>
                <w:sz w:val="24"/>
              </w:rPr>
              <w:t>10</w:t>
            </w:r>
          </w:p>
        </w:tc>
        <w:tc>
          <w:tcPr>
            <w:tcW w:w="2019" w:type="dxa"/>
            <w:vAlign w:val="center"/>
          </w:tcPr>
          <w:p>
            <w:pPr>
              <w:snapToGrid w:val="0"/>
              <w:spacing w:line="300" w:lineRule="exact"/>
              <w:jc w:val="center"/>
              <w:rPr>
                <w:rFonts w:ascii="宋体" w:hAnsi="宋体"/>
                <w:bCs/>
                <w:color w:val="auto"/>
                <w:sz w:val="21"/>
                <w:szCs w:val="21"/>
              </w:rPr>
            </w:pPr>
            <w:r>
              <w:rPr>
                <w:rFonts w:hint="eastAsia" w:ascii="宋体" w:hAnsi="宋体"/>
                <w:bCs/>
                <w:color w:val="auto"/>
                <w:sz w:val="21"/>
                <w:szCs w:val="21"/>
              </w:rPr>
              <w:t>开标时间及地点</w:t>
            </w:r>
          </w:p>
        </w:tc>
        <w:tc>
          <w:tcPr>
            <w:tcW w:w="6906" w:type="dxa"/>
            <w:vAlign w:val="center"/>
          </w:tcPr>
          <w:p>
            <w:pPr>
              <w:widowControl/>
              <w:jc w:val="left"/>
              <w:rPr>
                <w:color w:val="auto"/>
              </w:rPr>
            </w:pPr>
            <w:r>
              <w:rPr>
                <w:rFonts w:hint="eastAsia" w:ascii="宋体" w:hAnsi="宋体" w:eastAsia="宋体" w:cs="宋体"/>
                <w:b/>
                <w:color w:val="auto"/>
                <w:kern w:val="0"/>
                <w:sz w:val="21"/>
                <w:szCs w:val="21"/>
                <w:lang w:bidi="ar"/>
              </w:rPr>
              <w:t>同磋商截止时间与地点。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5" w:hRule="atLeast"/>
        </w:trPr>
        <w:tc>
          <w:tcPr>
            <w:tcW w:w="738" w:type="dxa"/>
            <w:vAlign w:val="center"/>
          </w:tcPr>
          <w:p>
            <w:pPr>
              <w:spacing w:line="300" w:lineRule="exact"/>
              <w:jc w:val="center"/>
              <w:rPr>
                <w:rFonts w:ascii="宋体" w:hAnsi="宋体"/>
                <w:color w:val="auto"/>
                <w:sz w:val="24"/>
              </w:rPr>
            </w:pPr>
            <w:r>
              <w:rPr>
                <w:rFonts w:hint="eastAsia" w:ascii="宋体" w:hAnsi="宋体"/>
                <w:color w:val="auto"/>
                <w:sz w:val="24"/>
              </w:rPr>
              <w:t>11</w:t>
            </w:r>
          </w:p>
        </w:tc>
        <w:tc>
          <w:tcPr>
            <w:tcW w:w="2019" w:type="dxa"/>
            <w:vAlign w:val="center"/>
          </w:tcPr>
          <w:p>
            <w:pPr>
              <w:snapToGrid w:val="0"/>
              <w:spacing w:line="300" w:lineRule="exact"/>
              <w:jc w:val="center"/>
              <w:rPr>
                <w:rFonts w:ascii="宋体" w:hAnsi="宋体"/>
                <w:bCs/>
                <w:color w:val="auto"/>
                <w:sz w:val="21"/>
                <w:szCs w:val="21"/>
              </w:rPr>
            </w:pPr>
            <w:r>
              <w:rPr>
                <w:rFonts w:hint="eastAsia" w:ascii="宋体" w:hAnsi="宋体"/>
                <w:color w:val="auto"/>
                <w:sz w:val="21"/>
                <w:szCs w:val="21"/>
              </w:rPr>
              <w:t>电子加密</w:t>
            </w:r>
            <w:r>
              <w:rPr>
                <w:rFonts w:hint="eastAsia" w:ascii="宋体" w:hAnsi="宋体"/>
                <w:color w:val="auto"/>
                <w:sz w:val="21"/>
              </w:rPr>
              <w:t>响应文件</w:t>
            </w:r>
            <w:r>
              <w:rPr>
                <w:rFonts w:hint="eastAsia" w:ascii="宋体" w:hAnsi="宋体"/>
                <w:color w:val="auto"/>
                <w:sz w:val="21"/>
                <w:szCs w:val="21"/>
              </w:rPr>
              <w:t>的解密和异常情况处理</w:t>
            </w:r>
          </w:p>
        </w:tc>
        <w:tc>
          <w:tcPr>
            <w:tcW w:w="6906" w:type="dxa"/>
            <w:vAlign w:val="center"/>
          </w:tcPr>
          <w:p>
            <w:pPr>
              <w:widowControl/>
              <w:jc w:val="left"/>
              <w:rPr>
                <w:rFonts w:ascii="宋体" w:hAnsi="宋体" w:eastAsia="宋体" w:cs="宋体"/>
                <w:b/>
                <w:bCs/>
                <w:color w:val="auto"/>
                <w:kern w:val="0"/>
                <w:sz w:val="21"/>
                <w:szCs w:val="21"/>
                <w:lang w:bidi="ar"/>
              </w:rPr>
            </w:pPr>
            <w:r>
              <w:rPr>
                <w:rFonts w:hint="eastAsia" w:ascii="宋体" w:hAnsi="宋体" w:eastAsia="宋体" w:cs="宋体"/>
                <w:b/>
                <w:bCs/>
                <w:color w:val="auto"/>
                <w:kern w:val="0"/>
                <w:sz w:val="21"/>
                <w:szCs w:val="21"/>
                <w:lang w:bidi="ar"/>
              </w:rPr>
              <w:t xml:space="preserve">（1）开标后，采购组织机构将向各投标供应商发出“电子加密响应文件”的解密通知，各投标供应商代表应当在接到解密通知后60分钟内自行完成“电子加密响应文件”的在线解密。 </w:t>
            </w:r>
          </w:p>
          <w:p>
            <w:pPr>
              <w:widowControl/>
              <w:jc w:val="left"/>
              <w:rPr>
                <w:rFonts w:ascii="宋体" w:hAnsi="宋体" w:eastAsia="宋体" w:cs="宋体"/>
                <w:b/>
                <w:bCs/>
                <w:color w:val="auto"/>
                <w:kern w:val="0"/>
                <w:sz w:val="21"/>
                <w:szCs w:val="21"/>
                <w:lang w:bidi="ar"/>
              </w:rPr>
            </w:pPr>
            <w:r>
              <w:rPr>
                <w:rFonts w:hint="eastAsia" w:ascii="宋体" w:hAnsi="宋体" w:eastAsia="宋体" w:cs="宋体"/>
                <w:b/>
                <w:bCs/>
                <w:color w:val="auto"/>
                <w:kern w:val="0"/>
                <w:sz w:val="21"/>
                <w:szCs w:val="21"/>
                <w:lang w:bidi="ar"/>
              </w:rPr>
              <w:t>（2）通过“政府采购云平台”成功上传递交的“电子加密响应文件”在线解密失败后，投标供应商如按规定递交了“备份响应文件”的，以“备份响应文件”为依据（由采购组织机构按“政府采购云平台”操作规范将“备份响应文件”上传至“政府采购云平台”，上传成功后，“电子加密响应文件”自动失效），否则视为响应文件撤回。</w:t>
            </w:r>
          </w:p>
          <w:p>
            <w:pPr>
              <w:widowControl/>
              <w:jc w:val="left"/>
              <w:rPr>
                <w:rFonts w:ascii="宋体" w:hAnsi="宋体" w:eastAsia="宋体" w:cs="宋体"/>
                <w:b/>
                <w:bCs/>
                <w:color w:val="auto"/>
                <w:kern w:val="0"/>
                <w:sz w:val="21"/>
                <w:szCs w:val="21"/>
                <w:lang w:bidi="ar"/>
              </w:rPr>
            </w:pPr>
            <w:r>
              <w:rPr>
                <w:rFonts w:hint="eastAsia" w:ascii="宋体" w:hAnsi="宋体" w:eastAsia="宋体" w:cs="宋体"/>
                <w:b/>
                <w:bCs/>
                <w:color w:val="auto"/>
                <w:kern w:val="0"/>
                <w:sz w:val="21"/>
                <w:szCs w:val="21"/>
                <w:lang w:bidi="ar"/>
              </w:rPr>
              <w:t>（3）若供应商在规定时间内响应文件无法解密，或解密失败且备份文件读取失败（含未提交），则投标无效。</w:t>
            </w:r>
          </w:p>
          <w:p>
            <w:pPr>
              <w:widowControl/>
              <w:jc w:val="left"/>
              <w:rPr>
                <w:rFonts w:ascii="宋体" w:hAnsi="宋体" w:eastAsia="宋体" w:cs="宋体"/>
                <w:b/>
                <w:color w:val="auto"/>
                <w:kern w:val="0"/>
                <w:sz w:val="21"/>
                <w:szCs w:val="21"/>
                <w:lang w:bidi="ar"/>
              </w:rPr>
            </w:pPr>
            <w:r>
              <w:rPr>
                <w:rFonts w:hint="eastAsia" w:ascii="宋体" w:hAnsi="宋体" w:eastAsia="宋体" w:cs="宋体"/>
                <w:b/>
                <w:bCs/>
                <w:color w:val="auto"/>
                <w:kern w:val="0"/>
                <w:sz w:val="21"/>
                <w:szCs w:val="21"/>
                <w:lang w:bidi="ar"/>
              </w:rPr>
              <w:t>（4）投标截止时间前，投标供应商仅递交了“备份响应文件”而未将电子加密响应文件上传至“政府采购云平台”的，投标无效。</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5" w:hRule="atLeast"/>
        </w:trPr>
        <w:tc>
          <w:tcPr>
            <w:tcW w:w="738" w:type="dxa"/>
            <w:tcBorders>
              <w:bottom w:val="single" w:color="auto" w:sz="4" w:space="0"/>
            </w:tcBorders>
            <w:vAlign w:val="center"/>
          </w:tcPr>
          <w:p>
            <w:pPr>
              <w:spacing w:line="300" w:lineRule="exact"/>
              <w:jc w:val="center"/>
              <w:rPr>
                <w:rFonts w:ascii="宋体" w:hAnsi="宋体"/>
                <w:color w:val="auto"/>
                <w:sz w:val="24"/>
              </w:rPr>
            </w:pPr>
            <w:r>
              <w:rPr>
                <w:rFonts w:hint="eastAsia" w:ascii="宋体" w:hAnsi="宋体"/>
                <w:color w:val="auto"/>
                <w:sz w:val="24"/>
              </w:rPr>
              <w:t>12</w:t>
            </w:r>
          </w:p>
        </w:tc>
        <w:tc>
          <w:tcPr>
            <w:tcW w:w="2019" w:type="dxa"/>
            <w:tcBorders>
              <w:bottom w:val="single" w:color="auto" w:sz="4" w:space="0"/>
            </w:tcBorders>
            <w:vAlign w:val="center"/>
          </w:tcPr>
          <w:p>
            <w:pPr>
              <w:autoSpaceDE w:val="0"/>
              <w:autoSpaceDN w:val="0"/>
              <w:adjustRightInd w:val="0"/>
              <w:spacing w:line="300" w:lineRule="exact"/>
              <w:jc w:val="center"/>
              <w:rPr>
                <w:rFonts w:ascii="宋体" w:hAnsi="宋体"/>
                <w:b/>
                <w:color w:val="auto"/>
                <w:sz w:val="21"/>
                <w:szCs w:val="21"/>
                <w:lang w:val="zh-CN"/>
              </w:rPr>
            </w:pPr>
            <w:r>
              <w:rPr>
                <w:rFonts w:hint="eastAsia" w:ascii="宋体" w:hAnsi="宋体"/>
                <w:bCs/>
                <w:color w:val="auto"/>
                <w:sz w:val="21"/>
                <w:szCs w:val="21"/>
              </w:rPr>
              <w:t>答疑与澄清</w:t>
            </w:r>
          </w:p>
        </w:tc>
        <w:tc>
          <w:tcPr>
            <w:tcW w:w="6906" w:type="dxa"/>
            <w:tcBorders>
              <w:bottom w:val="single" w:color="auto" w:sz="4" w:space="0"/>
            </w:tcBorders>
            <w:vAlign w:val="center"/>
          </w:tcPr>
          <w:p>
            <w:pPr>
              <w:autoSpaceDE w:val="0"/>
              <w:autoSpaceDN w:val="0"/>
              <w:adjustRightInd w:val="0"/>
              <w:snapToGrid w:val="0"/>
              <w:spacing w:line="300" w:lineRule="exact"/>
              <w:rPr>
                <w:rFonts w:ascii="宋体" w:hAnsi="宋体"/>
                <w:b/>
                <w:color w:val="auto"/>
                <w:kern w:val="0"/>
                <w:sz w:val="21"/>
                <w:szCs w:val="21"/>
                <w:lang w:val="zh-CN"/>
              </w:rPr>
            </w:pPr>
            <w:r>
              <w:rPr>
                <w:rFonts w:hint="eastAsia" w:ascii="宋体" w:hAnsi="宋体"/>
                <w:bCs/>
                <w:color w:val="auto"/>
                <w:kern w:val="0"/>
                <w:sz w:val="21"/>
                <w:szCs w:val="21"/>
                <w:lang w:val="zh-CN"/>
              </w:rPr>
              <w:t>供应商认为采购文件使自己的权益受到损害的，可以自收到采购文件之日（采购文件获取截止日之后收到采购文件的，以采购文件获取截止日为准）或者采购文件公告期限届满之日（公告发布后的第</w:t>
            </w:r>
            <w:r>
              <w:rPr>
                <w:rFonts w:hint="eastAsia" w:ascii="宋体" w:hAnsi="宋体"/>
                <w:bCs/>
                <w:color w:val="auto"/>
                <w:kern w:val="0"/>
                <w:sz w:val="21"/>
                <w:szCs w:val="21"/>
              </w:rPr>
              <w:t>4</w:t>
            </w:r>
            <w:r>
              <w:rPr>
                <w:rFonts w:hint="eastAsia" w:ascii="宋体" w:hAnsi="宋体"/>
                <w:bCs/>
                <w:color w:val="auto"/>
                <w:kern w:val="0"/>
                <w:sz w:val="21"/>
                <w:szCs w:val="21"/>
                <w:lang w:val="zh-CN"/>
              </w:rPr>
              <w:t>个工作日）起7个工作日内，以书面形式一次性向采购人和采购代理机构提出同一环节的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91" w:hRule="atLeast"/>
        </w:trPr>
        <w:tc>
          <w:tcPr>
            <w:tcW w:w="738" w:type="dxa"/>
            <w:tcBorders>
              <w:bottom w:val="single" w:color="auto" w:sz="4" w:space="0"/>
            </w:tcBorders>
            <w:vAlign w:val="center"/>
          </w:tcPr>
          <w:p>
            <w:pPr>
              <w:spacing w:line="300" w:lineRule="exact"/>
              <w:jc w:val="center"/>
              <w:rPr>
                <w:rFonts w:ascii="宋体" w:hAnsi="宋体" w:eastAsia="宋体"/>
                <w:color w:val="auto"/>
                <w:sz w:val="24"/>
              </w:rPr>
            </w:pPr>
            <w:r>
              <w:rPr>
                <w:rFonts w:hint="eastAsia" w:ascii="宋体" w:hAnsi="宋体" w:eastAsia="宋体"/>
                <w:color w:val="auto"/>
                <w:sz w:val="24"/>
              </w:rPr>
              <w:t>13</w:t>
            </w:r>
          </w:p>
        </w:tc>
        <w:tc>
          <w:tcPr>
            <w:tcW w:w="2019" w:type="dxa"/>
            <w:tcBorders>
              <w:bottom w:val="single" w:color="auto" w:sz="4" w:space="0"/>
            </w:tcBorders>
            <w:vAlign w:val="center"/>
          </w:tcPr>
          <w:p>
            <w:pPr>
              <w:autoSpaceDE w:val="0"/>
              <w:autoSpaceDN w:val="0"/>
              <w:adjustRightInd w:val="0"/>
              <w:spacing w:line="300" w:lineRule="exact"/>
              <w:jc w:val="center"/>
              <w:rPr>
                <w:rFonts w:ascii="宋体" w:hAnsi="宋体"/>
                <w:color w:val="auto"/>
                <w:sz w:val="21"/>
                <w:szCs w:val="21"/>
                <w:lang w:val="zh-CN"/>
              </w:rPr>
            </w:pPr>
            <w:r>
              <w:rPr>
                <w:rFonts w:hint="eastAsia" w:ascii="宋体" w:hAnsi="宋体"/>
                <w:color w:val="auto"/>
                <w:sz w:val="21"/>
                <w:szCs w:val="21"/>
                <w:lang w:val="zh-CN"/>
              </w:rPr>
              <w:t>实质性条款</w:t>
            </w:r>
          </w:p>
        </w:tc>
        <w:tc>
          <w:tcPr>
            <w:tcW w:w="6906" w:type="dxa"/>
            <w:tcBorders>
              <w:bottom w:val="single" w:color="auto" w:sz="4" w:space="0"/>
            </w:tcBorders>
            <w:vAlign w:val="center"/>
          </w:tcPr>
          <w:p>
            <w:pPr>
              <w:autoSpaceDE w:val="0"/>
              <w:autoSpaceDN w:val="0"/>
              <w:adjustRightInd w:val="0"/>
              <w:spacing w:line="300" w:lineRule="exact"/>
              <w:ind w:left="1050" w:hanging="1050"/>
              <w:rPr>
                <w:rFonts w:ascii="宋体" w:hAnsi="宋体"/>
                <w:color w:val="auto"/>
                <w:kern w:val="0"/>
                <w:sz w:val="21"/>
                <w:szCs w:val="21"/>
                <w:lang w:val="zh-CN"/>
              </w:rPr>
            </w:pPr>
            <w:r>
              <w:rPr>
                <w:rFonts w:hint="eastAsia" w:ascii="宋体" w:hAnsi="宋体"/>
                <w:color w:val="auto"/>
                <w:kern w:val="0"/>
                <w:sz w:val="21"/>
                <w:szCs w:val="21"/>
                <w:lang w:val="zh-CN"/>
              </w:rPr>
              <w:t>带</w:t>
            </w:r>
            <w:r>
              <w:rPr>
                <w:rFonts w:hint="eastAsia" w:ascii="宋体" w:hAnsi="宋体"/>
                <w:bCs/>
                <w:color w:val="auto"/>
                <w:sz w:val="21"/>
                <w:szCs w:val="21"/>
              </w:rPr>
              <w:t>▲是实质性条款，磋商响应文件须作出实质性响应，否则作无效标处理。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7" w:hRule="atLeast"/>
        </w:trPr>
        <w:tc>
          <w:tcPr>
            <w:tcW w:w="738" w:type="dxa"/>
            <w:tcBorders>
              <w:top w:val="single" w:color="auto" w:sz="4" w:space="0"/>
              <w:bottom w:val="single" w:color="auto" w:sz="4" w:space="0"/>
            </w:tcBorders>
            <w:vAlign w:val="center"/>
          </w:tcPr>
          <w:p>
            <w:pPr>
              <w:spacing w:line="300" w:lineRule="exact"/>
              <w:jc w:val="center"/>
              <w:rPr>
                <w:rFonts w:ascii="宋体" w:hAnsi="宋体" w:eastAsia="宋体"/>
                <w:color w:val="auto"/>
                <w:sz w:val="24"/>
              </w:rPr>
            </w:pPr>
            <w:r>
              <w:rPr>
                <w:rFonts w:hint="eastAsia" w:ascii="宋体" w:hAnsi="宋体" w:eastAsia="宋体"/>
                <w:color w:val="auto"/>
                <w:sz w:val="24"/>
              </w:rPr>
              <w:t>14</w:t>
            </w:r>
          </w:p>
        </w:tc>
        <w:tc>
          <w:tcPr>
            <w:tcW w:w="2019" w:type="dxa"/>
            <w:tcBorders>
              <w:top w:val="single" w:color="auto" w:sz="4" w:space="0"/>
              <w:bottom w:val="single" w:color="auto" w:sz="4" w:space="0"/>
            </w:tcBorders>
            <w:vAlign w:val="center"/>
          </w:tcPr>
          <w:p>
            <w:pPr>
              <w:autoSpaceDE w:val="0"/>
              <w:autoSpaceDN w:val="0"/>
              <w:adjustRightInd w:val="0"/>
              <w:spacing w:line="300" w:lineRule="exact"/>
              <w:jc w:val="center"/>
              <w:rPr>
                <w:rFonts w:ascii="宋体" w:hAnsi="宋体"/>
                <w:bCs/>
                <w:color w:val="auto"/>
                <w:sz w:val="21"/>
                <w:szCs w:val="21"/>
                <w:lang w:val="zh-CN"/>
              </w:rPr>
            </w:pPr>
            <w:r>
              <w:rPr>
                <w:rFonts w:hint="eastAsia" w:ascii="宋体" w:hAnsi="宋体"/>
                <w:bCs/>
                <w:color w:val="auto"/>
                <w:sz w:val="21"/>
                <w:szCs w:val="21"/>
              </w:rPr>
              <w:t>▲项目最高限价</w:t>
            </w:r>
          </w:p>
        </w:tc>
        <w:tc>
          <w:tcPr>
            <w:tcW w:w="6906" w:type="dxa"/>
            <w:tcBorders>
              <w:top w:val="single" w:color="auto" w:sz="4" w:space="0"/>
              <w:bottom w:val="single" w:color="auto" w:sz="4" w:space="0"/>
            </w:tcBorders>
            <w:vAlign w:val="center"/>
          </w:tcPr>
          <w:p>
            <w:pPr>
              <w:autoSpaceDE w:val="0"/>
              <w:autoSpaceDN w:val="0"/>
              <w:adjustRightInd w:val="0"/>
              <w:spacing w:line="300" w:lineRule="exact"/>
              <w:rPr>
                <w:rFonts w:ascii="宋体" w:hAnsi="宋体" w:eastAsia="宋体"/>
                <w:bCs/>
                <w:color w:val="auto"/>
                <w:sz w:val="21"/>
                <w:szCs w:val="21"/>
                <w:lang w:val="zh-CN"/>
              </w:rPr>
            </w:pPr>
            <w:r>
              <w:rPr>
                <w:rFonts w:hint="eastAsia" w:ascii="宋体" w:hAnsi="宋体" w:eastAsia="宋体"/>
                <w:bCs/>
                <w:color w:val="auto"/>
                <w:sz w:val="21"/>
                <w:szCs w:val="21"/>
              </w:rPr>
              <w:t>最高限价为</w:t>
            </w:r>
            <w:r>
              <w:rPr>
                <w:rFonts w:hint="eastAsia" w:ascii="宋体" w:hAnsi="宋体" w:eastAsia="宋体"/>
                <w:b/>
                <w:color w:val="auto"/>
                <w:sz w:val="21"/>
                <w:szCs w:val="21"/>
                <w:u w:val="single"/>
              </w:rPr>
              <w:t xml:space="preserve">1783270 </w:t>
            </w:r>
            <w:r>
              <w:rPr>
                <w:rFonts w:hint="eastAsia" w:ascii="宋体" w:hAnsi="宋体" w:eastAsia="宋体"/>
                <w:b/>
                <w:color w:val="auto"/>
                <w:sz w:val="21"/>
                <w:szCs w:val="21"/>
                <w:u w:val="single"/>
                <w:lang w:val="zh-CN"/>
              </w:rPr>
              <w:t>元</w:t>
            </w:r>
            <w:r>
              <w:rPr>
                <w:rFonts w:hint="eastAsia" w:ascii="宋体" w:hAnsi="宋体" w:eastAsia="宋体"/>
                <w:bCs/>
                <w:color w:val="auto"/>
                <w:sz w:val="21"/>
                <w:szCs w:val="21"/>
              </w:rPr>
              <w:t xml:space="preserve">。如供应商的磋商报价超过最高限价，其磋商响应文件作无效标处理。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7" w:hRule="atLeast"/>
        </w:trPr>
        <w:tc>
          <w:tcPr>
            <w:tcW w:w="738" w:type="dxa"/>
            <w:tcBorders>
              <w:top w:val="single" w:color="auto" w:sz="4" w:space="0"/>
              <w:bottom w:val="single" w:color="auto" w:sz="4" w:space="0"/>
            </w:tcBorders>
            <w:vAlign w:val="center"/>
          </w:tcPr>
          <w:p>
            <w:pPr>
              <w:spacing w:line="300" w:lineRule="exact"/>
              <w:jc w:val="center"/>
              <w:rPr>
                <w:rFonts w:ascii="宋体" w:hAnsi="宋体" w:eastAsia="宋体"/>
                <w:color w:val="auto"/>
                <w:sz w:val="24"/>
              </w:rPr>
            </w:pPr>
            <w:r>
              <w:rPr>
                <w:rFonts w:hint="eastAsia" w:ascii="宋体" w:hAnsi="宋体" w:eastAsia="宋体"/>
                <w:color w:val="auto"/>
                <w:sz w:val="24"/>
              </w:rPr>
              <w:t>15</w:t>
            </w:r>
          </w:p>
        </w:tc>
        <w:tc>
          <w:tcPr>
            <w:tcW w:w="2019" w:type="dxa"/>
            <w:tcBorders>
              <w:top w:val="single" w:color="auto" w:sz="4" w:space="0"/>
              <w:bottom w:val="single" w:color="auto" w:sz="4" w:space="0"/>
            </w:tcBorders>
            <w:vAlign w:val="center"/>
          </w:tcPr>
          <w:p>
            <w:pPr>
              <w:autoSpaceDE w:val="0"/>
              <w:autoSpaceDN w:val="0"/>
              <w:adjustRightInd w:val="0"/>
              <w:spacing w:line="300" w:lineRule="exact"/>
              <w:jc w:val="center"/>
              <w:rPr>
                <w:rFonts w:ascii="宋体" w:hAnsi="宋体"/>
                <w:bCs/>
                <w:color w:val="auto"/>
                <w:sz w:val="21"/>
                <w:szCs w:val="21"/>
              </w:rPr>
            </w:pPr>
            <w:r>
              <w:rPr>
                <w:rFonts w:hint="eastAsia" w:ascii="宋体" w:hAnsi="宋体" w:eastAsia="宋体" w:cs="宋体"/>
                <w:color w:val="auto"/>
                <w:kern w:val="0"/>
                <w:sz w:val="21"/>
                <w:szCs w:val="21"/>
              </w:rPr>
              <w:t>政采贷相关说明</w:t>
            </w:r>
          </w:p>
        </w:tc>
        <w:tc>
          <w:tcPr>
            <w:tcW w:w="6906" w:type="dxa"/>
            <w:tcBorders>
              <w:top w:val="single" w:color="auto" w:sz="4" w:space="0"/>
              <w:bottom w:val="single" w:color="auto" w:sz="4" w:space="0"/>
            </w:tcBorders>
            <w:vAlign w:val="center"/>
          </w:tcPr>
          <w:tbl>
            <w:tblPr>
              <w:tblStyle w:val="24"/>
              <w:tblpPr w:leftFromText="180" w:rightFromText="180" w:vertAnchor="text" w:horzAnchor="page" w:tblpX="95" w:tblpY="71"/>
              <w:tblOverlap w:val="never"/>
              <w:tblW w:w="6840" w:type="dxa"/>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2424"/>
              <w:gridCol w:w="1721"/>
              <w:gridCol w:w="2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8" w:hRule="atLeast"/>
                <w:tblCellSpacing w:w="15" w:type="dxa"/>
              </w:trPr>
              <w:tc>
                <w:tcPr>
                  <w:tcW w:w="2379" w:type="dxa"/>
                  <w:tcMar>
                    <w:top w:w="12" w:type="dxa"/>
                    <w:left w:w="12" w:type="dxa"/>
                    <w:bottom w:w="0" w:type="dxa"/>
                    <w:right w:w="12" w:type="dxa"/>
                  </w:tcMar>
                  <w:vAlign w:val="center"/>
                </w:tcPr>
                <w:p>
                  <w:pPr>
                    <w:widowControl/>
                    <w:spacing w:before="100" w:beforeAutospacing="1" w:after="100" w:afterAutospacing="1"/>
                    <w:jc w:val="center"/>
                    <w:textAlignment w:val="center"/>
                    <w:rPr>
                      <w:rFonts w:ascii="Times New Roman" w:hAnsi="Times New Roman" w:eastAsia="宋体"/>
                      <w:color w:val="auto"/>
                      <w:kern w:val="0"/>
                      <w:sz w:val="21"/>
                    </w:rPr>
                  </w:pPr>
                  <w:r>
                    <w:rPr>
                      <w:rFonts w:hint="eastAsia" w:ascii="Times New Roman" w:hAnsi="Times New Roman" w:eastAsia="宋体"/>
                      <w:color w:val="auto"/>
                      <w:kern w:val="0"/>
                      <w:sz w:val="21"/>
                    </w:rPr>
                    <w:t>银行名称</w:t>
                  </w:r>
                </w:p>
              </w:tc>
              <w:tc>
                <w:tcPr>
                  <w:tcW w:w="1691" w:type="dxa"/>
                  <w:tcMar>
                    <w:top w:w="12" w:type="dxa"/>
                    <w:left w:w="12" w:type="dxa"/>
                    <w:bottom w:w="0" w:type="dxa"/>
                    <w:right w:w="12" w:type="dxa"/>
                  </w:tcMar>
                  <w:vAlign w:val="center"/>
                </w:tcPr>
                <w:p>
                  <w:pPr>
                    <w:widowControl/>
                    <w:spacing w:before="100" w:beforeAutospacing="1" w:after="100" w:afterAutospacing="1"/>
                    <w:jc w:val="center"/>
                    <w:textAlignment w:val="center"/>
                    <w:rPr>
                      <w:rFonts w:ascii="Times New Roman" w:hAnsi="Times New Roman" w:eastAsia="宋体"/>
                      <w:color w:val="auto"/>
                      <w:kern w:val="0"/>
                      <w:sz w:val="21"/>
                    </w:rPr>
                  </w:pPr>
                  <w:r>
                    <w:rPr>
                      <w:rFonts w:hint="eastAsia" w:ascii="Times New Roman" w:hAnsi="Times New Roman" w:eastAsia="宋体"/>
                      <w:color w:val="auto"/>
                      <w:kern w:val="0"/>
                      <w:sz w:val="21"/>
                    </w:rPr>
                    <w:t>联系人</w:t>
                  </w:r>
                </w:p>
              </w:tc>
              <w:tc>
                <w:tcPr>
                  <w:tcW w:w="2650" w:type="dxa"/>
                  <w:tcMar>
                    <w:top w:w="12" w:type="dxa"/>
                    <w:left w:w="12" w:type="dxa"/>
                    <w:bottom w:w="0" w:type="dxa"/>
                    <w:right w:w="12" w:type="dxa"/>
                  </w:tcMar>
                  <w:vAlign w:val="center"/>
                </w:tcPr>
                <w:p>
                  <w:pPr>
                    <w:widowControl/>
                    <w:spacing w:before="100" w:beforeAutospacing="1" w:after="100" w:afterAutospacing="1"/>
                    <w:jc w:val="center"/>
                    <w:textAlignment w:val="center"/>
                    <w:rPr>
                      <w:rFonts w:ascii="Times New Roman" w:hAnsi="Times New Roman" w:eastAsia="宋体"/>
                      <w:color w:val="auto"/>
                      <w:kern w:val="0"/>
                      <w:sz w:val="21"/>
                    </w:rPr>
                  </w:pPr>
                  <w:r>
                    <w:rPr>
                      <w:rFonts w:hint="eastAsia" w:ascii="Times New Roman" w:hAnsi="Times New Roman" w:eastAsia="宋体"/>
                      <w:color w:val="auto"/>
                      <w:kern w:val="0"/>
                      <w:sz w:val="21"/>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7" w:hRule="atLeast"/>
                <w:tblCellSpacing w:w="15" w:type="dxa"/>
              </w:trPr>
              <w:tc>
                <w:tcPr>
                  <w:tcW w:w="2379" w:type="dxa"/>
                  <w:tcMar>
                    <w:top w:w="12" w:type="dxa"/>
                    <w:left w:w="12" w:type="dxa"/>
                    <w:bottom w:w="0" w:type="dxa"/>
                    <w:right w:w="12" w:type="dxa"/>
                  </w:tcMar>
                  <w:vAlign w:val="center"/>
                </w:tcPr>
                <w:p>
                  <w:pPr>
                    <w:widowControl/>
                    <w:spacing w:before="100" w:beforeAutospacing="1" w:after="100" w:afterAutospacing="1"/>
                    <w:jc w:val="center"/>
                    <w:textAlignment w:val="center"/>
                    <w:rPr>
                      <w:rFonts w:ascii="Times New Roman" w:hAnsi="Times New Roman" w:eastAsia="宋体"/>
                      <w:color w:val="auto"/>
                      <w:kern w:val="0"/>
                      <w:sz w:val="21"/>
                    </w:rPr>
                  </w:pPr>
                  <w:r>
                    <w:rPr>
                      <w:rFonts w:hint="eastAsia" w:ascii="Times New Roman" w:hAnsi="Times New Roman" w:eastAsia="宋体"/>
                      <w:color w:val="auto"/>
                      <w:kern w:val="0"/>
                      <w:sz w:val="21"/>
                    </w:rPr>
                    <w:t>中国工商银行</w:t>
                  </w:r>
                </w:p>
              </w:tc>
              <w:tc>
                <w:tcPr>
                  <w:tcW w:w="1691" w:type="dxa"/>
                  <w:tcMar>
                    <w:top w:w="12" w:type="dxa"/>
                    <w:left w:w="12" w:type="dxa"/>
                    <w:bottom w:w="0" w:type="dxa"/>
                    <w:right w:w="12" w:type="dxa"/>
                  </w:tcMar>
                  <w:vAlign w:val="center"/>
                </w:tcPr>
                <w:p>
                  <w:pPr>
                    <w:widowControl/>
                    <w:spacing w:before="100" w:beforeAutospacing="1" w:after="100" w:afterAutospacing="1"/>
                    <w:jc w:val="center"/>
                    <w:textAlignment w:val="center"/>
                    <w:rPr>
                      <w:rFonts w:ascii="Times New Roman" w:hAnsi="Times New Roman" w:eastAsia="宋体"/>
                      <w:color w:val="auto"/>
                      <w:kern w:val="0"/>
                      <w:sz w:val="21"/>
                    </w:rPr>
                  </w:pPr>
                  <w:r>
                    <w:rPr>
                      <w:rFonts w:hint="eastAsia" w:ascii="Times New Roman" w:hAnsi="Times New Roman" w:eastAsia="宋体"/>
                      <w:color w:val="auto"/>
                      <w:kern w:val="0"/>
                      <w:sz w:val="21"/>
                    </w:rPr>
                    <w:t>陈盈</w:t>
                  </w:r>
                </w:p>
              </w:tc>
              <w:tc>
                <w:tcPr>
                  <w:tcW w:w="2650" w:type="dxa"/>
                  <w:tcMar>
                    <w:top w:w="12" w:type="dxa"/>
                    <w:left w:w="12" w:type="dxa"/>
                    <w:bottom w:w="0" w:type="dxa"/>
                    <w:right w:w="12" w:type="dxa"/>
                  </w:tcMar>
                  <w:vAlign w:val="center"/>
                </w:tcPr>
                <w:p>
                  <w:pPr>
                    <w:widowControl/>
                    <w:spacing w:before="100" w:beforeAutospacing="1" w:after="100" w:afterAutospacing="1"/>
                    <w:jc w:val="center"/>
                    <w:textAlignment w:val="center"/>
                    <w:rPr>
                      <w:rFonts w:ascii="Times New Roman" w:hAnsi="Times New Roman" w:eastAsia="宋体"/>
                      <w:color w:val="auto"/>
                      <w:kern w:val="0"/>
                      <w:sz w:val="21"/>
                    </w:rPr>
                  </w:pPr>
                  <w:r>
                    <w:rPr>
                      <w:rFonts w:hint="eastAsia" w:ascii="Times New Roman" w:hAnsi="Times New Roman" w:eastAsia="宋体"/>
                      <w:color w:val="auto"/>
                      <w:kern w:val="0"/>
                      <w:sz w:val="21"/>
                    </w:rPr>
                    <w:t>13967614344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7" w:hRule="atLeast"/>
                <w:tblCellSpacing w:w="15" w:type="dxa"/>
              </w:trPr>
              <w:tc>
                <w:tcPr>
                  <w:tcW w:w="2379" w:type="dxa"/>
                  <w:tcMar>
                    <w:top w:w="12" w:type="dxa"/>
                    <w:left w:w="12" w:type="dxa"/>
                    <w:bottom w:w="0" w:type="dxa"/>
                    <w:right w:w="12" w:type="dxa"/>
                  </w:tcMar>
                  <w:vAlign w:val="center"/>
                </w:tcPr>
                <w:p>
                  <w:pPr>
                    <w:widowControl/>
                    <w:spacing w:before="100" w:beforeAutospacing="1" w:after="100" w:afterAutospacing="1"/>
                    <w:jc w:val="center"/>
                    <w:textAlignment w:val="center"/>
                    <w:rPr>
                      <w:rFonts w:ascii="Times New Roman" w:hAnsi="Times New Roman" w:eastAsia="宋体"/>
                      <w:color w:val="auto"/>
                      <w:kern w:val="0"/>
                      <w:sz w:val="21"/>
                    </w:rPr>
                  </w:pPr>
                  <w:r>
                    <w:rPr>
                      <w:rFonts w:hint="eastAsia" w:ascii="Times New Roman" w:hAnsi="Times New Roman" w:eastAsia="宋体"/>
                      <w:color w:val="auto"/>
                      <w:kern w:val="0"/>
                      <w:sz w:val="21"/>
                    </w:rPr>
                    <w:t>浙江泰隆商业银行</w:t>
                  </w:r>
                </w:p>
              </w:tc>
              <w:tc>
                <w:tcPr>
                  <w:tcW w:w="1691" w:type="dxa"/>
                  <w:tcMar>
                    <w:top w:w="12" w:type="dxa"/>
                    <w:left w:w="12" w:type="dxa"/>
                    <w:bottom w:w="0" w:type="dxa"/>
                    <w:right w:w="12" w:type="dxa"/>
                  </w:tcMar>
                  <w:vAlign w:val="center"/>
                </w:tcPr>
                <w:p>
                  <w:pPr>
                    <w:widowControl/>
                    <w:spacing w:before="100" w:beforeAutospacing="1" w:after="100" w:afterAutospacing="1"/>
                    <w:jc w:val="center"/>
                    <w:textAlignment w:val="center"/>
                    <w:rPr>
                      <w:rFonts w:ascii="Times New Roman" w:hAnsi="Times New Roman" w:eastAsia="宋体"/>
                      <w:color w:val="auto"/>
                      <w:kern w:val="0"/>
                      <w:sz w:val="21"/>
                    </w:rPr>
                  </w:pPr>
                  <w:r>
                    <w:rPr>
                      <w:rFonts w:hint="eastAsia" w:ascii="Times New Roman" w:hAnsi="Times New Roman" w:eastAsia="宋体"/>
                      <w:color w:val="auto"/>
                      <w:kern w:val="0"/>
                      <w:sz w:val="21"/>
                    </w:rPr>
                    <w:t>陈超</w:t>
                  </w:r>
                </w:p>
              </w:tc>
              <w:tc>
                <w:tcPr>
                  <w:tcW w:w="2650" w:type="dxa"/>
                  <w:tcMar>
                    <w:top w:w="12" w:type="dxa"/>
                    <w:left w:w="12" w:type="dxa"/>
                    <w:bottom w:w="0" w:type="dxa"/>
                    <w:right w:w="12" w:type="dxa"/>
                  </w:tcMar>
                  <w:vAlign w:val="center"/>
                </w:tcPr>
                <w:p>
                  <w:pPr>
                    <w:widowControl/>
                    <w:spacing w:before="100" w:beforeAutospacing="1" w:after="100" w:afterAutospacing="1"/>
                    <w:jc w:val="center"/>
                    <w:textAlignment w:val="center"/>
                    <w:rPr>
                      <w:rFonts w:ascii="Times New Roman" w:hAnsi="Times New Roman" w:eastAsia="宋体"/>
                      <w:color w:val="auto"/>
                      <w:kern w:val="0"/>
                      <w:sz w:val="21"/>
                    </w:rPr>
                  </w:pPr>
                  <w:r>
                    <w:rPr>
                      <w:rFonts w:hint="eastAsia" w:ascii="Times New Roman" w:hAnsi="Times New Roman" w:eastAsia="宋体"/>
                      <w:color w:val="auto"/>
                      <w:kern w:val="0"/>
                      <w:sz w:val="21"/>
                    </w:rPr>
                    <w:t>17858683697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20" w:hRule="atLeast"/>
                <w:tblCellSpacing w:w="15" w:type="dxa"/>
              </w:trPr>
              <w:tc>
                <w:tcPr>
                  <w:tcW w:w="2379" w:type="dxa"/>
                  <w:tcMar>
                    <w:top w:w="12" w:type="dxa"/>
                    <w:left w:w="12" w:type="dxa"/>
                    <w:bottom w:w="0" w:type="dxa"/>
                    <w:right w:w="12" w:type="dxa"/>
                  </w:tcMar>
                  <w:vAlign w:val="center"/>
                </w:tcPr>
                <w:p>
                  <w:pPr>
                    <w:widowControl/>
                    <w:spacing w:before="100" w:beforeAutospacing="1" w:after="100" w:afterAutospacing="1"/>
                    <w:jc w:val="center"/>
                    <w:textAlignment w:val="center"/>
                    <w:rPr>
                      <w:rFonts w:ascii="Times New Roman" w:hAnsi="Times New Roman" w:eastAsia="宋体"/>
                      <w:color w:val="auto"/>
                      <w:kern w:val="0"/>
                      <w:sz w:val="21"/>
                    </w:rPr>
                  </w:pPr>
                  <w:r>
                    <w:rPr>
                      <w:rFonts w:hint="eastAsia" w:ascii="Times New Roman" w:hAnsi="Times New Roman" w:eastAsia="宋体"/>
                      <w:color w:val="auto"/>
                      <w:kern w:val="0"/>
                      <w:sz w:val="21"/>
                    </w:rPr>
                    <w:t>浙江民泰商业银行</w:t>
                  </w:r>
                </w:p>
              </w:tc>
              <w:tc>
                <w:tcPr>
                  <w:tcW w:w="1691" w:type="dxa"/>
                  <w:tcMar>
                    <w:top w:w="12" w:type="dxa"/>
                    <w:left w:w="12" w:type="dxa"/>
                    <w:bottom w:w="0" w:type="dxa"/>
                    <w:right w:w="12" w:type="dxa"/>
                  </w:tcMar>
                  <w:vAlign w:val="center"/>
                </w:tcPr>
                <w:p>
                  <w:pPr>
                    <w:widowControl/>
                    <w:spacing w:before="100" w:beforeAutospacing="1" w:after="100" w:afterAutospacing="1"/>
                    <w:jc w:val="center"/>
                    <w:textAlignment w:val="center"/>
                    <w:rPr>
                      <w:rFonts w:ascii="Times New Roman" w:hAnsi="Times New Roman" w:eastAsia="宋体"/>
                      <w:color w:val="auto"/>
                      <w:kern w:val="0"/>
                      <w:sz w:val="21"/>
                    </w:rPr>
                  </w:pPr>
                  <w:r>
                    <w:rPr>
                      <w:rFonts w:hint="eastAsia" w:ascii="Times New Roman" w:hAnsi="Times New Roman" w:eastAsia="宋体"/>
                      <w:color w:val="auto"/>
                      <w:kern w:val="0"/>
                      <w:sz w:val="21"/>
                    </w:rPr>
                    <w:t>朱祖优</w:t>
                  </w:r>
                </w:p>
              </w:tc>
              <w:tc>
                <w:tcPr>
                  <w:tcW w:w="2650" w:type="dxa"/>
                  <w:tcMar>
                    <w:top w:w="12" w:type="dxa"/>
                    <w:left w:w="12" w:type="dxa"/>
                    <w:bottom w:w="0" w:type="dxa"/>
                    <w:right w:w="12" w:type="dxa"/>
                  </w:tcMar>
                  <w:vAlign w:val="center"/>
                </w:tcPr>
                <w:p>
                  <w:pPr>
                    <w:widowControl/>
                    <w:spacing w:before="100" w:beforeAutospacing="1" w:after="100" w:afterAutospacing="1"/>
                    <w:jc w:val="center"/>
                    <w:textAlignment w:val="center"/>
                    <w:rPr>
                      <w:rFonts w:ascii="Times New Roman" w:hAnsi="Times New Roman" w:eastAsia="宋体"/>
                      <w:color w:val="auto"/>
                      <w:kern w:val="0"/>
                      <w:sz w:val="21"/>
                    </w:rPr>
                  </w:pPr>
                  <w:r>
                    <w:rPr>
                      <w:rFonts w:hint="eastAsia" w:ascii="Times New Roman" w:hAnsi="Times New Roman" w:eastAsia="宋体"/>
                      <w:color w:val="auto"/>
                      <w:kern w:val="0"/>
                      <w:sz w:val="21"/>
                    </w:rPr>
                    <w:t>13858602876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8" w:hRule="atLeast"/>
                <w:tblCellSpacing w:w="15" w:type="dxa"/>
              </w:trPr>
              <w:tc>
                <w:tcPr>
                  <w:tcW w:w="2379" w:type="dxa"/>
                  <w:tcMar>
                    <w:top w:w="12" w:type="dxa"/>
                    <w:left w:w="12" w:type="dxa"/>
                    <w:bottom w:w="0" w:type="dxa"/>
                    <w:right w:w="12" w:type="dxa"/>
                  </w:tcMar>
                  <w:vAlign w:val="center"/>
                </w:tcPr>
                <w:p>
                  <w:pPr>
                    <w:widowControl/>
                    <w:spacing w:before="100" w:beforeAutospacing="1" w:after="100" w:afterAutospacing="1"/>
                    <w:jc w:val="center"/>
                    <w:textAlignment w:val="center"/>
                    <w:rPr>
                      <w:rFonts w:ascii="Times New Roman" w:hAnsi="Times New Roman" w:eastAsia="宋体"/>
                      <w:color w:val="auto"/>
                      <w:kern w:val="0"/>
                      <w:sz w:val="21"/>
                    </w:rPr>
                  </w:pPr>
                  <w:r>
                    <w:rPr>
                      <w:rFonts w:hint="eastAsia" w:ascii="Times New Roman" w:hAnsi="Times New Roman" w:eastAsia="宋体"/>
                      <w:color w:val="auto"/>
                      <w:kern w:val="0"/>
                      <w:sz w:val="21"/>
                    </w:rPr>
                    <w:t>中国建设银行</w:t>
                  </w:r>
                </w:p>
              </w:tc>
              <w:tc>
                <w:tcPr>
                  <w:tcW w:w="1691" w:type="dxa"/>
                  <w:tcMar>
                    <w:top w:w="12" w:type="dxa"/>
                    <w:left w:w="12" w:type="dxa"/>
                    <w:bottom w:w="0" w:type="dxa"/>
                    <w:right w:w="12" w:type="dxa"/>
                  </w:tcMar>
                  <w:vAlign w:val="center"/>
                </w:tcPr>
                <w:p>
                  <w:pPr>
                    <w:widowControl/>
                    <w:spacing w:before="100" w:beforeAutospacing="1" w:after="100" w:afterAutospacing="1"/>
                    <w:jc w:val="center"/>
                    <w:textAlignment w:val="center"/>
                    <w:rPr>
                      <w:rFonts w:ascii="Times New Roman" w:hAnsi="Times New Roman" w:eastAsia="宋体"/>
                      <w:color w:val="auto"/>
                      <w:kern w:val="0"/>
                      <w:sz w:val="21"/>
                    </w:rPr>
                  </w:pPr>
                  <w:r>
                    <w:rPr>
                      <w:rFonts w:hint="eastAsia" w:ascii="Times New Roman" w:hAnsi="Times New Roman" w:eastAsia="宋体"/>
                      <w:color w:val="auto"/>
                      <w:kern w:val="0"/>
                      <w:sz w:val="21"/>
                    </w:rPr>
                    <w:t>徐旭霞</w:t>
                  </w:r>
                </w:p>
              </w:tc>
              <w:tc>
                <w:tcPr>
                  <w:tcW w:w="2650" w:type="dxa"/>
                  <w:tcMar>
                    <w:top w:w="12" w:type="dxa"/>
                    <w:left w:w="12" w:type="dxa"/>
                    <w:bottom w:w="0" w:type="dxa"/>
                    <w:right w:w="12" w:type="dxa"/>
                  </w:tcMar>
                  <w:vAlign w:val="center"/>
                </w:tcPr>
                <w:p>
                  <w:pPr>
                    <w:widowControl/>
                    <w:spacing w:before="100" w:beforeAutospacing="1" w:after="100" w:afterAutospacing="1"/>
                    <w:jc w:val="center"/>
                    <w:textAlignment w:val="center"/>
                    <w:rPr>
                      <w:rFonts w:ascii="Times New Roman" w:hAnsi="Times New Roman" w:eastAsia="宋体"/>
                      <w:color w:val="auto"/>
                      <w:kern w:val="0"/>
                      <w:sz w:val="21"/>
                    </w:rPr>
                  </w:pPr>
                  <w:r>
                    <w:rPr>
                      <w:rFonts w:hint="eastAsia" w:ascii="Times New Roman" w:hAnsi="Times New Roman" w:eastAsia="宋体"/>
                      <w:color w:val="auto"/>
                      <w:kern w:val="0"/>
                      <w:sz w:val="21"/>
                    </w:rPr>
                    <w:t>15988932355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14" w:hRule="atLeast"/>
                <w:tblCellSpacing w:w="15" w:type="dxa"/>
              </w:trPr>
              <w:tc>
                <w:tcPr>
                  <w:tcW w:w="2379" w:type="dxa"/>
                  <w:tcMar>
                    <w:top w:w="12" w:type="dxa"/>
                    <w:left w:w="12" w:type="dxa"/>
                    <w:bottom w:w="0" w:type="dxa"/>
                    <w:right w:w="12" w:type="dxa"/>
                  </w:tcMar>
                  <w:vAlign w:val="center"/>
                </w:tcPr>
                <w:p>
                  <w:pPr>
                    <w:widowControl/>
                    <w:spacing w:before="100" w:beforeAutospacing="1" w:after="100" w:afterAutospacing="1"/>
                    <w:jc w:val="center"/>
                    <w:textAlignment w:val="center"/>
                    <w:rPr>
                      <w:rFonts w:ascii="Times New Roman" w:hAnsi="Times New Roman" w:eastAsia="宋体"/>
                      <w:color w:val="auto"/>
                      <w:kern w:val="0"/>
                      <w:sz w:val="21"/>
                    </w:rPr>
                  </w:pPr>
                  <w:r>
                    <w:rPr>
                      <w:rFonts w:hint="eastAsia" w:ascii="Times New Roman" w:hAnsi="Times New Roman" w:eastAsia="宋体"/>
                      <w:color w:val="auto"/>
                      <w:kern w:val="0"/>
                      <w:sz w:val="21"/>
                    </w:rPr>
                    <w:t>中国邮政储蓄银行</w:t>
                  </w:r>
                </w:p>
              </w:tc>
              <w:tc>
                <w:tcPr>
                  <w:tcW w:w="1691" w:type="dxa"/>
                  <w:tcMar>
                    <w:top w:w="12" w:type="dxa"/>
                    <w:left w:w="12" w:type="dxa"/>
                    <w:bottom w:w="0" w:type="dxa"/>
                    <w:right w:w="12" w:type="dxa"/>
                  </w:tcMar>
                  <w:vAlign w:val="center"/>
                </w:tcPr>
                <w:p>
                  <w:pPr>
                    <w:widowControl/>
                    <w:spacing w:before="100" w:beforeAutospacing="1" w:after="100" w:afterAutospacing="1"/>
                    <w:jc w:val="center"/>
                    <w:textAlignment w:val="center"/>
                    <w:rPr>
                      <w:rFonts w:ascii="Times New Roman" w:hAnsi="Times New Roman" w:eastAsia="宋体"/>
                      <w:color w:val="auto"/>
                      <w:kern w:val="0"/>
                      <w:sz w:val="21"/>
                    </w:rPr>
                  </w:pPr>
                  <w:r>
                    <w:rPr>
                      <w:rFonts w:hint="eastAsia" w:ascii="Times New Roman" w:hAnsi="Times New Roman" w:eastAsia="宋体"/>
                      <w:color w:val="auto"/>
                      <w:kern w:val="0"/>
                      <w:sz w:val="21"/>
                    </w:rPr>
                    <w:t>赵红芳</w:t>
                  </w:r>
                </w:p>
              </w:tc>
              <w:tc>
                <w:tcPr>
                  <w:tcW w:w="2650" w:type="dxa"/>
                  <w:tcMar>
                    <w:top w:w="12" w:type="dxa"/>
                    <w:left w:w="12" w:type="dxa"/>
                    <w:bottom w:w="0" w:type="dxa"/>
                    <w:right w:w="12" w:type="dxa"/>
                  </w:tcMar>
                  <w:vAlign w:val="center"/>
                </w:tcPr>
                <w:p>
                  <w:pPr>
                    <w:widowControl/>
                    <w:spacing w:before="100" w:beforeAutospacing="1" w:after="100" w:afterAutospacing="1"/>
                    <w:jc w:val="center"/>
                    <w:textAlignment w:val="center"/>
                    <w:rPr>
                      <w:rFonts w:ascii="Times New Roman" w:hAnsi="Times New Roman" w:eastAsia="宋体"/>
                      <w:color w:val="auto"/>
                      <w:kern w:val="0"/>
                      <w:sz w:val="21"/>
                    </w:rPr>
                  </w:pPr>
                  <w:r>
                    <w:rPr>
                      <w:rFonts w:hint="eastAsia" w:ascii="Times New Roman" w:hAnsi="Times New Roman" w:eastAsia="宋体"/>
                      <w:color w:val="auto"/>
                      <w:kern w:val="0"/>
                      <w:sz w:val="21"/>
                    </w:rPr>
                    <w:t>18968556112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32" w:hRule="atLeast"/>
                <w:tblCellSpacing w:w="15" w:type="dxa"/>
              </w:trPr>
              <w:tc>
                <w:tcPr>
                  <w:tcW w:w="2379" w:type="dxa"/>
                  <w:tcMar>
                    <w:top w:w="12" w:type="dxa"/>
                    <w:left w:w="12" w:type="dxa"/>
                    <w:bottom w:w="0" w:type="dxa"/>
                    <w:right w:w="12" w:type="dxa"/>
                  </w:tcMar>
                  <w:vAlign w:val="center"/>
                </w:tcPr>
                <w:p>
                  <w:pPr>
                    <w:widowControl/>
                    <w:spacing w:before="100" w:beforeAutospacing="1" w:after="100" w:afterAutospacing="1"/>
                    <w:jc w:val="center"/>
                    <w:textAlignment w:val="center"/>
                    <w:rPr>
                      <w:rFonts w:ascii="Times New Roman" w:hAnsi="Times New Roman" w:eastAsia="宋体"/>
                      <w:color w:val="auto"/>
                      <w:kern w:val="0"/>
                      <w:sz w:val="21"/>
                    </w:rPr>
                  </w:pPr>
                  <w:r>
                    <w:rPr>
                      <w:rFonts w:hint="eastAsia" w:ascii="Times New Roman" w:hAnsi="Times New Roman" w:eastAsia="宋体"/>
                      <w:color w:val="auto"/>
                      <w:kern w:val="0"/>
                      <w:sz w:val="21"/>
                    </w:rPr>
                    <w:t>农村商业银行</w:t>
                  </w:r>
                </w:p>
              </w:tc>
              <w:tc>
                <w:tcPr>
                  <w:tcW w:w="1691" w:type="dxa"/>
                  <w:tcMar>
                    <w:top w:w="12" w:type="dxa"/>
                    <w:left w:w="12" w:type="dxa"/>
                    <w:bottom w:w="0" w:type="dxa"/>
                    <w:right w:w="12" w:type="dxa"/>
                  </w:tcMar>
                  <w:vAlign w:val="center"/>
                </w:tcPr>
                <w:p>
                  <w:pPr>
                    <w:widowControl/>
                    <w:spacing w:before="100" w:beforeAutospacing="1" w:after="100" w:afterAutospacing="1"/>
                    <w:jc w:val="center"/>
                    <w:textAlignment w:val="center"/>
                    <w:rPr>
                      <w:rFonts w:ascii="Times New Roman" w:hAnsi="Times New Roman" w:eastAsia="宋体"/>
                      <w:color w:val="auto"/>
                      <w:kern w:val="0"/>
                      <w:sz w:val="21"/>
                    </w:rPr>
                  </w:pPr>
                  <w:r>
                    <w:rPr>
                      <w:rFonts w:hint="eastAsia" w:ascii="Times New Roman" w:hAnsi="Times New Roman" w:eastAsia="宋体"/>
                      <w:color w:val="auto"/>
                      <w:kern w:val="0"/>
                      <w:sz w:val="21"/>
                    </w:rPr>
                    <w:t>叶斌昇</w:t>
                  </w:r>
                </w:p>
              </w:tc>
              <w:tc>
                <w:tcPr>
                  <w:tcW w:w="2650" w:type="dxa"/>
                  <w:tcMar>
                    <w:top w:w="12" w:type="dxa"/>
                    <w:left w:w="12" w:type="dxa"/>
                    <w:bottom w:w="0" w:type="dxa"/>
                    <w:right w:w="12" w:type="dxa"/>
                  </w:tcMar>
                  <w:vAlign w:val="center"/>
                </w:tcPr>
                <w:p>
                  <w:pPr>
                    <w:widowControl/>
                    <w:spacing w:before="100" w:beforeAutospacing="1" w:after="100" w:afterAutospacing="1"/>
                    <w:jc w:val="center"/>
                    <w:textAlignment w:val="center"/>
                    <w:rPr>
                      <w:rFonts w:ascii="Times New Roman" w:hAnsi="Times New Roman" w:eastAsia="宋体"/>
                      <w:color w:val="auto"/>
                      <w:kern w:val="0"/>
                      <w:sz w:val="21"/>
                    </w:rPr>
                  </w:pPr>
                  <w:r>
                    <w:rPr>
                      <w:rFonts w:hint="eastAsia" w:ascii="Times New Roman" w:hAnsi="Times New Roman" w:eastAsia="宋体"/>
                      <w:color w:val="auto"/>
                      <w:kern w:val="0"/>
                      <w:sz w:val="21"/>
                    </w:rPr>
                    <w:t>13806593583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32" w:hRule="atLeast"/>
                <w:tblCellSpacing w:w="15" w:type="dxa"/>
              </w:trPr>
              <w:tc>
                <w:tcPr>
                  <w:tcW w:w="2379" w:type="dxa"/>
                  <w:tcMar>
                    <w:top w:w="12" w:type="dxa"/>
                    <w:left w:w="12" w:type="dxa"/>
                    <w:bottom w:w="0" w:type="dxa"/>
                    <w:right w:w="12" w:type="dxa"/>
                  </w:tcMar>
                  <w:vAlign w:val="center"/>
                </w:tcPr>
                <w:p>
                  <w:pPr>
                    <w:widowControl/>
                    <w:spacing w:before="100" w:beforeAutospacing="1" w:after="100" w:afterAutospacing="1"/>
                    <w:jc w:val="center"/>
                    <w:textAlignment w:val="center"/>
                    <w:rPr>
                      <w:rFonts w:ascii="Times New Roman" w:hAnsi="Times New Roman" w:eastAsia="宋体"/>
                      <w:color w:val="auto"/>
                      <w:kern w:val="0"/>
                      <w:sz w:val="21"/>
                    </w:rPr>
                  </w:pPr>
                  <w:r>
                    <w:rPr>
                      <w:rFonts w:hint="eastAsia" w:ascii="Times New Roman" w:hAnsi="Times New Roman" w:eastAsia="宋体"/>
                      <w:color w:val="auto"/>
                      <w:kern w:val="0"/>
                      <w:sz w:val="21"/>
                    </w:rPr>
                    <w:t>中国农业银行</w:t>
                  </w:r>
                </w:p>
              </w:tc>
              <w:tc>
                <w:tcPr>
                  <w:tcW w:w="1691" w:type="dxa"/>
                  <w:tcMar>
                    <w:top w:w="12" w:type="dxa"/>
                    <w:left w:w="12" w:type="dxa"/>
                    <w:bottom w:w="0" w:type="dxa"/>
                    <w:right w:w="12" w:type="dxa"/>
                  </w:tcMar>
                  <w:vAlign w:val="center"/>
                </w:tcPr>
                <w:p>
                  <w:pPr>
                    <w:widowControl/>
                    <w:spacing w:before="100" w:beforeAutospacing="1" w:after="100" w:afterAutospacing="1"/>
                    <w:jc w:val="center"/>
                    <w:textAlignment w:val="center"/>
                    <w:rPr>
                      <w:rFonts w:ascii="Times New Roman" w:hAnsi="Times New Roman" w:eastAsia="宋体"/>
                      <w:color w:val="auto"/>
                      <w:kern w:val="0"/>
                      <w:sz w:val="21"/>
                    </w:rPr>
                  </w:pPr>
                  <w:r>
                    <w:rPr>
                      <w:rFonts w:hint="eastAsia" w:ascii="Times New Roman" w:hAnsi="Times New Roman" w:eastAsia="宋体"/>
                      <w:color w:val="auto"/>
                      <w:kern w:val="0"/>
                      <w:sz w:val="21"/>
                    </w:rPr>
                    <w:t>娄志伟</w:t>
                  </w:r>
                </w:p>
              </w:tc>
              <w:tc>
                <w:tcPr>
                  <w:tcW w:w="2650" w:type="dxa"/>
                  <w:tcMar>
                    <w:top w:w="12" w:type="dxa"/>
                    <w:left w:w="12" w:type="dxa"/>
                    <w:bottom w:w="0" w:type="dxa"/>
                    <w:right w:w="12" w:type="dxa"/>
                  </w:tcMar>
                  <w:vAlign w:val="center"/>
                </w:tcPr>
                <w:p>
                  <w:pPr>
                    <w:widowControl/>
                    <w:spacing w:before="100" w:beforeAutospacing="1" w:after="100" w:afterAutospacing="1"/>
                    <w:jc w:val="center"/>
                    <w:textAlignment w:val="center"/>
                    <w:rPr>
                      <w:rFonts w:ascii="Times New Roman" w:hAnsi="Times New Roman" w:eastAsia="宋体"/>
                      <w:color w:val="auto"/>
                      <w:kern w:val="0"/>
                      <w:sz w:val="21"/>
                    </w:rPr>
                  </w:pPr>
                  <w:r>
                    <w:rPr>
                      <w:rFonts w:hint="eastAsia" w:ascii="Times New Roman" w:hAnsi="Times New Roman" w:eastAsia="宋体"/>
                      <w:color w:val="auto"/>
                      <w:kern w:val="0"/>
                      <w:sz w:val="21"/>
                    </w:rPr>
                    <w:t>13958514828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32" w:hRule="atLeast"/>
                <w:tblCellSpacing w:w="15" w:type="dxa"/>
              </w:trPr>
              <w:tc>
                <w:tcPr>
                  <w:tcW w:w="2379" w:type="dxa"/>
                  <w:tcMar>
                    <w:top w:w="12" w:type="dxa"/>
                    <w:left w:w="12" w:type="dxa"/>
                    <w:bottom w:w="0" w:type="dxa"/>
                    <w:right w:w="12" w:type="dxa"/>
                  </w:tcMar>
                  <w:vAlign w:val="center"/>
                </w:tcPr>
                <w:p>
                  <w:pPr>
                    <w:widowControl/>
                    <w:spacing w:before="100" w:beforeAutospacing="1" w:after="100" w:afterAutospacing="1"/>
                    <w:jc w:val="center"/>
                    <w:textAlignment w:val="center"/>
                    <w:rPr>
                      <w:rFonts w:ascii="Times New Roman" w:hAnsi="Times New Roman" w:eastAsia="宋体"/>
                      <w:color w:val="auto"/>
                      <w:kern w:val="0"/>
                      <w:sz w:val="21"/>
                    </w:rPr>
                  </w:pPr>
                  <w:r>
                    <w:rPr>
                      <w:rFonts w:hint="eastAsia" w:ascii="Times New Roman" w:hAnsi="Times New Roman" w:eastAsia="宋体"/>
                      <w:color w:val="auto"/>
                      <w:kern w:val="0"/>
                      <w:sz w:val="21"/>
                    </w:rPr>
                    <w:t>台州银行</w:t>
                  </w:r>
                </w:p>
              </w:tc>
              <w:tc>
                <w:tcPr>
                  <w:tcW w:w="1691" w:type="dxa"/>
                  <w:tcMar>
                    <w:top w:w="12" w:type="dxa"/>
                    <w:left w:w="12" w:type="dxa"/>
                    <w:bottom w:w="0" w:type="dxa"/>
                    <w:right w:w="12" w:type="dxa"/>
                  </w:tcMar>
                  <w:vAlign w:val="center"/>
                </w:tcPr>
                <w:p>
                  <w:pPr>
                    <w:widowControl/>
                    <w:spacing w:before="100" w:beforeAutospacing="1" w:after="100" w:afterAutospacing="1"/>
                    <w:jc w:val="center"/>
                    <w:textAlignment w:val="center"/>
                    <w:rPr>
                      <w:rFonts w:ascii="Times New Roman" w:hAnsi="Times New Roman" w:eastAsia="宋体"/>
                      <w:color w:val="auto"/>
                      <w:kern w:val="0"/>
                      <w:sz w:val="21"/>
                    </w:rPr>
                  </w:pPr>
                  <w:r>
                    <w:rPr>
                      <w:rFonts w:hint="eastAsia" w:ascii="Times New Roman" w:hAnsi="Times New Roman" w:eastAsia="宋体"/>
                      <w:color w:val="auto"/>
                      <w:kern w:val="0"/>
                      <w:sz w:val="21"/>
                    </w:rPr>
                    <w:t>朱翔</w:t>
                  </w:r>
                </w:p>
              </w:tc>
              <w:tc>
                <w:tcPr>
                  <w:tcW w:w="2650" w:type="dxa"/>
                  <w:tcMar>
                    <w:top w:w="12" w:type="dxa"/>
                    <w:left w:w="12" w:type="dxa"/>
                    <w:bottom w:w="0" w:type="dxa"/>
                    <w:right w:w="12" w:type="dxa"/>
                  </w:tcMar>
                  <w:vAlign w:val="center"/>
                </w:tcPr>
                <w:p>
                  <w:pPr>
                    <w:widowControl/>
                    <w:spacing w:before="100" w:beforeAutospacing="1" w:after="100" w:afterAutospacing="1"/>
                    <w:jc w:val="center"/>
                    <w:textAlignment w:val="center"/>
                    <w:rPr>
                      <w:rFonts w:ascii="Times New Roman" w:hAnsi="Times New Roman" w:eastAsia="宋体"/>
                      <w:color w:val="auto"/>
                      <w:kern w:val="0"/>
                      <w:sz w:val="21"/>
                    </w:rPr>
                  </w:pPr>
                  <w:r>
                    <w:rPr>
                      <w:rFonts w:hint="eastAsia" w:ascii="Times New Roman" w:hAnsi="Times New Roman" w:eastAsia="宋体"/>
                      <w:color w:val="auto"/>
                      <w:kern w:val="0"/>
                      <w:sz w:val="21"/>
                    </w:rPr>
                    <w:t>13819660917</w:t>
                  </w:r>
                </w:p>
              </w:tc>
            </w:tr>
          </w:tbl>
          <w:p>
            <w:pPr>
              <w:autoSpaceDE w:val="0"/>
              <w:autoSpaceDN w:val="0"/>
              <w:adjustRightInd w:val="0"/>
              <w:spacing w:line="300" w:lineRule="exact"/>
              <w:rPr>
                <w:rFonts w:ascii="宋体" w:hAnsi="宋体" w:eastAsia="宋体"/>
                <w:bCs/>
                <w:color w:val="auto"/>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7" w:hRule="atLeast"/>
        </w:trPr>
        <w:tc>
          <w:tcPr>
            <w:tcW w:w="738" w:type="dxa"/>
            <w:tcBorders>
              <w:top w:val="single" w:color="auto" w:sz="4" w:space="0"/>
            </w:tcBorders>
            <w:vAlign w:val="center"/>
          </w:tcPr>
          <w:p>
            <w:pPr>
              <w:spacing w:line="300" w:lineRule="exact"/>
              <w:jc w:val="center"/>
              <w:rPr>
                <w:rFonts w:ascii="宋体" w:hAnsi="宋体" w:eastAsia="宋体"/>
                <w:color w:val="auto"/>
                <w:sz w:val="24"/>
              </w:rPr>
            </w:pPr>
            <w:r>
              <w:rPr>
                <w:rFonts w:hint="eastAsia" w:ascii="宋体" w:hAnsi="宋体" w:eastAsia="宋体"/>
                <w:color w:val="auto"/>
                <w:sz w:val="24"/>
              </w:rPr>
              <w:t>16</w:t>
            </w:r>
          </w:p>
        </w:tc>
        <w:tc>
          <w:tcPr>
            <w:tcW w:w="2019" w:type="dxa"/>
            <w:tcBorders>
              <w:top w:val="single" w:color="auto" w:sz="4" w:space="0"/>
            </w:tcBorders>
            <w:vAlign w:val="center"/>
          </w:tcPr>
          <w:p>
            <w:pPr>
              <w:autoSpaceDE w:val="0"/>
              <w:autoSpaceDN w:val="0"/>
              <w:adjustRightInd w:val="0"/>
              <w:spacing w:line="300" w:lineRule="exact"/>
              <w:jc w:val="center"/>
              <w:rPr>
                <w:rFonts w:ascii="宋体" w:hAnsi="宋体"/>
                <w:color w:val="auto"/>
                <w:sz w:val="21"/>
                <w:szCs w:val="21"/>
              </w:rPr>
            </w:pPr>
            <w:r>
              <w:rPr>
                <w:rFonts w:hint="eastAsia" w:ascii="宋体" w:hAnsi="宋体"/>
                <w:color w:val="auto"/>
                <w:sz w:val="21"/>
                <w:szCs w:val="21"/>
              </w:rPr>
              <w:t>解释权</w:t>
            </w:r>
          </w:p>
        </w:tc>
        <w:tc>
          <w:tcPr>
            <w:tcW w:w="6906" w:type="dxa"/>
            <w:tcBorders>
              <w:top w:val="single" w:color="auto" w:sz="4" w:space="0"/>
            </w:tcBorders>
            <w:vAlign w:val="center"/>
          </w:tcPr>
          <w:p>
            <w:pPr>
              <w:autoSpaceDE w:val="0"/>
              <w:autoSpaceDN w:val="0"/>
              <w:adjustRightInd w:val="0"/>
              <w:spacing w:line="300" w:lineRule="exact"/>
              <w:rPr>
                <w:rFonts w:ascii="宋体" w:hAnsi="宋体"/>
                <w:color w:val="auto"/>
                <w:sz w:val="21"/>
                <w:szCs w:val="21"/>
              </w:rPr>
            </w:pPr>
            <w:r>
              <w:rPr>
                <w:rFonts w:hint="eastAsia" w:ascii="宋体" w:hAnsi="宋体"/>
                <w:color w:val="auto"/>
                <w:sz w:val="21"/>
                <w:szCs w:val="21"/>
              </w:rPr>
              <w:t>本磋商文件解释权属于采购人和采购代理机构。</w:t>
            </w:r>
          </w:p>
        </w:tc>
      </w:tr>
    </w:tbl>
    <w:tbl>
      <w:tblPr>
        <w:tblStyle w:val="25"/>
        <w:tblpPr w:leftFromText="180" w:rightFromText="180" w:vertAnchor="page" w:horzAnchor="page" w:tblpX="928" w:tblpY="2148"/>
        <w:tblOverlap w:val="never"/>
        <w:tblW w:w="99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6"/>
        <w:gridCol w:w="5695"/>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trPr>
        <w:tc>
          <w:tcPr>
            <w:tcW w:w="2846" w:type="dxa"/>
          </w:tcPr>
          <w:p>
            <w:pPr>
              <w:jc w:val="center"/>
              <w:rPr>
                <w:rFonts w:ascii="宋体" w:hAnsi="宋体" w:eastAsia="宋体" w:cs="宋体"/>
                <w:b/>
                <w:bCs/>
                <w:color w:val="auto"/>
                <w:sz w:val="21"/>
                <w:szCs w:val="21"/>
              </w:rPr>
            </w:pPr>
            <w:r>
              <w:rPr>
                <w:rFonts w:hint="eastAsia" w:ascii="宋体" w:hAnsi="宋体" w:eastAsia="宋体" w:cs="宋体"/>
                <w:b/>
                <w:bCs/>
                <w:color w:val="auto"/>
                <w:sz w:val="21"/>
                <w:szCs w:val="21"/>
              </w:rPr>
              <w:t>金融机构名称及意愿承担保函（保单）种类</w:t>
            </w:r>
          </w:p>
        </w:tc>
        <w:tc>
          <w:tcPr>
            <w:tcW w:w="5695" w:type="dxa"/>
          </w:tcPr>
          <w:p>
            <w:pPr>
              <w:jc w:val="center"/>
              <w:rPr>
                <w:rFonts w:ascii="宋体" w:hAnsi="宋体" w:eastAsia="宋体" w:cs="宋体"/>
                <w:b/>
                <w:bCs/>
                <w:color w:val="auto"/>
                <w:sz w:val="21"/>
                <w:szCs w:val="21"/>
              </w:rPr>
            </w:pPr>
            <w:r>
              <w:rPr>
                <w:rFonts w:hint="eastAsia" w:ascii="宋体" w:hAnsi="宋体" w:eastAsia="宋体" w:cs="宋体"/>
                <w:b/>
                <w:bCs/>
                <w:color w:val="auto"/>
                <w:sz w:val="21"/>
                <w:szCs w:val="21"/>
              </w:rPr>
              <w:t>保函（保单）收费情况</w:t>
            </w:r>
          </w:p>
        </w:tc>
        <w:tc>
          <w:tcPr>
            <w:tcW w:w="1455" w:type="dxa"/>
          </w:tcPr>
          <w:p>
            <w:pPr>
              <w:jc w:val="center"/>
              <w:rPr>
                <w:rFonts w:ascii="宋体" w:hAnsi="宋体" w:eastAsia="宋体" w:cs="宋体"/>
                <w:b/>
                <w:bCs/>
                <w:color w:val="auto"/>
                <w:sz w:val="21"/>
                <w:szCs w:val="21"/>
              </w:rPr>
            </w:pPr>
            <w:r>
              <w:rPr>
                <w:rFonts w:hint="eastAsia" w:ascii="宋体" w:hAnsi="宋体" w:eastAsia="宋体" w:cs="宋体"/>
                <w:b/>
                <w:bCs/>
                <w:color w:val="auto"/>
                <w:sz w:val="21"/>
                <w:szCs w:val="21"/>
              </w:rPr>
              <w:t>联系人及</w:t>
            </w:r>
          </w:p>
          <w:p>
            <w:pPr>
              <w:jc w:val="center"/>
              <w:rPr>
                <w:rFonts w:ascii="宋体" w:hAnsi="宋体" w:eastAsia="宋体" w:cs="宋体"/>
                <w:b/>
                <w:bCs/>
                <w:color w:val="auto"/>
                <w:sz w:val="21"/>
                <w:szCs w:val="21"/>
              </w:rPr>
            </w:pPr>
            <w:r>
              <w:rPr>
                <w:rFonts w:hint="eastAsia" w:ascii="宋体" w:hAnsi="宋体" w:eastAsia="宋体" w:cs="宋体"/>
                <w:b/>
                <w:bCs/>
                <w:color w:val="auto"/>
                <w:sz w:val="21"/>
                <w:szCs w:val="21"/>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7" w:hRule="atLeast"/>
        </w:trPr>
        <w:tc>
          <w:tcPr>
            <w:tcW w:w="2846" w:type="dxa"/>
            <w:vAlign w:val="center"/>
          </w:tcPr>
          <w:p>
            <w:pPr>
              <w:rPr>
                <w:rFonts w:ascii="宋体" w:hAnsi="宋体" w:eastAsia="宋体" w:cs="宋体"/>
                <w:color w:val="auto"/>
                <w:sz w:val="21"/>
                <w:szCs w:val="21"/>
              </w:rPr>
            </w:pPr>
            <w:r>
              <w:rPr>
                <w:rFonts w:hint="eastAsia" w:ascii="宋体" w:hAnsi="宋体" w:eastAsia="宋体" w:cs="宋体"/>
                <w:color w:val="auto"/>
                <w:sz w:val="21"/>
                <w:szCs w:val="21"/>
              </w:rPr>
              <w:t>机构名称：中国工商银行股份有限公司仙居支行</w:t>
            </w:r>
          </w:p>
          <w:p>
            <w:pPr>
              <w:rPr>
                <w:rFonts w:ascii="宋体" w:hAnsi="宋体" w:eastAsia="宋体" w:cs="宋体"/>
                <w:color w:val="auto"/>
                <w:sz w:val="21"/>
                <w:szCs w:val="21"/>
              </w:rPr>
            </w:pPr>
            <w:r>
              <w:rPr>
                <w:rFonts w:hint="eastAsia" w:ascii="宋体" w:hAnsi="宋体" w:eastAsia="宋体" w:cs="宋体"/>
                <w:color w:val="auto"/>
                <w:sz w:val="21"/>
                <w:szCs w:val="21"/>
              </w:rPr>
              <w:t>履约保函： 是</w:t>
            </w:r>
          </w:p>
          <w:p>
            <w:pPr>
              <w:rPr>
                <w:rFonts w:ascii="宋体" w:hAnsi="宋体" w:eastAsia="宋体" w:cs="宋体"/>
                <w:color w:val="auto"/>
                <w:sz w:val="21"/>
                <w:szCs w:val="21"/>
              </w:rPr>
            </w:pPr>
            <w:r>
              <w:rPr>
                <w:rFonts w:hint="eastAsia" w:ascii="宋体" w:hAnsi="宋体" w:eastAsia="宋体" w:cs="宋体"/>
                <w:color w:val="auto"/>
                <w:sz w:val="21"/>
                <w:szCs w:val="21"/>
              </w:rPr>
              <w:t>预付款保函： 是</w:t>
            </w:r>
          </w:p>
          <w:p>
            <w:pPr>
              <w:rPr>
                <w:rFonts w:ascii="宋体" w:hAnsi="宋体" w:eastAsia="宋体" w:cs="宋体"/>
                <w:color w:val="auto"/>
                <w:sz w:val="21"/>
                <w:szCs w:val="21"/>
              </w:rPr>
            </w:pPr>
          </w:p>
        </w:tc>
        <w:tc>
          <w:tcPr>
            <w:tcW w:w="5695" w:type="dxa"/>
            <w:vAlign w:val="center"/>
          </w:tcPr>
          <w:p>
            <w:pPr>
              <w:jc w:val="left"/>
              <w:rPr>
                <w:rFonts w:ascii="宋体" w:hAnsi="宋体" w:eastAsia="宋体" w:cs="宋体"/>
                <w:color w:val="auto"/>
                <w:sz w:val="21"/>
                <w:szCs w:val="21"/>
              </w:rPr>
            </w:pPr>
            <w:r>
              <w:rPr>
                <w:rFonts w:hint="eastAsia" w:ascii="宋体" w:hAnsi="宋体" w:eastAsia="宋体" w:cs="宋体"/>
                <w:color w:val="auto"/>
                <w:sz w:val="21"/>
                <w:szCs w:val="21"/>
              </w:rPr>
              <w:t>对外保函服务</w:t>
            </w:r>
          </w:p>
          <w:p>
            <w:pPr>
              <w:jc w:val="left"/>
              <w:rPr>
                <w:rFonts w:ascii="宋体" w:hAnsi="宋体" w:eastAsia="宋体" w:cs="宋体"/>
                <w:color w:val="auto"/>
                <w:sz w:val="21"/>
                <w:szCs w:val="21"/>
              </w:rPr>
            </w:pPr>
            <w:r>
              <w:rPr>
                <w:rFonts w:hint="eastAsia" w:ascii="宋体" w:hAnsi="宋体" w:eastAsia="宋体" w:cs="宋体"/>
                <w:color w:val="auto"/>
                <w:sz w:val="21"/>
                <w:szCs w:val="21"/>
              </w:rPr>
              <w:t>1.开立及展期费担保费率：</w:t>
            </w:r>
          </w:p>
          <w:p>
            <w:pPr>
              <w:jc w:val="left"/>
              <w:rPr>
                <w:rFonts w:ascii="宋体" w:hAnsi="宋体" w:eastAsia="宋体" w:cs="宋体"/>
                <w:color w:val="auto"/>
                <w:sz w:val="21"/>
                <w:szCs w:val="21"/>
              </w:rPr>
            </w:pPr>
            <w:r>
              <w:rPr>
                <w:rFonts w:hint="eastAsia" w:ascii="宋体" w:hAnsi="宋体" w:eastAsia="宋体" w:cs="宋体"/>
                <w:color w:val="auto"/>
                <w:sz w:val="21"/>
                <w:szCs w:val="21"/>
              </w:rPr>
              <w:t>（1)融资性保函：期限在一年（含）以内，客户按担保额度0.05-0.25%/月计收。最小计费周期为实际月（按实际发生天数，从保函生效之日至失效日计算，30天为1月），期限不足1月的按1个月计收。最低500元／季。</w:t>
            </w:r>
          </w:p>
          <w:p>
            <w:pPr>
              <w:jc w:val="left"/>
              <w:rPr>
                <w:rFonts w:ascii="宋体" w:hAnsi="宋体" w:eastAsia="宋体" w:cs="宋体"/>
                <w:color w:val="auto"/>
                <w:sz w:val="21"/>
                <w:szCs w:val="21"/>
              </w:rPr>
            </w:pPr>
            <w:r>
              <w:rPr>
                <w:rFonts w:hint="eastAsia" w:ascii="宋体" w:hAnsi="宋体" w:eastAsia="宋体" w:cs="宋体"/>
                <w:color w:val="auto"/>
                <w:sz w:val="21"/>
                <w:szCs w:val="21"/>
              </w:rPr>
              <w:t>（2)非融资性保函：期限在一年（含）以内，客户按0.027-0.167%/月计收。最小计费周期为实际月（按实际发生天数，从保函生效之日至失效日计算，30天为1月），期限不足1月的按1个月计收。最低500元／季。</w:t>
            </w:r>
          </w:p>
          <w:p>
            <w:pPr>
              <w:jc w:val="left"/>
              <w:rPr>
                <w:rFonts w:ascii="宋体" w:hAnsi="宋体" w:eastAsia="宋体" w:cs="宋体"/>
                <w:color w:val="auto"/>
                <w:sz w:val="21"/>
                <w:szCs w:val="21"/>
              </w:rPr>
            </w:pPr>
            <w:r>
              <w:rPr>
                <w:rFonts w:hint="eastAsia" w:ascii="宋体" w:hAnsi="宋体" w:eastAsia="宋体" w:cs="宋体"/>
                <w:color w:val="auto"/>
                <w:sz w:val="21"/>
                <w:szCs w:val="21"/>
              </w:rPr>
              <w:t>（3)担保期限超过一年的，每增加一年整体费率提高10%（单利）。若担保文本未明确确定的到期日或含有自动延展性质条款的，我行可按根据基础合同和担保文本的有关约定推算出的担保最长有效期调整对应的费率。</w:t>
            </w:r>
          </w:p>
          <w:p>
            <w:pPr>
              <w:rPr>
                <w:rFonts w:ascii="宋体" w:hAnsi="宋体" w:eastAsia="宋体" w:cs="宋体"/>
                <w:color w:val="auto"/>
                <w:sz w:val="21"/>
                <w:szCs w:val="21"/>
              </w:rPr>
            </w:pPr>
            <w:r>
              <w:rPr>
                <w:rFonts w:hint="eastAsia" w:ascii="宋体" w:hAnsi="宋体" w:eastAsia="宋体" w:cs="宋体"/>
                <w:color w:val="auto"/>
                <w:sz w:val="21"/>
                <w:szCs w:val="21"/>
              </w:rPr>
              <w:t>如企业划型为小微企业的，以上手续费全免。</w:t>
            </w:r>
          </w:p>
        </w:tc>
        <w:tc>
          <w:tcPr>
            <w:tcW w:w="1455" w:type="dxa"/>
            <w:vAlign w:val="center"/>
          </w:tcPr>
          <w:p>
            <w:pPr>
              <w:rPr>
                <w:rFonts w:ascii="宋体" w:hAnsi="宋体" w:eastAsia="宋体" w:cs="宋体"/>
                <w:color w:val="auto"/>
                <w:sz w:val="21"/>
                <w:szCs w:val="21"/>
              </w:rPr>
            </w:pPr>
            <w:r>
              <w:rPr>
                <w:rFonts w:hint="eastAsia" w:ascii="宋体" w:hAnsi="宋体" w:eastAsia="宋体" w:cs="宋体"/>
                <w:color w:val="auto"/>
                <w:sz w:val="21"/>
                <w:szCs w:val="21"/>
              </w:rPr>
              <w:t>陈盈13967614344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9" w:hRule="atLeast"/>
        </w:trPr>
        <w:tc>
          <w:tcPr>
            <w:tcW w:w="2846" w:type="dxa"/>
          </w:tcPr>
          <w:p>
            <w:pPr>
              <w:jc w:val="left"/>
              <w:rPr>
                <w:rFonts w:ascii="宋体" w:hAnsi="宋体" w:eastAsia="宋体" w:cs="宋体"/>
                <w:color w:val="auto"/>
                <w:sz w:val="21"/>
                <w:szCs w:val="21"/>
              </w:rPr>
            </w:pPr>
          </w:p>
          <w:p>
            <w:pPr>
              <w:jc w:val="left"/>
              <w:rPr>
                <w:rFonts w:ascii="宋体" w:hAnsi="宋体" w:eastAsia="宋体" w:cs="宋体"/>
                <w:color w:val="auto"/>
                <w:sz w:val="21"/>
                <w:szCs w:val="21"/>
              </w:rPr>
            </w:pPr>
          </w:p>
          <w:p>
            <w:pPr>
              <w:jc w:val="left"/>
              <w:rPr>
                <w:rFonts w:ascii="宋体" w:hAnsi="宋体" w:eastAsia="宋体" w:cs="宋体"/>
                <w:color w:val="auto"/>
                <w:sz w:val="21"/>
                <w:szCs w:val="21"/>
              </w:rPr>
            </w:pPr>
          </w:p>
          <w:p>
            <w:pPr>
              <w:jc w:val="left"/>
              <w:rPr>
                <w:rFonts w:ascii="宋体" w:hAnsi="宋体" w:eastAsia="宋体" w:cs="宋体"/>
                <w:color w:val="auto"/>
                <w:sz w:val="21"/>
                <w:szCs w:val="21"/>
              </w:rPr>
            </w:pPr>
          </w:p>
          <w:p>
            <w:pPr>
              <w:jc w:val="left"/>
              <w:rPr>
                <w:rFonts w:ascii="宋体" w:hAnsi="宋体" w:eastAsia="宋体" w:cs="宋体"/>
                <w:color w:val="auto"/>
                <w:sz w:val="21"/>
                <w:szCs w:val="21"/>
              </w:rPr>
            </w:pPr>
          </w:p>
          <w:p>
            <w:pPr>
              <w:jc w:val="left"/>
              <w:rPr>
                <w:rFonts w:ascii="宋体" w:hAnsi="宋体" w:eastAsia="宋体" w:cs="宋体"/>
                <w:color w:val="auto"/>
                <w:sz w:val="21"/>
                <w:szCs w:val="21"/>
              </w:rPr>
            </w:pPr>
            <w:r>
              <w:rPr>
                <w:rFonts w:hint="eastAsia" w:ascii="宋体" w:hAnsi="宋体" w:eastAsia="宋体" w:cs="宋体"/>
                <w:color w:val="auto"/>
                <w:sz w:val="21"/>
                <w:szCs w:val="21"/>
              </w:rPr>
              <w:t>机构名称：浙江泰隆商业银行台州仙居支行</w:t>
            </w:r>
          </w:p>
          <w:p>
            <w:pPr>
              <w:jc w:val="left"/>
              <w:rPr>
                <w:rFonts w:ascii="宋体" w:hAnsi="宋体" w:eastAsia="宋体" w:cs="宋体"/>
                <w:color w:val="auto"/>
                <w:sz w:val="21"/>
                <w:szCs w:val="21"/>
              </w:rPr>
            </w:pPr>
            <w:r>
              <w:rPr>
                <w:rFonts w:hint="eastAsia" w:ascii="宋体" w:hAnsi="宋体" w:eastAsia="宋体" w:cs="宋体"/>
                <w:color w:val="auto"/>
                <w:sz w:val="21"/>
                <w:szCs w:val="21"/>
              </w:rPr>
              <w:t>履约保函：是</w:t>
            </w:r>
          </w:p>
          <w:p>
            <w:pPr>
              <w:jc w:val="left"/>
              <w:rPr>
                <w:rFonts w:ascii="宋体" w:hAnsi="宋体" w:eastAsia="宋体" w:cs="宋体"/>
                <w:color w:val="auto"/>
                <w:sz w:val="21"/>
                <w:szCs w:val="21"/>
              </w:rPr>
            </w:pPr>
            <w:r>
              <w:rPr>
                <w:rFonts w:hint="eastAsia" w:ascii="宋体" w:hAnsi="宋体" w:eastAsia="宋体" w:cs="宋体"/>
                <w:color w:val="auto"/>
                <w:sz w:val="21"/>
                <w:szCs w:val="21"/>
              </w:rPr>
              <w:t>预付款保函：是</w:t>
            </w:r>
          </w:p>
          <w:p>
            <w:pPr>
              <w:jc w:val="left"/>
              <w:rPr>
                <w:rFonts w:ascii="宋体" w:hAnsi="宋体" w:eastAsia="宋体" w:cs="宋体"/>
                <w:color w:val="auto"/>
                <w:sz w:val="21"/>
                <w:szCs w:val="21"/>
              </w:rPr>
            </w:pPr>
            <w:r>
              <w:rPr>
                <w:rFonts w:hint="eastAsia" w:ascii="宋体" w:hAnsi="宋体" w:eastAsia="宋体" w:cs="宋体"/>
                <w:color w:val="auto"/>
                <w:sz w:val="21"/>
                <w:szCs w:val="21"/>
              </w:rPr>
              <w:t>备注：我行目前只有线下模式</w:t>
            </w:r>
          </w:p>
        </w:tc>
        <w:tc>
          <w:tcPr>
            <w:tcW w:w="5695" w:type="dxa"/>
          </w:tcPr>
          <w:p>
            <w:pPr>
              <w:jc w:val="left"/>
              <w:rPr>
                <w:rFonts w:ascii="宋体" w:hAnsi="宋体" w:eastAsia="宋体" w:cs="宋体"/>
                <w:color w:val="auto"/>
                <w:sz w:val="21"/>
                <w:szCs w:val="21"/>
              </w:rPr>
            </w:pPr>
            <w:r>
              <w:rPr>
                <w:rFonts w:hint="eastAsia" w:ascii="宋体" w:hAnsi="宋体" w:eastAsia="宋体" w:cs="宋体"/>
                <w:color w:val="auto"/>
                <w:sz w:val="21"/>
                <w:szCs w:val="21"/>
              </w:rPr>
              <w:t>根据保证金比例不同，参照下述费率计收：</w:t>
            </w:r>
          </w:p>
          <w:p>
            <w:pPr>
              <w:jc w:val="left"/>
              <w:rPr>
                <w:rFonts w:ascii="宋体" w:hAnsi="宋体" w:eastAsia="宋体" w:cs="宋体"/>
                <w:color w:val="auto"/>
                <w:sz w:val="21"/>
                <w:szCs w:val="21"/>
              </w:rPr>
            </w:pPr>
            <w:r>
              <w:rPr>
                <w:rFonts w:hint="eastAsia" w:ascii="宋体" w:hAnsi="宋体" w:eastAsia="宋体" w:cs="宋体"/>
                <w:color w:val="auto"/>
                <w:sz w:val="21"/>
                <w:szCs w:val="21"/>
              </w:rPr>
              <w:t>全额保证金，500一年；</w:t>
            </w:r>
          </w:p>
          <w:p>
            <w:pPr>
              <w:jc w:val="left"/>
              <w:rPr>
                <w:rFonts w:ascii="宋体" w:hAnsi="宋体" w:eastAsia="宋体" w:cs="宋体"/>
                <w:color w:val="auto"/>
                <w:sz w:val="21"/>
                <w:szCs w:val="21"/>
              </w:rPr>
            </w:pPr>
            <w:r>
              <w:rPr>
                <w:rFonts w:hint="eastAsia" w:ascii="宋体" w:hAnsi="宋体" w:eastAsia="宋体" w:cs="宋体"/>
                <w:color w:val="auto"/>
                <w:sz w:val="21"/>
                <w:szCs w:val="21"/>
              </w:rPr>
              <w:t>保证金比例50%以下，保函敞口金额的1.25‰/季，最低500元/季；</w:t>
            </w:r>
          </w:p>
          <w:p>
            <w:pPr>
              <w:jc w:val="left"/>
              <w:rPr>
                <w:rFonts w:ascii="宋体" w:hAnsi="宋体" w:eastAsia="宋体" w:cs="宋体"/>
                <w:color w:val="auto"/>
                <w:sz w:val="21"/>
                <w:szCs w:val="21"/>
              </w:rPr>
            </w:pPr>
            <w:r>
              <w:rPr>
                <w:rFonts w:hint="eastAsia" w:ascii="宋体" w:hAnsi="宋体" w:eastAsia="宋体" w:cs="宋体"/>
                <w:color w:val="auto"/>
                <w:sz w:val="21"/>
                <w:szCs w:val="21"/>
              </w:rPr>
              <w:t>保证金比例50%（含）以上，保函敞口金额的1‰/季，最低500元/季。</w:t>
            </w:r>
          </w:p>
          <w:p>
            <w:pPr>
              <w:jc w:val="left"/>
              <w:rPr>
                <w:rFonts w:ascii="宋体" w:hAnsi="宋体" w:eastAsia="宋体" w:cs="宋体"/>
                <w:color w:val="auto"/>
                <w:sz w:val="21"/>
                <w:szCs w:val="21"/>
              </w:rPr>
            </w:pPr>
            <w:r>
              <w:rPr>
                <w:rFonts w:hint="eastAsia" w:ascii="宋体" w:hAnsi="宋体" w:eastAsia="宋体" w:cs="宋体"/>
                <w:color w:val="auto"/>
                <w:sz w:val="21"/>
                <w:szCs w:val="21"/>
              </w:rPr>
              <w:t>涉及保函增额，增额部分参照开立保函收费标准另行收费，延期修改按照300/次的标准另行收费；</w:t>
            </w:r>
          </w:p>
          <w:p>
            <w:pPr>
              <w:jc w:val="left"/>
              <w:rPr>
                <w:rFonts w:ascii="宋体" w:hAnsi="宋体" w:eastAsia="宋体" w:cs="宋体"/>
                <w:color w:val="auto"/>
                <w:sz w:val="21"/>
                <w:szCs w:val="21"/>
              </w:rPr>
            </w:pPr>
            <w:r>
              <w:rPr>
                <w:rFonts w:hint="eastAsia" w:ascii="宋体" w:hAnsi="宋体" w:eastAsia="宋体" w:cs="宋体"/>
                <w:color w:val="auto"/>
                <w:sz w:val="21"/>
                <w:szCs w:val="21"/>
              </w:rPr>
              <w:t>按年收费项目不足一年按一年计收，超过一年三十天按照两年计收（从保函开立之日起390天（含）为一个年度三十天）</w:t>
            </w:r>
          </w:p>
          <w:p>
            <w:pPr>
              <w:jc w:val="left"/>
              <w:rPr>
                <w:rFonts w:ascii="宋体" w:hAnsi="宋体" w:eastAsia="宋体" w:cs="宋体"/>
                <w:color w:val="auto"/>
                <w:sz w:val="21"/>
                <w:szCs w:val="21"/>
              </w:rPr>
            </w:pPr>
            <w:r>
              <w:rPr>
                <w:rFonts w:hint="eastAsia" w:ascii="宋体" w:hAnsi="宋体" w:eastAsia="宋体" w:cs="宋体"/>
                <w:color w:val="auto"/>
                <w:sz w:val="21"/>
                <w:szCs w:val="21"/>
              </w:rPr>
              <w:t>按季收费项目不足一季按一季度计收，超过一季度十天的按两季度计收（从保函开立之日起100天（含）为一个季度十天）</w:t>
            </w:r>
          </w:p>
        </w:tc>
        <w:tc>
          <w:tcPr>
            <w:tcW w:w="1455" w:type="dxa"/>
          </w:tcPr>
          <w:p>
            <w:pPr>
              <w:jc w:val="left"/>
              <w:rPr>
                <w:rFonts w:ascii="宋体" w:hAnsi="宋体" w:eastAsia="宋体" w:cs="宋体"/>
                <w:color w:val="auto"/>
                <w:sz w:val="21"/>
                <w:szCs w:val="21"/>
              </w:rPr>
            </w:pPr>
          </w:p>
          <w:p>
            <w:pPr>
              <w:jc w:val="left"/>
              <w:rPr>
                <w:rFonts w:ascii="宋体" w:hAnsi="宋体" w:eastAsia="宋体" w:cs="宋体"/>
                <w:color w:val="auto"/>
                <w:sz w:val="21"/>
                <w:szCs w:val="21"/>
              </w:rPr>
            </w:pPr>
          </w:p>
          <w:p>
            <w:pPr>
              <w:jc w:val="left"/>
              <w:rPr>
                <w:rFonts w:ascii="宋体" w:hAnsi="宋体" w:eastAsia="宋体" w:cs="宋体"/>
                <w:color w:val="auto"/>
                <w:sz w:val="21"/>
                <w:szCs w:val="21"/>
              </w:rPr>
            </w:pPr>
          </w:p>
          <w:p>
            <w:pPr>
              <w:jc w:val="left"/>
              <w:rPr>
                <w:rFonts w:ascii="宋体" w:hAnsi="宋体" w:eastAsia="宋体" w:cs="宋体"/>
                <w:color w:val="auto"/>
                <w:sz w:val="21"/>
                <w:szCs w:val="21"/>
              </w:rPr>
            </w:pPr>
          </w:p>
          <w:p>
            <w:pPr>
              <w:jc w:val="left"/>
              <w:rPr>
                <w:rFonts w:ascii="宋体" w:hAnsi="宋体" w:eastAsia="宋体" w:cs="宋体"/>
                <w:color w:val="auto"/>
                <w:sz w:val="21"/>
                <w:szCs w:val="21"/>
              </w:rPr>
            </w:pPr>
          </w:p>
          <w:p>
            <w:pPr>
              <w:jc w:val="left"/>
              <w:rPr>
                <w:rFonts w:ascii="宋体" w:hAnsi="宋体" w:eastAsia="宋体" w:cs="宋体"/>
                <w:color w:val="auto"/>
                <w:sz w:val="21"/>
                <w:szCs w:val="21"/>
              </w:rPr>
            </w:pPr>
            <w:r>
              <w:rPr>
                <w:rFonts w:hint="eastAsia" w:ascii="宋体" w:hAnsi="宋体" w:eastAsia="宋体" w:cs="宋体"/>
                <w:color w:val="auto"/>
                <w:sz w:val="21"/>
                <w:szCs w:val="21"/>
              </w:rPr>
              <w:t>银行联系人：陈超17858683697</w:t>
            </w:r>
          </w:p>
          <w:p>
            <w:pPr>
              <w:jc w:val="left"/>
              <w:rPr>
                <w:rFonts w:ascii="宋体" w:hAnsi="宋体" w:eastAsia="宋体" w:cs="宋体"/>
                <w:color w:val="auto"/>
                <w:sz w:val="21"/>
                <w:szCs w:val="21"/>
              </w:rPr>
            </w:pPr>
            <w:r>
              <w:rPr>
                <w:rFonts w:hint="eastAsia" w:ascii="宋体" w:hAnsi="宋体" w:eastAsia="宋体" w:cs="宋体"/>
                <w:color w:val="auto"/>
                <w:sz w:val="21"/>
                <w:szCs w:val="21"/>
              </w:rPr>
              <w:t>具体保函业务办理客户经理：王英17858683702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trPr>
        <w:tc>
          <w:tcPr>
            <w:tcW w:w="2846" w:type="dxa"/>
            <w:vAlign w:val="center"/>
          </w:tcPr>
          <w:p>
            <w:pPr>
              <w:rPr>
                <w:rFonts w:ascii="宋体" w:hAnsi="宋体" w:eastAsia="宋体" w:cs="宋体"/>
                <w:color w:val="auto"/>
                <w:sz w:val="21"/>
                <w:szCs w:val="21"/>
              </w:rPr>
            </w:pPr>
            <w:r>
              <w:rPr>
                <w:rFonts w:hint="eastAsia" w:ascii="宋体" w:hAnsi="宋体" w:eastAsia="宋体" w:cs="宋体"/>
                <w:color w:val="auto"/>
                <w:sz w:val="21"/>
                <w:szCs w:val="21"/>
              </w:rPr>
              <w:t>机构名称：仙居农商银行</w:t>
            </w:r>
          </w:p>
          <w:p>
            <w:pPr>
              <w:rPr>
                <w:rFonts w:ascii="宋体" w:hAnsi="宋体" w:eastAsia="宋体" w:cs="宋体"/>
                <w:color w:val="auto"/>
                <w:sz w:val="21"/>
                <w:szCs w:val="21"/>
              </w:rPr>
            </w:pPr>
            <w:r>
              <w:rPr>
                <w:rFonts w:hint="eastAsia" w:ascii="宋体" w:hAnsi="宋体" w:eastAsia="宋体" w:cs="宋体"/>
                <w:color w:val="auto"/>
                <w:sz w:val="21"/>
                <w:szCs w:val="21"/>
              </w:rPr>
              <w:t>履约保函：是</w:t>
            </w:r>
          </w:p>
          <w:p>
            <w:pPr>
              <w:rPr>
                <w:rFonts w:ascii="宋体" w:hAnsi="宋体" w:eastAsia="宋体" w:cs="宋体"/>
                <w:color w:val="auto"/>
                <w:sz w:val="21"/>
                <w:szCs w:val="21"/>
              </w:rPr>
            </w:pPr>
            <w:r>
              <w:rPr>
                <w:rFonts w:hint="eastAsia" w:ascii="宋体" w:hAnsi="宋体" w:eastAsia="宋体" w:cs="宋体"/>
                <w:color w:val="auto"/>
                <w:sz w:val="21"/>
                <w:szCs w:val="21"/>
              </w:rPr>
              <w:t>预付款保函：是</w:t>
            </w:r>
          </w:p>
        </w:tc>
        <w:tc>
          <w:tcPr>
            <w:tcW w:w="5695" w:type="dxa"/>
            <w:vAlign w:val="center"/>
          </w:tcPr>
          <w:p>
            <w:pPr>
              <w:rPr>
                <w:rFonts w:ascii="宋体" w:hAnsi="宋体" w:eastAsia="宋体" w:cs="宋体"/>
                <w:color w:val="auto"/>
                <w:sz w:val="21"/>
                <w:szCs w:val="21"/>
              </w:rPr>
            </w:pPr>
            <w:r>
              <w:rPr>
                <w:rFonts w:hint="eastAsia" w:ascii="宋体" w:hAnsi="宋体" w:eastAsia="宋体" w:cs="宋体"/>
                <w:color w:val="auto"/>
                <w:sz w:val="21"/>
                <w:szCs w:val="21"/>
              </w:rPr>
              <w:t>合同（质量）履约按履约保证金年费率万分之五，在出具保函前一次性收取。</w:t>
            </w:r>
          </w:p>
        </w:tc>
        <w:tc>
          <w:tcPr>
            <w:tcW w:w="1455" w:type="dxa"/>
            <w:vAlign w:val="center"/>
          </w:tcPr>
          <w:p>
            <w:pPr>
              <w:rPr>
                <w:rFonts w:ascii="宋体" w:hAnsi="宋体" w:eastAsia="宋体" w:cs="宋体"/>
                <w:color w:val="auto"/>
                <w:sz w:val="21"/>
                <w:szCs w:val="21"/>
              </w:rPr>
            </w:pPr>
            <w:r>
              <w:rPr>
                <w:rFonts w:hint="eastAsia" w:ascii="宋体" w:hAnsi="宋体" w:eastAsia="宋体" w:cs="宋体"/>
                <w:color w:val="auto"/>
                <w:sz w:val="21"/>
                <w:szCs w:val="21"/>
              </w:rPr>
              <w:t>李杭13586233529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1" w:hRule="atLeast"/>
        </w:trPr>
        <w:tc>
          <w:tcPr>
            <w:tcW w:w="2846" w:type="dxa"/>
            <w:vAlign w:val="center"/>
          </w:tcPr>
          <w:p>
            <w:pPr>
              <w:rPr>
                <w:rFonts w:ascii="宋体" w:hAnsi="宋体" w:eastAsia="宋体" w:cs="宋体"/>
                <w:color w:val="auto"/>
                <w:sz w:val="21"/>
                <w:szCs w:val="21"/>
              </w:rPr>
            </w:pPr>
            <w:r>
              <w:rPr>
                <w:rFonts w:hint="eastAsia" w:ascii="宋体" w:hAnsi="宋体" w:eastAsia="宋体" w:cs="宋体"/>
                <w:color w:val="auto"/>
                <w:sz w:val="21"/>
                <w:szCs w:val="21"/>
              </w:rPr>
              <w:t>机构名称：仙居中国银行</w:t>
            </w:r>
          </w:p>
          <w:p>
            <w:pPr>
              <w:rPr>
                <w:rFonts w:ascii="宋体" w:hAnsi="宋体" w:eastAsia="宋体" w:cs="宋体"/>
                <w:color w:val="auto"/>
                <w:sz w:val="21"/>
                <w:szCs w:val="21"/>
              </w:rPr>
            </w:pPr>
            <w:r>
              <w:rPr>
                <w:rFonts w:hint="eastAsia" w:ascii="宋体" w:hAnsi="宋体" w:eastAsia="宋体" w:cs="宋体"/>
                <w:color w:val="auto"/>
                <w:sz w:val="21"/>
                <w:szCs w:val="21"/>
              </w:rPr>
              <w:t>履约保函：是</w:t>
            </w:r>
          </w:p>
          <w:p>
            <w:pPr>
              <w:rPr>
                <w:rFonts w:ascii="宋体" w:hAnsi="宋体" w:eastAsia="宋体" w:cs="宋体"/>
                <w:color w:val="auto"/>
                <w:sz w:val="21"/>
                <w:szCs w:val="21"/>
              </w:rPr>
            </w:pPr>
            <w:r>
              <w:rPr>
                <w:rFonts w:hint="eastAsia" w:ascii="宋体" w:hAnsi="宋体" w:eastAsia="宋体" w:cs="宋体"/>
                <w:color w:val="auto"/>
                <w:sz w:val="21"/>
                <w:szCs w:val="21"/>
              </w:rPr>
              <w:t>预付款保函：是</w:t>
            </w:r>
          </w:p>
        </w:tc>
        <w:tc>
          <w:tcPr>
            <w:tcW w:w="5695" w:type="dxa"/>
            <w:vAlign w:val="center"/>
          </w:tcPr>
          <w:p>
            <w:pPr>
              <w:rPr>
                <w:rFonts w:ascii="宋体" w:hAnsi="宋体" w:eastAsia="宋体" w:cs="宋体"/>
                <w:color w:val="auto"/>
                <w:sz w:val="21"/>
                <w:szCs w:val="21"/>
              </w:rPr>
            </w:pPr>
            <w:r>
              <w:rPr>
                <w:rFonts w:hint="eastAsia" w:ascii="宋体" w:hAnsi="宋体" w:eastAsia="宋体" w:cs="宋体"/>
                <w:color w:val="auto"/>
                <w:sz w:val="21"/>
                <w:szCs w:val="21"/>
              </w:rPr>
              <w:t>合同（质量）履约按履约保证金年费率1%（1.5%），每单保函最低保险费为500元。</w:t>
            </w:r>
          </w:p>
        </w:tc>
        <w:tc>
          <w:tcPr>
            <w:tcW w:w="1455" w:type="dxa"/>
            <w:vAlign w:val="center"/>
          </w:tcPr>
          <w:p>
            <w:pPr>
              <w:rPr>
                <w:rFonts w:ascii="宋体" w:hAnsi="宋体" w:eastAsia="宋体" w:cs="宋体"/>
                <w:color w:val="auto"/>
                <w:sz w:val="21"/>
                <w:szCs w:val="21"/>
              </w:rPr>
            </w:pPr>
            <w:r>
              <w:rPr>
                <w:rFonts w:hint="eastAsia" w:ascii="宋体" w:hAnsi="宋体" w:eastAsia="宋体" w:cs="宋体"/>
                <w:color w:val="auto"/>
                <w:sz w:val="21"/>
                <w:szCs w:val="21"/>
              </w:rPr>
              <w:t>张弥0576-87796908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1" w:hRule="atLeast"/>
        </w:trPr>
        <w:tc>
          <w:tcPr>
            <w:tcW w:w="2846" w:type="dxa"/>
          </w:tcPr>
          <w:p>
            <w:pPr>
              <w:jc w:val="left"/>
              <w:rPr>
                <w:rFonts w:ascii="宋体" w:hAnsi="宋体" w:eastAsia="宋体" w:cs="宋体"/>
                <w:color w:val="auto"/>
                <w:sz w:val="21"/>
                <w:szCs w:val="21"/>
              </w:rPr>
            </w:pPr>
            <w:r>
              <w:rPr>
                <w:rFonts w:hint="eastAsia" w:ascii="宋体" w:hAnsi="宋体" w:eastAsia="宋体" w:cs="宋体"/>
                <w:color w:val="auto"/>
                <w:sz w:val="21"/>
                <w:szCs w:val="21"/>
              </w:rPr>
              <w:t>机构名称：中国人民财产保险股份有限公司仙居支公司</w:t>
            </w:r>
          </w:p>
          <w:p>
            <w:pPr>
              <w:jc w:val="left"/>
              <w:rPr>
                <w:rFonts w:ascii="宋体" w:hAnsi="宋体" w:eastAsia="宋体" w:cs="宋体"/>
                <w:color w:val="auto"/>
                <w:sz w:val="21"/>
                <w:szCs w:val="21"/>
              </w:rPr>
            </w:pPr>
            <w:r>
              <w:rPr>
                <w:rFonts w:hint="eastAsia" w:ascii="宋体" w:hAnsi="宋体" w:eastAsia="宋体" w:cs="宋体"/>
                <w:color w:val="auto"/>
                <w:sz w:val="21"/>
                <w:szCs w:val="21"/>
              </w:rPr>
              <w:t>履约保险：是</w:t>
            </w:r>
          </w:p>
          <w:p>
            <w:pPr>
              <w:jc w:val="left"/>
              <w:rPr>
                <w:rFonts w:ascii="宋体" w:hAnsi="宋体" w:eastAsia="宋体" w:cs="宋体"/>
                <w:color w:val="auto"/>
                <w:sz w:val="21"/>
                <w:szCs w:val="21"/>
              </w:rPr>
            </w:pPr>
            <w:r>
              <w:rPr>
                <w:rFonts w:hint="eastAsia" w:ascii="宋体" w:hAnsi="宋体" w:eastAsia="宋体" w:cs="宋体"/>
                <w:color w:val="auto"/>
                <w:sz w:val="21"/>
                <w:szCs w:val="21"/>
              </w:rPr>
              <w:t>预付款保函：是</w:t>
            </w:r>
          </w:p>
        </w:tc>
        <w:tc>
          <w:tcPr>
            <w:tcW w:w="5695" w:type="dxa"/>
          </w:tcPr>
          <w:p>
            <w:pPr>
              <w:jc w:val="left"/>
              <w:rPr>
                <w:rFonts w:ascii="宋体" w:hAnsi="宋体" w:eastAsia="宋体" w:cs="宋体"/>
                <w:color w:val="auto"/>
                <w:sz w:val="21"/>
                <w:szCs w:val="21"/>
              </w:rPr>
            </w:pPr>
            <w:r>
              <w:rPr>
                <w:rFonts w:hint="eastAsia" w:ascii="宋体" w:hAnsi="宋体" w:eastAsia="宋体" w:cs="宋体"/>
                <w:color w:val="auto"/>
                <w:sz w:val="21"/>
                <w:szCs w:val="21"/>
              </w:rPr>
              <w:t>建设工程合同款支付保证保险，年费率1.2%，每单最低保险费为1000元。</w:t>
            </w:r>
          </w:p>
          <w:p>
            <w:pPr>
              <w:jc w:val="left"/>
              <w:rPr>
                <w:rFonts w:ascii="宋体" w:hAnsi="宋体" w:eastAsia="宋体" w:cs="宋体"/>
                <w:color w:val="auto"/>
                <w:sz w:val="21"/>
                <w:szCs w:val="21"/>
              </w:rPr>
            </w:pPr>
            <w:r>
              <w:rPr>
                <w:rFonts w:hint="eastAsia" w:ascii="宋体" w:hAnsi="宋体" w:eastAsia="宋体" w:cs="宋体"/>
                <w:color w:val="auto"/>
                <w:sz w:val="21"/>
                <w:szCs w:val="21"/>
              </w:rPr>
              <w:t>建设工程预付款保证保险，年费率0.6%，每单最低保险费为1000元。</w:t>
            </w:r>
          </w:p>
        </w:tc>
        <w:tc>
          <w:tcPr>
            <w:tcW w:w="1455" w:type="dxa"/>
          </w:tcPr>
          <w:p>
            <w:pPr>
              <w:jc w:val="left"/>
              <w:rPr>
                <w:rFonts w:ascii="宋体" w:hAnsi="宋体" w:eastAsia="宋体" w:cs="宋体"/>
                <w:color w:val="auto"/>
                <w:sz w:val="21"/>
                <w:szCs w:val="21"/>
              </w:rPr>
            </w:pPr>
          </w:p>
          <w:p>
            <w:pPr>
              <w:jc w:val="left"/>
              <w:rPr>
                <w:rFonts w:ascii="宋体" w:hAnsi="宋体" w:eastAsia="宋体" w:cs="宋体"/>
                <w:color w:val="auto"/>
                <w:sz w:val="21"/>
                <w:szCs w:val="21"/>
              </w:rPr>
            </w:pPr>
          </w:p>
          <w:p>
            <w:pPr>
              <w:jc w:val="left"/>
              <w:rPr>
                <w:rFonts w:ascii="宋体" w:hAnsi="宋体" w:eastAsia="宋体" w:cs="宋体"/>
                <w:color w:val="auto"/>
                <w:sz w:val="21"/>
                <w:szCs w:val="21"/>
              </w:rPr>
            </w:pPr>
            <w:r>
              <w:rPr>
                <w:rFonts w:hint="eastAsia" w:ascii="宋体" w:hAnsi="宋体" w:eastAsia="宋体" w:cs="宋体"/>
                <w:color w:val="auto"/>
                <w:sz w:val="21"/>
                <w:szCs w:val="21"/>
              </w:rPr>
              <w:t>王巧红13968483573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1" w:hRule="atLeast"/>
        </w:trPr>
        <w:tc>
          <w:tcPr>
            <w:tcW w:w="2846" w:type="dxa"/>
            <w:vAlign w:val="center"/>
          </w:tcPr>
          <w:p>
            <w:pPr>
              <w:rPr>
                <w:rFonts w:ascii="宋体" w:hAnsi="宋体" w:eastAsia="宋体" w:cs="宋体"/>
                <w:color w:val="auto"/>
                <w:sz w:val="21"/>
                <w:szCs w:val="21"/>
              </w:rPr>
            </w:pPr>
            <w:r>
              <w:rPr>
                <w:rFonts w:hint="eastAsia" w:ascii="宋体" w:hAnsi="宋体" w:eastAsia="宋体" w:cs="宋体"/>
                <w:color w:val="auto"/>
                <w:sz w:val="21"/>
                <w:szCs w:val="21"/>
              </w:rPr>
              <w:t>机构名称：中国大地财产保险股份有限公司仙居支公司</w:t>
            </w:r>
          </w:p>
          <w:p>
            <w:pPr>
              <w:rPr>
                <w:rFonts w:ascii="宋体" w:hAnsi="宋体" w:eastAsia="宋体" w:cs="宋体"/>
                <w:color w:val="auto"/>
                <w:sz w:val="21"/>
                <w:szCs w:val="21"/>
              </w:rPr>
            </w:pPr>
            <w:r>
              <w:rPr>
                <w:rFonts w:hint="eastAsia" w:ascii="宋体" w:hAnsi="宋体" w:eastAsia="宋体" w:cs="宋体"/>
                <w:color w:val="auto"/>
                <w:sz w:val="21"/>
                <w:szCs w:val="21"/>
              </w:rPr>
              <w:t>履约保函：是</w:t>
            </w:r>
          </w:p>
          <w:p>
            <w:pPr>
              <w:rPr>
                <w:rFonts w:ascii="宋体" w:hAnsi="宋体" w:eastAsia="宋体" w:cs="宋体"/>
                <w:color w:val="auto"/>
                <w:sz w:val="21"/>
                <w:szCs w:val="21"/>
              </w:rPr>
            </w:pPr>
            <w:r>
              <w:rPr>
                <w:rFonts w:hint="eastAsia" w:ascii="宋体" w:hAnsi="宋体" w:eastAsia="宋体" w:cs="宋体"/>
                <w:color w:val="auto"/>
                <w:sz w:val="21"/>
                <w:szCs w:val="21"/>
              </w:rPr>
              <w:t>预付款保函：否</w:t>
            </w:r>
          </w:p>
        </w:tc>
        <w:tc>
          <w:tcPr>
            <w:tcW w:w="5695" w:type="dxa"/>
            <w:vAlign w:val="center"/>
          </w:tcPr>
          <w:p>
            <w:pPr>
              <w:rPr>
                <w:rFonts w:ascii="宋体" w:hAnsi="宋体" w:eastAsia="宋体" w:cs="宋体"/>
                <w:color w:val="auto"/>
                <w:sz w:val="21"/>
                <w:szCs w:val="21"/>
              </w:rPr>
            </w:pPr>
            <w:r>
              <w:rPr>
                <w:rFonts w:hint="eastAsia" w:ascii="宋体" w:hAnsi="宋体" w:eastAsia="宋体" w:cs="宋体"/>
                <w:color w:val="auto"/>
                <w:sz w:val="21"/>
                <w:szCs w:val="21"/>
              </w:rPr>
              <w:t>合同（质量）履约按履约保证金年费率最低0.5%，每单保函最低保险费为1000元。</w:t>
            </w:r>
          </w:p>
        </w:tc>
        <w:tc>
          <w:tcPr>
            <w:tcW w:w="1455" w:type="dxa"/>
            <w:vAlign w:val="center"/>
          </w:tcPr>
          <w:p>
            <w:pPr>
              <w:rPr>
                <w:rFonts w:ascii="宋体" w:hAnsi="宋体" w:eastAsia="宋体" w:cs="宋体"/>
                <w:color w:val="auto"/>
                <w:sz w:val="21"/>
                <w:szCs w:val="21"/>
              </w:rPr>
            </w:pPr>
            <w:r>
              <w:rPr>
                <w:rFonts w:hint="eastAsia" w:ascii="宋体" w:hAnsi="宋体" w:eastAsia="宋体" w:cs="宋体"/>
                <w:color w:val="auto"/>
                <w:sz w:val="21"/>
                <w:szCs w:val="21"/>
              </w:rPr>
              <w:t>吴琼17858699170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trPr>
        <w:tc>
          <w:tcPr>
            <w:tcW w:w="2846" w:type="dxa"/>
            <w:vAlign w:val="center"/>
          </w:tcPr>
          <w:p>
            <w:pPr>
              <w:widowControl/>
              <w:jc w:val="left"/>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机构名称：天安财产保险股份有限公司台州中心支公司仙居县营销服务部</w:t>
            </w:r>
          </w:p>
          <w:p>
            <w:pPr>
              <w:widowControl/>
              <w:jc w:val="left"/>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履约保函：否</w:t>
            </w:r>
          </w:p>
          <w:p>
            <w:pPr>
              <w:widowControl/>
              <w:jc w:val="left"/>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预付款保函：是</w:t>
            </w:r>
          </w:p>
        </w:tc>
        <w:tc>
          <w:tcPr>
            <w:tcW w:w="5695" w:type="dxa"/>
            <w:vAlign w:val="center"/>
          </w:tcPr>
          <w:p>
            <w:pPr>
              <w:widowControl/>
              <w:jc w:val="left"/>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预付款保函：按预付款金额投保，年费率为1%-2%，每单保函最低保险费为500元；保险期限最长不超过5年。</w:t>
            </w:r>
          </w:p>
        </w:tc>
        <w:tc>
          <w:tcPr>
            <w:tcW w:w="1455" w:type="dxa"/>
            <w:vAlign w:val="center"/>
          </w:tcPr>
          <w:p>
            <w:pPr>
              <w:widowControl/>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陶正鹏13858613668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1" w:hRule="atLeast"/>
        </w:trPr>
        <w:tc>
          <w:tcPr>
            <w:tcW w:w="2846" w:type="dxa"/>
            <w:vAlign w:val="center"/>
          </w:tcPr>
          <w:p>
            <w:pPr>
              <w:rPr>
                <w:rFonts w:ascii="宋体" w:hAnsi="宋体" w:eastAsia="宋体" w:cs="宋体"/>
                <w:color w:val="auto"/>
                <w:sz w:val="21"/>
                <w:szCs w:val="21"/>
              </w:rPr>
            </w:pPr>
            <w:r>
              <w:rPr>
                <w:rFonts w:hint="eastAsia" w:ascii="宋体" w:hAnsi="宋体" w:eastAsia="宋体" w:cs="宋体"/>
                <w:color w:val="auto"/>
                <w:sz w:val="21"/>
                <w:szCs w:val="21"/>
              </w:rPr>
              <w:t>机构名称：仙居县台融融资担保有限公司</w:t>
            </w:r>
          </w:p>
          <w:p>
            <w:pPr>
              <w:rPr>
                <w:rFonts w:ascii="宋体" w:hAnsi="宋体" w:eastAsia="宋体" w:cs="宋体"/>
                <w:color w:val="auto"/>
                <w:sz w:val="21"/>
                <w:szCs w:val="21"/>
              </w:rPr>
            </w:pPr>
            <w:r>
              <w:rPr>
                <w:rFonts w:hint="eastAsia" w:ascii="宋体" w:hAnsi="宋体" w:eastAsia="宋体" w:cs="宋体"/>
                <w:color w:val="auto"/>
                <w:sz w:val="21"/>
                <w:szCs w:val="21"/>
              </w:rPr>
              <w:t>履约保函：是</w:t>
            </w:r>
          </w:p>
        </w:tc>
        <w:tc>
          <w:tcPr>
            <w:tcW w:w="5695" w:type="dxa"/>
            <w:vAlign w:val="center"/>
          </w:tcPr>
          <w:p>
            <w:pPr>
              <w:rPr>
                <w:rFonts w:ascii="宋体" w:hAnsi="宋体" w:eastAsia="宋体" w:cs="宋体"/>
                <w:color w:val="auto"/>
                <w:sz w:val="21"/>
                <w:szCs w:val="21"/>
              </w:rPr>
            </w:pPr>
            <w:r>
              <w:rPr>
                <w:rFonts w:hint="eastAsia" w:ascii="宋体" w:hAnsi="宋体" w:eastAsia="宋体" w:cs="宋体"/>
                <w:color w:val="auto"/>
                <w:sz w:val="21"/>
                <w:szCs w:val="21"/>
              </w:rPr>
              <w:t>合同（质量）履约按履约保证金年费率0.2%，每单保函最低保险费为800元。</w:t>
            </w:r>
          </w:p>
        </w:tc>
        <w:tc>
          <w:tcPr>
            <w:tcW w:w="1455" w:type="dxa"/>
            <w:vAlign w:val="center"/>
          </w:tcPr>
          <w:p>
            <w:pPr>
              <w:rPr>
                <w:rFonts w:ascii="宋体" w:hAnsi="宋体" w:eastAsia="宋体" w:cs="宋体"/>
                <w:color w:val="auto"/>
                <w:sz w:val="21"/>
                <w:szCs w:val="21"/>
              </w:rPr>
            </w:pPr>
            <w:r>
              <w:rPr>
                <w:rFonts w:hint="eastAsia" w:ascii="宋体" w:hAnsi="宋体" w:eastAsia="宋体" w:cs="宋体"/>
                <w:color w:val="auto"/>
                <w:sz w:val="21"/>
                <w:szCs w:val="21"/>
              </w:rPr>
              <w:t>郭鹏飞13819645716</w:t>
            </w:r>
          </w:p>
        </w:tc>
      </w:tr>
    </w:tbl>
    <w:p>
      <w:pPr>
        <w:autoSpaceDE w:val="0"/>
        <w:autoSpaceDN w:val="0"/>
        <w:adjustRightInd w:val="0"/>
        <w:spacing w:line="360" w:lineRule="auto"/>
        <w:jc w:val="center"/>
        <w:outlineLvl w:val="1"/>
        <w:rPr>
          <w:rFonts w:ascii="宋体"/>
          <w:b/>
          <w:bCs/>
          <w:color w:val="auto"/>
          <w:sz w:val="24"/>
          <w:lang w:val="zh-CN"/>
        </w:rPr>
      </w:pPr>
      <w:r>
        <w:rPr>
          <w:rFonts w:ascii="宋体"/>
          <w:color w:val="auto"/>
          <w:sz w:val="24"/>
        </w:rPr>
        <w:br w:type="page"/>
      </w:r>
      <w:bookmarkStart w:id="37" w:name="_Toc302983095"/>
      <w:bookmarkStart w:id="38" w:name="_Toc306901446"/>
      <w:r>
        <w:rPr>
          <w:rFonts w:hint="eastAsia" w:ascii="宋体"/>
          <w:b/>
          <w:bCs/>
          <w:color w:val="auto"/>
          <w:sz w:val="24"/>
          <w:lang w:val="zh-CN"/>
        </w:rPr>
        <w:t>一、</w:t>
      </w:r>
      <w:bookmarkEnd w:id="37"/>
      <w:bookmarkEnd w:id="38"/>
      <w:r>
        <w:rPr>
          <w:rFonts w:hint="eastAsia" w:ascii="宋体"/>
          <w:b/>
          <w:bCs/>
          <w:color w:val="auto"/>
          <w:sz w:val="24"/>
          <w:lang w:val="zh-CN"/>
        </w:rPr>
        <w:t>总则</w:t>
      </w:r>
    </w:p>
    <w:p>
      <w:pPr>
        <w:snapToGrid w:val="0"/>
        <w:spacing w:line="360" w:lineRule="auto"/>
        <w:ind w:firstLine="413" w:firstLineChars="196"/>
        <w:jc w:val="left"/>
        <w:outlineLvl w:val="1"/>
        <w:rPr>
          <w:rFonts w:ascii="宋体" w:hAnsi="宋体" w:eastAsia="宋体" w:cs="宋体"/>
          <w:b/>
          <w:color w:val="auto"/>
          <w:sz w:val="21"/>
          <w:szCs w:val="21"/>
        </w:rPr>
      </w:pPr>
      <w:r>
        <w:rPr>
          <w:rFonts w:hint="eastAsia" w:ascii="宋体" w:hAnsi="宋体" w:eastAsia="宋体" w:cs="宋体"/>
          <w:b/>
          <w:color w:val="auto"/>
          <w:sz w:val="21"/>
          <w:szCs w:val="21"/>
          <w:lang w:val="zh-CN"/>
        </w:rPr>
        <w:t>（一）</w:t>
      </w:r>
      <w:r>
        <w:rPr>
          <w:rFonts w:hint="eastAsia" w:ascii="宋体" w:hAnsi="宋体" w:eastAsia="宋体" w:cs="宋体"/>
          <w:b/>
          <w:color w:val="auto"/>
          <w:sz w:val="21"/>
          <w:szCs w:val="21"/>
        </w:rPr>
        <w:t>适用范围</w:t>
      </w:r>
    </w:p>
    <w:p>
      <w:pPr>
        <w:autoSpaceDE w:val="0"/>
        <w:autoSpaceDN w:val="0"/>
        <w:adjustRightInd w:val="0"/>
        <w:spacing w:line="360" w:lineRule="auto"/>
        <w:ind w:firstLine="480"/>
        <w:rPr>
          <w:rFonts w:ascii="宋体" w:hAnsi="宋体" w:eastAsia="宋体" w:cs="宋体"/>
          <w:color w:val="auto"/>
          <w:sz w:val="21"/>
          <w:szCs w:val="21"/>
          <w:lang w:val="zh-CN"/>
        </w:rPr>
      </w:pPr>
      <w:r>
        <w:rPr>
          <w:rFonts w:hint="eastAsia" w:ascii="宋体" w:hAnsi="宋体" w:eastAsia="宋体" w:cs="宋体"/>
          <w:color w:val="auto"/>
          <w:sz w:val="21"/>
          <w:szCs w:val="21"/>
          <w:lang w:val="zh-CN"/>
        </w:rPr>
        <w:t>本磋商文件适用于本次项目的磋商、评审、确定成交供应商、验收、合同履约、付款等行为（法律、法规另有规定的，从其规定）。</w:t>
      </w:r>
    </w:p>
    <w:p>
      <w:pPr>
        <w:autoSpaceDE w:val="0"/>
        <w:autoSpaceDN w:val="0"/>
        <w:adjustRightInd w:val="0"/>
        <w:spacing w:line="360" w:lineRule="auto"/>
        <w:ind w:firstLine="480"/>
        <w:rPr>
          <w:rFonts w:ascii="宋体" w:hAnsi="宋体" w:eastAsia="宋体" w:cs="宋体"/>
          <w:b/>
          <w:bCs/>
          <w:color w:val="auto"/>
          <w:sz w:val="21"/>
          <w:szCs w:val="21"/>
        </w:rPr>
      </w:pPr>
      <w:bookmarkStart w:id="39" w:name="_Toc306901451"/>
      <w:bookmarkStart w:id="40" w:name="_Toc302983099"/>
      <w:r>
        <w:rPr>
          <w:rFonts w:hint="eastAsia" w:ascii="宋体" w:hAnsi="宋体" w:eastAsia="宋体" w:cs="宋体"/>
          <w:b/>
          <w:bCs/>
          <w:color w:val="auto"/>
          <w:sz w:val="21"/>
          <w:szCs w:val="21"/>
        </w:rPr>
        <w:t>（二）定义</w:t>
      </w:r>
    </w:p>
    <w:p>
      <w:pPr>
        <w:autoSpaceDE w:val="0"/>
        <w:autoSpaceDN w:val="0"/>
        <w:adjustRightInd w:val="0"/>
        <w:spacing w:line="360" w:lineRule="auto"/>
        <w:ind w:firstLine="480"/>
        <w:rPr>
          <w:rFonts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lang w:val="zh-CN"/>
        </w:rPr>
        <w:t>“采购组织机构”指受采购人委托，在委托的范围内办理政府采购事宜的机构。</w:t>
      </w:r>
    </w:p>
    <w:p>
      <w:pPr>
        <w:autoSpaceDE w:val="0"/>
        <w:autoSpaceDN w:val="0"/>
        <w:adjustRightInd w:val="0"/>
        <w:spacing w:line="360" w:lineRule="auto"/>
        <w:ind w:firstLine="480"/>
        <w:rPr>
          <w:rFonts w:ascii="宋体" w:hAnsi="宋体" w:eastAsia="宋体" w:cs="宋体"/>
          <w:color w:val="auto"/>
          <w:sz w:val="21"/>
          <w:szCs w:val="21"/>
        </w:rPr>
      </w:pPr>
      <w:r>
        <w:rPr>
          <w:rFonts w:hint="eastAsia" w:ascii="宋体" w:hAnsi="宋体" w:eastAsia="宋体" w:cs="宋体"/>
          <w:color w:val="auto"/>
          <w:sz w:val="21"/>
          <w:szCs w:val="21"/>
        </w:rPr>
        <w:t>2、采购人：是指依法进行政府采购的国家机关、事业单位、团体组织。</w:t>
      </w:r>
    </w:p>
    <w:p>
      <w:pPr>
        <w:autoSpaceDE w:val="0"/>
        <w:autoSpaceDN w:val="0"/>
        <w:adjustRightInd w:val="0"/>
        <w:spacing w:line="360" w:lineRule="auto"/>
        <w:ind w:firstLine="480"/>
        <w:rPr>
          <w:rFonts w:ascii="宋体" w:hAnsi="宋体" w:eastAsia="宋体" w:cs="宋体"/>
          <w:color w:val="auto"/>
          <w:sz w:val="21"/>
          <w:szCs w:val="21"/>
        </w:rPr>
      </w:pPr>
      <w:r>
        <w:rPr>
          <w:rFonts w:hint="eastAsia" w:ascii="宋体" w:hAnsi="宋体" w:eastAsia="宋体" w:cs="宋体"/>
          <w:color w:val="auto"/>
          <w:sz w:val="21"/>
          <w:szCs w:val="21"/>
        </w:rPr>
        <w:t>3、供应商：是指参加本政府采购项目磋商的供应商。</w:t>
      </w:r>
    </w:p>
    <w:p>
      <w:pPr>
        <w:autoSpaceDE w:val="0"/>
        <w:autoSpaceDN w:val="0"/>
        <w:adjustRightInd w:val="0"/>
        <w:spacing w:line="360" w:lineRule="auto"/>
        <w:ind w:firstLine="480"/>
        <w:rPr>
          <w:rFonts w:ascii="宋体" w:hAnsi="宋体" w:eastAsia="宋体" w:cs="宋体"/>
          <w:color w:val="auto"/>
          <w:sz w:val="21"/>
          <w:szCs w:val="21"/>
        </w:rPr>
      </w:pPr>
      <w:r>
        <w:rPr>
          <w:rFonts w:hint="eastAsia" w:ascii="宋体" w:hAnsi="宋体" w:eastAsia="宋体" w:cs="宋体"/>
          <w:color w:val="auto"/>
          <w:sz w:val="21"/>
          <w:szCs w:val="21"/>
        </w:rPr>
        <w:t>4、货物：是指各种形态和种类的物品，包括原材料、燃料、设备、产品等。</w:t>
      </w:r>
    </w:p>
    <w:p>
      <w:pPr>
        <w:autoSpaceDE w:val="0"/>
        <w:autoSpaceDN w:val="0"/>
        <w:adjustRightInd w:val="0"/>
        <w:spacing w:line="360" w:lineRule="auto"/>
        <w:ind w:firstLine="480"/>
        <w:rPr>
          <w:rFonts w:ascii="宋体" w:hAnsi="宋体" w:eastAsia="宋体" w:cs="宋体"/>
          <w:color w:val="auto"/>
          <w:sz w:val="21"/>
          <w:szCs w:val="21"/>
        </w:rPr>
      </w:pPr>
      <w:r>
        <w:rPr>
          <w:rFonts w:hint="eastAsia" w:ascii="宋体" w:hAnsi="宋体" w:eastAsia="宋体" w:cs="宋体"/>
          <w:color w:val="auto"/>
          <w:sz w:val="21"/>
          <w:szCs w:val="21"/>
        </w:rPr>
        <w:t>5、服务：是指除货物和工程以外的政府采购对象，包括各类专业服务、信息网络开发服务、金融保险服务、运输服务，以及维修与维护服务等。</w:t>
      </w:r>
    </w:p>
    <w:p>
      <w:pPr>
        <w:autoSpaceDE w:val="0"/>
        <w:autoSpaceDN w:val="0"/>
        <w:adjustRightInd w:val="0"/>
        <w:spacing w:line="360" w:lineRule="auto"/>
        <w:ind w:firstLine="480"/>
        <w:rPr>
          <w:rFonts w:ascii="宋体" w:hAnsi="宋体" w:eastAsia="宋体" w:cs="宋体"/>
          <w:color w:val="auto"/>
          <w:sz w:val="21"/>
          <w:szCs w:val="21"/>
        </w:rPr>
      </w:pPr>
      <w:r>
        <w:rPr>
          <w:rFonts w:hint="eastAsia" w:ascii="宋体" w:hAnsi="宋体" w:eastAsia="宋体" w:cs="宋体"/>
          <w:color w:val="auto"/>
          <w:sz w:val="21"/>
          <w:szCs w:val="21"/>
        </w:rPr>
        <w:t>6、“书面形式”包括信函、传真等。</w:t>
      </w:r>
    </w:p>
    <w:p>
      <w:pPr>
        <w:autoSpaceDE w:val="0"/>
        <w:autoSpaceDN w:val="0"/>
        <w:adjustRightInd w:val="0"/>
        <w:spacing w:line="360" w:lineRule="auto"/>
        <w:ind w:firstLine="480"/>
        <w:rPr>
          <w:rFonts w:ascii="宋体" w:hAnsi="宋体" w:eastAsia="宋体" w:cs="宋体"/>
          <w:color w:val="auto"/>
          <w:sz w:val="21"/>
          <w:szCs w:val="21"/>
        </w:rPr>
      </w:pPr>
      <w:r>
        <w:rPr>
          <w:rFonts w:hint="eastAsia" w:ascii="宋体" w:hAnsi="宋体" w:eastAsia="宋体" w:cs="宋体"/>
          <w:color w:val="auto"/>
          <w:sz w:val="21"/>
          <w:szCs w:val="21"/>
        </w:rPr>
        <w:t>7、“▲”系指实质性要求条款。</w:t>
      </w:r>
    </w:p>
    <w:p>
      <w:pPr>
        <w:autoSpaceDE w:val="0"/>
        <w:autoSpaceDN w:val="0"/>
        <w:adjustRightInd w:val="0"/>
        <w:spacing w:line="360" w:lineRule="auto"/>
        <w:ind w:firstLine="480"/>
        <w:rPr>
          <w:rFonts w:ascii="宋体" w:hAnsi="宋体" w:eastAsia="宋体" w:cs="宋体"/>
          <w:b/>
          <w:bCs/>
          <w:color w:val="auto"/>
          <w:sz w:val="21"/>
          <w:szCs w:val="21"/>
        </w:rPr>
      </w:pPr>
      <w:r>
        <w:rPr>
          <w:rFonts w:hint="eastAsia" w:ascii="宋体" w:hAnsi="宋体" w:eastAsia="宋体" w:cs="宋体"/>
          <w:b/>
          <w:bCs/>
          <w:color w:val="auto"/>
          <w:sz w:val="21"/>
          <w:szCs w:val="21"/>
        </w:rPr>
        <w:t>（三）磋商费用</w:t>
      </w:r>
    </w:p>
    <w:p>
      <w:pPr>
        <w:autoSpaceDE w:val="0"/>
        <w:autoSpaceDN w:val="0"/>
        <w:adjustRightInd w:val="0"/>
        <w:spacing w:line="360" w:lineRule="auto"/>
        <w:ind w:firstLine="480"/>
        <w:rPr>
          <w:rFonts w:ascii="宋体" w:hAnsi="宋体" w:eastAsia="宋体" w:cs="宋体"/>
          <w:color w:val="auto"/>
          <w:sz w:val="21"/>
          <w:szCs w:val="21"/>
        </w:rPr>
      </w:pPr>
      <w:r>
        <w:rPr>
          <w:rFonts w:hint="eastAsia" w:ascii="宋体" w:hAnsi="宋体" w:eastAsia="宋体" w:cs="宋体"/>
          <w:color w:val="auto"/>
          <w:sz w:val="21"/>
          <w:szCs w:val="21"/>
        </w:rPr>
        <w:t>1、不论磋商结果如何，供应商均应自行承担所有与磋商有关的全部费用（磋商文件有相关规定除外）。</w:t>
      </w:r>
    </w:p>
    <w:p>
      <w:pPr>
        <w:autoSpaceDE w:val="0"/>
        <w:autoSpaceDN w:val="0"/>
        <w:adjustRightInd w:val="0"/>
        <w:spacing w:line="360" w:lineRule="auto"/>
        <w:ind w:firstLine="480"/>
        <w:rPr>
          <w:rFonts w:ascii="宋体" w:hAnsi="宋体" w:eastAsia="宋体" w:cs="宋体"/>
          <w:b/>
          <w:bCs/>
          <w:color w:val="auto"/>
          <w:sz w:val="21"/>
          <w:szCs w:val="21"/>
        </w:rPr>
      </w:pPr>
      <w:r>
        <w:rPr>
          <w:rFonts w:hint="eastAsia" w:ascii="宋体" w:hAnsi="宋体" w:eastAsia="宋体" w:cs="宋体"/>
          <w:b/>
          <w:bCs/>
          <w:color w:val="auto"/>
          <w:sz w:val="21"/>
          <w:szCs w:val="21"/>
        </w:rPr>
        <w:t>（四）联合体投标</w:t>
      </w:r>
    </w:p>
    <w:p>
      <w:pPr>
        <w:autoSpaceDE w:val="0"/>
        <w:autoSpaceDN w:val="0"/>
        <w:adjustRightInd w:val="0"/>
        <w:spacing w:line="360" w:lineRule="auto"/>
        <w:ind w:firstLine="480"/>
        <w:rPr>
          <w:rFonts w:ascii="宋体" w:hAnsi="宋体" w:eastAsia="宋体" w:cs="宋体"/>
          <w:color w:val="auto"/>
          <w:sz w:val="18"/>
          <w:szCs w:val="18"/>
        </w:rPr>
      </w:pPr>
      <w:r>
        <w:rPr>
          <w:rFonts w:hint="eastAsia" w:ascii="宋体" w:hAnsi="宋体" w:eastAsia="宋体" w:cs="宋体"/>
          <w:color w:val="auto"/>
          <w:sz w:val="18"/>
          <w:szCs w:val="18"/>
        </w:rPr>
        <w:t>本项目不接受联合体投标</w:t>
      </w:r>
      <w:r>
        <w:rPr>
          <w:rFonts w:hint="eastAsia" w:ascii="宋体" w:hAnsi="宋体" w:eastAsia="宋体" w:cs="宋体"/>
          <w:color w:val="auto"/>
          <w:sz w:val="18"/>
          <w:szCs w:val="18"/>
          <w:lang w:val="zh-CN"/>
        </w:rPr>
        <w:t>。</w:t>
      </w:r>
    </w:p>
    <w:p>
      <w:pPr>
        <w:autoSpaceDE w:val="0"/>
        <w:autoSpaceDN w:val="0"/>
        <w:adjustRightInd w:val="0"/>
        <w:spacing w:line="360" w:lineRule="auto"/>
        <w:ind w:firstLine="480"/>
        <w:rPr>
          <w:rFonts w:ascii="宋体" w:hAnsi="宋体" w:eastAsia="宋体" w:cs="宋体"/>
          <w:b/>
          <w:bCs/>
          <w:color w:val="auto"/>
          <w:sz w:val="21"/>
          <w:szCs w:val="21"/>
          <w:lang w:val="zh-CN"/>
        </w:rPr>
      </w:pPr>
      <w:r>
        <w:rPr>
          <w:rFonts w:hint="eastAsia" w:ascii="宋体" w:hAnsi="宋体" w:eastAsia="宋体" w:cs="宋体"/>
          <w:b/>
          <w:bCs/>
          <w:color w:val="auto"/>
          <w:sz w:val="21"/>
          <w:szCs w:val="21"/>
        </w:rPr>
        <w:t>（五）</w:t>
      </w:r>
      <w:r>
        <w:rPr>
          <w:rFonts w:hint="eastAsia" w:ascii="宋体" w:hAnsi="宋体" w:eastAsia="宋体" w:cs="宋体"/>
          <w:b/>
          <w:bCs/>
          <w:color w:val="auto"/>
          <w:sz w:val="21"/>
          <w:szCs w:val="21"/>
          <w:lang w:val="zh-CN"/>
        </w:rPr>
        <w:t>转包与分包</w:t>
      </w:r>
    </w:p>
    <w:p>
      <w:pPr>
        <w:autoSpaceDE w:val="0"/>
        <w:autoSpaceDN w:val="0"/>
        <w:adjustRightInd w:val="0"/>
        <w:spacing w:line="360" w:lineRule="auto"/>
        <w:ind w:firstLine="480"/>
        <w:rPr>
          <w:rFonts w:ascii="宋体" w:hAnsi="宋体" w:eastAsia="宋体" w:cs="宋体"/>
          <w:color w:val="auto"/>
          <w:sz w:val="18"/>
          <w:szCs w:val="18"/>
          <w:lang w:val="zh-CN"/>
        </w:rPr>
      </w:pPr>
      <w:r>
        <w:rPr>
          <w:rFonts w:hint="eastAsia" w:ascii="宋体" w:hAnsi="宋体" w:eastAsia="宋体" w:cs="宋体"/>
          <w:color w:val="auto"/>
          <w:sz w:val="18"/>
          <w:szCs w:val="18"/>
          <w:lang w:val="zh-CN"/>
        </w:rPr>
        <w:t>1、本项目不允许转包。</w:t>
      </w:r>
    </w:p>
    <w:p>
      <w:pPr>
        <w:autoSpaceDE w:val="0"/>
        <w:autoSpaceDN w:val="0"/>
        <w:adjustRightInd w:val="0"/>
        <w:spacing w:line="360" w:lineRule="auto"/>
        <w:ind w:firstLine="480"/>
        <w:rPr>
          <w:rFonts w:ascii="宋体" w:hAnsi="宋体" w:eastAsia="宋体" w:cs="宋体"/>
          <w:color w:val="auto"/>
          <w:sz w:val="21"/>
          <w:szCs w:val="21"/>
          <w:lang w:val="zh-CN"/>
        </w:rPr>
      </w:pPr>
      <w:r>
        <w:rPr>
          <w:rFonts w:hint="eastAsia" w:ascii="宋体" w:hAnsi="宋体" w:eastAsia="宋体" w:cs="宋体"/>
          <w:color w:val="auto"/>
          <w:sz w:val="18"/>
          <w:szCs w:val="18"/>
          <w:lang w:val="zh-CN"/>
        </w:rPr>
        <w:t>2、本项目不可以分包</w:t>
      </w:r>
      <w:r>
        <w:rPr>
          <w:rFonts w:hint="eastAsia" w:ascii="宋体" w:hAnsi="宋体" w:eastAsia="宋体" w:cs="宋体"/>
          <w:color w:val="auto"/>
          <w:sz w:val="21"/>
          <w:szCs w:val="21"/>
          <w:lang w:val="zh-CN"/>
        </w:rPr>
        <w:t>。</w:t>
      </w:r>
    </w:p>
    <w:p>
      <w:pPr>
        <w:autoSpaceDE w:val="0"/>
        <w:autoSpaceDN w:val="0"/>
        <w:adjustRightInd w:val="0"/>
        <w:spacing w:line="360" w:lineRule="auto"/>
        <w:ind w:firstLine="480"/>
        <w:rPr>
          <w:rFonts w:ascii="宋体" w:hAnsi="宋体" w:eastAsia="宋体" w:cs="宋体"/>
          <w:b/>
          <w:bCs/>
          <w:color w:val="auto"/>
          <w:sz w:val="21"/>
          <w:szCs w:val="21"/>
        </w:rPr>
      </w:pPr>
      <w:r>
        <w:rPr>
          <w:rFonts w:hint="eastAsia" w:ascii="宋体" w:hAnsi="宋体" w:eastAsia="宋体" w:cs="宋体"/>
          <w:b/>
          <w:bCs/>
          <w:color w:val="auto"/>
          <w:sz w:val="21"/>
          <w:szCs w:val="21"/>
        </w:rPr>
        <w:t>（六）特别说明</w:t>
      </w:r>
    </w:p>
    <w:p>
      <w:pPr>
        <w:snapToGrid w:val="0"/>
        <w:spacing w:line="360" w:lineRule="auto"/>
        <w:ind w:firstLine="420" w:firstLineChars="200"/>
        <w:rPr>
          <w:rFonts w:ascii="宋体" w:hAnsi="宋体" w:cs="宋体"/>
          <w:color w:val="auto"/>
          <w:sz w:val="24"/>
          <w:lang w:val="zh-CN"/>
        </w:rPr>
      </w:pPr>
      <w:r>
        <w:rPr>
          <w:rFonts w:hint="eastAsia" w:ascii="宋体" w:hAnsi="宋体" w:eastAsia="宋体" w:cs="宋体"/>
          <w:color w:val="auto"/>
          <w:sz w:val="21"/>
          <w:szCs w:val="21"/>
        </w:rPr>
        <w:t>1</w:t>
      </w:r>
      <w:r>
        <w:rPr>
          <w:rFonts w:hint="eastAsia" w:ascii="宋体" w:hAnsi="宋体" w:cs="宋体"/>
          <w:color w:val="auto"/>
          <w:sz w:val="21"/>
          <w:szCs w:val="21"/>
          <w:lang w:val="zh-CN"/>
        </w:rPr>
        <w:t>.</w:t>
      </w:r>
      <w:r>
        <w:rPr>
          <w:rFonts w:hint="eastAsia" w:ascii="宋体" w:hAnsi="宋体" w:cs="宋体"/>
          <w:color w:val="auto"/>
          <w:sz w:val="21"/>
          <w:szCs w:val="21"/>
        </w:rPr>
        <w:t>供应商磋商</w:t>
      </w:r>
      <w:r>
        <w:rPr>
          <w:rFonts w:hint="eastAsia" w:ascii="宋体" w:hAnsi="宋体" w:cs="宋体"/>
          <w:color w:val="auto"/>
          <w:sz w:val="21"/>
          <w:szCs w:val="21"/>
          <w:lang w:val="zh-CN"/>
        </w:rPr>
        <w:t>所使用的资格、信誉、荣誉、业绩与企业认证必须为本法人所拥有。</w:t>
      </w:r>
      <w:r>
        <w:rPr>
          <w:rFonts w:hint="eastAsia" w:ascii="宋体" w:hAnsi="宋体" w:cs="宋体"/>
          <w:color w:val="auto"/>
          <w:sz w:val="21"/>
          <w:szCs w:val="21"/>
        </w:rPr>
        <w:t>供应商磋商</w:t>
      </w:r>
      <w:r>
        <w:rPr>
          <w:rFonts w:hint="eastAsia" w:ascii="宋体" w:hAnsi="宋体" w:cs="宋体"/>
          <w:color w:val="auto"/>
          <w:sz w:val="21"/>
          <w:szCs w:val="21"/>
          <w:lang w:val="zh-CN"/>
        </w:rPr>
        <w:t>所使用的采购项目实施人员必须为本法人员工（或必须为本法人或控股公司正式员工）。</w:t>
      </w:r>
    </w:p>
    <w:p>
      <w:pPr>
        <w:snapToGrid w:val="0"/>
        <w:spacing w:line="360" w:lineRule="auto"/>
        <w:ind w:firstLine="420" w:firstLineChars="200"/>
        <w:rPr>
          <w:rFonts w:ascii="宋体" w:hAnsi="宋体" w:cs="宋体"/>
          <w:color w:val="auto"/>
          <w:sz w:val="21"/>
          <w:szCs w:val="21"/>
          <w:lang w:val="zh-CN"/>
        </w:rPr>
      </w:pPr>
      <w:r>
        <w:rPr>
          <w:rFonts w:hint="eastAsia" w:ascii="宋体" w:hAnsi="宋体" w:eastAsia="宋体" w:cs="宋体"/>
          <w:color w:val="auto"/>
          <w:sz w:val="21"/>
          <w:szCs w:val="21"/>
        </w:rPr>
        <w:t>2</w:t>
      </w:r>
      <w:r>
        <w:rPr>
          <w:rFonts w:hint="eastAsia" w:ascii="宋体" w:hAnsi="宋体" w:cs="宋体"/>
          <w:color w:val="auto"/>
          <w:sz w:val="21"/>
          <w:szCs w:val="21"/>
          <w:lang w:val="zh-CN"/>
        </w:rPr>
        <w:t>.供应商应仔细阅读磋商文件的所有内容，按照磋商文件的要求提交磋商响应文件，并对所提供的全部资料的真实性承担法律责任。</w:t>
      </w:r>
    </w:p>
    <w:p>
      <w:pPr>
        <w:snapToGrid w:val="0"/>
        <w:spacing w:line="360" w:lineRule="auto"/>
        <w:ind w:firstLine="420" w:firstLineChars="200"/>
        <w:rPr>
          <w:rFonts w:ascii="宋体" w:hAnsi="宋体" w:cs="宋体"/>
          <w:color w:val="auto"/>
          <w:sz w:val="21"/>
          <w:szCs w:val="21"/>
          <w:lang w:val="zh-CN"/>
        </w:rPr>
      </w:pPr>
      <w:r>
        <w:rPr>
          <w:rFonts w:hint="eastAsia" w:ascii="宋体" w:hAnsi="宋体" w:eastAsia="宋体" w:cs="宋体"/>
          <w:color w:val="auto"/>
          <w:sz w:val="21"/>
          <w:szCs w:val="21"/>
        </w:rPr>
        <w:t>3</w:t>
      </w:r>
      <w:r>
        <w:rPr>
          <w:rFonts w:hint="eastAsia" w:ascii="宋体" w:hAnsi="宋体" w:cs="宋体"/>
          <w:color w:val="auto"/>
          <w:sz w:val="21"/>
          <w:szCs w:val="21"/>
          <w:lang w:val="zh-CN"/>
        </w:rPr>
        <w:t>.</w:t>
      </w:r>
      <w:r>
        <w:rPr>
          <w:rFonts w:hint="eastAsia" w:ascii="宋体" w:hAnsi="宋体" w:cs="宋体"/>
          <w:color w:val="auto"/>
          <w:sz w:val="21"/>
          <w:szCs w:val="21"/>
        </w:rPr>
        <w:t>供应商</w:t>
      </w:r>
      <w:r>
        <w:rPr>
          <w:rFonts w:hint="eastAsia" w:ascii="宋体" w:hAnsi="宋体" w:cs="宋体"/>
          <w:color w:val="auto"/>
          <w:sz w:val="21"/>
          <w:szCs w:val="21"/>
          <w:lang w:val="zh-CN"/>
        </w:rPr>
        <w:t>在</w:t>
      </w:r>
      <w:r>
        <w:rPr>
          <w:rFonts w:hint="eastAsia" w:ascii="宋体" w:hAnsi="宋体" w:cs="宋体"/>
          <w:color w:val="auto"/>
          <w:sz w:val="21"/>
          <w:szCs w:val="21"/>
        </w:rPr>
        <w:t>磋商</w:t>
      </w:r>
      <w:r>
        <w:rPr>
          <w:rFonts w:hint="eastAsia" w:ascii="宋体" w:hAnsi="宋体" w:cs="宋体"/>
          <w:color w:val="auto"/>
          <w:sz w:val="21"/>
          <w:szCs w:val="21"/>
          <w:lang w:val="zh-CN"/>
        </w:rPr>
        <w:t>活动中提供任何虚假材料，其</w:t>
      </w:r>
      <w:r>
        <w:rPr>
          <w:rFonts w:hint="eastAsia" w:ascii="宋体" w:hAnsi="宋体" w:cs="宋体"/>
          <w:color w:val="auto"/>
          <w:sz w:val="21"/>
          <w:szCs w:val="21"/>
        </w:rPr>
        <w:t>磋商</w:t>
      </w:r>
      <w:r>
        <w:rPr>
          <w:rFonts w:hint="eastAsia" w:ascii="宋体" w:hAnsi="宋体" w:cs="宋体"/>
          <w:color w:val="auto"/>
          <w:sz w:val="21"/>
          <w:szCs w:val="21"/>
          <w:lang w:val="zh-CN"/>
        </w:rPr>
        <w:t>无效，并报监管部门查处；中标后发现的，中标人须依照《中华人民共和国消费者权益保护法》第49条之规定赔偿采购人，且民事赔偿并不免除违法供应商的行政与刑事责任。</w:t>
      </w:r>
    </w:p>
    <w:p>
      <w:pPr>
        <w:autoSpaceDE w:val="0"/>
        <w:autoSpaceDN w:val="0"/>
        <w:adjustRightInd w:val="0"/>
        <w:spacing w:line="380" w:lineRule="exact"/>
        <w:ind w:firstLine="420" w:firstLineChars="200"/>
        <w:rPr>
          <w:rFonts w:ascii="宋体" w:hAnsi="宋体" w:cs="宋体"/>
          <w:color w:val="auto"/>
          <w:sz w:val="21"/>
          <w:szCs w:val="21"/>
          <w:lang w:val="zh-CN"/>
        </w:rPr>
      </w:pPr>
      <w:r>
        <w:rPr>
          <w:rFonts w:hint="eastAsia" w:ascii="宋体" w:hAnsi="宋体" w:eastAsia="宋体" w:cs="宋体"/>
          <w:color w:val="auto"/>
          <w:sz w:val="21"/>
          <w:szCs w:val="21"/>
        </w:rPr>
        <w:t>4</w:t>
      </w:r>
      <w:r>
        <w:rPr>
          <w:rFonts w:hint="eastAsia" w:ascii="宋体" w:hAnsi="宋体" w:cs="宋体"/>
          <w:color w:val="auto"/>
          <w:sz w:val="21"/>
          <w:szCs w:val="21"/>
          <w:lang w:val="zh-CN"/>
        </w:rPr>
        <w:t>.为采购项目提供整体设计、规范编制或者项目管理、监理、检测等服务的供应商，不得再参加该采购项目的其他采购活动。</w:t>
      </w:r>
    </w:p>
    <w:p>
      <w:pPr>
        <w:autoSpaceDE w:val="0"/>
        <w:autoSpaceDN w:val="0"/>
        <w:adjustRightInd w:val="0"/>
        <w:spacing w:line="380" w:lineRule="exact"/>
        <w:ind w:firstLine="422" w:firstLineChars="200"/>
        <w:rPr>
          <w:rFonts w:ascii="Times New Roman" w:hAnsi="宋体" w:eastAsia="宋体"/>
          <w:b/>
          <w:color w:val="auto"/>
          <w:sz w:val="21"/>
          <w:szCs w:val="21"/>
        </w:rPr>
      </w:pPr>
      <w:r>
        <w:rPr>
          <w:rFonts w:hint="eastAsia" w:ascii="Times New Roman" w:hAnsi="宋体" w:eastAsia="宋体"/>
          <w:b/>
          <w:color w:val="auto"/>
          <w:sz w:val="21"/>
          <w:szCs w:val="21"/>
        </w:rPr>
        <w:t>5、政府采购政策：</w:t>
      </w:r>
    </w:p>
    <w:p>
      <w:pPr>
        <w:autoSpaceDE w:val="0"/>
        <w:autoSpaceDN w:val="0"/>
        <w:adjustRightInd w:val="0"/>
        <w:spacing w:line="380" w:lineRule="exact"/>
        <w:ind w:firstLine="422" w:firstLineChars="200"/>
        <w:rPr>
          <w:rFonts w:ascii="Times New Roman" w:hAnsi="宋体" w:eastAsia="宋体"/>
          <w:b/>
          <w:bCs/>
          <w:color w:val="auto"/>
          <w:sz w:val="21"/>
          <w:szCs w:val="21"/>
        </w:rPr>
      </w:pPr>
      <w:r>
        <w:rPr>
          <w:rFonts w:hint="eastAsia" w:ascii="Times New Roman" w:hAnsi="宋体" w:eastAsia="宋体"/>
          <w:b/>
          <w:bCs/>
          <w:color w:val="auto"/>
          <w:sz w:val="21"/>
          <w:szCs w:val="21"/>
        </w:rPr>
        <w:t>（1）本次采购专门面向</w:t>
      </w:r>
      <w:r>
        <w:rPr>
          <w:rFonts w:hint="eastAsia" w:ascii="宋体" w:hAnsi="Times New Roman" w:eastAsia="宋体"/>
          <w:b/>
          <w:bCs/>
          <w:color w:val="auto"/>
          <w:sz w:val="21"/>
          <w:szCs w:val="21"/>
        </w:rPr>
        <w:t>中小企业/小微企业或监狱企业或残疾人福利性单位的</w:t>
      </w:r>
      <w:r>
        <w:rPr>
          <w:rFonts w:hint="eastAsia" w:ascii="Times New Roman" w:hAnsi="宋体" w:eastAsia="宋体"/>
          <w:b/>
          <w:bCs/>
          <w:color w:val="auto"/>
          <w:sz w:val="21"/>
          <w:szCs w:val="21"/>
        </w:rPr>
        <w:t>采购项目。</w:t>
      </w:r>
    </w:p>
    <w:p>
      <w:pPr>
        <w:autoSpaceDE w:val="0"/>
        <w:autoSpaceDN w:val="0"/>
        <w:adjustRightInd w:val="0"/>
        <w:spacing w:line="380" w:lineRule="exact"/>
        <w:ind w:firstLine="422" w:firstLineChars="200"/>
        <w:rPr>
          <w:rFonts w:ascii="Times New Roman" w:hAnsi="宋体" w:eastAsia="宋体"/>
          <w:b/>
          <w:bCs/>
          <w:color w:val="auto"/>
          <w:sz w:val="21"/>
          <w:szCs w:val="21"/>
        </w:rPr>
      </w:pPr>
      <w:r>
        <w:rPr>
          <w:rFonts w:hint="eastAsia" w:ascii="Times New Roman" w:hAnsi="宋体" w:eastAsia="宋体"/>
          <w:b/>
          <w:bCs/>
          <w:color w:val="auto"/>
          <w:sz w:val="21"/>
          <w:szCs w:val="21"/>
        </w:rPr>
        <w:t>（2）本采购文件所称中小企业，是指在中华人民共和国境内依法设立，依据国务院批准的中小企业划分标准确定的中型企业、小型企业和微型企业，但与大企业的负责人为同一人，或者与大企业存在直接控股、管理关系的除外。</w:t>
      </w:r>
    </w:p>
    <w:p>
      <w:pPr>
        <w:autoSpaceDE w:val="0"/>
        <w:autoSpaceDN w:val="0"/>
        <w:adjustRightInd w:val="0"/>
        <w:spacing w:line="380" w:lineRule="exact"/>
        <w:ind w:firstLine="422" w:firstLineChars="200"/>
        <w:rPr>
          <w:rFonts w:ascii="Times New Roman" w:hAnsi="宋体" w:eastAsia="宋体"/>
          <w:b/>
          <w:bCs/>
          <w:color w:val="auto"/>
          <w:sz w:val="21"/>
          <w:szCs w:val="21"/>
        </w:rPr>
      </w:pPr>
      <w:r>
        <w:rPr>
          <w:rFonts w:hint="eastAsia" w:ascii="Times New Roman" w:hAnsi="宋体" w:eastAsia="宋体"/>
          <w:b/>
          <w:bCs/>
          <w:color w:val="auto"/>
          <w:sz w:val="21"/>
          <w:szCs w:val="21"/>
        </w:rPr>
        <w:t>（3）以联合体形式参加政府采购活动，联合体各方均为小微企业的，联合体视同小微企业。（本项目不适用）</w:t>
      </w:r>
    </w:p>
    <w:p>
      <w:pPr>
        <w:autoSpaceDE w:val="0"/>
        <w:autoSpaceDN w:val="0"/>
        <w:adjustRightInd w:val="0"/>
        <w:spacing w:line="380" w:lineRule="exact"/>
        <w:ind w:firstLine="422" w:firstLineChars="200"/>
        <w:rPr>
          <w:rFonts w:ascii="Times New Roman" w:hAnsi="宋体" w:eastAsia="宋体"/>
          <w:b/>
          <w:bCs/>
          <w:color w:val="auto"/>
          <w:sz w:val="21"/>
          <w:szCs w:val="21"/>
        </w:rPr>
      </w:pPr>
      <w:r>
        <w:rPr>
          <w:rFonts w:hint="eastAsia" w:ascii="Times New Roman" w:hAnsi="宋体" w:eastAsia="宋体"/>
          <w:b/>
          <w:bCs/>
          <w:color w:val="auto"/>
          <w:sz w:val="21"/>
          <w:szCs w:val="21"/>
        </w:rPr>
        <w:t>（4）符合小微企业划分标准的个体工商户，视同小微企业。</w:t>
      </w:r>
    </w:p>
    <w:p>
      <w:pPr>
        <w:autoSpaceDE w:val="0"/>
        <w:autoSpaceDN w:val="0"/>
        <w:adjustRightInd w:val="0"/>
        <w:spacing w:line="380" w:lineRule="exact"/>
        <w:ind w:firstLine="422" w:firstLineChars="200"/>
        <w:rPr>
          <w:rFonts w:ascii="Times New Roman" w:hAnsi="宋体" w:eastAsia="宋体"/>
          <w:b/>
          <w:bCs/>
          <w:color w:val="auto"/>
          <w:sz w:val="21"/>
          <w:szCs w:val="21"/>
        </w:rPr>
      </w:pPr>
      <w:r>
        <w:rPr>
          <w:rFonts w:hint="eastAsia" w:ascii="Times New Roman" w:hAnsi="宋体" w:eastAsia="宋体"/>
          <w:b/>
          <w:bCs/>
          <w:color w:val="auto"/>
          <w:sz w:val="21"/>
          <w:szCs w:val="21"/>
        </w:rPr>
        <w:t>（5）本项目不接受大中型企业与小微企业组成联合体。</w:t>
      </w:r>
    </w:p>
    <w:p>
      <w:pPr>
        <w:autoSpaceDE w:val="0"/>
        <w:autoSpaceDN w:val="0"/>
        <w:adjustRightInd w:val="0"/>
        <w:spacing w:line="380" w:lineRule="exact"/>
        <w:ind w:firstLine="422" w:firstLineChars="200"/>
        <w:rPr>
          <w:rFonts w:ascii="Times New Roman" w:hAnsi="宋体" w:eastAsia="宋体"/>
          <w:b/>
          <w:bCs/>
          <w:color w:val="auto"/>
          <w:sz w:val="21"/>
          <w:szCs w:val="21"/>
        </w:rPr>
      </w:pPr>
      <w:r>
        <w:rPr>
          <w:rFonts w:hint="eastAsia" w:ascii="Times New Roman" w:hAnsi="宋体" w:eastAsia="宋体"/>
          <w:b/>
          <w:bCs/>
          <w:color w:val="auto"/>
          <w:sz w:val="21"/>
          <w:szCs w:val="21"/>
        </w:rPr>
        <w:t>（6）本项目不允许大中型企业向一家或者多家小微企业分包。</w:t>
      </w:r>
    </w:p>
    <w:p>
      <w:pPr>
        <w:autoSpaceDE w:val="0"/>
        <w:autoSpaceDN w:val="0"/>
        <w:adjustRightInd w:val="0"/>
        <w:spacing w:line="380" w:lineRule="exact"/>
        <w:ind w:firstLine="422" w:firstLineChars="200"/>
        <w:rPr>
          <w:rFonts w:ascii="Times New Roman" w:hAnsi="宋体" w:eastAsia="宋体"/>
          <w:b/>
          <w:bCs/>
          <w:color w:val="auto"/>
          <w:sz w:val="21"/>
          <w:szCs w:val="21"/>
        </w:rPr>
      </w:pPr>
      <w:r>
        <w:rPr>
          <w:rFonts w:hint="eastAsia" w:ascii="Times New Roman" w:hAnsi="宋体" w:eastAsia="宋体"/>
          <w:b/>
          <w:bCs/>
          <w:color w:val="auto"/>
          <w:sz w:val="21"/>
          <w:szCs w:val="21"/>
        </w:rPr>
        <w:t>（7）提供的服务全部由中小微企业承接（包括联合体内的小微企业和接受分包的小微企业）的，供应商应当出具《中小企业声明函》。</w:t>
      </w:r>
    </w:p>
    <w:p>
      <w:pPr>
        <w:autoSpaceDE w:val="0"/>
        <w:autoSpaceDN w:val="0"/>
        <w:adjustRightInd w:val="0"/>
        <w:spacing w:line="380" w:lineRule="exact"/>
        <w:ind w:firstLine="422" w:firstLineChars="200"/>
        <w:rPr>
          <w:rFonts w:ascii="Times New Roman" w:hAnsi="宋体" w:eastAsia="宋体"/>
          <w:b/>
          <w:bCs/>
          <w:color w:val="auto"/>
          <w:sz w:val="21"/>
          <w:szCs w:val="21"/>
        </w:rPr>
      </w:pPr>
      <w:r>
        <w:rPr>
          <w:rFonts w:hint="eastAsia" w:ascii="Times New Roman" w:hAnsi="宋体" w:eastAsia="宋体"/>
          <w:b/>
          <w:bCs/>
          <w:color w:val="auto"/>
          <w:sz w:val="21"/>
          <w:szCs w:val="21"/>
        </w:rPr>
        <w:t>（8）残疾人福利性单位视同小微企业，参加政府采购活动时，应当提供《残疾人福利性单位声明函》。</w:t>
      </w:r>
    </w:p>
    <w:p>
      <w:pPr>
        <w:autoSpaceDE w:val="0"/>
        <w:autoSpaceDN w:val="0"/>
        <w:adjustRightInd w:val="0"/>
        <w:spacing w:line="380" w:lineRule="exact"/>
        <w:ind w:firstLine="422" w:firstLineChars="200"/>
        <w:rPr>
          <w:rFonts w:ascii="Times New Roman" w:hAnsi="宋体" w:eastAsia="宋体"/>
          <w:b/>
          <w:bCs/>
          <w:color w:val="auto"/>
          <w:sz w:val="21"/>
          <w:szCs w:val="21"/>
        </w:rPr>
      </w:pPr>
      <w:r>
        <w:rPr>
          <w:rFonts w:hint="eastAsia" w:ascii="Times New Roman" w:hAnsi="宋体" w:eastAsia="宋体"/>
          <w:b/>
          <w:bCs/>
          <w:color w:val="auto"/>
          <w:sz w:val="21"/>
          <w:szCs w:val="21"/>
        </w:rPr>
        <w:t>（9）监狱企业视同小微企业，参加政府采购活动时，应当出具省级以上监狱管理局、戒毒管理局（含新疆生产建设兵团）提供的属于监狱企业的证明文件。</w:t>
      </w:r>
    </w:p>
    <w:p>
      <w:pPr>
        <w:autoSpaceDE w:val="0"/>
        <w:autoSpaceDN w:val="0"/>
        <w:adjustRightInd w:val="0"/>
        <w:spacing w:line="380" w:lineRule="exact"/>
        <w:ind w:firstLine="422" w:firstLineChars="200"/>
        <w:rPr>
          <w:rFonts w:ascii="Times New Roman" w:hAnsi="宋体" w:eastAsia="宋体"/>
          <w:b/>
          <w:bCs/>
          <w:color w:val="auto"/>
          <w:sz w:val="21"/>
          <w:szCs w:val="21"/>
          <w:lang w:val="zh-CN"/>
        </w:rPr>
      </w:pPr>
      <w:r>
        <w:rPr>
          <w:rFonts w:hint="eastAsia" w:ascii="Times New Roman" w:hAnsi="宋体" w:eastAsia="宋体"/>
          <w:b/>
          <w:bCs/>
          <w:color w:val="auto"/>
          <w:sz w:val="21"/>
          <w:szCs w:val="21"/>
          <w:lang w:val="zh-CN"/>
        </w:rPr>
        <w:t>▲</w:t>
      </w:r>
      <w:r>
        <w:rPr>
          <w:rFonts w:hint="eastAsia" w:ascii="Times New Roman" w:hAnsi="宋体" w:eastAsia="宋体"/>
          <w:b/>
          <w:bCs/>
          <w:color w:val="auto"/>
          <w:sz w:val="21"/>
          <w:szCs w:val="21"/>
        </w:rPr>
        <w:t>7</w:t>
      </w:r>
      <w:r>
        <w:rPr>
          <w:rFonts w:hint="eastAsia" w:ascii="Times New Roman" w:hAnsi="宋体" w:eastAsia="宋体"/>
          <w:b/>
          <w:bCs/>
          <w:color w:val="auto"/>
          <w:sz w:val="21"/>
          <w:szCs w:val="21"/>
          <w:lang w:val="zh-CN"/>
        </w:rPr>
        <w:t>.</w:t>
      </w:r>
      <w:r>
        <w:rPr>
          <w:rFonts w:hint="eastAsia" w:ascii="Times New Roman" w:hAnsi="宋体" w:eastAsia="宋体"/>
          <w:b/>
          <w:bCs/>
          <w:color w:val="auto"/>
          <w:sz w:val="21"/>
          <w:szCs w:val="21"/>
        </w:rPr>
        <w:t>供应商</w:t>
      </w:r>
      <w:r>
        <w:rPr>
          <w:rFonts w:hint="eastAsia" w:ascii="Times New Roman" w:hAnsi="宋体" w:eastAsia="宋体"/>
          <w:b/>
          <w:bCs/>
          <w:color w:val="auto"/>
          <w:sz w:val="21"/>
          <w:szCs w:val="21"/>
          <w:lang w:val="zh-CN"/>
        </w:rPr>
        <w:t>信用信息查询渠道及截止时点、信用信息查询记录和证据留存的具体方式、信用信息的使用规则：</w:t>
      </w:r>
    </w:p>
    <w:p>
      <w:pPr>
        <w:snapToGrid w:val="0"/>
        <w:spacing w:line="360" w:lineRule="auto"/>
        <w:ind w:firstLine="420" w:firstLineChars="200"/>
        <w:rPr>
          <w:rFonts w:ascii="宋体" w:hAnsi="宋体" w:cs="宋体"/>
          <w:color w:val="auto"/>
          <w:sz w:val="21"/>
          <w:szCs w:val="21"/>
          <w:lang w:val="zh-CN"/>
        </w:rPr>
      </w:pPr>
      <w:r>
        <w:rPr>
          <w:rFonts w:hint="eastAsia" w:ascii="宋体" w:hAnsi="宋体" w:cs="宋体"/>
          <w:color w:val="auto"/>
          <w:sz w:val="21"/>
          <w:szCs w:val="21"/>
          <w:lang w:val="zh-CN"/>
        </w:rPr>
        <w:sym w:font="Wingdings" w:char="0081"/>
      </w:r>
      <w:r>
        <w:rPr>
          <w:rFonts w:hint="eastAsia" w:ascii="宋体" w:hAnsi="宋体" w:cs="宋体"/>
          <w:color w:val="auto"/>
          <w:sz w:val="21"/>
          <w:szCs w:val="21"/>
          <w:lang w:val="zh-CN"/>
        </w:rPr>
        <w:t>查询渠道：中国政府采购网（网址：http://www.ccgp.gov.cn）、信用中国（网址：</w:t>
      </w:r>
      <w:r>
        <w:rPr>
          <w:rFonts w:hint="eastAsia"/>
          <w:color w:val="auto"/>
        </w:rPr>
        <w:fldChar w:fldCharType="begin"/>
      </w:r>
      <w:r>
        <w:rPr>
          <w:color w:val="auto"/>
        </w:rPr>
        <w:instrText xml:space="preserve"> HYPERLINK "http://www.creditchina.gov.cn" </w:instrText>
      </w:r>
      <w:r>
        <w:rPr>
          <w:rFonts w:hint="eastAsia"/>
          <w:color w:val="auto"/>
        </w:rPr>
        <w:fldChar w:fldCharType="separate"/>
      </w:r>
      <w:r>
        <w:rPr>
          <w:rFonts w:hint="eastAsia" w:ascii="宋体" w:hAnsi="宋体" w:cs="宋体"/>
          <w:color w:val="auto"/>
          <w:sz w:val="21"/>
          <w:szCs w:val="21"/>
          <w:lang w:val="zh-CN"/>
        </w:rPr>
        <w:t>http://www.creditchina.gov.cn</w:t>
      </w:r>
      <w:r>
        <w:rPr>
          <w:rFonts w:hint="eastAsia" w:ascii="宋体" w:hAnsi="宋体" w:cs="宋体"/>
          <w:color w:val="auto"/>
          <w:sz w:val="21"/>
          <w:szCs w:val="21"/>
          <w:lang w:val="zh-CN"/>
        </w:rPr>
        <w:fldChar w:fldCharType="end"/>
      </w:r>
      <w:r>
        <w:rPr>
          <w:rFonts w:hint="eastAsia" w:ascii="宋体" w:hAnsi="宋体" w:cs="宋体"/>
          <w:color w:val="auto"/>
          <w:sz w:val="21"/>
          <w:szCs w:val="21"/>
          <w:lang w:val="zh-CN"/>
        </w:rPr>
        <w:t>）。</w:t>
      </w:r>
    </w:p>
    <w:p>
      <w:pPr>
        <w:snapToGrid w:val="0"/>
        <w:spacing w:line="360" w:lineRule="auto"/>
        <w:ind w:firstLine="420" w:firstLineChars="200"/>
        <w:rPr>
          <w:rFonts w:ascii="宋体" w:hAnsi="宋体" w:cs="宋体"/>
          <w:color w:val="auto"/>
          <w:sz w:val="21"/>
          <w:szCs w:val="21"/>
          <w:lang w:val="zh-CN"/>
        </w:rPr>
      </w:pPr>
      <w:r>
        <w:rPr>
          <w:rFonts w:hint="eastAsia" w:ascii="宋体" w:hAnsi="宋体" w:cs="宋体"/>
          <w:color w:val="auto"/>
          <w:sz w:val="21"/>
          <w:szCs w:val="21"/>
          <w:lang w:val="zh-CN"/>
        </w:rPr>
        <w:sym w:font="Wingdings" w:char="F082"/>
      </w:r>
      <w:r>
        <w:rPr>
          <w:rFonts w:hint="eastAsia" w:ascii="宋体" w:hAnsi="宋体" w:cs="宋体"/>
          <w:color w:val="auto"/>
          <w:sz w:val="21"/>
          <w:szCs w:val="21"/>
          <w:lang w:val="zh-CN"/>
        </w:rPr>
        <w:t>截止时间：开标后评标前。</w:t>
      </w:r>
    </w:p>
    <w:p>
      <w:pPr>
        <w:snapToGrid w:val="0"/>
        <w:spacing w:line="360" w:lineRule="auto"/>
        <w:ind w:firstLine="420" w:firstLineChars="200"/>
        <w:rPr>
          <w:rFonts w:ascii="宋体" w:hAnsi="宋体" w:cs="宋体"/>
          <w:color w:val="auto"/>
          <w:sz w:val="21"/>
          <w:szCs w:val="21"/>
          <w:lang w:val="zh-CN"/>
        </w:rPr>
      </w:pPr>
      <w:r>
        <w:rPr>
          <w:rFonts w:hint="eastAsia" w:ascii="宋体" w:hAnsi="宋体" w:cs="宋体"/>
          <w:color w:val="auto"/>
          <w:sz w:val="21"/>
          <w:szCs w:val="21"/>
          <w:lang w:val="zh-CN"/>
        </w:rPr>
        <w:sym w:font="Wingdings" w:char="F083"/>
      </w:r>
      <w:r>
        <w:rPr>
          <w:rFonts w:hint="eastAsia" w:ascii="宋体" w:hAnsi="宋体" w:cs="宋体"/>
          <w:color w:val="auto"/>
          <w:sz w:val="21"/>
          <w:szCs w:val="21"/>
          <w:lang w:val="zh-CN"/>
        </w:rPr>
        <w:t>信用信息查询记录和证据留存的具体方式：将在规定查询时间内打印信用信息查询记录及相关证据，并将与其他采购文件一并保存。</w:t>
      </w:r>
    </w:p>
    <w:p>
      <w:pPr>
        <w:autoSpaceDE w:val="0"/>
        <w:autoSpaceDN w:val="0"/>
        <w:adjustRightInd w:val="0"/>
        <w:spacing w:line="360" w:lineRule="auto"/>
        <w:ind w:firstLine="480"/>
        <w:rPr>
          <w:rFonts w:ascii="宋体" w:hAnsi="宋体" w:cs="宋体"/>
          <w:color w:val="auto"/>
          <w:sz w:val="21"/>
          <w:szCs w:val="21"/>
        </w:rPr>
      </w:pPr>
      <w:r>
        <w:rPr>
          <w:rFonts w:hint="eastAsia" w:ascii="宋体" w:hAnsi="宋体" w:cs="宋体"/>
          <w:color w:val="auto"/>
          <w:sz w:val="21"/>
          <w:szCs w:val="21"/>
          <w:lang w:val="zh-CN"/>
        </w:rPr>
        <w:sym w:font="Wingdings" w:char="0084"/>
      </w:r>
      <w:r>
        <w:rPr>
          <w:rFonts w:hint="eastAsia" w:ascii="宋体" w:hAnsi="宋体" w:cs="宋体"/>
          <w:color w:val="auto"/>
          <w:sz w:val="21"/>
          <w:szCs w:val="21"/>
          <w:lang w:val="zh-CN"/>
        </w:rPr>
        <w:t>使用规则：对列入失信被执行人、重大税收违法案件当事人名单、政府采购严重违法失信行为记录名单的供应商，拒绝其参与采购活动</w:t>
      </w:r>
      <w:r>
        <w:rPr>
          <w:rFonts w:hint="eastAsia" w:ascii="宋体" w:hAnsi="宋体" w:cs="宋体"/>
          <w:color w:val="auto"/>
          <w:sz w:val="21"/>
          <w:szCs w:val="21"/>
        </w:rPr>
        <w:t>。</w:t>
      </w:r>
    </w:p>
    <w:p>
      <w:pPr>
        <w:pStyle w:val="33"/>
        <w:spacing w:line="360" w:lineRule="auto"/>
        <w:ind w:firstLine="420" w:firstLineChars="200"/>
        <w:rPr>
          <w:rFonts w:ascii="宋体" w:hAnsi="宋体" w:eastAsia="宋体" w:cs="宋体"/>
          <w:b/>
          <w:bCs/>
          <w:color w:val="auto"/>
          <w:sz w:val="21"/>
          <w:szCs w:val="21"/>
          <w:lang w:val="en-US"/>
        </w:rPr>
      </w:pPr>
      <w:r>
        <w:rPr>
          <w:rFonts w:hint="eastAsia" w:ascii="宋体" w:hAnsi="宋体" w:cs="宋体"/>
          <w:b/>
          <w:bCs/>
          <w:color w:val="auto"/>
          <w:sz w:val="21"/>
          <w:szCs w:val="21"/>
          <w:lang w:val="en-US"/>
        </w:rPr>
        <w:t>8、</w:t>
      </w:r>
      <w:r>
        <w:rPr>
          <w:rFonts w:hint="eastAsia" w:ascii="宋体" w:hAnsi="宋体"/>
          <w:b/>
          <w:bCs/>
          <w:color w:val="auto"/>
          <w:sz w:val="21"/>
          <w:szCs w:val="21"/>
        </w:rPr>
        <w:t>磋商供应商项目负责人在建</w:t>
      </w:r>
      <w:r>
        <w:rPr>
          <w:rFonts w:hint="eastAsia" w:hAnsi="宋体"/>
          <w:b/>
          <w:bCs/>
          <w:color w:val="auto"/>
          <w:sz w:val="21"/>
          <w:szCs w:val="21"/>
        </w:rPr>
        <w:t>查询渠道</w:t>
      </w:r>
      <w:r>
        <w:rPr>
          <w:rFonts w:hint="eastAsia" w:hAnsi="宋体"/>
          <w:b/>
          <w:bCs/>
          <w:color w:val="auto"/>
          <w:sz w:val="21"/>
          <w:szCs w:val="21"/>
          <w:lang w:val="en-US"/>
        </w:rPr>
        <w:t>：</w:t>
      </w:r>
      <w:r>
        <w:rPr>
          <w:rFonts w:hint="eastAsia" w:ascii="宋体" w:hAnsi="宋体" w:eastAsia="宋体" w:cs="宋体"/>
          <w:b/>
          <w:color w:val="auto"/>
          <w:sz w:val="21"/>
          <w:szCs w:val="21"/>
          <w:highlight w:val="none"/>
          <w:lang w:val="en-US" w:eastAsia="zh-CN"/>
        </w:rPr>
        <w:t>全国建筑市场监管公共服务平台（http://jzsc.mohurd.gov.cn/home）、浙江省建筑市场监管公共服务系统https://jzsc.jst.zj.gov.cn/PublicWeb/index.html#/project_personnel或其他可被查询的渠道（如在平台上可以查询到未竣工且担任项目负责人，请在商务与技术文件中提供竣工或交工验收记录或其他相关证明材料）。</w:t>
      </w:r>
    </w:p>
    <w:bookmarkEnd w:id="39"/>
    <w:bookmarkEnd w:id="40"/>
    <w:p>
      <w:pPr>
        <w:autoSpaceDE w:val="0"/>
        <w:autoSpaceDN w:val="0"/>
        <w:adjustRightInd w:val="0"/>
        <w:spacing w:line="360" w:lineRule="auto"/>
        <w:ind w:firstLine="480"/>
        <w:rPr>
          <w:rFonts w:ascii="宋体" w:hAnsi="宋体" w:eastAsia="宋体" w:cs="宋体"/>
          <w:b/>
          <w:bCs/>
          <w:color w:val="auto"/>
          <w:sz w:val="21"/>
          <w:szCs w:val="21"/>
          <w:lang w:val="zh-CN"/>
        </w:rPr>
      </w:pPr>
      <w:r>
        <w:rPr>
          <w:rFonts w:hint="eastAsia" w:ascii="宋体" w:hAnsi="宋体" w:eastAsia="宋体" w:cs="宋体"/>
          <w:b/>
          <w:bCs/>
          <w:color w:val="auto"/>
          <w:sz w:val="21"/>
          <w:szCs w:val="21"/>
        </w:rPr>
        <w:t>（七）</w:t>
      </w:r>
      <w:r>
        <w:rPr>
          <w:rFonts w:hint="eastAsia" w:ascii="宋体" w:hAnsi="宋体" w:eastAsia="宋体" w:cs="宋体"/>
          <w:b/>
          <w:bCs/>
          <w:color w:val="auto"/>
          <w:sz w:val="21"/>
          <w:szCs w:val="21"/>
          <w:lang w:val="zh-CN"/>
        </w:rPr>
        <w:t>质疑与投诉</w:t>
      </w:r>
    </w:p>
    <w:p>
      <w:pPr>
        <w:pStyle w:val="12"/>
        <w:spacing w:line="360" w:lineRule="auto"/>
        <w:ind w:firstLine="420" w:firstLineChars="200"/>
        <w:rPr>
          <w:rFonts w:hAnsi="宋体" w:eastAsia="宋体" w:cs="宋体"/>
          <w:color w:val="auto"/>
          <w:szCs w:val="21"/>
          <w:lang w:val="zh-CN"/>
        </w:rPr>
      </w:pPr>
      <w:r>
        <w:rPr>
          <w:rFonts w:hint="eastAsia" w:hAnsi="宋体" w:eastAsia="宋体" w:cs="宋体"/>
          <w:color w:val="auto"/>
          <w:szCs w:val="21"/>
          <w:lang w:val="zh-CN"/>
        </w:rPr>
        <w:t>1、</w:t>
      </w:r>
      <w:r>
        <w:rPr>
          <w:rFonts w:hint="eastAsia" w:hAnsi="宋体" w:eastAsia="宋体" w:cs="宋体"/>
          <w:color w:val="auto"/>
          <w:szCs w:val="21"/>
        </w:rPr>
        <w:t>供应商</w:t>
      </w:r>
      <w:r>
        <w:rPr>
          <w:rFonts w:hint="eastAsia" w:hAnsi="宋体" w:eastAsia="宋体" w:cs="宋体"/>
          <w:color w:val="auto"/>
          <w:szCs w:val="21"/>
          <w:lang w:val="zh-CN"/>
        </w:rPr>
        <w:t>认为</w:t>
      </w:r>
      <w:r>
        <w:rPr>
          <w:rFonts w:hint="eastAsia" w:hAnsi="宋体" w:eastAsia="宋体" w:cs="宋体"/>
          <w:color w:val="auto"/>
          <w:szCs w:val="21"/>
        </w:rPr>
        <w:t>磋商</w:t>
      </w:r>
      <w:r>
        <w:rPr>
          <w:rFonts w:hint="eastAsia" w:hAnsi="宋体" w:eastAsia="宋体" w:cs="宋体"/>
          <w:color w:val="auto"/>
          <w:szCs w:val="21"/>
          <w:lang w:val="zh-CN"/>
        </w:rPr>
        <w:t>文件、</w:t>
      </w:r>
      <w:r>
        <w:rPr>
          <w:rFonts w:hint="eastAsia" w:hAnsi="宋体" w:eastAsia="宋体" w:cs="宋体"/>
          <w:color w:val="auto"/>
          <w:szCs w:val="21"/>
        </w:rPr>
        <w:t>磋商</w:t>
      </w:r>
      <w:r>
        <w:rPr>
          <w:rFonts w:hint="eastAsia" w:hAnsi="宋体" w:eastAsia="宋体" w:cs="宋体"/>
          <w:color w:val="auto"/>
          <w:szCs w:val="21"/>
          <w:lang w:val="zh-CN"/>
        </w:rPr>
        <w:t>过程和中标结果使自己的权益收到损害的，可以在知道或者应知其权益收到损害之日起七个工作日内，以书面形式向代理机构提出质疑（在法定质疑期内一次性提出针对同一</w:t>
      </w:r>
      <w:r>
        <w:rPr>
          <w:rFonts w:hint="eastAsia" w:hAnsi="宋体" w:eastAsia="宋体" w:cs="宋体"/>
          <w:color w:val="auto"/>
          <w:szCs w:val="21"/>
        </w:rPr>
        <w:t>采购</w:t>
      </w:r>
      <w:r>
        <w:rPr>
          <w:rFonts w:hint="eastAsia" w:hAnsi="宋体" w:eastAsia="宋体" w:cs="宋体"/>
          <w:color w:val="auto"/>
          <w:szCs w:val="21"/>
          <w:lang w:val="zh-CN"/>
        </w:rPr>
        <w:t>程序环节的质疑）。</w:t>
      </w:r>
    </w:p>
    <w:p>
      <w:pPr>
        <w:pStyle w:val="12"/>
        <w:spacing w:line="360" w:lineRule="auto"/>
        <w:ind w:firstLine="420" w:firstLineChars="200"/>
        <w:rPr>
          <w:rFonts w:hAnsi="宋体" w:eastAsia="宋体" w:cs="宋体"/>
          <w:color w:val="auto"/>
          <w:szCs w:val="21"/>
          <w:lang w:val="zh-CN"/>
        </w:rPr>
      </w:pPr>
      <w:r>
        <w:rPr>
          <w:rFonts w:hint="eastAsia" w:hAnsi="宋体" w:eastAsia="宋体" w:cs="宋体"/>
          <w:color w:val="auto"/>
          <w:szCs w:val="21"/>
          <w:lang w:val="zh-CN"/>
        </w:rPr>
        <w:t>2、质疑供应商可直接提交、传真或邮寄方式提交质疑书（一式三份），以其他方式提出的质疑，代理机构可不予接受、答复。其中，以传真方式送达质疑书的，应及时将质疑书原件送达代理机构，代理机构以实际收到原件之日作为收到质疑的日期（在质疑期限届满前质疑书已经传真成功的，质疑不视为过期）；邮寄方式送达质疑书的，以代理机构实际收到邮件之日作为收到质疑的日期。</w:t>
      </w:r>
    </w:p>
    <w:p>
      <w:pPr>
        <w:pStyle w:val="12"/>
        <w:spacing w:line="360" w:lineRule="auto"/>
        <w:ind w:firstLine="420" w:firstLineChars="200"/>
        <w:rPr>
          <w:rFonts w:hAnsi="宋体" w:eastAsia="宋体" w:cs="宋体"/>
          <w:color w:val="auto"/>
          <w:szCs w:val="21"/>
          <w:lang w:val="zh-CN"/>
        </w:rPr>
      </w:pPr>
      <w:r>
        <w:rPr>
          <w:rFonts w:hint="eastAsia" w:hAnsi="宋体" w:eastAsia="宋体" w:cs="宋体"/>
          <w:color w:val="auto"/>
          <w:szCs w:val="21"/>
          <w:lang w:val="zh-CN"/>
        </w:rPr>
        <w:t>3、代理机构在收到质疑供应商的书面质疑后7个工作日内作出书面答复（涉及项目</w:t>
      </w:r>
      <w:r>
        <w:rPr>
          <w:rFonts w:hint="eastAsia" w:hAnsi="宋体" w:eastAsia="宋体" w:cs="宋体"/>
          <w:color w:val="auto"/>
          <w:szCs w:val="21"/>
        </w:rPr>
        <w:t>采购</w:t>
      </w:r>
      <w:r>
        <w:rPr>
          <w:rFonts w:hint="eastAsia" w:hAnsi="宋体" w:eastAsia="宋体" w:cs="宋体"/>
          <w:color w:val="auto"/>
          <w:szCs w:val="21"/>
          <w:lang w:val="zh-CN"/>
        </w:rPr>
        <w:t>需求内容的由采购人答复），质疑人在收到答复后应于1 日内，以书面或传真形式（签署意见并加盖公章）向代理机构回复予以确认。过期未回复的，视为默认接受。</w:t>
      </w:r>
    </w:p>
    <w:p>
      <w:pPr>
        <w:spacing w:line="360" w:lineRule="auto"/>
        <w:ind w:firstLine="482"/>
        <w:rPr>
          <w:rFonts w:ascii="宋体" w:hAnsi="宋体" w:eastAsia="宋体" w:cs="宋体"/>
          <w:color w:val="auto"/>
          <w:sz w:val="21"/>
          <w:szCs w:val="21"/>
          <w:lang w:val="zh-CN"/>
        </w:rPr>
      </w:pPr>
      <w:r>
        <w:rPr>
          <w:rFonts w:hint="eastAsia" w:ascii="宋体" w:hAnsi="宋体" w:eastAsia="宋体" w:cs="宋体"/>
          <w:color w:val="auto"/>
          <w:sz w:val="21"/>
          <w:szCs w:val="21"/>
          <w:lang w:val="zh-CN"/>
        </w:rPr>
        <w:t>4、质疑</w:t>
      </w:r>
      <w:r>
        <w:rPr>
          <w:rFonts w:hint="eastAsia" w:ascii="宋体" w:hAnsi="宋体" w:eastAsia="宋体" w:cs="宋体"/>
          <w:color w:val="auto"/>
          <w:sz w:val="21"/>
          <w:szCs w:val="21"/>
        </w:rPr>
        <w:t>供应商</w:t>
      </w:r>
      <w:r>
        <w:rPr>
          <w:rFonts w:hint="eastAsia" w:ascii="宋体" w:hAnsi="宋体" w:eastAsia="宋体" w:cs="宋体"/>
          <w:color w:val="auto"/>
          <w:sz w:val="21"/>
          <w:szCs w:val="21"/>
          <w:lang w:val="zh-CN"/>
        </w:rPr>
        <w:t>捏造事实、提供虚假材料进行质疑的，代理机构报告同级监督部门。情况属实的，列入不良行为记录并在指定的媒体上公告。</w:t>
      </w:r>
    </w:p>
    <w:p>
      <w:pPr>
        <w:pStyle w:val="4"/>
        <w:spacing w:before="0" w:after="0" w:line="360" w:lineRule="auto"/>
        <w:ind w:firstLine="420" w:firstLineChars="200"/>
        <w:rPr>
          <w:rFonts w:ascii="宋体" w:hAnsi="宋体" w:eastAsia="宋体" w:cs="宋体"/>
          <w:b w:val="0"/>
          <w:bCs w:val="0"/>
          <w:color w:val="auto"/>
          <w:sz w:val="21"/>
          <w:szCs w:val="21"/>
          <w:lang w:val="zh-CN"/>
        </w:rPr>
      </w:pPr>
      <w:r>
        <w:rPr>
          <w:rFonts w:hint="eastAsia" w:ascii="宋体" w:hAnsi="宋体" w:eastAsia="宋体" w:cs="宋体"/>
          <w:b w:val="0"/>
          <w:bCs w:val="0"/>
          <w:color w:val="auto"/>
          <w:sz w:val="21"/>
          <w:szCs w:val="21"/>
          <w:lang w:val="zh-CN"/>
        </w:rPr>
        <w:t>5、</w:t>
      </w:r>
      <w:r>
        <w:rPr>
          <w:rFonts w:hint="eastAsia" w:ascii="宋体" w:hAnsi="宋体" w:eastAsia="宋体" w:cs="宋体"/>
          <w:b w:val="0"/>
          <w:bCs w:val="0"/>
          <w:color w:val="auto"/>
          <w:kern w:val="0"/>
          <w:sz w:val="21"/>
          <w:szCs w:val="21"/>
        </w:rPr>
        <w:t>质疑供应商对采购人、代理机构的答复不满意或者采购人、代理机构未在规定的时间内作出答复的，可以在答复期满后十五个工作日内向</w:t>
      </w:r>
      <w:r>
        <w:rPr>
          <w:rFonts w:hint="eastAsia" w:ascii="宋体" w:hAnsi="宋体" w:eastAsia="宋体" w:cs="宋体"/>
          <w:b w:val="0"/>
          <w:bCs w:val="0"/>
          <w:color w:val="auto"/>
          <w:sz w:val="21"/>
          <w:szCs w:val="21"/>
          <w:lang w:val="zh-CN"/>
        </w:rPr>
        <w:t>同级监督部门</w:t>
      </w:r>
      <w:r>
        <w:rPr>
          <w:rFonts w:hint="eastAsia" w:ascii="宋体" w:hAnsi="宋体" w:eastAsia="宋体" w:cs="宋体"/>
          <w:b w:val="0"/>
          <w:bCs w:val="0"/>
          <w:color w:val="auto"/>
          <w:kern w:val="0"/>
          <w:sz w:val="21"/>
          <w:szCs w:val="21"/>
        </w:rPr>
        <w:t>投诉。</w:t>
      </w:r>
    </w:p>
    <w:p>
      <w:pPr>
        <w:autoSpaceDE w:val="0"/>
        <w:autoSpaceDN w:val="0"/>
        <w:adjustRightIn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sz w:val="21"/>
          <w:szCs w:val="21"/>
        </w:rPr>
        <w:t>二、磋商文件</w:t>
      </w:r>
    </w:p>
    <w:p>
      <w:pPr>
        <w:autoSpaceDE w:val="0"/>
        <w:autoSpaceDN w:val="0"/>
        <w:adjustRightInd w:val="0"/>
        <w:spacing w:line="360" w:lineRule="auto"/>
        <w:ind w:firstLine="420" w:firstLineChars="200"/>
        <w:rPr>
          <w:rFonts w:ascii="宋体"/>
          <w:b/>
          <w:color w:val="auto"/>
          <w:sz w:val="21"/>
          <w:szCs w:val="21"/>
          <w:lang w:val="zh-CN"/>
        </w:rPr>
      </w:pPr>
      <w:r>
        <w:rPr>
          <w:rFonts w:hint="eastAsia" w:ascii="宋体"/>
          <w:b/>
          <w:color w:val="auto"/>
          <w:sz w:val="21"/>
          <w:szCs w:val="21"/>
          <w:lang w:val="zh-CN"/>
        </w:rPr>
        <w:t>（一）</w:t>
      </w:r>
      <w:r>
        <w:rPr>
          <w:rFonts w:hint="eastAsia" w:ascii="宋体"/>
          <w:b/>
          <w:color w:val="auto"/>
          <w:sz w:val="21"/>
          <w:szCs w:val="21"/>
        </w:rPr>
        <w:t>磋商</w:t>
      </w:r>
      <w:r>
        <w:rPr>
          <w:rFonts w:hint="eastAsia" w:ascii="宋体"/>
          <w:b/>
          <w:color w:val="auto"/>
          <w:sz w:val="21"/>
          <w:szCs w:val="21"/>
          <w:lang w:val="zh-CN"/>
        </w:rPr>
        <w:t>文件的构成</w:t>
      </w:r>
    </w:p>
    <w:p>
      <w:pPr>
        <w:autoSpaceDE w:val="0"/>
        <w:autoSpaceDN w:val="0"/>
        <w:adjustRightInd w:val="0"/>
        <w:spacing w:line="360" w:lineRule="auto"/>
        <w:ind w:firstLine="420" w:firstLineChars="200"/>
        <w:rPr>
          <w:rFonts w:ascii="宋体"/>
          <w:color w:val="auto"/>
          <w:sz w:val="21"/>
          <w:szCs w:val="21"/>
          <w:lang w:val="zh-CN"/>
        </w:rPr>
      </w:pPr>
      <w:r>
        <w:rPr>
          <w:rFonts w:hint="eastAsia" w:ascii="宋体"/>
          <w:color w:val="auto"/>
          <w:sz w:val="21"/>
          <w:szCs w:val="21"/>
          <w:lang w:val="zh-CN"/>
        </w:rPr>
        <w:t>本</w:t>
      </w:r>
      <w:r>
        <w:rPr>
          <w:rFonts w:hint="eastAsia" w:ascii="宋体"/>
          <w:color w:val="auto"/>
          <w:sz w:val="21"/>
          <w:szCs w:val="21"/>
        </w:rPr>
        <w:t>磋商</w:t>
      </w:r>
      <w:r>
        <w:rPr>
          <w:rFonts w:hint="eastAsia" w:ascii="宋体"/>
          <w:color w:val="auto"/>
          <w:sz w:val="21"/>
          <w:szCs w:val="21"/>
          <w:lang w:val="zh-CN"/>
        </w:rPr>
        <w:t>文件由以下部份组成：</w:t>
      </w:r>
    </w:p>
    <w:p>
      <w:pPr>
        <w:numPr>
          <w:ilvl w:val="0"/>
          <w:numId w:val="4"/>
        </w:numPr>
        <w:autoSpaceDE w:val="0"/>
        <w:autoSpaceDN w:val="0"/>
        <w:adjustRightInd w:val="0"/>
        <w:spacing w:line="360" w:lineRule="auto"/>
        <w:rPr>
          <w:rFonts w:ascii="宋体"/>
          <w:color w:val="auto"/>
          <w:sz w:val="21"/>
          <w:szCs w:val="21"/>
          <w:lang w:val="zh-CN"/>
        </w:rPr>
      </w:pPr>
      <w:r>
        <w:rPr>
          <w:rFonts w:hint="eastAsia" w:ascii="宋体"/>
          <w:color w:val="auto"/>
          <w:sz w:val="21"/>
          <w:szCs w:val="21"/>
        </w:rPr>
        <w:t>竞争性磋商</w:t>
      </w:r>
      <w:r>
        <w:rPr>
          <w:rFonts w:hint="eastAsia" w:ascii="宋体"/>
          <w:color w:val="auto"/>
          <w:sz w:val="21"/>
          <w:szCs w:val="21"/>
          <w:lang w:val="zh-CN"/>
        </w:rPr>
        <w:t>公告</w:t>
      </w:r>
    </w:p>
    <w:p>
      <w:pPr>
        <w:numPr>
          <w:ilvl w:val="0"/>
          <w:numId w:val="4"/>
        </w:numPr>
        <w:autoSpaceDE w:val="0"/>
        <w:autoSpaceDN w:val="0"/>
        <w:adjustRightInd w:val="0"/>
        <w:spacing w:line="360" w:lineRule="auto"/>
        <w:rPr>
          <w:rFonts w:ascii="宋体"/>
          <w:color w:val="auto"/>
          <w:sz w:val="21"/>
          <w:szCs w:val="21"/>
          <w:lang w:val="zh-CN"/>
        </w:rPr>
      </w:pPr>
      <w:r>
        <w:rPr>
          <w:rFonts w:hint="eastAsia" w:ascii="宋体"/>
          <w:color w:val="auto"/>
          <w:sz w:val="21"/>
          <w:szCs w:val="21"/>
        </w:rPr>
        <w:t>采购</w:t>
      </w:r>
      <w:r>
        <w:rPr>
          <w:rFonts w:hint="eastAsia" w:ascii="宋体"/>
          <w:color w:val="auto"/>
          <w:sz w:val="21"/>
          <w:szCs w:val="21"/>
          <w:lang w:val="zh-CN"/>
        </w:rPr>
        <w:t>需求</w:t>
      </w:r>
    </w:p>
    <w:p>
      <w:pPr>
        <w:numPr>
          <w:ilvl w:val="0"/>
          <w:numId w:val="4"/>
        </w:numPr>
        <w:autoSpaceDE w:val="0"/>
        <w:autoSpaceDN w:val="0"/>
        <w:adjustRightInd w:val="0"/>
        <w:spacing w:line="360" w:lineRule="auto"/>
        <w:rPr>
          <w:rFonts w:ascii="宋体"/>
          <w:color w:val="auto"/>
          <w:sz w:val="21"/>
          <w:szCs w:val="21"/>
          <w:lang w:val="zh-CN"/>
        </w:rPr>
      </w:pPr>
      <w:r>
        <w:rPr>
          <w:rFonts w:hint="eastAsia" w:ascii="宋体"/>
          <w:color w:val="auto"/>
          <w:sz w:val="21"/>
          <w:szCs w:val="21"/>
        </w:rPr>
        <w:t>供应商</w:t>
      </w:r>
      <w:r>
        <w:rPr>
          <w:rFonts w:hint="eastAsia" w:ascii="宋体"/>
          <w:color w:val="auto"/>
          <w:sz w:val="21"/>
          <w:szCs w:val="21"/>
          <w:lang w:val="zh-CN"/>
        </w:rPr>
        <w:t>须知</w:t>
      </w:r>
    </w:p>
    <w:p>
      <w:pPr>
        <w:numPr>
          <w:ilvl w:val="0"/>
          <w:numId w:val="4"/>
        </w:numPr>
        <w:autoSpaceDE w:val="0"/>
        <w:autoSpaceDN w:val="0"/>
        <w:adjustRightInd w:val="0"/>
        <w:spacing w:line="360" w:lineRule="auto"/>
        <w:rPr>
          <w:rFonts w:ascii="宋体"/>
          <w:color w:val="auto"/>
          <w:sz w:val="21"/>
          <w:szCs w:val="21"/>
          <w:lang w:val="zh-CN"/>
        </w:rPr>
      </w:pPr>
      <w:r>
        <w:rPr>
          <w:rFonts w:hint="eastAsia" w:ascii="宋体"/>
          <w:color w:val="auto"/>
          <w:sz w:val="21"/>
          <w:szCs w:val="21"/>
          <w:lang w:val="zh-CN"/>
        </w:rPr>
        <w:t>评标办法及评分标准</w:t>
      </w:r>
    </w:p>
    <w:p>
      <w:pPr>
        <w:numPr>
          <w:ilvl w:val="0"/>
          <w:numId w:val="4"/>
        </w:numPr>
        <w:autoSpaceDE w:val="0"/>
        <w:autoSpaceDN w:val="0"/>
        <w:adjustRightInd w:val="0"/>
        <w:spacing w:line="360" w:lineRule="auto"/>
        <w:rPr>
          <w:rFonts w:ascii="宋体"/>
          <w:color w:val="auto"/>
          <w:sz w:val="21"/>
          <w:szCs w:val="21"/>
          <w:lang w:val="zh-CN"/>
        </w:rPr>
      </w:pPr>
      <w:r>
        <w:rPr>
          <w:rFonts w:hint="eastAsia" w:ascii="宋体"/>
          <w:color w:val="auto"/>
          <w:sz w:val="21"/>
          <w:szCs w:val="21"/>
          <w:lang w:val="zh-CN"/>
        </w:rPr>
        <w:t>合同主要条款</w:t>
      </w:r>
    </w:p>
    <w:p>
      <w:pPr>
        <w:numPr>
          <w:ilvl w:val="0"/>
          <w:numId w:val="4"/>
        </w:numPr>
        <w:autoSpaceDE w:val="0"/>
        <w:autoSpaceDN w:val="0"/>
        <w:adjustRightInd w:val="0"/>
        <w:spacing w:line="360" w:lineRule="auto"/>
        <w:rPr>
          <w:rFonts w:ascii="宋体"/>
          <w:color w:val="auto"/>
          <w:sz w:val="21"/>
          <w:szCs w:val="21"/>
          <w:lang w:val="zh-CN"/>
        </w:rPr>
      </w:pPr>
      <w:r>
        <w:rPr>
          <w:rFonts w:hint="eastAsia" w:ascii="宋体"/>
          <w:color w:val="auto"/>
          <w:sz w:val="21"/>
          <w:szCs w:val="21"/>
        </w:rPr>
        <w:t>磋商响应</w:t>
      </w:r>
      <w:r>
        <w:rPr>
          <w:rFonts w:hint="eastAsia" w:ascii="宋体"/>
          <w:color w:val="auto"/>
          <w:sz w:val="21"/>
          <w:szCs w:val="21"/>
          <w:lang w:val="zh-CN"/>
        </w:rPr>
        <w:t>文件格式</w:t>
      </w:r>
    </w:p>
    <w:p>
      <w:pPr>
        <w:autoSpaceDE w:val="0"/>
        <w:autoSpaceDN w:val="0"/>
        <w:adjustRightInd w:val="0"/>
        <w:spacing w:line="360" w:lineRule="auto"/>
        <w:ind w:firstLine="420" w:firstLineChars="200"/>
        <w:rPr>
          <w:rFonts w:ascii="宋体"/>
          <w:color w:val="auto"/>
          <w:sz w:val="21"/>
          <w:szCs w:val="21"/>
          <w:lang w:val="zh-CN"/>
        </w:rPr>
      </w:pPr>
      <w:r>
        <w:rPr>
          <w:rFonts w:hint="eastAsia" w:ascii="宋体"/>
          <w:color w:val="auto"/>
          <w:sz w:val="21"/>
          <w:szCs w:val="21"/>
          <w:lang w:val="zh-CN"/>
        </w:rPr>
        <w:t>7、</w:t>
      </w:r>
      <w:r>
        <w:rPr>
          <w:rFonts w:hint="eastAsia" w:ascii="宋体" w:hAnsi="宋体"/>
          <w:color w:val="auto"/>
          <w:sz w:val="21"/>
          <w:szCs w:val="21"/>
        </w:rPr>
        <w:t>本项目磋商文件的澄清、答复、修改、补充的内容</w:t>
      </w:r>
    </w:p>
    <w:p>
      <w:pPr>
        <w:autoSpaceDE w:val="0"/>
        <w:autoSpaceDN w:val="0"/>
        <w:adjustRightInd w:val="0"/>
        <w:spacing w:line="360" w:lineRule="auto"/>
        <w:ind w:firstLine="420" w:firstLineChars="200"/>
        <w:rPr>
          <w:rFonts w:ascii="宋体"/>
          <w:b/>
          <w:color w:val="auto"/>
          <w:sz w:val="21"/>
          <w:szCs w:val="21"/>
          <w:lang w:val="zh-CN"/>
        </w:rPr>
      </w:pPr>
      <w:r>
        <w:rPr>
          <w:rFonts w:hint="eastAsia" w:ascii="宋体"/>
          <w:b/>
          <w:color w:val="auto"/>
          <w:sz w:val="21"/>
          <w:szCs w:val="21"/>
          <w:lang w:val="zh-CN"/>
        </w:rPr>
        <w:t>（二）</w:t>
      </w:r>
      <w:r>
        <w:rPr>
          <w:rFonts w:hint="eastAsia" w:ascii="宋体"/>
          <w:b/>
          <w:color w:val="auto"/>
          <w:sz w:val="21"/>
          <w:szCs w:val="21"/>
        </w:rPr>
        <w:t>磋商</w:t>
      </w:r>
      <w:r>
        <w:rPr>
          <w:rFonts w:hint="eastAsia" w:ascii="宋体"/>
          <w:b/>
          <w:color w:val="auto"/>
          <w:sz w:val="21"/>
          <w:szCs w:val="21"/>
          <w:lang w:val="zh-CN"/>
        </w:rPr>
        <w:t>文件的澄清与修改</w:t>
      </w:r>
    </w:p>
    <w:p>
      <w:pPr>
        <w:snapToGrid w:val="0"/>
        <w:spacing w:line="360" w:lineRule="auto"/>
        <w:ind w:firstLine="420" w:firstLineChars="200"/>
        <w:rPr>
          <w:rFonts w:ascii="宋体" w:hAnsi="宋体" w:cs="宋体"/>
          <w:color w:val="auto"/>
          <w:sz w:val="21"/>
          <w:szCs w:val="21"/>
          <w:lang w:val="zh-CN"/>
        </w:rPr>
      </w:pPr>
      <w:r>
        <w:rPr>
          <w:rFonts w:hint="eastAsia" w:ascii="宋体" w:hAnsi="宋体" w:cs="宋体"/>
          <w:color w:val="auto"/>
          <w:sz w:val="21"/>
          <w:szCs w:val="21"/>
          <w:lang w:val="zh-CN"/>
        </w:rPr>
        <w:t>1.</w:t>
      </w:r>
      <w:r>
        <w:rPr>
          <w:rFonts w:hint="eastAsia" w:ascii="宋体" w:hAnsi="宋体" w:cs="宋体"/>
          <w:color w:val="auto"/>
          <w:sz w:val="21"/>
          <w:szCs w:val="21"/>
        </w:rPr>
        <w:t>供应商</w:t>
      </w:r>
      <w:r>
        <w:rPr>
          <w:rFonts w:hint="eastAsia" w:ascii="宋体" w:hAnsi="宋体" w:cs="宋体"/>
          <w:color w:val="auto"/>
          <w:sz w:val="21"/>
          <w:szCs w:val="21"/>
          <w:lang w:val="zh-CN"/>
        </w:rPr>
        <w:t>如发现</w:t>
      </w:r>
      <w:r>
        <w:rPr>
          <w:rFonts w:hint="eastAsia" w:ascii="宋体" w:hAnsi="宋体" w:cs="宋体"/>
          <w:color w:val="auto"/>
          <w:sz w:val="21"/>
          <w:szCs w:val="21"/>
        </w:rPr>
        <w:t>磋商</w:t>
      </w:r>
      <w:r>
        <w:rPr>
          <w:rFonts w:hint="eastAsia" w:ascii="宋体" w:hAnsi="宋体" w:cs="宋体"/>
          <w:color w:val="auto"/>
          <w:sz w:val="21"/>
          <w:szCs w:val="21"/>
          <w:lang w:val="zh-CN"/>
        </w:rPr>
        <w:t>文件及其评标办法中存在含糊不清、相互矛盾、多种含义以及歧视性不公正条款或违法违规等有疑点需要质疑的，可以自收到</w:t>
      </w:r>
      <w:r>
        <w:rPr>
          <w:rFonts w:hint="eastAsia" w:ascii="宋体" w:hAnsi="宋体" w:cs="宋体"/>
          <w:color w:val="auto"/>
          <w:sz w:val="21"/>
          <w:szCs w:val="21"/>
        </w:rPr>
        <w:t>磋商</w:t>
      </w:r>
      <w:r>
        <w:rPr>
          <w:rFonts w:hint="eastAsia" w:ascii="宋体" w:hAnsi="宋体" w:cs="宋体"/>
          <w:color w:val="auto"/>
          <w:sz w:val="21"/>
          <w:szCs w:val="21"/>
          <w:lang w:val="zh-CN"/>
        </w:rPr>
        <w:t>文件之日（发售截止日之后收到采购文件的，以发售截止日为准）或者采购文件公告期限届满之日（即为</w:t>
      </w:r>
      <w:r>
        <w:rPr>
          <w:rFonts w:hint="eastAsia" w:ascii="宋体" w:hAnsi="宋体" w:cs="宋体"/>
          <w:color w:val="auto"/>
          <w:sz w:val="21"/>
          <w:szCs w:val="21"/>
        </w:rPr>
        <w:t>磋商</w:t>
      </w:r>
      <w:r>
        <w:rPr>
          <w:rFonts w:hint="eastAsia" w:ascii="宋体" w:hAnsi="宋体" w:cs="宋体"/>
          <w:color w:val="auto"/>
          <w:sz w:val="21"/>
          <w:szCs w:val="21"/>
          <w:lang w:val="zh-CN"/>
        </w:rPr>
        <w:t>公告发布后的第</w:t>
      </w:r>
      <w:r>
        <w:rPr>
          <w:rFonts w:hint="eastAsia" w:ascii="宋体" w:hAnsi="宋体" w:cs="宋体"/>
          <w:color w:val="auto"/>
          <w:sz w:val="21"/>
          <w:szCs w:val="21"/>
        </w:rPr>
        <w:t>4</w:t>
      </w:r>
      <w:r>
        <w:rPr>
          <w:rFonts w:hint="eastAsia" w:ascii="宋体" w:hAnsi="宋体" w:cs="宋体"/>
          <w:color w:val="auto"/>
          <w:sz w:val="21"/>
          <w:szCs w:val="21"/>
          <w:lang w:val="zh-CN"/>
        </w:rPr>
        <w:t>个工作日）起7个工作日内，以书面形式向采购人和采购代理机构提出质疑。逾期不得再对</w:t>
      </w:r>
      <w:r>
        <w:rPr>
          <w:rFonts w:hint="eastAsia" w:ascii="宋体" w:hAnsi="宋体" w:cs="宋体"/>
          <w:color w:val="auto"/>
          <w:sz w:val="21"/>
          <w:szCs w:val="21"/>
        </w:rPr>
        <w:t>磋商</w:t>
      </w:r>
      <w:r>
        <w:rPr>
          <w:rFonts w:hint="eastAsia" w:ascii="宋体" w:hAnsi="宋体" w:cs="宋体"/>
          <w:color w:val="auto"/>
          <w:sz w:val="21"/>
          <w:szCs w:val="21"/>
          <w:lang w:val="zh-CN"/>
        </w:rPr>
        <w:t>文件内容提出质疑，并视为对</w:t>
      </w:r>
      <w:r>
        <w:rPr>
          <w:rFonts w:hint="eastAsia" w:ascii="宋体" w:hAnsi="宋体" w:cs="宋体"/>
          <w:color w:val="auto"/>
          <w:sz w:val="21"/>
          <w:szCs w:val="21"/>
        </w:rPr>
        <w:t>磋商</w:t>
      </w:r>
      <w:r>
        <w:rPr>
          <w:rFonts w:hint="eastAsia" w:ascii="宋体" w:hAnsi="宋体" w:cs="宋体"/>
          <w:color w:val="auto"/>
          <w:sz w:val="21"/>
          <w:szCs w:val="21"/>
          <w:lang w:val="zh-CN"/>
        </w:rPr>
        <w:t>文件内容认可。</w:t>
      </w:r>
    </w:p>
    <w:p>
      <w:pPr>
        <w:snapToGrid w:val="0"/>
        <w:spacing w:line="360" w:lineRule="auto"/>
        <w:ind w:firstLine="420" w:firstLineChars="200"/>
        <w:rPr>
          <w:rFonts w:ascii="宋体" w:hAnsi="宋体" w:cs="宋体"/>
          <w:color w:val="auto"/>
          <w:sz w:val="21"/>
          <w:szCs w:val="21"/>
          <w:lang w:val="zh-CN"/>
        </w:rPr>
      </w:pPr>
      <w:r>
        <w:rPr>
          <w:rFonts w:hint="eastAsia" w:ascii="宋体" w:hAnsi="宋体" w:cs="宋体"/>
          <w:color w:val="auto"/>
          <w:sz w:val="21"/>
          <w:szCs w:val="21"/>
          <w:lang w:val="zh-CN"/>
        </w:rPr>
        <w:t>2.采购代理机构对已发出的</w:t>
      </w:r>
      <w:r>
        <w:rPr>
          <w:rFonts w:hint="eastAsia" w:ascii="宋体" w:hAnsi="宋体" w:cs="宋体"/>
          <w:color w:val="auto"/>
          <w:sz w:val="21"/>
          <w:szCs w:val="21"/>
        </w:rPr>
        <w:t>磋商</w:t>
      </w:r>
      <w:r>
        <w:rPr>
          <w:rFonts w:hint="eastAsia" w:ascii="宋体" w:hAnsi="宋体" w:cs="宋体"/>
          <w:color w:val="auto"/>
          <w:sz w:val="21"/>
          <w:szCs w:val="21"/>
          <w:lang w:val="zh-CN"/>
        </w:rPr>
        <w:t>文件进行必要的澄清或者修改，澄清或者修改内容可能影响</w:t>
      </w:r>
      <w:r>
        <w:rPr>
          <w:rFonts w:hint="eastAsia" w:ascii="宋体" w:hAnsi="宋体" w:cs="宋体"/>
          <w:color w:val="auto"/>
          <w:sz w:val="21"/>
          <w:szCs w:val="21"/>
        </w:rPr>
        <w:t>磋商响应</w:t>
      </w:r>
      <w:r>
        <w:rPr>
          <w:rFonts w:hint="eastAsia" w:ascii="宋体" w:hAnsi="宋体" w:cs="宋体"/>
          <w:color w:val="auto"/>
          <w:sz w:val="21"/>
          <w:szCs w:val="21"/>
          <w:lang w:val="zh-CN"/>
        </w:rPr>
        <w:t>文件编制的，采购代理机构于磋商响应文件提交截止时间至少</w:t>
      </w:r>
      <w:r>
        <w:rPr>
          <w:rFonts w:hint="eastAsia" w:ascii="宋体" w:hAnsi="宋体" w:eastAsia="宋体" w:cs="宋体"/>
          <w:color w:val="auto"/>
          <w:sz w:val="21"/>
          <w:szCs w:val="21"/>
        </w:rPr>
        <w:t>3个工作日</w:t>
      </w:r>
      <w:r>
        <w:rPr>
          <w:rFonts w:hint="eastAsia" w:ascii="宋体" w:hAnsi="宋体" w:cs="宋体"/>
          <w:color w:val="auto"/>
          <w:sz w:val="21"/>
          <w:szCs w:val="21"/>
          <w:lang w:val="zh-CN"/>
        </w:rPr>
        <w:t>前在“浙江省政府采购网”、“仙居县公共资源交易网”网站上发布澄清或更正公告；不足</w:t>
      </w:r>
      <w:r>
        <w:rPr>
          <w:rFonts w:hint="eastAsia" w:ascii="宋体" w:hAnsi="宋体" w:eastAsia="宋体" w:cs="宋体"/>
          <w:color w:val="auto"/>
          <w:sz w:val="21"/>
          <w:szCs w:val="21"/>
        </w:rPr>
        <w:t>3个工作</w:t>
      </w:r>
      <w:r>
        <w:rPr>
          <w:rFonts w:hint="eastAsia" w:ascii="宋体" w:hAnsi="宋体" w:cs="宋体"/>
          <w:color w:val="auto"/>
          <w:sz w:val="21"/>
          <w:szCs w:val="21"/>
          <w:lang w:val="zh-CN"/>
        </w:rPr>
        <w:t>日的，采购代理机构有权顺延提交</w:t>
      </w:r>
      <w:r>
        <w:rPr>
          <w:rFonts w:hint="eastAsia" w:ascii="宋体" w:hAnsi="宋体" w:cs="宋体"/>
          <w:color w:val="auto"/>
          <w:sz w:val="21"/>
          <w:szCs w:val="21"/>
        </w:rPr>
        <w:t>磋商响应</w:t>
      </w:r>
      <w:r>
        <w:rPr>
          <w:rFonts w:hint="eastAsia" w:ascii="宋体" w:hAnsi="宋体" w:cs="宋体"/>
          <w:color w:val="auto"/>
          <w:sz w:val="21"/>
          <w:szCs w:val="21"/>
          <w:lang w:val="zh-CN"/>
        </w:rPr>
        <w:t>文件的截止时间。</w:t>
      </w:r>
    </w:p>
    <w:p>
      <w:pPr>
        <w:autoSpaceDE w:val="0"/>
        <w:autoSpaceDN w:val="0"/>
        <w:adjustRightInd w:val="0"/>
        <w:spacing w:line="360" w:lineRule="auto"/>
        <w:ind w:firstLine="420" w:firstLineChars="200"/>
        <w:rPr>
          <w:rFonts w:ascii="宋体" w:hAnsi="宋体" w:eastAsia="宋体" w:cs="宋体"/>
          <w:b/>
          <w:color w:val="auto"/>
          <w:sz w:val="21"/>
          <w:szCs w:val="21"/>
          <w:lang w:val="zh-CN"/>
        </w:rPr>
      </w:pPr>
      <w:r>
        <w:rPr>
          <w:rFonts w:hint="eastAsia" w:ascii="宋体" w:hAnsi="宋体" w:cs="宋体"/>
          <w:color w:val="auto"/>
          <w:sz w:val="21"/>
          <w:szCs w:val="21"/>
          <w:lang w:val="zh-CN"/>
        </w:rPr>
        <w:t>3.当</w:t>
      </w:r>
      <w:r>
        <w:rPr>
          <w:rFonts w:hint="eastAsia" w:ascii="宋体" w:hAnsi="宋体" w:cs="宋体"/>
          <w:color w:val="auto"/>
          <w:sz w:val="21"/>
          <w:szCs w:val="21"/>
        </w:rPr>
        <w:t>磋商</w:t>
      </w:r>
      <w:r>
        <w:rPr>
          <w:rFonts w:hint="eastAsia" w:ascii="宋体" w:hAnsi="宋体" w:cs="宋体"/>
          <w:color w:val="auto"/>
          <w:sz w:val="21"/>
          <w:szCs w:val="21"/>
          <w:lang w:val="zh-CN"/>
        </w:rPr>
        <w:t>文件与</w:t>
      </w:r>
      <w:r>
        <w:rPr>
          <w:rFonts w:hint="eastAsia" w:ascii="宋体" w:hAnsi="宋体" w:cs="宋体"/>
          <w:color w:val="auto"/>
          <w:sz w:val="21"/>
          <w:szCs w:val="21"/>
        </w:rPr>
        <w:t>磋商</w:t>
      </w:r>
      <w:r>
        <w:rPr>
          <w:rFonts w:hint="eastAsia" w:ascii="宋体" w:hAnsi="宋体" w:cs="宋体"/>
          <w:color w:val="auto"/>
          <w:sz w:val="21"/>
          <w:szCs w:val="21"/>
          <w:lang w:val="zh-CN"/>
        </w:rPr>
        <w:t>文件的澄清、修改、补充等在同一内容的表述上不一致时，以最后发出的书面文件为准。</w:t>
      </w:r>
    </w:p>
    <w:p>
      <w:pPr>
        <w:autoSpaceDE w:val="0"/>
        <w:autoSpaceDN w:val="0"/>
        <w:adjustRightIn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sz w:val="21"/>
          <w:szCs w:val="21"/>
        </w:rPr>
        <w:t>三</w:t>
      </w:r>
      <w:r>
        <w:rPr>
          <w:rFonts w:hint="eastAsia" w:ascii="宋体" w:hAnsi="宋体" w:eastAsia="宋体" w:cs="宋体"/>
          <w:b/>
          <w:color w:val="auto"/>
          <w:sz w:val="21"/>
          <w:szCs w:val="21"/>
          <w:lang w:val="zh-CN"/>
        </w:rPr>
        <w:t>、磋商响应文件</w:t>
      </w:r>
      <w:r>
        <w:rPr>
          <w:rFonts w:hint="eastAsia" w:ascii="宋体" w:hAnsi="宋体" w:eastAsia="宋体" w:cs="宋体"/>
          <w:b/>
          <w:color w:val="auto"/>
          <w:sz w:val="21"/>
          <w:szCs w:val="21"/>
        </w:rPr>
        <w:t>的编制</w:t>
      </w:r>
    </w:p>
    <w:p>
      <w:pPr>
        <w:autoSpaceDE w:val="0"/>
        <w:autoSpaceDN w:val="0"/>
        <w:adjustRightInd w:val="0"/>
        <w:spacing w:line="360" w:lineRule="auto"/>
        <w:ind w:firstLine="422" w:firstLineChars="200"/>
        <w:rPr>
          <w:rFonts w:ascii="宋体" w:hAnsi="宋体" w:eastAsia="宋体" w:cs="宋体"/>
          <w:b/>
          <w:color w:val="auto"/>
          <w:sz w:val="21"/>
          <w:szCs w:val="21"/>
          <w:lang w:val="zh-CN"/>
        </w:rPr>
      </w:pPr>
      <w:r>
        <w:rPr>
          <w:rFonts w:hint="eastAsia" w:ascii="宋体" w:hAnsi="宋体" w:eastAsia="宋体" w:cs="宋体"/>
          <w:b/>
          <w:color w:val="auto"/>
          <w:sz w:val="21"/>
          <w:szCs w:val="21"/>
          <w:lang w:val="zh-CN"/>
        </w:rPr>
        <w:t>（一）磋商响应文件的组成</w:t>
      </w:r>
    </w:p>
    <w:p>
      <w:pPr>
        <w:autoSpaceDE w:val="0"/>
        <w:autoSpaceDN w:val="0"/>
        <w:adjustRightInd w:val="0"/>
        <w:spacing w:line="360" w:lineRule="auto"/>
        <w:ind w:firstLine="420" w:firstLineChars="200"/>
        <w:rPr>
          <w:rFonts w:ascii="宋体" w:hAnsi="宋体" w:eastAsia="宋体" w:cs="宋体"/>
          <w:bCs/>
          <w:color w:val="auto"/>
          <w:sz w:val="21"/>
          <w:szCs w:val="21"/>
          <w:lang w:val="zh-CN"/>
        </w:rPr>
      </w:pPr>
      <w:r>
        <w:rPr>
          <w:rFonts w:hint="eastAsia" w:ascii="宋体" w:hAnsi="宋体" w:eastAsia="宋体" w:cs="宋体"/>
          <w:bCs/>
          <w:color w:val="auto"/>
          <w:sz w:val="21"/>
          <w:szCs w:val="21"/>
        </w:rPr>
        <w:t>1、供应商</w:t>
      </w:r>
      <w:r>
        <w:rPr>
          <w:rFonts w:hint="eastAsia" w:ascii="宋体" w:hAnsi="宋体" w:eastAsia="宋体" w:cs="宋体"/>
          <w:bCs/>
          <w:color w:val="auto"/>
          <w:sz w:val="21"/>
          <w:szCs w:val="21"/>
          <w:lang w:val="zh-CN"/>
        </w:rPr>
        <w:t>应仔细阅读</w:t>
      </w:r>
      <w:r>
        <w:rPr>
          <w:rFonts w:hint="eastAsia" w:ascii="宋体" w:hAnsi="宋体" w:eastAsia="宋体" w:cs="宋体"/>
          <w:bCs/>
          <w:color w:val="auto"/>
          <w:sz w:val="21"/>
          <w:szCs w:val="21"/>
        </w:rPr>
        <w:t>磋商</w:t>
      </w:r>
      <w:r>
        <w:rPr>
          <w:rFonts w:hint="eastAsia" w:ascii="宋体" w:hAnsi="宋体" w:eastAsia="宋体" w:cs="宋体"/>
          <w:bCs/>
          <w:color w:val="auto"/>
          <w:sz w:val="21"/>
          <w:szCs w:val="21"/>
          <w:lang w:val="zh-CN"/>
        </w:rPr>
        <w:t>文件的所有内容，按照</w:t>
      </w:r>
      <w:r>
        <w:rPr>
          <w:rFonts w:hint="eastAsia" w:ascii="宋体" w:hAnsi="宋体" w:eastAsia="宋体" w:cs="宋体"/>
          <w:bCs/>
          <w:color w:val="auto"/>
          <w:sz w:val="21"/>
          <w:szCs w:val="21"/>
        </w:rPr>
        <w:t>磋商</w:t>
      </w:r>
      <w:r>
        <w:rPr>
          <w:rFonts w:hint="eastAsia" w:ascii="宋体" w:hAnsi="宋体" w:eastAsia="宋体" w:cs="宋体"/>
          <w:bCs/>
          <w:color w:val="auto"/>
          <w:sz w:val="21"/>
          <w:szCs w:val="21"/>
          <w:lang w:val="zh-CN"/>
        </w:rPr>
        <w:t>文件的要求编制和提交</w:t>
      </w:r>
      <w:r>
        <w:rPr>
          <w:rFonts w:hint="eastAsia" w:ascii="宋体" w:hAnsi="宋体" w:eastAsia="宋体" w:cs="宋体"/>
          <w:bCs/>
          <w:color w:val="auto"/>
          <w:sz w:val="21"/>
          <w:szCs w:val="21"/>
        </w:rPr>
        <w:t>磋商响应</w:t>
      </w:r>
      <w:r>
        <w:rPr>
          <w:rFonts w:hint="eastAsia" w:ascii="宋体" w:hAnsi="宋体" w:eastAsia="宋体" w:cs="宋体"/>
          <w:bCs/>
          <w:color w:val="auto"/>
          <w:sz w:val="21"/>
          <w:szCs w:val="21"/>
          <w:lang w:val="zh-CN"/>
        </w:rPr>
        <w:t>文件，并对所提供的全部资料的真实性承担法律责任。</w:t>
      </w:r>
    </w:p>
    <w:p>
      <w:pPr>
        <w:autoSpaceDE w:val="0"/>
        <w:autoSpaceDN w:val="0"/>
        <w:adjustRightInd w:val="0"/>
        <w:spacing w:line="360" w:lineRule="auto"/>
        <w:ind w:firstLine="420" w:firstLineChars="200"/>
        <w:rPr>
          <w:rFonts w:ascii="宋体" w:hAnsi="宋体" w:eastAsia="宋体" w:cs="宋体"/>
          <w:b/>
          <w:color w:val="auto"/>
          <w:sz w:val="21"/>
          <w:szCs w:val="21"/>
          <w:lang w:val="zh-CN"/>
        </w:rPr>
      </w:pPr>
      <w:r>
        <w:rPr>
          <w:rFonts w:hint="eastAsia" w:ascii="宋体" w:hAnsi="宋体" w:eastAsia="宋体" w:cs="宋体"/>
          <w:bCs/>
          <w:color w:val="auto"/>
          <w:sz w:val="21"/>
          <w:szCs w:val="21"/>
        </w:rPr>
        <w:t>2、磋商响应文件由资格证明文件、商务与技术文件、报价文件组成。</w:t>
      </w:r>
      <w:r>
        <w:rPr>
          <w:rFonts w:hint="eastAsia" w:ascii="宋体" w:hAnsi="宋体" w:eastAsia="宋体" w:cs="宋体"/>
          <w:b/>
          <w:color w:val="auto"/>
          <w:sz w:val="21"/>
          <w:szCs w:val="21"/>
          <w:lang w:val="zh-CN"/>
        </w:rPr>
        <w:t>【特别提示：如有要求提供资料原件的，原件另行包装，并与磋商响应文件一起提交，磋商响应截止时间后所有原件不予接收。资料原件也可以用与原件相符的公证原件替代】</w:t>
      </w:r>
    </w:p>
    <w:p>
      <w:pPr>
        <w:snapToGrid w:val="0"/>
        <w:spacing w:line="36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▲3、资格证明文件的组成：</w:t>
      </w:r>
    </w:p>
    <w:p>
      <w:pPr>
        <w:snapToGrid w:val="0"/>
        <w:spacing w:line="360" w:lineRule="auto"/>
        <w:ind w:firstLine="420" w:firstLineChars="200"/>
        <w:rPr>
          <w:rFonts w:ascii="宋体" w:hAnsi="宋体" w:eastAsia="宋体" w:cs="宋体"/>
          <w:color w:val="auto"/>
          <w:sz w:val="21"/>
          <w:szCs w:val="21"/>
          <w:lang w:val="zh-CN"/>
        </w:rPr>
      </w:pPr>
      <w:r>
        <w:rPr>
          <w:rFonts w:hint="eastAsia" w:ascii="宋体" w:hAnsi="宋体" w:eastAsia="宋体" w:cs="宋体"/>
          <w:color w:val="auto"/>
          <w:sz w:val="21"/>
          <w:szCs w:val="21"/>
          <w:lang w:val="zh-CN"/>
        </w:rPr>
        <w:t>（1）磋商承诺函(格式见附件)；</w:t>
      </w:r>
    </w:p>
    <w:p>
      <w:pPr>
        <w:snapToGrid w:val="0"/>
        <w:spacing w:line="360" w:lineRule="auto"/>
        <w:ind w:firstLine="420" w:firstLineChars="200"/>
        <w:rPr>
          <w:rFonts w:ascii="宋体" w:hAnsi="宋体" w:eastAsia="宋体" w:cs="宋体"/>
          <w:color w:val="auto"/>
          <w:sz w:val="21"/>
          <w:szCs w:val="21"/>
          <w:lang w:val="zh-CN"/>
        </w:rPr>
      </w:pPr>
      <w:r>
        <w:rPr>
          <w:rFonts w:hint="eastAsia" w:ascii="宋体" w:hAnsi="宋体" w:eastAsia="宋体" w:cs="宋体"/>
          <w:color w:val="auto"/>
          <w:sz w:val="21"/>
          <w:szCs w:val="21"/>
          <w:lang w:val="zh-CN"/>
        </w:rPr>
        <w:t>（2）授权委托书(格式见附件)（法定代表人亲自办理投标事宜的，可提供法定代表人资格证明书）；</w:t>
      </w:r>
    </w:p>
    <w:p>
      <w:pPr>
        <w:snapToGrid w:val="0"/>
        <w:spacing w:line="360" w:lineRule="auto"/>
        <w:ind w:firstLine="420" w:firstLineChars="200"/>
        <w:rPr>
          <w:rFonts w:ascii="宋体" w:hAnsi="宋体" w:eastAsia="宋体" w:cs="宋体"/>
          <w:color w:val="auto"/>
          <w:sz w:val="21"/>
          <w:szCs w:val="21"/>
          <w:lang w:val="zh-CN"/>
        </w:rPr>
      </w:pPr>
      <w:r>
        <w:rPr>
          <w:rFonts w:hint="eastAsia" w:ascii="宋体" w:hAnsi="宋体" w:eastAsia="宋体" w:cs="宋体"/>
          <w:color w:val="auto"/>
          <w:sz w:val="21"/>
          <w:szCs w:val="21"/>
          <w:lang w:val="zh-CN"/>
        </w:rPr>
        <w:t>（</w:t>
      </w:r>
      <w:r>
        <w:rPr>
          <w:rFonts w:hint="eastAsia" w:ascii="宋体" w:hAnsi="宋体" w:eastAsia="宋体" w:cs="宋体"/>
          <w:color w:val="auto"/>
          <w:sz w:val="21"/>
          <w:szCs w:val="21"/>
        </w:rPr>
        <w:t>3</w:t>
      </w:r>
      <w:r>
        <w:rPr>
          <w:rFonts w:hint="eastAsia" w:ascii="宋体" w:hAnsi="宋体" w:eastAsia="宋体" w:cs="宋体"/>
          <w:color w:val="auto"/>
          <w:sz w:val="21"/>
          <w:szCs w:val="21"/>
          <w:lang w:val="zh-CN"/>
        </w:rPr>
        <w:t>）提供有效的营业执照复印件；</w:t>
      </w:r>
    </w:p>
    <w:p>
      <w:pPr>
        <w:snapToGrid w:val="0"/>
        <w:spacing w:line="360" w:lineRule="auto"/>
        <w:ind w:firstLine="420" w:firstLineChars="200"/>
        <w:rPr>
          <w:rFonts w:ascii="宋体" w:hAnsi="宋体" w:eastAsia="宋体" w:cs="宋体"/>
          <w:color w:val="auto"/>
          <w:sz w:val="21"/>
          <w:szCs w:val="21"/>
          <w:lang w:val="zh-CN"/>
        </w:rPr>
      </w:pPr>
      <w:r>
        <w:rPr>
          <w:rFonts w:hint="eastAsia" w:ascii="宋体" w:hAnsi="宋体" w:eastAsia="宋体" w:cs="宋体"/>
          <w:color w:val="auto"/>
          <w:sz w:val="21"/>
          <w:szCs w:val="21"/>
          <w:lang w:val="zh-CN"/>
        </w:rPr>
        <w:t>（4）依法缴纳税收及社会保障资金的承诺函（格式见附件）</w:t>
      </w:r>
    </w:p>
    <w:p>
      <w:pPr>
        <w:snapToGrid w:val="0"/>
        <w:spacing w:line="360" w:lineRule="auto"/>
        <w:ind w:firstLine="420" w:firstLineChars="200"/>
        <w:rPr>
          <w:rFonts w:ascii="宋体" w:hAnsi="宋体" w:eastAsia="宋体" w:cs="宋体"/>
          <w:color w:val="auto"/>
          <w:sz w:val="21"/>
          <w:szCs w:val="21"/>
          <w:lang w:val="zh-CN"/>
        </w:rPr>
      </w:pPr>
      <w:r>
        <w:rPr>
          <w:rFonts w:hint="eastAsia" w:ascii="宋体" w:hAnsi="宋体" w:eastAsia="宋体" w:cs="宋体"/>
          <w:color w:val="auto"/>
          <w:sz w:val="21"/>
          <w:szCs w:val="21"/>
          <w:lang w:val="zh-CN"/>
        </w:rPr>
        <w:t>（5）具有良好的商业信誉、健全的财务状况的承诺函（格式见附件）</w:t>
      </w:r>
    </w:p>
    <w:p>
      <w:pPr>
        <w:snapToGrid w:val="0"/>
        <w:spacing w:line="360" w:lineRule="auto"/>
        <w:ind w:firstLine="420" w:firstLineChars="200"/>
        <w:rPr>
          <w:rFonts w:ascii="宋体" w:hAnsi="宋体" w:eastAsia="宋体" w:cs="宋体"/>
          <w:color w:val="auto"/>
          <w:sz w:val="21"/>
          <w:szCs w:val="21"/>
          <w:lang w:val="zh-CN"/>
        </w:rPr>
      </w:pPr>
      <w:r>
        <w:rPr>
          <w:rFonts w:hint="eastAsia" w:ascii="宋体" w:hAnsi="宋体" w:eastAsia="宋体" w:cs="宋体"/>
          <w:color w:val="auto"/>
          <w:sz w:val="21"/>
          <w:szCs w:val="21"/>
          <w:lang w:val="zh-CN"/>
        </w:rPr>
        <w:t>（</w:t>
      </w:r>
      <w:r>
        <w:rPr>
          <w:rFonts w:hint="eastAsia" w:ascii="宋体" w:hAnsi="宋体" w:eastAsia="宋体" w:cs="宋体"/>
          <w:color w:val="auto"/>
          <w:sz w:val="21"/>
          <w:szCs w:val="21"/>
        </w:rPr>
        <w:t>6</w:t>
      </w:r>
      <w:r>
        <w:rPr>
          <w:rFonts w:hint="eastAsia" w:ascii="宋体" w:hAnsi="宋体" w:eastAsia="宋体" w:cs="宋体"/>
          <w:color w:val="auto"/>
          <w:sz w:val="21"/>
          <w:szCs w:val="21"/>
          <w:lang w:val="zh-CN"/>
        </w:rPr>
        <w:t>）具有履行合同所必需设备和专业技术能力的承诺函（格式见附件）；</w:t>
      </w:r>
    </w:p>
    <w:p>
      <w:pPr>
        <w:snapToGrid w:val="0"/>
        <w:spacing w:line="360" w:lineRule="auto"/>
        <w:ind w:firstLine="420" w:firstLineChars="200"/>
        <w:rPr>
          <w:rFonts w:ascii="宋体" w:hAnsi="宋体" w:eastAsia="宋体" w:cs="宋体"/>
          <w:color w:val="auto"/>
          <w:sz w:val="21"/>
          <w:szCs w:val="21"/>
          <w:lang w:val="zh-CN"/>
        </w:rPr>
      </w:pPr>
      <w:r>
        <w:rPr>
          <w:rFonts w:hint="eastAsia" w:ascii="宋体" w:hAnsi="宋体" w:eastAsia="宋体" w:cs="宋体"/>
          <w:color w:val="auto"/>
          <w:sz w:val="21"/>
          <w:szCs w:val="21"/>
          <w:lang w:val="zh-CN"/>
        </w:rPr>
        <w:t>（</w:t>
      </w:r>
      <w:r>
        <w:rPr>
          <w:rFonts w:hint="eastAsia" w:ascii="宋体" w:hAnsi="宋体" w:eastAsia="宋体" w:cs="宋体"/>
          <w:color w:val="auto"/>
          <w:sz w:val="21"/>
          <w:szCs w:val="21"/>
        </w:rPr>
        <w:t>7</w:t>
      </w:r>
      <w:r>
        <w:rPr>
          <w:rFonts w:hint="eastAsia" w:ascii="宋体" w:hAnsi="宋体" w:eastAsia="宋体" w:cs="宋体"/>
          <w:color w:val="auto"/>
          <w:sz w:val="21"/>
          <w:szCs w:val="21"/>
          <w:lang w:val="zh-CN"/>
        </w:rPr>
        <w:t>）参加政府采购活动前3年内在经营活动中没有重大违法记录的书面声明（格式见附件）；</w:t>
      </w:r>
    </w:p>
    <w:p>
      <w:pPr>
        <w:pStyle w:val="22"/>
        <w:snapToGrid w:val="0"/>
        <w:spacing w:after="0" w:line="360" w:lineRule="auto"/>
        <w:ind w:firstLine="422" w:firstLineChars="200"/>
        <w:rPr>
          <w:rFonts w:ascii="宋体" w:hAnsi="宋体" w:eastAsia="宋体" w:cs="宋体"/>
          <w:b/>
          <w:bCs/>
          <w:color w:val="auto"/>
          <w:szCs w:val="21"/>
          <w:lang w:val="zh-CN"/>
        </w:rPr>
      </w:pPr>
      <w:r>
        <w:rPr>
          <w:rFonts w:hint="eastAsia" w:ascii="宋体" w:hAnsi="宋体" w:eastAsia="宋体" w:cs="宋体"/>
          <w:b/>
          <w:bCs/>
          <w:color w:val="auto"/>
          <w:szCs w:val="21"/>
          <w:lang w:val="zh-CN"/>
        </w:rPr>
        <w:t>（</w:t>
      </w:r>
      <w:r>
        <w:rPr>
          <w:rFonts w:hint="eastAsia" w:ascii="宋体" w:hAnsi="宋体" w:eastAsia="宋体" w:cs="宋体"/>
          <w:b/>
          <w:bCs/>
          <w:color w:val="auto"/>
          <w:szCs w:val="21"/>
        </w:rPr>
        <w:t>8</w:t>
      </w:r>
      <w:r>
        <w:rPr>
          <w:rFonts w:hint="eastAsia" w:ascii="宋体" w:hAnsi="宋体" w:eastAsia="宋体" w:cs="宋体"/>
          <w:b/>
          <w:bCs/>
          <w:color w:val="auto"/>
          <w:szCs w:val="21"/>
          <w:lang w:val="zh-CN"/>
        </w:rPr>
        <w:t>）落实政府采购政策需满足的资格要求：供应商为中小企业/小微企业或监狱企业或残疾人福利性单位；</w:t>
      </w:r>
    </w:p>
    <w:p>
      <w:pPr>
        <w:pStyle w:val="22"/>
        <w:snapToGrid w:val="0"/>
        <w:spacing w:after="0" w:line="312" w:lineRule="auto"/>
        <w:ind w:firstLine="211"/>
        <w:rPr>
          <w:rFonts w:ascii="宋体" w:hAnsi="宋体" w:eastAsia="宋体" w:cs="宋体"/>
          <w:b/>
          <w:bCs/>
          <w:color w:val="auto"/>
          <w:szCs w:val="21"/>
          <w:lang w:val="zh-CN"/>
        </w:rPr>
      </w:pPr>
      <w:r>
        <w:rPr>
          <w:rFonts w:hint="eastAsia" w:ascii="宋体" w:hAnsi="宋体" w:eastAsia="宋体" w:cs="宋体"/>
          <w:b/>
          <w:bCs/>
          <w:color w:val="auto"/>
          <w:szCs w:val="21"/>
          <w:lang w:val="zh-CN"/>
        </w:rPr>
        <w:t>供应商为中小企业/小微企业须提供《中小企业声明函》或供应商为监狱企业的证明文件或残疾人福利性单位须提供《残疾人福利性单位声明函》。（格式见附件）</w:t>
      </w:r>
    </w:p>
    <w:p>
      <w:pPr>
        <w:autoSpaceDE w:val="0"/>
        <w:autoSpaceDN w:val="0"/>
        <w:adjustRightInd w:val="0"/>
        <w:snapToGrid w:val="0"/>
        <w:spacing w:line="360" w:lineRule="auto"/>
        <w:ind w:firstLine="420" w:firstLineChars="200"/>
        <w:rPr>
          <w:rFonts w:ascii="宋体" w:hAnsi="宋体" w:eastAsia="宋体" w:cs="宋体"/>
          <w:color w:val="auto"/>
          <w:sz w:val="21"/>
          <w:szCs w:val="21"/>
          <w:lang w:val="zh-CN"/>
        </w:rPr>
      </w:pPr>
      <w:r>
        <w:rPr>
          <w:rFonts w:hint="eastAsia" w:ascii="宋体" w:hAnsi="宋体" w:eastAsia="宋体" w:cs="宋体"/>
          <w:color w:val="auto"/>
          <w:sz w:val="21"/>
          <w:szCs w:val="21"/>
          <w:lang w:val="zh-CN"/>
        </w:rPr>
        <w:t>（</w:t>
      </w:r>
      <w:r>
        <w:rPr>
          <w:rFonts w:hint="eastAsia" w:ascii="宋体" w:hAnsi="宋体" w:eastAsia="宋体" w:cs="宋体"/>
          <w:color w:val="auto"/>
          <w:sz w:val="21"/>
          <w:szCs w:val="21"/>
        </w:rPr>
        <w:t>9</w:t>
      </w:r>
      <w:r>
        <w:rPr>
          <w:rFonts w:hint="eastAsia" w:ascii="宋体" w:hAnsi="宋体" w:eastAsia="宋体" w:cs="宋体"/>
          <w:color w:val="auto"/>
          <w:sz w:val="21"/>
          <w:szCs w:val="21"/>
          <w:lang w:val="zh-CN"/>
        </w:rPr>
        <w:t>）提供采购公告中符合供应商特定条件的有效资质证书复印件（供应商特定条件中有要求的必须提供），以及需要说明的其他资料。</w:t>
      </w:r>
    </w:p>
    <w:p>
      <w:pPr>
        <w:autoSpaceDE w:val="0"/>
        <w:autoSpaceDN w:val="0"/>
        <w:adjustRightInd w:val="0"/>
        <w:snapToGrid w:val="0"/>
        <w:spacing w:line="360" w:lineRule="auto"/>
        <w:ind w:firstLine="480"/>
        <w:rPr>
          <w:rFonts w:ascii="宋体" w:hAnsi="宋体" w:eastAsia="宋体" w:cs="宋体"/>
          <w:color w:val="auto"/>
          <w:sz w:val="21"/>
          <w:szCs w:val="21"/>
          <w:lang w:val="zh-CN"/>
        </w:rPr>
      </w:pPr>
      <w:r>
        <w:rPr>
          <w:rFonts w:hint="eastAsia" w:ascii="宋体" w:hAnsi="宋体" w:eastAsia="宋体" w:cs="宋体"/>
          <w:b/>
          <w:bCs/>
          <w:color w:val="auto"/>
          <w:sz w:val="21"/>
          <w:szCs w:val="21"/>
          <w:lang w:val="zh-CN"/>
        </w:rPr>
        <w:t>▲注：开标前采购机构不安排资格预审，由采购人和采购机构负责审查，若供应商不按要求提供资格审查材料，其磋商响应文件作无效标处理。</w:t>
      </w:r>
    </w:p>
    <w:p>
      <w:pPr>
        <w:tabs>
          <w:tab w:val="left" w:pos="5955"/>
        </w:tabs>
        <w:snapToGrid w:val="0"/>
        <w:spacing w:line="36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4、商务与技术标的组成：</w:t>
      </w:r>
      <w:r>
        <w:rPr>
          <w:rFonts w:hint="eastAsia" w:ascii="宋体" w:hAnsi="宋体" w:eastAsia="宋体" w:cs="宋体"/>
          <w:b/>
          <w:color w:val="auto"/>
          <w:sz w:val="21"/>
          <w:szCs w:val="21"/>
        </w:rPr>
        <w:tab/>
      </w:r>
    </w:p>
    <w:p>
      <w:pPr>
        <w:pStyle w:val="9"/>
        <w:widowControl/>
        <w:adjustRightInd w:val="0"/>
        <w:snapToGrid w:val="0"/>
        <w:spacing w:line="360" w:lineRule="auto"/>
        <w:ind w:firstLineChars="200"/>
        <w:rPr>
          <w:rFonts w:ascii="宋体" w:hAnsi="宋体" w:eastAsia="宋体" w:cs="宋体"/>
          <w:color w:val="auto"/>
          <w:szCs w:val="21"/>
        </w:rPr>
      </w:pPr>
      <w:r>
        <w:rPr>
          <w:rFonts w:hint="eastAsia" w:ascii="宋体" w:hAnsi="宋体" w:eastAsia="宋体" w:cs="宋体"/>
          <w:color w:val="auto"/>
          <w:szCs w:val="21"/>
        </w:rPr>
        <w:t>（1）投标人基本情况表（</w:t>
      </w:r>
      <w:r>
        <w:rPr>
          <w:rFonts w:hint="eastAsia" w:ascii="宋体" w:hAnsi="宋体" w:eastAsia="宋体" w:cs="宋体"/>
          <w:color w:val="auto"/>
          <w:szCs w:val="21"/>
          <w:lang w:val="zh-CN"/>
        </w:rPr>
        <w:t>格式见附件</w:t>
      </w:r>
      <w:r>
        <w:rPr>
          <w:rFonts w:hint="eastAsia" w:ascii="宋体" w:hAnsi="宋体" w:eastAsia="宋体" w:cs="宋体"/>
          <w:color w:val="auto"/>
          <w:szCs w:val="21"/>
        </w:rPr>
        <w:t>）；</w:t>
      </w:r>
    </w:p>
    <w:p>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（2）商务响应承诺函（</w:t>
      </w:r>
      <w:r>
        <w:rPr>
          <w:rFonts w:hint="eastAsia" w:ascii="宋体" w:hAnsi="宋体" w:eastAsia="宋体" w:cs="宋体"/>
          <w:color w:val="auto"/>
          <w:sz w:val="21"/>
          <w:szCs w:val="21"/>
          <w:lang w:val="zh-CN"/>
        </w:rPr>
        <w:t>格式见附件</w:t>
      </w:r>
      <w:r>
        <w:rPr>
          <w:rFonts w:hint="eastAsia" w:ascii="宋体" w:hAnsi="宋体" w:eastAsia="宋体" w:cs="宋体"/>
          <w:color w:val="auto"/>
          <w:sz w:val="21"/>
          <w:szCs w:val="21"/>
        </w:rPr>
        <w:t>）；</w:t>
      </w:r>
    </w:p>
    <w:p>
      <w:pPr>
        <w:pStyle w:val="2"/>
        <w:ind w:firstLine="420" w:firstLineChars="200"/>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（3）技术响应表（</w:t>
      </w:r>
      <w:r>
        <w:rPr>
          <w:rFonts w:hint="eastAsia" w:ascii="宋体" w:hAnsi="宋体" w:eastAsia="宋体" w:cs="宋体"/>
          <w:color w:val="auto"/>
          <w:kern w:val="2"/>
          <w:sz w:val="21"/>
          <w:szCs w:val="21"/>
          <w:lang w:val="zh-CN" w:eastAsia="zh-CN" w:bidi="ar-SA"/>
        </w:rPr>
        <w:t>格式见附件</w:t>
      </w:r>
      <w:r>
        <w:rPr>
          <w:rFonts w:hint="eastAsia" w:ascii="宋体" w:hAnsi="宋体" w:eastAsia="宋体" w:cs="宋体"/>
          <w:color w:val="auto"/>
          <w:kern w:val="2"/>
          <w:sz w:val="21"/>
          <w:szCs w:val="21"/>
          <w:lang w:val="en-US" w:eastAsia="zh-CN" w:bidi="ar-SA"/>
        </w:rPr>
        <w:t>）；</w:t>
      </w:r>
    </w:p>
    <w:p>
      <w:pPr>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）类似项目业绩（</w:t>
      </w:r>
      <w:r>
        <w:rPr>
          <w:rFonts w:hint="eastAsia" w:ascii="宋体" w:hAnsi="宋体" w:eastAsia="宋体" w:cs="宋体"/>
          <w:color w:val="auto"/>
          <w:sz w:val="21"/>
          <w:szCs w:val="21"/>
          <w:lang w:val="zh-CN"/>
        </w:rPr>
        <w:t>格式见附件</w:t>
      </w:r>
      <w:r>
        <w:rPr>
          <w:rFonts w:hint="eastAsia" w:ascii="宋体" w:hAnsi="宋体" w:eastAsia="宋体" w:cs="宋体"/>
          <w:color w:val="auto"/>
          <w:sz w:val="21"/>
          <w:szCs w:val="21"/>
        </w:rPr>
        <w:t>）；</w:t>
      </w:r>
    </w:p>
    <w:p>
      <w:pPr>
        <w:spacing w:line="360" w:lineRule="auto"/>
        <w:ind w:firstLine="420" w:firstLineChars="200"/>
        <w:rPr>
          <w:rFonts w:ascii="宋体" w:hAnsi="宋体" w:eastAsia="宋体" w:cs="宋体"/>
          <w:color w:val="auto"/>
          <w:kern w:val="0"/>
          <w:sz w:val="21"/>
          <w:szCs w:val="21"/>
        </w:rPr>
      </w:pP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lang w:val="en-US" w:eastAsia="zh-CN"/>
        </w:rPr>
        <w:t>5</w:t>
      </w:r>
      <w:r>
        <w:rPr>
          <w:rFonts w:hint="eastAsia" w:ascii="宋体" w:hAnsi="宋体" w:eastAsia="宋体" w:cs="宋体"/>
          <w:color w:val="auto"/>
          <w:kern w:val="0"/>
          <w:sz w:val="21"/>
          <w:szCs w:val="21"/>
        </w:rPr>
        <w:t>）项目负责人简历表（</w:t>
      </w:r>
      <w:r>
        <w:rPr>
          <w:rFonts w:hint="eastAsia" w:ascii="宋体" w:hAnsi="宋体" w:eastAsia="宋体" w:cs="宋体"/>
          <w:color w:val="auto"/>
          <w:kern w:val="0"/>
          <w:sz w:val="21"/>
          <w:szCs w:val="21"/>
          <w:lang w:val="zh-CN"/>
        </w:rPr>
        <w:t>格式见附件</w:t>
      </w:r>
      <w:r>
        <w:rPr>
          <w:rFonts w:hint="eastAsia" w:ascii="宋体" w:hAnsi="宋体" w:eastAsia="宋体" w:cs="宋体"/>
          <w:color w:val="auto"/>
          <w:kern w:val="0"/>
          <w:sz w:val="21"/>
          <w:szCs w:val="21"/>
        </w:rPr>
        <w:t>）；</w:t>
      </w:r>
    </w:p>
    <w:p>
      <w:pPr>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kern w:val="0"/>
          <w:sz w:val="21"/>
          <w:szCs w:val="21"/>
        </w:rPr>
        <w:t>（</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）项目管理班子配备情况（</w:t>
      </w:r>
      <w:r>
        <w:rPr>
          <w:rFonts w:hint="eastAsia" w:ascii="宋体" w:hAnsi="宋体" w:eastAsia="宋体" w:cs="宋体"/>
          <w:color w:val="auto"/>
          <w:sz w:val="21"/>
          <w:szCs w:val="21"/>
          <w:lang w:val="zh-CN"/>
        </w:rPr>
        <w:t>格式见附件</w:t>
      </w:r>
      <w:r>
        <w:rPr>
          <w:rFonts w:hint="eastAsia" w:ascii="宋体" w:hAnsi="宋体" w:eastAsia="宋体" w:cs="宋体"/>
          <w:color w:val="auto"/>
          <w:sz w:val="21"/>
          <w:szCs w:val="21"/>
        </w:rPr>
        <w:t>）；</w:t>
      </w:r>
    </w:p>
    <w:p>
      <w:pPr>
        <w:spacing w:line="360" w:lineRule="auto"/>
        <w:ind w:firstLine="420" w:firstLineChars="200"/>
        <w:rPr>
          <w:rFonts w:ascii="宋体" w:hAnsi="宋体" w:eastAsia="宋体" w:cs="宋体"/>
          <w:color w:val="auto"/>
          <w:kern w:val="0"/>
          <w:sz w:val="21"/>
          <w:szCs w:val="21"/>
        </w:rPr>
      </w:pPr>
      <w:r>
        <w:rPr>
          <w:rFonts w:hint="eastAsia" w:ascii="宋体" w:hAnsi="宋体" w:eastAsia="宋体" w:cs="宋体"/>
          <w:color w:val="auto"/>
          <w:kern w:val="0"/>
          <w:sz w:val="21"/>
          <w:szCs w:val="21"/>
        </w:rPr>
        <w:t>（7）拟投入的主要施工设备（见附件）；</w:t>
      </w:r>
    </w:p>
    <w:p>
      <w:pPr>
        <w:spacing w:line="360" w:lineRule="auto"/>
        <w:ind w:firstLine="420" w:firstLineChars="200"/>
        <w:rPr>
          <w:rFonts w:ascii="宋体" w:hAnsi="宋体" w:eastAsia="宋体" w:cs="宋体"/>
          <w:color w:val="auto"/>
          <w:kern w:val="0"/>
          <w:sz w:val="21"/>
          <w:szCs w:val="21"/>
        </w:rPr>
      </w:pP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lang w:val="en-US" w:eastAsia="zh-CN"/>
        </w:rPr>
        <w:t>8</w:t>
      </w:r>
      <w:r>
        <w:rPr>
          <w:rFonts w:hint="eastAsia" w:ascii="宋体" w:hAnsi="宋体" w:eastAsia="宋体" w:cs="宋体"/>
          <w:color w:val="auto"/>
          <w:kern w:val="0"/>
          <w:sz w:val="21"/>
          <w:szCs w:val="21"/>
        </w:rPr>
        <w:t>）供应商认为需要提供的其他资料（包括可能影响供应商商务与技术标评分的各类证明材料）。</w:t>
      </w:r>
    </w:p>
    <w:p>
      <w:pPr>
        <w:pStyle w:val="33"/>
        <w:spacing w:line="360" w:lineRule="auto"/>
        <w:rPr>
          <w:color w:val="auto"/>
          <w:lang w:val="en-US"/>
        </w:rPr>
      </w:pPr>
      <w:r>
        <w:rPr>
          <w:rFonts w:hint="eastAsia" w:ascii="宋体" w:hAnsi="宋体"/>
          <w:b/>
          <w:color w:val="auto"/>
          <w:sz w:val="21"/>
          <w:szCs w:val="21"/>
          <w:lang w:val="en-US"/>
        </w:rPr>
        <w:t xml:space="preserve"> </w:t>
      </w:r>
      <w:r>
        <w:rPr>
          <w:rFonts w:hint="eastAsia" w:ascii="宋体" w:hAnsi="宋体" w:eastAsia="宋体"/>
          <w:b/>
          <w:color w:val="auto"/>
          <w:sz w:val="21"/>
          <w:szCs w:val="21"/>
        </w:rPr>
        <w:t>注：建议</w:t>
      </w:r>
      <w:r>
        <w:rPr>
          <w:rFonts w:hint="eastAsia" w:ascii="宋体" w:hAnsi="宋体"/>
          <w:b/>
          <w:color w:val="auto"/>
          <w:sz w:val="21"/>
          <w:szCs w:val="21"/>
        </w:rPr>
        <w:t>商务技术响应</w:t>
      </w:r>
      <w:r>
        <w:rPr>
          <w:rFonts w:hint="eastAsia" w:ascii="宋体" w:hAnsi="宋体" w:eastAsia="宋体"/>
          <w:b/>
          <w:color w:val="auto"/>
          <w:sz w:val="21"/>
          <w:szCs w:val="21"/>
        </w:rPr>
        <w:t>页数（封面、封底、目录除外）不超过</w:t>
      </w:r>
      <w:r>
        <w:rPr>
          <w:rFonts w:hint="eastAsia" w:ascii="宋体" w:hAnsi="宋体" w:eastAsia="宋体"/>
          <w:b/>
          <w:color w:val="auto"/>
          <w:sz w:val="21"/>
          <w:szCs w:val="21"/>
          <w:lang w:val="en-US" w:eastAsia="zh-CN"/>
        </w:rPr>
        <w:t>2</w:t>
      </w:r>
      <w:r>
        <w:rPr>
          <w:rFonts w:hint="eastAsia" w:ascii="宋体" w:hAnsi="宋体" w:eastAsia="宋体"/>
          <w:b/>
          <w:color w:val="auto"/>
          <w:sz w:val="21"/>
          <w:szCs w:val="21"/>
          <w:lang w:val="en-US"/>
        </w:rPr>
        <w:t>0</w:t>
      </w:r>
      <w:r>
        <w:rPr>
          <w:rFonts w:hint="eastAsia" w:ascii="宋体" w:hAnsi="宋体" w:eastAsia="宋体"/>
          <w:b/>
          <w:color w:val="auto"/>
          <w:sz w:val="21"/>
          <w:szCs w:val="21"/>
        </w:rPr>
        <w:t>0页、正文字体为</w:t>
      </w:r>
      <w:r>
        <w:rPr>
          <w:rFonts w:hint="eastAsia" w:ascii="宋体" w:hAnsi="宋体" w:eastAsia="宋体"/>
          <w:b/>
          <w:color w:val="auto"/>
          <w:sz w:val="21"/>
          <w:szCs w:val="21"/>
          <w:lang w:val="en-US"/>
        </w:rPr>
        <w:t>五</w:t>
      </w:r>
      <w:r>
        <w:rPr>
          <w:rFonts w:hint="eastAsia" w:ascii="宋体" w:hAnsi="宋体" w:eastAsia="宋体"/>
          <w:b/>
          <w:color w:val="auto"/>
          <w:sz w:val="21"/>
          <w:szCs w:val="21"/>
        </w:rPr>
        <w:t>号宋体，行距1.5倍）。</w:t>
      </w:r>
    </w:p>
    <w:p>
      <w:pPr>
        <w:snapToGrid w:val="0"/>
        <w:spacing w:line="36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5、报价标的组成：</w:t>
      </w:r>
    </w:p>
    <w:p>
      <w:pPr>
        <w:tabs>
          <w:tab w:val="left" w:pos="3870"/>
          <w:tab w:val="left" w:pos="4085"/>
        </w:tabs>
        <w:snapToGrid w:val="0"/>
        <w:spacing w:line="360" w:lineRule="auto"/>
        <w:ind w:firstLine="422" w:firstLineChars="200"/>
        <w:jc w:val="left"/>
        <w:rPr>
          <w:rFonts w:ascii="宋体" w:hAnsi="宋体" w:eastAsia="宋体"/>
          <w:b/>
          <w:color w:val="auto"/>
          <w:kern w:val="0"/>
          <w:sz w:val="21"/>
        </w:rPr>
      </w:pPr>
      <w:r>
        <w:rPr>
          <w:rFonts w:hint="eastAsia" w:ascii="宋体" w:hAnsi="宋体" w:eastAsia="宋体"/>
          <w:b/>
          <w:color w:val="auto"/>
          <w:kern w:val="0"/>
          <w:sz w:val="21"/>
        </w:rPr>
        <w:t>（1）报价内容由首次报价一览表、已标价工程量清单，以及供应商认为其他需要说明的内容组成。</w:t>
      </w:r>
    </w:p>
    <w:p>
      <w:pPr>
        <w:tabs>
          <w:tab w:val="left" w:pos="3870"/>
          <w:tab w:val="left" w:pos="4085"/>
        </w:tabs>
        <w:snapToGrid w:val="0"/>
        <w:spacing w:line="360" w:lineRule="auto"/>
        <w:ind w:firstLine="420" w:firstLineChars="200"/>
        <w:jc w:val="left"/>
        <w:rPr>
          <w:rFonts w:ascii="宋体" w:hAnsi="宋体" w:eastAsia="宋体"/>
          <w:color w:val="auto"/>
          <w:kern w:val="0"/>
          <w:sz w:val="21"/>
        </w:rPr>
      </w:pPr>
      <w:r>
        <w:rPr>
          <w:rFonts w:hint="eastAsia" w:ascii="宋体" w:hAnsi="宋体" w:eastAsia="宋体"/>
          <w:color w:val="auto"/>
          <w:kern w:val="0"/>
          <w:sz w:val="21"/>
        </w:rPr>
        <w:t>（2）此报价为供应商针对本项目报出的唯一的首次报价，包含其它一切所要涉及到的费用，有选择的报价将被拒绝。</w:t>
      </w:r>
    </w:p>
    <w:p>
      <w:pPr>
        <w:tabs>
          <w:tab w:val="left" w:pos="3870"/>
          <w:tab w:val="left" w:pos="4085"/>
        </w:tabs>
        <w:snapToGrid w:val="0"/>
        <w:spacing w:line="360" w:lineRule="auto"/>
        <w:ind w:firstLine="420" w:firstLineChars="200"/>
        <w:jc w:val="left"/>
        <w:rPr>
          <w:rFonts w:ascii="宋体" w:hAnsi="宋体" w:eastAsia="宋体"/>
          <w:color w:val="auto"/>
          <w:kern w:val="0"/>
          <w:sz w:val="21"/>
        </w:rPr>
      </w:pPr>
      <w:r>
        <w:rPr>
          <w:rFonts w:hint="eastAsia" w:ascii="宋体" w:hAnsi="宋体" w:eastAsia="宋体"/>
          <w:color w:val="auto"/>
          <w:kern w:val="0"/>
          <w:sz w:val="21"/>
        </w:rPr>
        <w:t>（3）此报价应当包括项目实施所需的包含人工费、材料费、燃料费、设备的进退场费用、二次搬运费、冬雨季施工增加费、行车、行人干扰增加费、检测费、保险费、管理费、利润、税费、水费、电费、安全文明施工费、采购代理服务费、政策性文件规定及合同包含的所有风险责任等一切费用等完成合同所需的一切本身和不可或缺的所有工作开支、政策性文件规定及合同包含的所有风险、责任等各项全部费用并承担一切风险责任。</w:t>
      </w:r>
    </w:p>
    <w:p>
      <w:pPr>
        <w:tabs>
          <w:tab w:val="left" w:pos="3870"/>
          <w:tab w:val="left" w:pos="4085"/>
        </w:tabs>
        <w:snapToGrid w:val="0"/>
        <w:spacing w:line="360" w:lineRule="auto"/>
        <w:ind w:firstLine="420" w:firstLineChars="200"/>
        <w:jc w:val="left"/>
        <w:rPr>
          <w:rFonts w:ascii="宋体" w:hAnsi="宋体" w:eastAsia="宋体"/>
          <w:color w:val="auto"/>
          <w:kern w:val="0"/>
          <w:sz w:val="21"/>
        </w:rPr>
      </w:pPr>
      <w:r>
        <w:rPr>
          <w:rFonts w:hint="eastAsia" w:ascii="宋体" w:hAnsi="宋体" w:eastAsia="宋体"/>
          <w:color w:val="auto"/>
          <w:kern w:val="0"/>
          <w:sz w:val="21"/>
        </w:rPr>
        <w:t>（4）相关报价表需打印或用不退色的墨水填写，磋商响应报价表不得涂改和增删，如有错漏必须修改，修改处须由同一签署人签字或盖章。由于字迹模糊或表达不清引起的后果由供应商负责。</w:t>
      </w:r>
    </w:p>
    <w:p>
      <w:pPr>
        <w:snapToGrid w:val="0"/>
        <w:spacing w:line="360" w:lineRule="auto"/>
        <w:ind w:firstLine="420" w:firstLineChars="200"/>
        <w:jc w:val="left"/>
        <w:rPr>
          <w:rFonts w:ascii="宋体" w:hAnsi="宋体" w:eastAsia="宋体"/>
          <w:b/>
          <w:bCs/>
          <w:color w:val="auto"/>
          <w:kern w:val="0"/>
          <w:sz w:val="21"/>
          <w:lang w:val="zh-CN"/>
        </w:rPr>
      </w:pPr>
      <w:r>
        <w:rPr>
          <w:rFonts w:hint="eastAsia" w:ascii="宋体" w:hAnsi="宋体" w:eastAsia="宋体"/>
          <w:color w:val="auto"/>
          <w:kern w:val="0"/>
          <w:sz w:val="21"/>
        </w:rPr>
        <w:t>（5）报价有关表格应按磋商采购文件中相关附表格式填写</w:t>
      </w:r>
      <w:r>
        <w:rPr>
          <w:rFonts w:hint="eastAsia" w:ascii="宋体" w:hAnsi="宋体" w:eastAsia="宋体"/>
          <w:b/>
          <w:bCs/>
          <w:color w:val="auto"/>
          <w:kern w:val="0"/>
          <w:sz w:val="21"/>
        </w:rPr>
        <w:t>（注：工程量清单计价表格样式仅供参考，可接受不同计价软件生成的表格样式；报价明细表每页</w:t>
      </w:r>
      <w:r>
        <w:rPr>
          <w:rFonts w:hint="eastAsia" w:ascii="宋体" w:hAnsi="宋体" w:eastAsia="宋体"/>
          <w:b/>
          <w:bCs/>
          <w:color w:val="auto"/>
          <w:kern w:val="0"/>
          <w:sz w:val="21"/>
          <w:lang w:val="zh-CN"/>
        </w:rPr>
        <w:t>必须加盖</w:t>
      </w:r>
      <w:r>
        <w:rPr>
          <w:rFonts w:hint="eastAsia" w:ascii="宋体" w:hAnsi="宋体" w:eastAsia="宋体"/>
          <w:b/>
          <w:bCs/>
          <w:color w:val="auto"/>
          <w:kern w:val="0"/>
          <w:sz w:val="21"/>
        </w:rPr>
        <w:t>磋商供应商</w:t>
      </w:r>
      <w:r>
        <w:rPr>
          <w:rFonts w:hint="eastAsia" w:ascii="宋体" w:hAnsi="宋体" w:eastAsia="宋体"/>
          <w:b/>
          <w:bCs/>
          <w:color w:val="auto"/>
          <w:kern w:val="0"/>
          <w:sz w:val="21"/>
          <w:lang w:val="zh-CN"/>
        </w:rPr>
        <w:t>的公章（或CA电子公章）</w:t>
      </w:r>
      <w:r>
        <w:rPr>
          <w:rFonts w:hint="eastAsia" w:ascii="宋体" w:hAnsi="宋体" w:eastAsia="宋体"/>
          <w:b/>
          <w:bCs/>
          <w:color w:val="auto"/>
          <w:kern w:val="0"/>
          <w:sz w:val="21"/>
        </w:rPr>
        <w:t>）</w:t>
      </w:r>
    </w:p>
    <w:p>
      <w:pPr>
        <w:snapToGrid w:val="0"/>
        <w:spacing w:line="360" w:lineRule="auto"/>
        <w:ind w:left="480"/>
        <w:rPr>
          <w:rFonts w:ascii="宋体" w:hAnsi="宋体" w:eastAsia="宋体"/>
          <w:color w:val="auto"/>
          <w:sz w:val="21"/>
          <w:lang w:val="zh-CN"/>
        </w:rPr>
      </w:pPr>
      <w:r>
        <w:rPr>
          <w:rFonts w:hint="eastAsia" w:ascii="宋体" w:hAnsi="宋体" w:eastAsia="宋体"/>
          <w:b/>
          <w:color w:val="auto"/>
          <w:kern w:val="0"/>
          <w:sz w:val="21"/>
        </w:rPr>
        <w:t>（二）、磋商响应文件的制作、份数及递交要求</w:t>
      </w:r>
    </w:p>
    <w:p>
      <w:pPr>
        <w:autoSpaceDE w:val="0"/>
        <w:autoSpaceDN w:val="0"/>
        <w:adjustRightInd w:val="0"/>
        <w:snapToGrid w:val="0"/>
        <w:spacing w:line="360" w:lineRule="auto"/>
        <w:ind w:firstLine="480"/>
        <w:rPr>
          <w:rFonts w:ascii="宋体" w:hAnsi="宋体" w:eastAsia="宋体"/>
          <w:b/>
          <w:color w:val="auto"/>
          <w:sz w:val="21"/>
        </w:rPr>
      </w:pPr>
      <w:r>
        <w:rPr>
          <w:rFonts w:hint="eastAsia" w:ascii="宋体" w:hAnsi="宋体" w:eastAsia="宋体"/>
          <w:b/>
          <w:color w:val="auto"/>
          <w:sz w:val="21"/>
        </w:rPr>
        <w:t>1、磋商响应文件的制作要求</w:t>
      </w:r>
    </w:p>
    <w:p>
      <w:pPr>
        <w:autoSpaceDE w:val="0"/>
        <w:autoSpaceDN w:val="0"/>
        <w:adjustRightInd w:val="0"/>
        <w:snapToGrid w:val="0"/>
        <w:spacing w:line="360" w:lineRule="auto"/>
        <w:ind w:firstLine="480"/>
        <w:rPr>
          <w:rFonts w:ascii="宋体" w:hAnsi="宋体" w:eastAsia="宋体"/>
          <w:color w:val="auto"/>
          <w:kern w:val="0"/>
          <w:sz w:val="21"/>
        </w:rPr>
      </w:pPr>
      <w:r>
        <w:rPr>
          <w:rFonts w:hint="eastAsia" w:ascii="宋体" w:hAnsi="宋体" w:eastAsia="宋体"/>
          <w:color w:val="auto"/>
          <w:sz w:val="21"/>
        </w:rPr>
        <w:t>（1）供应商应按照磋商响应文件组成内容及项目磋商需求和浙江政府采购云平台要求制作制作磋商响应文件，</w:t>
      </w:r>
      <w:r>
        <w:rPr>
          <w:rFonts w:hint="eastAsia" w:ascii="宋体" w:hAnsi="宋体" w:eastAsia="宋体"/>
          <w:color w:val="auto"/>
          <w:kern w:val="0"/>
          <w:sz w:val="21"/>
        </w:rPr>
        <w:t>不按</w:t>
      </w:r>
      <w:r>
        <w:rPr>
          <w:rFonts w:hint="eastAsia" w:ascii="宋体" w:hAnsi="宋体" w:eastAsia="宋体"/>
          <w:color w:val="auto"/>
          <w:sz w:val="21"/>
        </w:rPr>
        <w:t>磋商采购文件</w:t>
      </w:r>
      <w:r>
        <w:rPr>
          <w:rFonts w:hint="eastAsia" w:ascii="宋体" w:hAnsi="宋体" w:eastAsia="宋体"/>
          <w:color w:val="auto"/>
          <w:kern w:val="0"/>
          <w:sz w:val="21"/>
        </w:rPr>
        <w:t>要求和浙江政府采购云平台要求制作</w:t>
      </w:r>
      <w:r>
        <w:rPr>
          <w:rFonts w:hint="eastAsia" w:ascii="宋体" w:hAnsi="宋体" w:eastAsia="宋体"/>
          <w:color w:val="auto"/>
          <w:sz w:val="21"/>
        </w:rPr>
        <w:t>磋商响应文件</w:t>
      </w:r>
      <w:r>
        <w:rPr>
          <w:rFonts w:hint="eastAsia" w:ascii="宋体" w:hAnsi="宋体" w:eastAsia="宋体"/>
          <w:color w:val="auto"/>
          <w:kern w:val="0"/>
          <w:sz w:val="21"/>
        </w:rPr>
        <w:t>的将视情处理（拒收、扣分等），由此产生的责任由</w:t>
      </w:r>
      <w:r>
        <w:rPr>
          <w:rFonts w:hint="eastAsia" w:ascii="宋体" w:hAnsi="宋体" w:eastAsia="宋体"/>
          <w:color w:val="auto"/>
          <w:sz w:val="21"/>
        </w:rPr>
        <w:t>磋商供应商</w:t>
      </w:r>
      <w:r>
        <w:rPr>
          <w:rFonts w:hint="eastAsia" w:ascii="宋体" w:hAnsi="宋体" w:eastAsia="宋体"/>
          <w:color w:val="auto"/>
          <w:kern w:val="0"/>
          <w:sz w:val="21"/>
        </w:rPr>
        <w:t>自行承担。</w:t>
      </w:r>
    </w:p>
    <w:p>
      <w:pPr>
        <w:snapToGrid w:val="0"/>
        <w:spacing w:line="360" w:lineRule="auto"/>
        <w:ind w:firstLine="420" w:firstLineChars="200"/>
        <w:rPr>
          <w:rFonts w:ascii="宋体" w:hAnsi="宋体" w:cs="宋体"/>
          <w:b/>
          <w:bCs/>
          <w:color w:val="auto"/>
          <w:sz w:val="21"/>
          <w:szCs w:val="21"/>
        </w:rPr>
      </w:pPr>
      <w:r>
        <w:rPr>
          <w:rFonts w:hint="eastAsia" w:ascii="宋体" w:hAnsi="宋体" w:cs="宋体"/>
          <w:b/>
          <w:bCs/>
          <w:color w:val="auto"/>
          <w:sz w:val="21"/>
          <w:szCs w:val="21"/>
        </w:rPr>
        <w:t>电子加密响应文件部分：供应商应根据“供应商-政府采购项目电子交易操作指南”及本磋商响应文件规定的格式和顺序编制电子磋商响应文件并进行关联定位。</w:t>
      </w:r>
    </w:p>
    <w:p>
      <w:pPr>
        <w:snapToGrid w:val="0"/>
        <w:spacing w:line="360" w:lineRule="auto"/>
        <w:ind w:firstLine="420" w:firstLineChars="200"/>
        <w:rPr>
          <w:color w:val="auto"/>
          <w:sz w:val="21"/>
          <w:szCs w:val="21"/>
        </w:rPr>
      </w:pPr>
      <w:r>
        <w:rPr>
          <w:rFonts w:hint="eastAsia" w:ascii="宋体" w:hAnsi="宋体" w:cs="宋体"/>
          <w:b/>
          <w:bCs/>
          <w:color w:val="auto"/>
          <w:sz w:val="21"/>
          <w:szCs w:val="21"/>
        </w:rPr>
        <w:t>备份响应文件应与政采云平台上传的电子加密响应文件一致。</w:t>
      </w:r>
    </w:p>
    <w:p>
      <w:pPr>
        <w:autoSpaceDE w:val="0"/>
        <w:autoSpaceDN w:val="0"/>
        <w:adjustRightInd w:val="0"/>
        <w:snapToGrid w:val="0"/>
        <w:spacing w:line="360" w:lineRule="auto"/>
        <w:ind w:firstLine="480" w:firstLineChars="200"/>
        <w:rPr>
          <w:rFonts w:ascii="宋体" w:hAnsi="宋体" w:eastAsia="宋体"/>
          <w:color w:val="auto"/>
          <w:kern w:val="0"/>
          <w:sz w:val="21"/>
          <w:lang w:val="zh-CN"/>
        </w:rPr>
      </w:pPr>
      <w:r>
        <w:rPr>
          <w:rFonts w:hint="eastAsia" w:ascii="宋体" w:hAnsi="宋体" w:cs="宋体"/>
          <w:bCs/>
          <w:color w:val="auto"/>
          <w:sz w:val="24"/>
        </w:rPr>
        <w:t>▲</w:t>
      </w:r>
      <w:r>
        <w:rPr>
          <w:rFonts w:hint="eastAsia" w:ascii="宋体" w:hAnsi="宋体" w:eastAsia="宋体"/>
          <w:color w:val="auto"/>
          <w:kern w:val="0"/>
          <w:sz w:val="21"/>
        </w:rPr>
        <w:t>（2）供应商应对所提供的全部资料的真实性承担法律责任，磋商响应文件的格式内容中有要求必须盖章或签字的地方，必须按要求盖章或签字，其中电子投标文件中所需签字盖章部分均采用CA签章。</w:t>
      </w:r>
    </w:p>
    <w:p>
      <w:pPr>
        <w:snapToGrid w:val="0"/>
        <w:spacing w:line="360" w:lineRule="auto"/>
        <w:ind w:firstLine="420" w:firstLineChars="200"/>
        <w:jc w:val="left"/>
        <w:rPr>
          <w:rFonts w:ascii="宋体" w:hAnsi="宋体" w:eastAsia="宋体"/>
          <w:color w:val="auto"/>
          <w:sz w:val="21"/>
        </w:rPr>
      </w:pPr>
      <w:r>
        <w:rPr>
          <w:rFonts w:hint="eastAsia" w:ascii="宋体" w:hAnsi="宋体" w:eastAsia="宋体"/>
          <w:color w:val="auto"/>
          <w:kern w:val="0"/>
          <w:sz w:val="21"/>
          <w:lang w:val="zh-CN"/>
        </w:rPr>
        <w:t>（</w:t>
      </w:r>
      <w:r>
        <w:rPr>
          <w:rFonts w:hint="eastAsia" w:ascii="宋体" w:hAnsi="宋体" w:eastAsia="宋体"/>
          <w:color w:val="auto"/>
          <w:kern w:val="0"/>
          <w:sz w:val="21"/>
        </w:rPr>
        <w:t>3</w:t>
      </w:r>
      <w:r>
        <w:rPr>
          <w:rFonts w:hint="eastAsia" w:ascii="宋体" w:hAnsi="宋体" w:eastAsia="宋体"/>
          <w:color w:val="auto"/>
          <w:kern w:val="0"/>
          <w:sz w:val="21"/>
          <w:lang w:val="zh-CN"/>
        </w:rPr>
        <w:t>）</w:t>
      </w:r>
      <w:r>
        <w:rPr>
          <w:rFonts w:hint="eastAsia" w:ascii="宋体" w:hAnsi="宋体" w:eastAsia="宋体"/>
          <w:color w:val="auto"/>
          <w:sz w:val="21"/>
        </w:rPr>
        <w:t>磋商响应文件以及磋商供应商与采购组织机构就有关磋商事宜的所有来往函电，均应以中文汉语书写。除签字、盖章、专用名称等特殊情形外，以中文汉语以外的文字表述的磋商响应文件视同未提供。</w:t>
      </w:r>
    </w:p>
    <w:p>
      <w:pPr>
        <w:snapToGrid w:val="0"/>
        <w:spacing w:line="360" w:lineRule="auto"/>
        <w:ind w:firstLine="420" w:firstLineChars="200"/>
        <w:jc w:val="left"/>
        <w:rPr>
          <w:rFonts w:ascii="宋体" w:hAnsi="宋体" w:eastAsia="宋体"/>
          <w:color w:val="auto"/>
          <w:sz w:val="21"/>
        </w:rPr>
      </w:pPr>
      <w:r>
        <w:rPr>
          <w:rFonts w:hint="eastAsia" w:ascii="宋体" w:hAnsi="宋体" w:eastAsia="宋体"/>
          <w:color w:val="auto"/>
          <w:sz w:val="21"/>
        </w:rPr>
        <w:t>（4）磋商计量单位，磋商采购文件已有明确规定的，使用磋商采购文件规定的计量单位；磋商采购文件没有规定的，应采用中华人民共和国法定计量单位（货币单位：人民币元），否则视同未响应。</w:t>
      </w:r>
    </w:p>
    <w:p>
      <w:pPr>
        <w:autoSpaceDE w:val="0"/>
        <w:autoSpaceDN w:val="0"/>
        <w:adjustRightInd w:val="0"/>
        <w:snapToGrid w:val="0"/>
        <w:spacing w:line="360" w:lineRule="auto"/>
        <w:ind w:firstLine="480"/>
        <w:rPr>
          <w:rFonts w:ascii="宋体" w:hAnsi="宋体" w:eastAsia="宋体"/>
          <w:color w:val="auto"/>
          <w:sz w:val="21"/>
        </w:rPr>
      </w:pPr>
      <w:r>
        <w:rPr>
          <w:rFonts w:hint="eastAsia" w:ascii="宋体" w:hAnsi="宋体" w:eastAsia="宋体"/>
          <w:color w:val="auto"/>
          <w:sz w:val="21"/>
        </w:rPr>
        <w:t>（5）若磋商供应商不按采购文件的要求提供资格审查材料，其风险由磋商供应商自行承担。</w:t>
      </w:r>
    </w:p>
    <w:p>
      <w:pPr>
        <w:autoSpaceDE w:val="0"/>
        <w:autoSpaceDN w:val="0"/>
        <w:adjustRightInd w:val="0"/>
        <w:snapToGrid w:val="0"/>
        <w:spacing w:line="360" w:lineRule="auto"/>
        <w:ind w:firstLine="480"/>
        <w:rPr>
          <w:rFonts w:eastAsia="宋体"/>
          <w:color w:val="auto"/>
        </w:rPr>
      </w:pPr>
      <w:r>
        <w:rPr>
          <w:rFonts w:hint="eastAsia" w:ascii="宋体" w:hAnsi="宋体" w:eastAsia="宋体"/>
          <w:color w:val="auto"/>
          <w:kern w:val="0"/>
          <w:sz w:val="21"/>
        </w:rPr>
        <w:t>（6）</w:t>
      </w:r>
      <w:r>
        <w:rPr>
          <w:rFonts w:hint="eastAsia" w:ascii="宋体" w:hAnsi="宋体" w:eastAsia="宋体"/>
          <w:color w:val="auto"/>
          <w:sz w:val="21"/>
        </w:rPr>
        <w:t>与本次磋商无关的内容请不要制作在内，确保磋商响应文件有针对性、简洁明了。</w:t>
      </w:r>
    </w:p>
    <w:p>
      <w:pPr>
        <w:autoSpaceDE w:val="0"/>
        <w:autoSpaceDN w:val="0"/>
        <w:adjustRightInd w:val="0"/>
        <w:snapToGrid w:val="0"/>
        <w:spacing w:line="360" w:lineRule="auto"/>
        <w:ind w:firstLine="416" w:firstLineChars="198"/>
        <w:rPr>
          <w:rFonts w:ascii="宋体" w:hAnsi="宋体"/>
          <w:b/>
          <w:color w:val="auto"/>
          <w:sz w:val="21"/>
        </w:rPr>
      </w:pPr>
      <w:r>
        <w:rPr>
          <w:rFonts w:hint="eastAsia" w:ascii="宋体" w:hAnsi="宋体"/>
          <w:b/>
          <w:color w:val="auto"/>
          <w:sz w:val="21"/>
        </w:rPr>
        <w:t>2、磋商响应文件份数：</w:t>
      </w:r>
    </w:p>
    <w:p>
      <w:pPr>
        <w:autoSpaceDE w:val="0"/>
        <w:autoSpaceDN w:val="0"/>
        <w:adjustRightInd w:val="0"/>
        <w:snapToGrid w:val="0"/>
        <w:spacing w:line="360" w:lineRule="auto"/>
        <w:ind w:firstLine="416" w:firstLineChars="198"/>
        <w:rPr>
          <w:rFonts w:ascii="宋体" w:hAnsi="宋体"/>
          <w:b/>
          <w:color w:val="auto"/>
          <w:sz w:val="21"/>
        </w:rPr>
      </w:pPr>
      <w:r>
        <w:rPr>
          <w:rFonts w:hint="eastAsia" w:ascii="宋体" w:hAnsi="宋体"/>
          <w:b/>
          <w:color w:val="auto"/>
          <w:sz w:val="21"/>
        </w:rPr>
        <w:t>（1）电子加密响应文件一份：通过政采云平台电子投标工具（政采云电子投标客户端）生成的，一份为加密标书。</w:t>
      </w:r>
    </w:p>
    <w:p>
      <w:pPr>
        <w:autoSpaceDE w:val="0"/>
        <w:autoSpaceDN w:val="0"/>
        <w:adjustRightInd w:val="0"/>
        <w:snapToGrid w:val="0"/>
        <w:spacing w:line="360" w:lineRule="auto"/>
        <w:ind w:firstLine="416" w:firstLineChars="198"/>
        <w:rPr>
          <w:rFonts w:ascii="宋体" w:hAnsi="宋体"/>
          <w:b/>
          <w:color w:val="auto"/>
          <w:sz w:val="21"/>
        </w:rPr>
      </w:pPr>
      <w:r>
        <w:rPr>
          <w:rFonts w:hint="eastAsia" w:ascii="宋体" w:hAnsi="宋体"/>
          <w:b/>
          <w:color w:val="auto"/>
          <w:sz w:val="21"/>
        </w:rPr>
        <w:t>（2）备份响应文件：政采云平台上最后生成的具备电子签章的备份响应文件，文件名后缀为备份标书四字的首字母）。</w:t>
      </w:r>
      <w:r>
        <w:rPr>
          <w:rFonts w:hint="eastAsia"/>
          <w:color w:val="auto"/>
        </w:rPr>
        <w:fldChar w:fldCharType="begin"/>
      </w:r>
      <w:r>
        <w:rPr>
          <w:color w:val="auto"/>
        </w:rPr>
        <w:instrText xml:space="preserve"> HYPERLINK "mailto:投标人自行确定是否提交；若提交请将备份投标文件打包压缩加密（未加密造成泄密的由投标人自行承担）后以电子邮件的形式发送至xjcg2009@163.com" </w:instrText>
      </w:r>
      <w:r>
        <w:rPr>
          <w:rFonts w:hint="eastAsia"/>
          <w:color w:val="auto"/>
        </w:rPr>
        <w:fldChar w:fldCharType="separate"/>
      </w:r>
      <w:r>
        <w:rPr>
          <w:rFonts w:hint="eastAsia" w:ascii="宋体" w:hAnsi="宋体"/>
          <w:b/>
          <w:color w:val="auto"/>
          <w:sz w:val="21"/>
        </w:rPr>
        <w:t>供应商自行确定是否提交；若提交请将备份投标文件打包压缩加密（未加密造成泄密的由供应商自行承担）后以电子邮件的形式发送至3050868501@qq.com</w:t>
      </w:r>
      <w:r>
        <w:rPr>
          <w:rFonts w:hint="eastAsia" w:ascii="宋体" w:hAnsi="宋体"/>
          <w:b/>
          <w:color w:val="auto"/>
          <w:sz w:val="21"/>
        </w:rPr>
        <w:fldChar w:fldCharType="end"/>
      </w:r>
      <w:r>
        <w:rPr>
          <w:rFonts w:hint="eastAsia" w:ascii="宋体" w:hAnsi="宋体"/>
          <w:b/>
          <w:color w:val="auto"/>
          <w:sz w:val="21"/>
        </w:rPr>
        <w:t xml:space="preserve"> 。</w:t>
      </w:r>
    </w:p>
    <w:p>
      <w:pPr>
        <w:autoSpaceDE w:val="0"/>
        <w:autoSpaceDN w:val="0"/>
        <w:adjustRightInd w:val="0"/>
        <w:snapToGrid w:val="0"/>
        <w:spacing w:line="360" w:lineRule="auto"/>
        <w:ind w:firstLine="416" w:firstLineChars="198"/>
        <w:rPr>
          <w:rFonts w:ascii="宋体" w:hAnsi="宋体"/>
          <w:b/>
          <w:color w:val="auto"/>
          <w:sz w:val="21"/>
        </w:rPr>
      </w:pPr>
      <w:r>
        <w:rPr>
          <w:rFonts w:hint="eastAsia" w:ascii="宋体" w:hAnsi="宋体"/>
          <w:b/>
          <w:color w:val="auto"/>
          <w:sz w:val="21"/>
        </w:rPr>
        <w:t>备份响应文件在“电子加密响应文件”在线解密失败后启用，否则不予以启用；供应商确认“电子加密响应文件”在线解密失败后，将打包压缩加密的备份响应文件的解密密码在解密规定的时间（发出解密通知后60分钟内）发送至上述邮箱内，未在规定时间内发送造成的投标无效或失败由供应商人自行承担。</w:t>
      </w:r>
    </w:p>
    <w:p>
      <w:pPr>
        <w:numPr>
          <w:ilvl w:val="0"/>
          <w:numId w:val="5"/>
        </w:numPr>
        <w:autoSpaceDE w:val="0"/>
        <w:autoSpaceDN w:val="0"/>
        <w:adjustRightInd w:val="0"/>
        <w:snapToGrid w:val="0"/>
        <w:spacing w:line="360" w:lineRule="auto"/>
        <w:ind w:firstLine="480"/>
        <w:rPr>
          <w:rFonts w:ascii="宋体" w:hAnsi="宋体"/>
          <w:b/>
          <w:color w:val="auto"/>
          <w:sz w:val="21"/>
        </w:rPr>
      </w:pPr>
      <w:r>
        <w:rPr>
          <w:rFonts w:hint="eastAsia" w:ascii="宋体" w:hAnsi="宋体"/>
          <w:b/>
          <w:color w:val="auto"/>
          <w:sz w:val="21"/>
        </w:rPr>
        <w:t>中标供应商应提供与电子加密响应文件内容一致的纸质磋商响应文件各一正二副和工程量清单套价软件版。纸质磋商响应文件装订成册，采用胶订或线订，不得采用活页夹等可随时拆换的方式装订。（胶订或线订以外装订形式视为活页装订）中标人在领取中标通知书时提供纸质磋商响应文件。</w:t>
      </w:r>
    </w:p>
    <w:p>
      <w:pPr>
        <w:autoSpaceDE w:val="0"/>
        <w:autoSpaceDN w:val="0"/>
        <w:adjustRightInd w:val="0"/>
        <w:snapToGrid w:val="0"/>
        <w:spacing w:line="360" w:lineRule="auto"/>
        <w:rPr>
          <w:rFonts w:ascii="宋体" w:hAnsi="宋体"/>
          <w:b/>
          <w:color w:val="auto"/>
          <w:sz w:val="21"/>
        </w:rPr>
      </w:pPr>
      <w:r>
        <w:rPr>
          <w:rFonts w:hint="eastAsia" w:ascii="宋体" w:hAnsi="宋体"/>
          <w:b/>
          <w:color w:val="auto"/>
          <w:kern w:val="0"/>
          <w:sz w:val="21"/>
        </w:rPr>
        <w:t>3、</w:t>
      </w:r>
      <w:r>
        <w:rPr>
          <w:rFonts w:hint="eastAsia" w:ascii="宋体" w:hAnsi="宋体"/>
          <w:b/>
          <w:color w:val="auto"/>
          <w:sz w:val="21"/>
        </w:rPr>
        <w:t>磋商响应文件的递交要求</w:t>
      </w:r>
    </w:p>
    <w:p>
      <w:pPr>
        <w:tabs>
          <w:tab w:val="left" w:pos="1418"/>
        </w:tabs>
        <w:autoSpaceDE w:val="0"/>
        <w:autoSpaceDN w:val="0"/>
        <w:adjustRightInd w:val="0"/>
        <w:snapToGrid w:val="0"/>
        <w:spacing w:line="360" w:lineRule="auto"/>
        <w:ind w:firstLine="420" w:firstLineChars="200"/>
        <w:rPr>
          <w:rFonts w:ascii="宋体" w:hAnsi="宋体"/>
          <w:color w:val="auto"/>
          <w:kern w:val="0"/>
          <w:sz w:val="21"/>
        </w:rPr>
      </w:pPr>
      <w:bookmarkStart w:id="41" w:name="_Toc530551857"/>
      <w:bookmarkStart w:id="42" w:name="_Toc531359012"/>
      <w:bookmarkStart w:id="43" w:name="_Toc34895557"/>
      <w:r>
        <w:rPr>
          <w:rFonts w:hint="eastAsia" w:ascii="宋体" w:hAnsi="宋体"/>
          <w:color w:val="auto"/>
          <w:kern w:val="0"/>
          <w:sz w:val="21"/>
        </w:rPr>
        <w:t>（1）磋商响应文件导入</w:t>
      </w:r>
      <w:bookmarkEnd w:id="41"/>
      <w:bookmarkEnd w:id="42"/>
      <w:r>
        <w:rPr>
          <w:rFonts w:hint="eastAsia" w:ascii="宋体" w:hAnsi="宋体"/>
          <w:color w:val="auto"/>
          <w:kern w:val="0"/>
          <w:sz w:val="21"/>
        </w:rPr>
        <w:t>和加密</w:t>
      </w:r>
      <w:bookmarkEnd w:id="43"/>
    </w:p>
    <w:p>
      <w:pPr>
        <w:tabs>
          <w:tab w:val="left" w:pos="1418"/>
        </w:tabs>
        <w:autoSpaceDE w:val="0"/>
        <w:autoSpaceDN w:val="0"/>
        <w:adjustRightInd w:val="0"/>
        <w:snapToGrid w:val="0"/>
        <w:spacing w:line="360" w:lineRule="auto"/>
        <w:ind w:firstLine="420" w:firstLineChars="200"/>
        <w:rPr>
          <w:rFonts w:ascii="宋体" w:hAnsi="宋体"/>
          <w:color w:val="auto"/>
          <w:kern w:val="0"/>
          <w:sz w:val="21"/>
        </w:rPr>
      </w:pPr>
      <w:r>
        <w:rPr>
          <w:rFonts w:hint="eastAsia" w:ascii="宋体" w:hAnsi="宋体"/>
          <w:color w:val="auto"/>
          <w:kern w:val="0"/>
          <w:sz w:val="21"/>
        </w:rPr>
        <w:t>①磋商供应商应当按照资格证明文件、商务与技术文件和报价文件三部分分别导入相应位置，各文件之间不得导错位置；</w:t>
      </w:r>
    </w:p>
    <w:p>
      <w:pPr>
        <w:tabs>
          <w:tab w:val="left" w:pos="1418"/>
        </w:tabs>
        <w:autoSpaceDE w:val="0"/>
        <w:autoSpaceDN w:val="0"/>
        <w:adjustRightInd w:val="0"/>
        <w:snapToGrid w:val="0"/>
        <w:spacing w:line="360" w:lineRule="auto"/>
        <w:ind w:firstLine="420" w:firstLineChars="200"/>
        <w:rPr>
          <w:rFonts w:ascii="宋体" w:hAnsi="宋体"/>
          <w:color w:val="auto"/>
          <w:kern w:val="0"/>
          <w:sz w:val="21"/>
        </w:rPr>
      </w:pPr>
      <w:r>
        <w:rPr>
          <w:rFonts w:hint="eastAsia" w:ascii="宋体" w:hAnsi="宋体"/>
          <w:color w:val="auto"/>
          <w:kern w:val="0"/>
          <w:sz w:val="21"/>
        </w:rPr>
        <w:t>②磋商响应文件编制好后应当生成电子加密响应文件，生成电子加密响应文件具体流程详见【浙江省】供应商-政府采购项目电子交易操作指南网址：</w:t>
      </w:r>
      <w:r>
        <w:rPr>
          <w:rFonts w:hint="eastAsia"/>
          <w:color w:val="auto"/>
        </w:rPr>
        <w:fldChar w:fldCharType="begin"/>
      </w:r>
      <w:r>
        <w:rPr>
          <w:color w:val="auto"/>
        </w:rPr>
        <w:instrText xml:space="preserve"> HYPERLINK "https://service.zcygov.cn/" \l "/knowledges/CW1EtGwBFdiHxlNd6I3m/6IMVAG0BFdiHxlNdQ8Na" </w:instrText>
      </w:r>
      <w:r>
        <w:rPr>
          <w:rFonts w:hint="eastAsia"/>
          <w:color w:val="auto"/>
        </w:rPr>
        <w:fldChar w:fldCharType="separate"/>
      </w:r>
      <w:r>
        <w:rPr>
          <w:rFonts w:hint="eastAsia" w:ascii="宋体" w:hAnsi="宋体"/>
          <w:color w:val="auto"/>
          <w:kern w:val="0"/>
          <w:sz w:val="21"/>
        </w:rPr>
        <w:t>https://service.zcygov.cn/#/knowledges/CW1EtGwBFdiHxlNd6I3m/6IMVAG0BFdiHxlNdQ8Na</w:t>
      </w:r>
      <w:r>
        <w:rPr>
          <w:rFonts w:hint="eastAsia" w:ascii="宋体" w:hAnsi="宋体"/>
          <w:color w:val="auto"/>
          <w:kern w:val="0"/>
          <w:sz w:val="21"/>
        </w:rPr>
        <w:fldChar w:fldCharType="end"/>
      </w:r>
    </w:p>
    <w:p>
      <w:pPr>
        <w:tabs>
          <w:tab w:val="left" w:pos="1418"/>
        </w:tabs>
        <w:autoSpaceDE w:val="0"/>
        <w:autoSpaceDN w:val="0"/>
        <w:adjustRightInd w:val="0"/>
        <w:snapToGrid w:val="0"/>
        <w:spacing w:line="360" w:lineRule="auto"/>
        <w:ind w:firstLine="420" w:firstLineChars="200"/>
        <w:rPr>
          <w:rFonts w:ascii="宋体" w:hAnsi="宋体"/>
          <w:color w:val="auto"/>
          <w:kern w:val="0"/>
          <w:sz w:val="21"/>
        </w:rPr>
      </w:pPr>
      <w:r>
        <w:rPr>
          <w:rFonts w:hint="eastAsia" w:ascii="宋体" w:hAnsi="宋体"/>
          <w:color w:val="auto"/>
          <w:kern w:val="0"/>
          <w:sz w:val="21"/>
        </w:rPr>
        <w:t>（2）磋商响应文件的提交</w:t>
      </w:r>
    </w:p>
    <w:p>
      <w:pPr>
        <w:tabs>
          <w:tab w:val="left" w:pos="1418"/>
        </w:tabs>
        <w:autoSpaceDE w:val="0"/>
        <w:autoSpaceDN w:val="0"/>
        <w:adjustRightInd w:val="0"/>
        <w:snapToGrid w:val="0"/>
        <w:spacing w:line="360" w:lineRule="auto"/>
        <w:ind w:firstLine="420" w:firstLineChars="200"/>
        <w:rPr>
          <w:rFonts w:ascii="宋体" w:hAnsi="宋体"/>
          <w:color w:val="auto"/>
          <w:kern w:val="0"/>
          <w:sz w:val="21"/>
        </w:rPr>
      </w:pPr>
      <w:r>
        <w:rPr>
          <w:rFonts w:hint="eastAsia" w:ascii="宋体" w:hAnsi="宋体"/>
          <w:color w:val="auto"/>
          <w:kern w:val="0"/>
          <w:sz w:val="21"/>
        </w:rPr>
        <w:t>①磋商响应文件提交截止时间：见磋商须知“前附表”；</w:t>
      </w:r>
    </w:p>
    <w:p>
      <w:pPr>
        <w:tabs>
          <w:tab w:val="left" w:pos="1418"/>
        </w:tabs>
        <w:autoSpaceDE w:val="0"/>
        <w:autoSpaceDN w:val="0"/>
        <w:adjustRightInd w:val="0"/>
        <w:snapToGrid w:val="0"/>
        <w:spacing w:line="360" w:lineRule="auto"/>
        <w:ind w:firstLine="420" w:firstLineChars="200"/>
        <w:rPr>
          <w:rFonts w:ascii="宋体" w:hAnsi="宋体"/>
          <w:color w:val="auto"/>
          <w:kern w:val="0"/>
          <w:sz w:val="21"/>
        </w:rPr>
      </w:pPr>
      <w:r>
        <w:rPr>
          <w:rFonts w:hint="eastAsia" w:ascii="宋体" w:hAnsi="宋体"/>
          <w:color w:val="auto"/>
          <w:kern w:val="0"/>
          <w:sz w:val="21"/>
        </w:rPr>
        <w:t>②磋商响应文件提交地点：见磋商须知“前附表”。</w:t>
      </w:r>
    </w:p>
    <w:p>
      <w:pPr>
        <w:tabs>
          <w:tab w:val="left" w:pos="1418"/>
        </w:tabs>
        <w:autoSpaceDE w:val="0"/>
        <w:autoSpaceDN w:val="0"/>
        <w:adjustRightInd w:val="0"/>
        <w:snapToGrid w:val="0"/>
        <w:spacing w:line="360" w:lineRule="auto"/>
        <w:ind w:firstLine="420" w:firstLineChars="200"/>
        <w:rPr>
          <w:rFonts w:ascii="宋体" w:hAnsi="宋体"/>
          <w:color w:val="auto"/>
          <w:kern w:val="0"/>
          <w:sz w:val="21"/>
        </w:rPr>
      </w:pPr>
      <w:r>
        <w:rPr>
          <w:rFonts w:hint="eastAsia" w:ascii="宋体" w:hAnsi="宋体"/>
          <w:color w:val="auto"/>
          <w:kern w:val="0"/>
          <w:sz w:val="21"/>
        </w:rPr>
        <w:t>（3）不予接收的磋商响应文件情形</w:t>
      </w:r>
    </w:p>
    <w:p>
      <w:pPr>
        <w:tabs>
          <w:tab w:val="left" w:pos="1418"/>
        </w:tabs>
        <w:autoSpaceDE w:val="0"/>
        <w:autoSpaceDN w:val="0"/>
        <w:adjustRightInd w:val="0"/>
        <w:snapToGrid w:val="0"/>
        <w:spacing w:line="360" w:lineRule="auto"/>
        <w:ind w:firstLine="420" w:firstLineChars="200"/>
        <w:rPr>
          <w:rFonts w:ascii="宋体" w:hAnsi="宋体"/>
          <w:color w:val="auto"/>
          <w:kern w:val="0"/>
          <w:sz w:val="21"/>
        </w:rPr>
      </w:pPr>
      <w:r>
        <w:rPr>
          <w:rFonts w:hint="eastAsia" w:ascii="宋体" w:hAnsi="宋体"/>
          <w:color w:val="auto"/>
          <w:kern w:val="0"/>
          <w:sz w:val="21"/>
        </w:rPr>
        <w:t>①磋商截止时间前未完成传输的磋商响应文件；</w:t>
      </w:r>
    </w:p>
    <w:p>
      <w:pPr>
        <w:tabs>
          <w:tab w:val="left" w:pos="1418"/>
        </w:tabs>
        <w:autoSpaceDE w:val="0"/>
        <w:autoSpaceDN w:val="0"/>
        <w:adjustRightInd w:val="0"/>
        <w:snapToGrid w:val="0"/>
        <w:spacing w:line="360" w:lineRule="auto"/>
        <w:ind w:firstLine="420" w:firstLineChars="200"/>
        <w:rPr>
          <w:rFonts w:ascii="宋体" w:hAnsi="宋体"/>
          <w:color w:val="auto"/>
          <w:kern w:val="0"/>
          <w:sz w:val="21"/>
        </w:rPr>
      </w:pPr>
      <w:r>
        <w:rPr>
          <w:rFonts w:hint="eastAsia" w:ascii="宋体" w:hAnsi="宋体"/>
          <w:color w:val="auto"/>
          <w:kern w:val="0"/>
          <w:sz w:val="21"/>
        </w:rPr>
        <w:t>②未生成加密的磋商响应文件；</w:t>
      </w:r>
    </w:p>
    <w:p>
      <w:pPr>
        <w:tabs>
          <w:tab w:val="left" w:pos="1418"/>
        </w:tabs>
        <w:autoSpaceDE w:val="0"/>
        <w:autoSpaceDN w:val="0"/>
        <w:adjustRightInd w:val="0"/>
        <w:snapToGrid w:val="0"/>
        <w:spacing w:line="360" w:lineRule="auto"/>
        <w:ind w:firstLine="420" w:firstLineChars="200"/>
        <w:rPr>
          <w:rFonts w:ascii="宋体" w:hAnsi="宋体"/>
          <w:color w:val="auto"/>
          <w:kern w:val="0"/>
          <w:sz w:val="21"/>
        </w:rPr>
      </w:pPr>
      <w:r>
        <w:rPr>
          <w:rFonts w:hint="eastAsia" w:ascii="宋体" w:hAnsi="宋体"/>
          <w:color w:val="auto"/>
          <w:kern w:val="0"/>
          <w:sz w:val="21"/>
        </w:rPr>
        <w:t>（4）如有特殊情况，采购代理机构延长截止时间和开标时间，采购代理机构和磋商供应商的权利和义务将受到新的截止时间和开标时间的约束。</w:t>
      </w:r>
    </w:p>
    <w:p>
      <w:pPr>
        <w:tabs>
          <w:tab w:val="left" w:pos="1898"/>
        </w:tabs>
        <w:autoSpaceDE w:val="0"/>
        <w:autoSpaceDN w:val="0"/>
        <w:adjustRightInd w:val="0"/>
        <w:snapToGrid w:val="0"/>
        <w:spacing w:line="360" w:lineRule="auto"/>
        <w:ind w:firstLine="420" w:firstLineChars="200"/>
        <w:rPr>
          <w:rFonts w:ascii="宋体" w:hAnsi="宋体"/>
          <w:b/>
          <w:color w:val="auto"/>
          <w:kern w:val="0"/>
          <w:sz w:val="21"/>
        </w:rPr>
      </w:pPr>
      <w:r>
        <w:rPr>
          <w:rFonts w:hint="eastAsia" w:ascii="宋体" w:hAnsi="宋体"/>
          <w:b/>
          <w:color w:val="auto"/>
          <w:kern w:val="0"/>
          <w:sz w:val="21"/>
        </w:rPr>
        <w:t>4、磋商响应文件的补充、修改和撤回。</w:t>
      </w:r>
    </w:p>
    <w:p>
      <w:pPr>
        <w:tabs>
          <w:tab w:val="left" w:pos="1418"/>
        </w:tabs>
        <w:autoSpaceDE w:val="0"/>
        <w:autoSpaceDN w:val="0"/>
        <w:adjustRightInd w:val="0"/>
        <w:snapToGrid w:val="0"/>
        <w:spacing w:line="360" w:lineRule="auto"/>
        <w:ind w:firstLine="420" w:firstLineChars="200"/>
        <w:rPr>
          <w:rFonts w:ascii="宋体" w:hAnsi="宋体"/>
          <w:color w:val="auto"/>
          <w:kern w:val="0"/>
          <w:sz w:val="21"/>
        </w:rPr>
      </w:pPr>
      <w:r>
        <w:rPr>
          <w:rFonts w:hint="eastAsia" w:ascii="宋体" w:hAnsi="宋体"/>
          <w:color w:val="auto"/>
          <w:kern w:val="0"/>
          <w:sz w:val="21"/>
        </w:rPr>
        <w:t>（1）在磋商截止时间前，磋商供应商可对已提交的磋商响应文件进行补充、修改或撤回。补充、修改磋商响应文件的，应当先行撤回原文件，补充、修改后重新生成加密的磋商响应文件并重新上传提交；补充、修改后重新提交的磋商响应文件应按磋商文件的规定编制、加密、导入和提交。</w:t>
      </w:r>
    </w:p>
    <w:p>
      <w:pPr>
        <w:tabs>
          <w:tab w:val="left" w:pos="1418"/>
        </w:tabs>
        <w:autoSpaceDE w:val="0"/>
        <w:autoSpaceDN w:val="0"/>
        <w:adjustRightInd w:val="0"/>
        <w:snapToGrid w:val="0"/>
        <w:spacing w:line="360" w:lineRule="auto"/>
        <w:ind w:firstLine="420" w:firstLineChars="200"/>
        <w:rPr>
          <w:rFonts w:ascii="宋体" w:hAnsi="宋体"/>
          <w:color w:val="auto"/>
          <w:kern w:val="0"/>
          <w:sz w:val="21"/>
        </w:rPr>
      </w:pPr>
      <w:r>
        <w:rPr>
          <w:rFonts w:hint="eastAsia" w:ascii="宋体" w:hAnsi="宋体"/>
          <w:color w:val="auto"/>
          <w:kern w:val="0"/>
          <w:sz w:val="21"/>
        </w:rPr>
        <w:t>（2）</w:t>
      </w:r>
      <w:r>
        <w:rPr>
          <w:rFonts w:hint="eastAsia" w:ascii="宋体" w:hAnsi="宋体"/>
          <w:color w:val="auto"/>
          <w:kern w:val="0"/>
          <w:sz w:val="21"/>
          <w:lang w:val="zh-CN"/>
        </w:rPr>
        <w:t>在磋商响应文件递交截止时间后,磋商供应商不得修改或撤回已</w:t>
      </w:r>
      <w:r>
        <w:rPr>
          <w:rFonts w:hint="eastAsia" w:ascii="宋体" w:hAnsi="宋体"/>
          <w:color w:val="auto"/>
          <w:kern w:val="0"/>
          <w:sz w:val="21"/>
        </w:rPr>
        <w:t>提交</w:t>
      </w:r>
      <w:r>
        <w:rPr>
          <w:rFonts w:hint="eastAsia" w:ascii="宋体" w:hAnsi="宋体"/>
          <w:color w:val="auto"/>
          <w:kern w:val="0"/>
          <w:sz w:val="21"/>
          <w:lang w:val="zh-CN"/>
        </w:rPr>
        <w:t>的磋商响应文件。</w:t>
      </w:r>
    </w:p>
    <w:p>
      <w:pPr>
        <w:snapToGrid w:val="0"/>
        <w:spacing w:line="360" w:lineRule="auto"/>
        <w:ind w:firstLine="413" w:firstLineChars="196"/>
        <w:jc w:val="left"/>
        <w:rPr>
          <w:rFonts w:ascii="宋体" w:hAnsi="宋体" w:eastAsia="宋体" w:cs="宋体"/>
          <w:b/>
          <w:color w:val="auto"/>
          <w:sz w:val="21"/>
          <w:szCs w:val="21"/>
        </w:rPr>
      </w:pPr>
      <w:r>
        <w:rPr>
          <w:rFonts w:hint="eastAsia" w:ascii="宋体" w:hAnsi="宋体" w:eastAsia="宋体" w:cs="宋体"/>
          <w:b/>
          <w:color w:val="auto"/>
          <w:sz w:val="21"/>
          <w:szCs w:val="21"/>
          <w:lang w:bidi="ar"/>
        </w:rPr>
        <w:t>▲5、磋商报价</w:t>
      </w:r>
    </w:p>
    <w:p>
      <w:pPr>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lang w:bidi="ar"/>
        </w:rPr>
        <w:t>（1）磋商报价应当包括项目实施所需的包含人工费、材料费、燃料费、设备的进退场费用、二次搬运费、冬雨季施工增加费、行车、行人干扰增加费、保险费、管理费、利润、税费、水费、电费、安全文明施工费、采购代理服务费、政策性文件规定及合同包含的所有风险责任等一切费用等完成合同所需的一切本身和不可或缺的所有工作开支、政策性文件规定及合同包含的所有风险、责任等各项全部费用并承担一切风险责任。</w:t>
      </w:r>
    </w:p>
    <w:p>
      <w:pPr>
        <w:autoSpaceDE w:val="0"/>
        <w:autoSpaceDN w:val="0"/>
        <w:adjustRightInd w:val="0"/>
        <w:snapToGrid w:val="0"/>
        <w:spacing w:line="360" w:lineRule="auto"/>
        <w:ind w:firstLine="416" w:firstLineChars="198"/>
        <w:rPr>
          <w:rFonts w:ascii="宋体" w:hAnsi="宋体"/>
          <w:b/>
          <w:color w:val="auto"/>
          <w:sz w:val="21"/>
        </w:rPr>
      </w:pPr>
      <w:r>
        <w:rPr>
          <w:rFonts w:hint="eastAsia" w:ascii="宋体" w:hAnsi="宋体"/>
          <w:b/>
          <w:color w:val="auto"/>
          <w:sz w:val="21"/>
        </w:rPr>
        <w:t xml:space="preserve">（2）报价分二次进行，首次报价在响应文件中体现；最终报价在本顶目磋商结束后由所有有效的磋商供应商在规定的时间30分钟内在平台上进行最终报价（同时将最终报价一览表填好加盖公章扫描成电子扫描件作为附件上传至政采云。附件未在规定时间内上传则投标无效），最终报价不得高于初次报价，否则将导致无效标（磋商文件的采购需求发生实质性变动的情况除外）。 </w:t>
      </w:r>
    </w:p>
    <w:p>
      <w:pPr>
        <w:snapToGrid w:val="0"/>
        <w:spacing w:line="360" w:lineRule="exact"/>
        <w:ind w:firstLine="416" w:firstLineChars="198"/>
        <w:rPr>
          <w:color w:val="auto"/>
        </w:rPr>
      </w:pPr>
      <w:r>
        <w:rPr>
          <w:rFonts w:hint="eastAsia" w:ascii="宋体" w:hAnsi="宋体"/>
          <w:b/>
          <w:color w:val="auto"/>
          <w:sz w:val="21"/>
        </w:rPr>
        <w:t>各供应商针对本项目最终报价工作应当事先作好充分准备，以避免在规定时间内未能完成最终报价，在规定时间内未能提完成最终报价</w:t>
      </w:r>
      <w:r>
        <w:rPr>
          <w:color w:val="auto"/>
        </w:rPr>
        <w:fldChar w:fldCharType="begin"/>
      </w:r>
      <w:r>
        <w:rPr>
          <w:color w:val="auto"/>
        </w:rPr>
        <w:instrText xml:space="preserve"> HYPERLINK "mailto:109678775@qq.com）的，按供应商自动放弃处理，责任由供应商自负。" </w:instrText>
      </w:r>
      <w:r>
        <w:rPr>
          <w:color w:val="auto"/>
        </w:rPr>
        <w:fldChar w:fldCharType="separate"/>
      </w:r>
      <w:r>
        <w:rPr>
          <w:rFonts w:hint="eastAsia" w:ascii="宋体" w:hAnsi="宋体"/>
          <w:b/>
          <w:color w:val="auto"/>
          <w:sz w:val="21"/>
        </w:rPr>
        <w:t>的，按供应商自动放弃处理，责任由供应商自负。</w:t>
      </w:r>
      <w:r>
        <w:rPr>
          <w:rFonts w:hint="eastAsia" w:ascii="宋体" w:hAnsi="宋体"/>
          <w:b/>
          <w:color w:val="auto"/>
          <w:sz w:val="21"/>
        </w:rPr>
        <w:fldChar w:fldCharType="end"/>
      </w:r>
      <w:r>
        <w:rPr>
          <w:rFonts w:hint="eastAsia" w:ascii="宋体" w:hAnsi="宋体"/>
          <w:b/>
          <w:color w:val="auto"/>
          <w:sz w:val="21"/>
        </w:rPr>
        <w:t>二次报价明细按二次报价与一次报价的下浮比例来执行。</w:t>
      </w:r>
    </w:p>
    <w:p>
      <w:pPr>
        <w:snapToGrid w:val="0"/>
        <w:spacing w:line="360"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lang w:bidi="ar"/>
        </w:rPr>
        <w:t>（3）磋商响应文件中的所有报价均以人民币（元）为单位；</w:t>
      </w:r>
    </w:p>
    <w:p>
      <w:pPr>
        <w:snapToGrid w:val="0"/>
        <w:spacing w:line="360" w:lineRule="auto"/>
        <w:ind w:firstLine="420" w:firstLineChars="200"/>
        <w:rPr>
          <w:rFonts w:ascii="宋体" w:hAnsi="宋体" w:eastAsia="宋体" w:cs="宋体"/>
          <w:bCs/>
          <w:color w:val="auto"/>
          <w:sz w:val="21"/>
          <w:szCs w:val="21"/>
          <w:lang w:bidi="ar"/>
        </w:rPr>
      </w:pPr>
      <w:r>
        <w:rPr>
          <w:rFonts w:hint="eastAsia" w:ascii="宋体" w:hAnsi="宋体" w:eastAsia="宋体" w:cs="宋体"/>
          <w:bCs/>
          <w:color w:val="auto"/>
          <w:sz w:val="21"/>
          <w:szCs w:val="21"/>
          <w:lang w:bidi="ar"/>
        </w:rPr>
        <w:t>（4）采购单位不接受备选方案；</w:t>
      </w:r>
    </w:p>
    <w:p>
      <w:pPr>
        <w:snapToGrid w:val="0"/>
        <w:spacing w:line="360" w:lineRule="auto"/>
        <w:ind w:firstLine="420" w:firstLineChars="200"/>
        <w:rPr>
          <w:color w:val="auto"/>
          <w:highlight w:val="yellow"/>
        </w:rPr>
      </w:pPr>
      <w:r>
        <w:rPr>
          <w:rFonts w:hint="eastAsia" w:ascii="宋体" w:hAnsi="宋体" w:eastAsia="宋体" w:cs="宋体"/>
          <w:color w:val="auto"/>
          <w:sz w:val="21"/>
          <w:szCs w:val="21"/>
          <w:lang w:bidi="ar"/>
        </w:rPr>
        <w:t>（5）本项目设有最高限价，最高限价见前附表。若磋商报价超过最高限价的，其磋商响应文件作无效标处理。</w:t>
      </w:r>
    </w:p>
    <w:p>
      <w:pPr>
        <w:tabs>
          <w:tab w:val="left" w:pos="1418"/>
        </w:tabs>
        <w:autoSpaceDE w:val="0"/>
        <w:autoSpaceDN w:val="0"/>
        <w:adjustRightInd w:val="0"/>
        <w:snapToGrid w:val="0"/>
        <w:spacing w:line="360" w:lineRule="auto"/>
        <w:ind w:left="480"/>
        <w:rPr>
          <w:rFonts w:ascii="宋体" w:hAnsi="宋体"/>
          <w:color w:val="auto"/>
          <w:kern w:val="0"/>
          <w:sz w:val="21"/>
        </w:rPr>
      </w:pPr>
      <w:r>
        <w:rPr>
          <w:rFonts w:hint="eastAsia" w:ascii="宋体" w:hAnsi="宋体"/>
          <w:b/>
          <w:color w:val="auto"/>
          <w:kern w:val="0"/>
          <w:sz w:val="21"/>
        </w:rPr>
        <w:t>（三）磋商响应文件的有效期</w:t>
      </w:r>
    </w:p>
    <w:p>
      <w:pPr>
        <w:snapToGrid w:val="0"/>
        <w:spacing w:line="360" w:lineRule="auto"/>
        <w:ind w:firstLine="422" w:firstLineChars="200"/>
        <w:rPr>
          <w:rFonts w:ascii="宋体" w:hAnsi="宋体"/>
          <w:color w:val="auto"/>
          <w:sz w:val="21"/>
          <w:szCs w:val="21"/>
          <w:lang w:val="en-GB"/>
        </w:rPr>
      </w:pPr>
      <w:r>
        <w:rPr>
          <w:rFonts w:hint="eastAsia" w:ascii="宋体" w:hAnsi="宋体" w:eastAsia="宋体" w:cs="宋体"/>
          <w:b/>
          <w:color w:val="auto"/>
          <w:sz w:val="21"/>
          <w:szCs w:val="21"/>
          <w:lang w:bidi="ar"/>
        </w:rPr>
        <w:t>▲</w:t>
      </w:r>
      <w:r>
        <w:rPr>
          <w:rFonts w:hint="eastAsia" w:ascii="宋体" w:hAnsi="宋体"/>
          <w:color w:val="auto"/>
          <w:sz w:val="21"/>
        </w:rPr>
        <w:t>1、</w:t>
      </w:r>
      <w:r>
        <w:rPr>
          <w:rFonts w:hint="eastAsia" w:ascii="宋体"/>
          <w:color w:val="auto"/>
          <w:sz w:val="21"/>
          <w:szCs w:val="21"/>
          <w:lang w:val="zh-CN"/>
        </w:rPr>
        <w:t>自磋商响应</w:t>
      </w:r>
      <w:r>
        <w:rPr>
          <w:rFonts w:hint="eastAsia" w:ascii="宋体"/>
          <w:color w:val="auto"/>
          <w:sz w:val="21"/>
          <w:szCs w:val="21"/>
        </w:rPr>
        <w:t>文件</w:t>
      </w:r>
      <w:r>
        <w:rPr>
          <w:rFonts w:hint="eastAsia" w:ascii="宋体"/>
          <w:color w:val="auto"/>
          <w:sz w:val="21"/>
          <w:szCs w:val="21"/>
          <w:lang w:val="zh-CN"/>
        </w:rPr>
        <w:t>提交截止之日起</w:t>
      </w:r>
      <w:r>
        <w:rPr>
          <w:rFonts w:ascii="宋体"/>
          <w:color w:val="auto"/>
          <w:sz w:val="21"/>
          <w:szCs w:val="21"/>
          <w:lang w:val="zh-CN"/>
        </w:rPr>
        <w:t>90</w:t>
      </w:r>
      <w:r>
        <w:rPr>
          <w:rFonts w:hint="eastAsia" w:ascii="宋体"/>
          <w:color w:val="auto"/>
          <w:sz w:val="21"/>
          <w:szCs w:val="21"/>
          <w:lang w:val="zh-CN"/>
        </w:rPr>
        <w:t>天磋商响应文件应保持有效。有效期短于这个规定期限的磋商响应文件将被拒绝。</w:t>
      </w:r>
      <w:r>
        <w:rPr>
          <w:rFonts w:hint="eastAsia" w:ascii="宋体" w:eastAsia="宋体"/>
          <w:color w:val="auto"/>
          <w:sz w:val="21"/>
          <w:szCs w:val="21"/>
        </w:rPr>
        <w:t>成交</w:t>
      </w:r>
      <w:r>
        <w:rPr>
          <w:rFonts w:hint="eastAsia" w:ascii="宋体"/>
          <w:color w:val="auto"/>
          <w:sz w:val="21"/>
          <w:szCs w:val="21"/>
          <w:lang w:val="zh-CN"/>
        </w:rPr>
        <w:t>磋商响应文件有</w:t>
      </w:r>
      <w:r>
        <w:rPr>
          <w:rFonts w:hint="eastAsia" w:ascii="宋体" w:hAnsi="宋体"/>
          <w:color w:val="auto"/>
          <w:sz w:val="21"/>
          <w:szCs w:val="21"/>
          <w:lang w:val="en-GB"/>
        </w:rPr>
        <w:t>效期顺延至合同履行完毕，在此有效期内未经同意，</w:t>
      </w:r>
      <w:r>
        <w:rPr>
          <w:rFonts w:hint="eastAsia" w:ascii="宋体"/>
          <w:color w:val="auto"/>
          <w:sz w:val="21"/>
          <w:szCs w:val="21"/>
          <w:lang w:val="zh-CN"/>
        </w:rPr>
        <w:t>磋商响应</w:t>
      </w:r>
      <w:r>
        <w:rPr>
          <w:rFonts w:hint="eastAsia" w:ascii="宋体" w:hAnsi="宋体"/>
          <w:color w:val="auto"/>
          <w:sz w:val="21"/>
          <w:szCs w:val="21"/>
          <w:lang w:val="en-GB"/>
        </w:rPr>
        <w:t>文件的一切内容和补充承诺均为持续有效且不予改变。</w:t>
      </w:r>
    </w:p>
    <w:p>
      <w:pPr>
        <w:snapToGrid w:val="0"/>
        <w:spacing w:line="360" w:lineRule="auto"/>
        <w:ind w:firstLine="420" w:firstLineChars="200"/>
        <w:rPr>
          <w:rFonts w:ascii="宋体" w:hAnsi="宋体"/>
          <w:color w:val="auto"/>
          <w:sz w:val="21"/>
        </w:rPr>
      </w:pPr>
      <w:r>
        <w:rPr>
          <w:rFonts w:hint="eastAsia" w:ascii="宋体" w:hAnsi="宋体"/>
          <w:color w:val="auto"/>
          <w:sz w:val="21"/>
        </w:rPr>
        <w:t>2、在特殊情况下，采购人可与磋商供应商协商延长磋商响应文件的有效期，这种要求和答复均以书面形式进行。</w:t>
      </w:r>
    </w:p>
    <w:p>
      <w:pPr>
        <w:tabs>
          <w:tab w:val="left" w:pos="1418"/>
        </w:tabs>
        <w:autoSpaceDE w:val="0"/>
        <w:autoSpaceDN w:val="0"/>
        <w:adjustRightInd w:val="0"/>
        <w:snapToGrid w:val="0"/>
        <w:spacing w:line="360" w:lineRule="auto"/>
        <w:ind w:left="60"/>
        <w:jc w:val="left"/>
        <w:rPr>
          <w:rFonts w:ascii="宋体" w:hAnsi="宋体"/>
          <w:b/>
          <w:color w:val="auto"/>
          <w:kern w:val="0"/>
          <w:sz w:val="21"/>
        </w:rPr>
      </w:pPr>
      <w:r>
        <w:rPr>
          <w:rFonts w:hint="eastAsia" w:ascii="宋体" w:hAnsi="宋体" w:eastAsia="宋体"/>
          <w:b/>
          <w:color w:val="auto"/>
          <w:kern w:val="0"/>
          <w:sz w:val="21"/>
        </w:rPr>
        <w:t>四、</w:t>
      </w:r>
      <w:r>
        <w:rPr>
          <w:rFonts w:hint="eastAsia" w:ascii="宋体" w:hAnsi="宋体"/>
          <w:b/>
          <w:color w:val="auto"/>
          <w:kern w:val="0"/>
          <w:sz w:val="21"/>
        </w:rPr>
        <w:t>磋商</w:t>
      </w:r>
    </w:p>
    <w:p>
      <w:pPr>
        <w:pStyle w:val="2"/>
        <w:spacing w:line="360" w:lineRule="auto"/>
        <w:ind w:left="60" w:firstLine="420" w:firstLineChars="200"/>
        <w:rPr>
          <w:color w:val="auto"/>
        </w:rPr>
      </w:pPr>
      <w:r>
        <w:rPr>
          <w:rFonts w:hint="eastAsia"/>
          <w:color w:val="auto"/>
        </w:rPr>
        <w:t>本项目通过政府采购云平台进行开标、资格审查、评审、询标，供应商均应当准时在线参加，否则产生的风险由供应商自行承担（供应商务必不要离开电脑太久，并留意手机短信，建议供应商提前做好检查“政府采购云平台”内，关于“项目采购”的岗位权限是否勾选。如有问题，请致电400-881-7190）。</w:t>
      </w:r>
    </w:p>
    <w:p>
      <w:pPr>
        <w:pStyle w:val="2"/>
        <w:spacing w:line="360" w:lineRule="auto"/>
        <w:ind w:left="60" w:firstLine="420" w:firstLineChars="200"/>
        <w:rPr>
          <w:b/>
          <w:bCs/>
          <w:color w:val="auto"/>
        </w:rPr>
      </w:pPr>
      <w:r>
        <w:rPr>
          <w:rFonts w:hint="eastAsia"/>
          <w:b/>
          <w:bCs/>
          <w:color w:val="auto"/>
        </w:rPr>
        <w:t>本项目开标实行全流程电子化，采取不见面钉钉</w:t>
      </w:r>
      <w:r>
        <w:rPr>
          <w:rFonts w:hint="eastAsia" w:eastAsia="宋体"/>
          <w:b/>
          <w:bCs/>
          <w:color w:val="auto"/>
        </w:rPr>
        <w:t>群</w:t>
      </w:r>
      <w:r>
        <w:rPr>
          <w:rFonts w:hint="eastAsia"/>
          <w:b/>
          <w:bCs/>
          <w:color w:val="auto"/>
        </w:rPr>
        <w:t>开标，各供应商代表可自行下载“钉钉”软件观看。（钉钉群号为：</w:t>
      </w:r>
      <w:r>
        <w:rPr>
          <w:rFonts w:hint="eastAsia" w:eastAsia="宋体"/>
          <w:b/>
          <w:bCs/>
          <w:color w:val="auto"/>
        </w:rPr>
        <w:t>33997156</w:t>
      </w:r>
      <w:r>
        <w:rPr>
          <w:rFonts w:hint="eastAsia"/>
          <w:b/>
          <w:bCs/>
          <w:color w:val="auto"/>
        </w:rPr>
        <w:t>，供应商于开标当天</w:t>
      </w:r>
      <w:r>
        <w:rPr>
          <w:rFonts w:hint="eastAsia" w:ascii="宋体" w:hAnsi="宋体" w:eastAsia="宋体" w:cs="宋体"/>
          <w:b/>
          <w:bCs/>
          <w:color w:val="auto"/>
        </w:rPr>
        <w:t>08:00</w:t>
      </w:r>
      <w:r>
        <w:rPr>
          <w:rFonts w:hint="eastAsia"/>
          <w:b/>
          <w:bCs/>
          <w:color w:val="auto"/>
        </w:rPr>
        <w:t>以后搜索群号，并申请进群。）</w:t>
      </w:r>
    </w:p>
    <w:p>
      <w:pPr>
        <w:autoSpaceDE w:val="0"/>
        <w:autoSpaceDN w:val="0"/>
        <w:adjustRightInd w:val="0"/>
        <w:snapToGrid w:val="0"/>
        <w:spacing w:line="360" w:lineRule="auto"/>
        <w:rPr>
          <w:rFonts w:ascii="宋体" w:hAnsi="宋体" w:eastAsia="宋体"/>
          <w:b/>
          <w:color w:val="auto"/>
          <w:sz w:val="21"/>
        </w:rPr>
      </w:pPr>
      <w:r>
        <w:rPr>
          <w:rFonts w:hint="eastAsia" w:ascii="宋体" w:hAnsi="宋体"/>
          <w:color w:val="auto"/>
          <w:kern w:val="0"/>
          <w:sz w:val="21"/>
        </w:rPr>
        <w:t xml:space="preserve">   </w:t>
      </w:r>
      <w:r>
        <w:rPr>
          <w:rFonts w:hint="eastAsia" w:ascii="宋体" w:hAnsi="宋体"/>
          <w:b/>
          <w:color w:val="auto"/>
          <w:sz w:val="21"/>
        </w:rPr>
        <w:t>（一）磋商事项</w:t>
      </w:r>
    </w:p>
    <w:p>
      <w:pPr>
        <w:autoSpaceDE w:val="0"/>
        <w:autoSpaceDN w:val="0"/>
        <w:adjustRightInd w:val="0"/>
        <w:spacing w:line="360" w:lineRule="auto"/>
        <w:ind w:firstLine="420" w:firstLineChars="200"/>
        <w:jc w:val="left"/>
        <w:rPr>
          <w:rFonts w:ascii="宋体" w:hAnsi="宋体" w:eastAsia="宋体" w:cs="宋体"/>
          <w:color w:val="auto"/>
          <w:sz w:val="21"/>
          <w:szCs w:val="21"/>
        </w:rPr>
      </w:pPr>
      <w:r>
        <w:rPr>
          <w:rFonts w:hint="eastAsia" w:ascii="宋体" w:hAnsi="宋体" w:eastAsia="宋体" w:cs="宋体"/>
          <w:color w:val="auto"/>
          <w:sz w:val="21"/>
          <w:szCs w:val="21"/>
          <w:lang w:val="zh-CN"/>
        </w:rPr>
        <w:t>1、采购代理机构在“磋商公告”规定的时间和地点进行开标。供应商的供应商代表应当在线参加，否则视同认可开标结果，事后不得对采购相关人员、开标过程和开标结果提出质疑。</w:t>
      </w:r>
      <w:r>
        <w:rPr>
          <w:rFonts w:hint="eastAsia" w:ascii="宋体" w:hAnsi="宋体" w:eastAsia="宋体" w:cs="宋体"/>
          <w:color w:val="auto"/>
          <w:sz w:val="21"/>
          <w:szCs w:val="21"/>
        </w:rPr>
        <w:t xml:space="preserve">   </w:t>
      </w:r>
    </w:p>
    <w:p>
      <w:pPr>
        <w:autoSpaceDE w:val="0"/>
        <w:autoSpaceDN w:val="0"/>
        <w:adjustRightInd w:val="0"/>
        <w:spacing w:line="360" w:lineRule="auto"/>
        <w:ind w:firstLine="420" w:firstLineChars="200"/>
        <w:jc w:val="left"/>
        <w:rPr>
          <w:rFonts w:ascii="宋体" w:hAnsi="宋体" w:eastAsia="宋体" w:cs="宋体"/>
          <w:color w:val="auto"/>
          <w:sz w:val="21"/>
          <w:szCs w:val="21"/>
          <w:lang w:val="zh-CN"/>
        </w:rPr>
      </w:pPr>
      <w:r>
        <w:rPr>
          <w:rFonts w:hint="eastAsia" w:ascii="宋体" w:hAnsi="宋体" w:eastAsia="宋体" w:cs="宋体"/>
          <w:color w:val="auto"/>
          <w:sz w:val="21"/>
          <w:szCs w:val="21"/>
          <w:lang w:val="zh-CN"/>
        </w:rPr>
        <w:t>2、评标委员会成员不得参加开标活动。</w:t>
      </w:r>
    </w:p>
    <w:p>
      <w:pPr>
        <w:autoSpaceDE w:val="0"/>
        <w:autoSpaceDN w:val="0"/>
        <w:adjustRightInd w:val="0"/>
        <w:spacing w:line="360" w:lineRule="auto"/>
        <w:ind w:firstLine="420" w:firstLineChars="200"/>
        <w:jc w:val="left"/>
        <w:rPr>
          <w:color w:val="auto"/>
          <w:sz w:val="21"/>
          <w:szCs w:val="21"/>
        </w:rPr>
      </w:pPr>
      <w:r>
        <w:rPr>
          <w:rFonts w:hint="eastAsia" w:ascii="宋体" w:hAnsi="宋体" w:eastAsia="宋体" w:cs="宋体"/>
          <w:color w:val="auto"/>
          <w:sz w:val="21"/>
          <w:szCs w:val="21"/>
          <w:lang w:val="zh-CN"/>
        </w:rPr>
        <w:t>3、本次开标采用先评审资格证明文件和商务与技术文件，后评审报价文件的方式进行。</w:t>
      </w:r>
    </w:p>
    <w:p>
      <w:pPr>
        <w:autoSpaceDE w:val="0"/>
        <w:autoSpaceDN w:val="0"/>
        <w:adjustRightInd w:val="0"/>
        <w:snapToGrid w:val="0"/>
        <w:spacing w:line="360" w:lineRule="auto"/>
        <w:ind w:firstLine="210" w:firstLineChars="100"/>
        <w:rPr>
          <w:rFonts w:ascii="宋体" w:hAnsi="宋体"/>
          <w:color w:val="auto"/>
          <w:kern w:val="0"/>
          <w:sz w:val="21"/>
        </w:rPr>
      </w:pPr>
      <w:r>
        <w:rPr>
          <w:rFonts w:hint="eastAsia" w:ascii="宋体" w:hAnsi="宋体"/>
          <w:b/>
          <w:color w:val="auto"/>
          <w:sz w:val="21"/>
        </w:rPr>
        <w:t>（二）磋商程序</w:t>
      </w:r>
    </w:p>
    <w:p>
      <w:pPr>
        <w:snapToGrid w:val="0"/>
        <w:spacing w:line="360" w:lineRule="auto"/>
        <w:ind w:firstLine="420" w:firstLineChars="200"/>
        <w:rPr>
          <w:rFonts w:ascii="宋体" w:hAnsi="宋体"/>
          <w:color w:val="auto"/>
          <w:sz w:val="21"/>
        </w:rPr>
      </w:pPr>
      <w:r>
        <w:rPr>
          <w:rFonts w:hint="eastAsia" w:ascii="宋体" w:hAnsi="宋体"/>
          <w:color w:val="auto"/>
          <w:sz w:val="21"/>
        </w:rPr>
        <w:t>1、开启开标场地的录音录像采集设备，并确保其正常运行。</w:t>
      </w:r>
    </w:p>
    <w:p>
      <w:pPr>
        <w:snapToGrid w:val="0"/>
        <w:spacing w:line="360" w:lineRule="auto"/>
        <w:ind w:firstLine="420" w:firstLineChars="200"/>
        <w:rPr>
          <w:rFonts w:ascii="宋体" w:hAnsi="宋体"/>
          <w:color w:val="auto"/>
          <w:sz w:val="21"/>
        </w:rPr>
      </w:pPr>
      <w:r>
        <w:rPr>
          <w:rFonts w:hint="eastAsia" w:ascii="宋体" w:hAnsi="宋体"/>
          <w:color w:val="auto"/>
          <w:sz w:val="21"/>
        </w:rPr>
        <w:t>2、对提交了电子备份磋商文件的磋商供应商，代理机构工作人员应做好磋商响应文件签收记录并通过发送网络形式及时告知供应商。</w:t>
      </w:r>
    </w:p>
    <w:p>
      <w:pPr>
        <w:snapToGrid w:val="0"/>
        <w:spacing w:line="360" w:lineRule="auto"/>
        <w:ind w:firstLine="420" w:firstLineChars="200"/>
        <w:rPr>
          <w:rFonts w:ascii="宋体" w:hAnsi="宋体"/>
          <w:color w:val="auto"/>
          <w:sz w:val="21"/>
        </w:rPr>
      </w:pPr>
      <w:r>
        <w:rPr>
          <w:rFonts w:hint="eastAsia" w:ascii="宋体" w:hAnsi="宋体"/>
          <w:color w:val="auto"/>
          <w:sz w:val="21"/>
        </w:rPr>
        <w:t xml:space="preserve">3、主持人宣布开标，介绍开标现场的人员情况，宣读递交磋商响应文件的供应商名单、开标纪律、应当回避的情形等注意事项。 </w:t>
      </w:r>
    </w:p>
    <w:p>
      <w:pPr>
        <w:snapToGrid w:val="0"/>
        <w:spacing w:line="360" w:lineRule="auto"/>
        <w:ind w:firstLine="420" w:firstLineChars="200"/>
        <w:rPr>
          <w:rFonts w:ascii="宋体" w:hAnsi="宋体"/>
          <w:color w:val="auto"/>
          <w:sz w:val="21"/>
        </w:rPr>
      </w:pPr>
      <w:r>
        <w:rPr>
          <w:rFonts w:hint="eastAsia" w:ascii="宋体" w:hAnsi="宋体"/>
          <w:color w:val="auto"/>
          <w:sz w:val="21"/>
        </w:rPr>
        <w:t>4、向各供应商发出电子加密响应文件【开始解密】通知，由供应商按采购文件中前附表规定的时间内自行进行响应文件解密。供应商在规定的时间内无法完成已递交的“电子加密响应文件”解密的，如已按规定递交了备份响应文件的，将由采购组织机构按“政府采购云平台”操作规范将备份响应文件上传至“政府采购云平台”，上传成功后，“电子加密响应文件”自动失效。</w:t>
      </w:r>
    </w:p>
    <w:p>
      <w:pPr>
        <w:snapToGrid w:val="0"/>
        <w:spacing w:line="360" w:lineRule="auto"/>
        <w:ind w:firstLine="420" w:firstLineChars="200"/>
        <w:rPr>
          <w:rFonts w:ascii="宋体" w:hAnsi="宋体"/>
          <w:b/>
          <w:bCs/>
          <w:color w:val="auto"/>
          <w:sz w:val="21"/>
        </w:rPr>
      </w:pPr>
      <w:r>
        <w:rPr>
          <w:rFonts w:hint="eastAsia" w:ascii="宋体" w:hAnsi="宋体"/>
          <w:b/>
          <w:bCs/>
          <w:color w:val="auto"/>
          <w:sz w:val="21"/>
        </w:rPr>
        <w:t>5、</w:t>
      </w:r>
      <w:r>
        <w:rPr>
          <w:rFonts w:hint="eastAsia" w:ascii="宋体" w:hAnsi="宋体" w:eastAsia="宋体" w:cs="宋体"/>
          <w:b/>
          <w:bCs/>
          <w:color w:val="auto"/>
          <w:sz w:val="21"/>
          <w:szCs w:val="21"/>
          <w:lang w:val="zh-CN"/>
        </w:rPr>
        <w:t>解密结束后，供应商签署不存在影响公平竞争的《政府采购活动现场确认声明书》。各供应商代表应提前打印《政府采购活动现场确认声明书》（见附件），签署完毕后上传至钉钉直播群或邮箱3050868501@qq.com。</w:t>
      </w:r>
    </w:p>
    <w:p>
      <w:pPr>
        <w:snapToGrid w:val="0"/>
        <w:spacing w:line="360" w:lineRule="auto"/>
        <w:ind w:firstLine="420" w:firstLineChars="200"/>
        <w:rPr>
          <w:rFonts w:ascii="宋体" w:hAnsi="宋体"/>
          <w:color w:val="auto"/>
          <w:sz w:val="21"/>
        </w:rPr>
      </w:pPr>
      <w:r>
        <w:rPr>
          <w:rFonts w:hint="eastAsia" w:ascii="宋体" w:hAnsi="宋体"/>
          <w:color w:val="auto"/>
          <w:sz w:val="21"/>
        </w:rPr>
        <w:t>6、磋商小组必须按照客观、公正、审慎的原则，根据磋商文件规定的评审程序、评审方法和评审标准进行独立评审。未实质性响应磋商文件的响应文件按无效响应处理，磋商小组应当告知提交响应文件的供应商。</w:t>
      </w:r>
    </w:p>
    <w:p>
      <w:pPr>
        <w:snapToGrid w:val="0"/>
        <w:spacing w:line="360" w:lineRule="auto"/>
        <w:ind w:firstLine="420" w:firstLineChars="200"/>
        <w:rPr>
          <w:rFonts w:ascii="宋体" w:hAnsi="宋体"/>
          <w:color w:val="auto"/>
          <w:sz w:val="21"/>
        </w:rPr>
      </w:pPr>
      <w:r>
        <w:rPr>
          <w:rFonts w:hint="eastAsia" w:ascii="宋体" w:hAnsi="宋体"/>
          <w:color w:val="auto"/>
          <w:sz w:val="21"/>
        </w:rPr>
        <w:t>7、磋商小组所有成员集中与单一供应商分别进行磋商，并给予所有参加磋商的供应商平等的磋商机会。</w:t>
      </w:r>
    </w:p>
    <w:p>
      <w:pPr>
        <w:snapToGrid w:val="0"/>
        <w:spacing w:line="360" w:lineRule="auto"/>
        <w:ind w:firstLine="420" w:firstLineChars="200"/>
        <w:rPr>
          <w:rFonts w:ascii="宋体" w:hAnsi="宋体"/>
          <w:color w:val="auto"/>
          <w:sz w:val="21"/>
        </w:rPr>
      </w:pPr>
      <w:r>
        <w:rPr>
          <w:rFonts w:hint="eastAsia" w:ascii="宋体" w:hAnsi="宋体"/>
          <w:color w:val="auto"/>
          <w:sz w:val="21"/>
        </w:rPr>
        <w:t>8、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当及时以书面形式</w:t>
      </w:r>
      <w:r>
        <w:rPr>
          <w:rFonts w:hint="eastAsia" w:ascii="宋体" w:hAnsi="宋体"/>
          <w:b/>
          <w:bCs/>
          <w:color w:val="auto"/>
          <w:sz w:val="21"/>
        </w:rPr>
        <w:t>通过政府采购云平台通知所有参加磋商的供应商</w:t>
      </w:r>
      <w:r>
        <w:rPr>
          <w:rFonts w:hint="eastAsia" w:ascii="宋体" w:hAnsi="宋体"/>
          <w:color w:val="auto"/>
          <w:sz w:val="21"/>
        </w:rPr>
        <w:t>。供应商应当按照磋商文件的变动情况和磋商小组的要求重新提交响应文件，并加盖单位CA签章，上传政府采购云平台。</w:t>
      </w:r>
    </w:p>
    <w:p>
      <w:pPr>
        <w:snapToGrid w:val="0"/>
        <w:spacing w:line="360" w:lineRule="auto"/>
        <w:ind w:firstLine="420" w:firstLineChars="200"/>
        <w:rPr>
          <w:rFonts w:ascii="宋体" w:hAnsi="宋体"/>
          <w:color w:val="auto"/>
          <w:sz w:val="21"/>
        </w:rPr>
      </w:pPr>
      <w:r>
        <w:rPr>
          <w:rFonts w:hint="eastAsia" w:ascii="宋体" w:hAnsi="宋体"/>
          <w:color w:val="auto"/>
          <w:sz w:val="21"/>
        </w:rPr>
        <w:t>9、磋商文件能够详细列明采购标的的技术、服务要求的，磋商结束后，磋商小组将要求所有实质性响应的供应商在规定时间内提交最</w:t>
      </w:r>
      <w:r>
        <w:rPr>
          <w:rFonts w:hint="eastAsia" w:ascii="宋体" w:hAnsi="宋体" w:eastAsia="宋体"/>
          <w:color w:val="auto"/>
          <w:sz w:val="21"/>
        </w:rPr>
        <w:t>终</w:t>
      </w:r>
      <w:r>
        <w:rPr>
          <w:rFonts w:hint="eastAsia" w:ascii="宋体" w:hAnsi="宋体"/>
          <w:color w:val="auto"/>
          <w:sz w:val="21"/>
        </w:rPr>
        <w:t>报价，最</w:t>
      </w:r>
      <w:r>
        <w:rPr>
          <w:rFonts w:hint="eastAsia" w:ascii="宋体" w:hAnsi="宋体" w:eastAsia="宋体"/>
          <w:color w:val="auto"/>
          <w:sz w:val="21"/>
        </w:rPr>
        <w:t>终</w:t>
      </w:r>
      <w:r>
        <w:rPr>
          <w:rFonts w:hint="eastAsia" w:ascii="宋体" w:hAnsi="宋体"/>
          <w:color w:val="auto"/>
          <w:sz w:val="21"/>
        </w:rPr>
        <w:t xml:space="preserve">报价是供应商响应文件的有效组成部分。 </w:t>
      </w:r>
    </w:p>
    <w:p>
      <w:pPr>
        <w:snapToGrid w:val="0"/>
        <w:spacing w:line="360" w:lineRule="auto"/>
        <w:ind w:firstLine="420" w:firstLineChars="200"/>
        <w:rPr>
          <w:rFonts w:ascii="宋体" w:hAnsi="宋体"/>
          <w:color w:val="auto"/>
          <w:sz w:val="21"/>
        </w:rPr>
      </w:pPr>
      <w:r>
        <w:rPr>
          <w:rFonts w:hint="eastAsia" w:hAnsi="宋体"/>
          <w:color w:val="auto"/>
          <w:sz w:val="21"/>
        </w:rPr>
        <w:t>10、</w:t>
      </w:r>
      <w:r>
        <w:rPr>
          <w:rFonts w:hint="eastAsia" w:ascii="宋体" w:hAnsi="宋体"/>
          <w:color w:val="auto"/>
          <w:sz w:val="21"/>
        </w:rPr>
        <w:t>经磋商确定最终采购需求和提交最</w:t>
      </w:r>
      <w:r>
        <w:rPr>
          <w:rFonts w:hint="eastAsia" w:ascii="宋体" w:hAnsi="宋体" w:eastAsia="宋体"/>
          <w:color w:val="auto"/>
          <w:sz w:val="21"/>
        </w:rPr>
        <w:t>终</w:t>
      </w:r>
      <w:r>
        <w:rPr>
          <w:rFonts w:hint="eastAsia" w:ascii="宋体" w:hAnsi="宋体"/>
          <w:color w:val="auto"/>
          <w:sz w:val="21"/>
        </w:rPr>
        <w:t>报价的供应商后，由磋商小组采用综合评分法对提交最</w:t>
      </w:r>
      <w:r>
        <w:rPr>
          <w:rFonts w:hint="eastAsia" w:ascii="宋体" w:hAnsi="宋体" w:eastAsia="宋体"/>
          <w:color w:val="auto"/>
          <w:sz w:val="21"/>
        </w:rPr>
        <w:t>终</w:t>
      </w:r>
      <w:r>
        <w:rPr>
          <w:rFonts w:hint="eastAsia" w:ascii="宋体" w:hAnsi="宋体"/>
          <w:color w:val="auto"/>
          <w:sz w:val="21"/>
        </w:rPr>
        <w:t>报价的供应商的响应文件和最</w:t>
      </w:r>
      <w:r>
        <w:rPr>
          <w:rFonts w:hint="eastAsia" w:ascii="宋体" w:hAnsi="宋体" w:eastAsia="宋体"/>
          <w:color w:val="auto"/>
          <w:sz w:val="21"/>
        </w:rPr>
        <w:t>终</w:t>
      </w:r>
      <w:r>
        <w:rPr>
          <w:rFonts w:hint="eastAsia" w:ascii="宋体" w:hAnsi="宋体"/>
          <w:color w:val="auto"/>
          <w:sz w:val="21"/>
        </w:rPr>
        <w:t>报价进行综合评分。</w:t>
      </w:r>
    </w:p>
    <w:p>
      <w:pPr>
        <w:pStyle w:val="12"/>
        <w:snapToGrid w:val="0"/>
        <w:spacing w:line="360" w:lineRule="auto"/>
        <w:ind w:firstLine="420" w:firstLineChars="200"/>
        <w:rPr>
          <w:rFonts w:hAnsi="宋体"/>
          <w:color w:val="auto"/>
        </w:rPr>
      </w:pPr>
      <w:r>
        <w:rPr>
          <w:rFonts w:hint="eastAsia" w:hAnsi="宋体"/>
          <w:color w:val="auto"/>
        </w:rPr>
        <w:t>11、磋商小组根据综合评分情况，按照评审得分由高到低顺序确定预成交供应商，编写评审报告。</w:t>
      </w:r>
    </w:p>
    <w:p>
      <w:pPr>
        <w:pStyle w:val="12"/>
        <w:snapToGrid w:val="0"/>
        <w:spacing w:line="360" w:lineRule="auto"/>
        <w:ind w:firstLine="420" w:firstLineChars="200"/>
        <w:rPr>
          <w:rFonts w:hAnsi="宋体"/>
          <w:color w:val="auto"/>
        </w:rPr>
      </w:pPr>
      <w:r>
        <w:rPr>
          <w:rFonts w:hint="eastAsia" w:hAnsi="宋体"/>
          <w:color w:val="auto"/>
        </w:rPr>
        <w:t>12、采购组织机构对磋商小组专家成员进行评价；</w:t>
      </w:r>
    </w:p>
    <w:p>
      <w:pPr>
        <w:pStyle w:val="12"/>
        <w:snapToGrid w:val="0"/>
        <w:spacing w:line="360" w:lineRule="auto"/>
        <w:ind w:firstLine="420" w:firstLineChars="200"/>
        <w:rPr>
          <w:rFonts w:hAnsi="宋体"/>
          <w:color w:val="auto"/>
        </w:rPr>
      </w:pPr>
      <w:r>
        <w:rPr>
          <w:rFonts w:hint="eastAsia" w:hAnsi="宋体"/>
          <w:color w:val="auto"/>
        </w:rPr>
        <w:t>13、主持人到磋商采购会现场宣布磋商结果（含技术得分、最</w:t>
      </w:r>
      <w:r>
        <w:rPr>
          <w:rFonts w:hint="eastAsia" w:hAnsi="宋体" w:eastAsia="宋体"/>
          <w:color w:val="auto"/>
        </w:rPr>
        <w:t>终</w:t>
      </w:r>
      <w:r>
        <w:rPr>
          <w:rFonts w:hint="eastAsia" w:hAnsi="宋体"/>
          <w:color w:val="auto"/>
        </w:rPr>
        <w:t>报价、报价得分及总得分），磋商采购会议结束。</w:t>
      </w:r>
    </w:p>
    <w:p>
      <w:pPr>
        <w:pStyle w:val="12"/>
        <w:snapToGrid w:val="0"/>
        <w:spacing w:line="360" w:lineRule="auto"/>
        <w:ind w:firstLine="420" w:firstLineChars="200"/>
        <w:rPr>
          <w:rFonts w:hAnsi="宋体"/>
          <w:color w:val="auto"/>
        </w:rPr>
      </w:pPr>
      <w:r>
        <w:rPr>
          <w:rFonts w:hint="eastAsia" w:hAnsi="宋体"/>
          <w:b/>
          <w:color w:val="auto"/>
        </w:rPr>
        <w:t>（二）澄清问题的形式</w:t>
      </w:r>
    </w:p>
    <w:p>
      <w:pPr>
        <w:snapToGrid w:val="0"/>
        <w:spacing w:line="360" w:lineRule="auto"/>
        <w:ind w:firstLine="420" w:firstLineChars="200"/>
        <w:rPr>
          <w:rFonts w:ascii="宋体" w:hAnsi="宋体"/>
          <w:color w:val="auto"/>
          <w:sz w:val="21"/>
        </w:rPr>
      </w:pPr>
      <w:r>
        <w:rPr>
          <w:rFonts w:hint="eastAsia" w:ascii="宋体" w:hAnsi="宋体"/>
          <w:color w:val="auto"/>
          <w:sz w:val="21"/>
        </w:rPr>
        <w:t>（1）评审中需要供应商对磋商响应文件作出澄清、说明或者补正的，评标委员会将以书面形式（或通过“政府采购云平台”）进行询标。给予供应商提交澄清说明或补正的时间不得少于半小时，供应商已经明确表示澄清说明或补正完毕的除外。供应商务必在线等待，留意手机短信，及时在线澄清、说明或补正。</w:t>
      </w:r>
    </w:p>
    <w:p>
      <w:pPr>
        <w:snapToGrid w:val="0"/>
        <w:spacing w:line="360" w:lineRule="auto"/>
        <w:ind w:firstLine="420" w:firstLineChars="200"/>
        <w:rPr>
          <w:rFonts w:ascii="宋体" w:hAnsi="宋体"/>
          <w:color w:val="auto"/>
          <w:sz w:val="21"/>
        </w:rPr>
      </w:pPr>
      <w:r>
        <w:rPr>
          <w:rFonts w:hint="eastAsia" w:ascii="宋体" w:hAnsi="宋体"/>
          <w:color w:val="auto"/>
          <w:sz w:val="21"/>
        </w:rPr>
        <w:t>（2）供应商的的澄清、说明或补正将作为磋商响应文件的一部分。</w:t>
      </w:r>
    </w:p>
    <w:p>
      <w:pPr>
        <w:snapToGrid w:val="0"/>
        <w:spacing w:line="360" w:lineRule="auto"/>
        <w:ind w:firstLine="420" w:firstLineChars="200"/>
        <w:rPr>
          <w:rFonts w:ascii="宋体" w:hAnsi="宋体"/>
          <w:color w:val="auto"/>
          <w:sz w:val="21"/>
        </w:rPr>
      </w:pPr>
      <w:r>
        <w:rPr>
          <w:rFonts w:hint="eastAsia" w:ascii="宋体" w:hAnsi="宋体"/>
          <w:b/>
          <w:color w:val="auto"/>
          <w:sz w:val="21"/>
        </w:rPr>
        <w:t>（三）错误修正</w:t>
      </w:r>
    </w:p>
    <w:p>
      <w:pPr>
        <w:pStyle w:val="20"/>
        <w:snapToGrid w:val="0"/>
        <w:spacing w:before="0" w:beforeAutospacing="0" w:after="0" w:afterAutospacing="0" w:line="360" w:lineRule="auto"/>
        <w:ind w:firstLine="420" w:firstLineChars="200"/>
        <w:jc w:val="both"/>
        <w:rPr>
          <w:rFonts w:hint="default"/>
          <w:color w:val="auto"/>
          <w:sz w:val="21"/>
        </w:rPr>
      </w:pPr>
      <w:r>
        <w:rPr>
          <w:color w:val="auto"/>
          <w:sz w:val="21"/>
        </w:rPr>
        <w:t>磋商响应文件报价出现前后不一致的，除磋商采购文件另有规定外，按照下列规定修正：</w:t>
      </w:r>
    </w:p>
    <w:p>
      <w:pPr>
        <w:pStyle w:val="20"/>
        <w:snapToGrid w:val="0"/>
        <w:spacing w:before="0" w:beforeAutospacing="0" w:after="0" w:afterAutospacing="0" w:line="360" w:lineRule="auto"/>
        <w:jc w:val="both"/>
        <w:rPr>
          <w:rFonts w:hint="default"/>
          <w:color w:val="auto"/>
          <w:sz w:val="21"/>
        </w:rPr>
      </w:pPr>
      <w:r>
        <w:rPr>
          <w:color w:val="auto"/>
          <w:sz w:val="21"/>
        </w:rPr>
        <w:t>　　1、磋商响应文件中首次报价一览表内容与磋商响应文件中相应内容不一致的，以首次报价一览表为准；</w:t>
      </w:r>
    </w:p>
    <w:p>
      <w:pPr>
        <w:pStyle w:val="20"/>
        <w:snapToGrid w:val="0"/>
        <w:spacing w:before="0" w:beforeAutospacing="0" w:after="0" w:afterAutospacing="0" w:line="360" w:lineRule="auto"/>
        <w:jc w:val="both"/>
        <w:rPr>
          <w:rFonts w:hint="default"/>
          <w:color w:val="auto"/>
          <w:sz w:val="21"/>
        </w:rPr>
      </w:pPr>
      <w:r>
        <w:rPr>
          <w:color w:val="auto"/>
          <w:sz w:val="21"/>
        </w:rPr>
        <w:t>　　2、大写金额和小写金额不一致的，以大写金额为准；</w:t>
      </w:r>
    </w:p>
    <w:p>
      <w:pPr>
        <w:pStyle w:val="20"/>
        <w:snapToGrid w:val="0"/>
        <w:spacing w:before="0" w:beforeAutospacing="0" w:after="0" w:afterAutospacing="0" w:line="360" w:lineRule="auto"/>
        <w:jc w:val="both"/>
        <w:rPr>
          <w:rFonts w:hint="default"/>
          <w:color w:val="auto"/>
          <w:sz w:val="21"/>
        </w:rPr>
      </w:pPr>
      <w:r>
        <w:rPr>
          <w:color w:val="auto"/>
          <w:sz w:val="21"/>
        </w:rPr>
        <w:t>　　3、单价金额小数点或者百分比有明显错位的，以首次报价一览表的总价为准，并修改单价；</w:t>
      </w:r>
    </w:p>
    <w:p>
      <w:pPr>
        <w:pStyle w:val="20"/>
        <w:snapToGrid w:val="0"/>
        <w:spacing w:before="0" w:beforeAutospacing="0" w:after="0" w:afterAutospacing="0" w:line="360" w:lineRule="auto"/>
        <w:jc w:val="both"/>
        <w:rPr>
          <w:rFonts w:hint="default"/>
          <w:color w:val="auto"/>
          <w:sz w:val="21"/>
        </w:rPr>
      </w:pPr>
      <w:r>
        <w:rPr>
          <w:color w:val="auto"/>
          <w:sz w:val="21"/>
        </w:rPr>
        <w:t>　　4、总价金额与按单价汇总金额不一致的，以单价金额计算结果为准。</w:t>
      </w:r>
    </w:p>
    <w:p>
      <w:pPr>
        <w:pStyle w:val="20"/>
        <w:snapToGrid w:val="0"/>
        <w:spacing w:before="0" w:beforeAutospacing="0" w:after="0" w:afterAutospacing="0" w:line="360" w:lineRule="auto"/>
        <w:ind w:firstLine="480"/>
        <w:jc w:val="both"/>
        <w:rPr>
          <w:rFonts w:hint="default"/>
          <w:color w:val="auto"/>
          <w:sz w:val="21"/>
        </w:rPr>
      </w:pPr>
      <w:r>
        <w:rPr>
          <w:color w:val="auto"/>
          <w:sz w:val="21"/>
        </w:rPr>
        <w:t>同时出现两种以上不一致的，按照前款规定的顺序修正。修正应当采用书面形式，并加盖公章，或者由法定代表人或其授权的代表签字。修正后的报价经磋商供应商确认后产生约束力，磋商供应商不确认的，将终止磋商。</w:t>
      </w:r>
    </w:p>
    <w:p>
      <w:pPr>
        <w:pStyle w:val="20"/>
        <w:snapToGrid w:val="0"/>
        <w:spacing w:before="0" w:beforeAutospacing="0" w:after="0" w:afterAutospacing="0" w:line="360" w:lineRule="auto"/>
        <w:ind w:firstLine="480"/>
        <w:rPr>
          <w:rFonts w:hint="default"/>
          <w:b/>
          <w:color w:val="auto"/>
          <w:sz w:val="21"/>
        </w:rPr>
      </w:pPr>
      <w:r>
        <w:rPr>
          <w:b/>
          <w:color w:val="auto"/>
          <w:sz w:val="21"/>
        </w:rPr>
        <w:t>（四）磋商</w:t>
      </w:r>
      <w:r>
        <w:rPr>
          <w:rFonts w:hint="default"/>
          <w:b/>
          <w:color w:val="auto"/>
          <w:sz w:val="21"/>
        </w:rPr>
        <w:t>过程中出现以下情形，导致电子交易平台无法正常运行，或者无法保证电子交易的公平、公正和安全时，采购组织机构可中止电子交易活动：</w:t>
      </w:r>
    </w:p>
    <w:p>
      <w:pPr>
        <w:adjustRightInd w:val="0"/>
        <w:snapToGrid w:val="0"/>
        <w:spacing w:line="360" w:lineRule="auto"/>
        <w:ind w:firstLine="420" w:firstLineChars="200"/>
        <w:jc w:val="left"/>
        <w:rPr>
          <w:rFonts w:ascii="宋体" w:hAnsi="宋体"/>
          <w:color w:val="auto"/>
          <w:kern w:val="0"/>
          <w:sz w:val="21"/>
        </w:rPr>
      </w:pPr>
      <w:r>
        <w:rPr>
          <w:rFonts w:hint="eastAsia" w:ascii="宋体" w:hAnsi="宋体"/>
          <w:color w:val="auto"/>
          <w:kern w:val="0"/>
          <w:sz w:val="21"/>
        </w:rPr>
        <w:t>1、</w:t>
      </w:r>
      <w:r>
        <w:rPr>
          <w:rFonts w:ascii="宋体" w:hAnsi="宋体"/>
          <w:color w:val="auto"/>
          <w:kern w:val="0"/>
          <w:sz w:val="21"/>
        </w:rPr>
        <w:t>电子交易平台发生故障而无法登录访问的； </w:t>
      </w:r>
    </w:p>
    <w:p>
      <w:pPr>
        <w:adjustRightInd w:val="0"/>
        <w:snapToGrid w:val="0"/>
        <w:spacing w:line="360" w:lineRule="auto"/>
        <w:ind w:firstLine="420" w:firstLineChars="200"/>
        <w:jc w:val="left"/>
        <w:rPr>
          <w:rFonts w:ascii="宋体" w:hAnsi="宋体"/>
          <w:color w:val="auto"/>
          <w:kern w:val="0"/>
          <w:sz w:val="21"/>
        </w:rPr>
      </w:pPr>
      <w:r>
        <w:rPr>
          <w:rFonts w:hint="eastAsia" w:ascii="宋体" w:hAnsi="宋体"/>
          <w:color w:val="auto"/>
          <w:kern w:val="0"/>
          <w:sz w:val="21"/>
        </w:rPr>
        <w:t>2、</w:t>
      </w:r>
      <w:r>
        <w:rPr>
          <w:rFonts w:ascii="宋体" w:hAnsi="宋体"/>
          <w:color w:val="auto"/>
          <w:kern w:val="0"/>
          <w:sz w:val="21"/>
        </w:rPr>
        <w:t>电子交易平台应用或数据库出现错误，不能进行正常操作的；</w:t>
      </w:r>
    </w:p>
    <w:p>
      <w:pPr>
        <w:adjustRightInd w:val="0"/>
        <w:snapToGrid w:val="0"/>
        <w:spacing w:line="360" w:lineRule="auto"/>
        <w:ind w:firstLine="420" w:firstLineChars="200"/>
        <w:jc w:val="left"/>
        <w:rPr>
          <w:rFonts w:ascii="宋体" w:hAnsi="宋体"/>
          <w:color w:val="auto"/>
          <w:kern w:val="0"/>
          <w:sz w:val="21"/>
        </w:rPr>
      </w:pPr>
      <w:r>
        <w:rPr>
          <w:rFonts w:hint="eastAsia" w:ascii="宋体" w:hAnsi="宋体"/>
          <w:color w:val="auto"/>
          <w:kern w:val="0"/>
          <w:sz w:val="21"/>
        </w:rPr>
        <w:t>3、</w:t>
      </w:r>
      <w:r>
        <w:rPr>
          <w:rFonts w:ascii="宋体" w:hAnsi="宋体"/>
          <w:color w:val="auto"/>
          <w:kern w:val="0"/>
          <w:sz w:val="21"/>
        </w:rPr>
        <w:t>电子交易平台发现严重安全漏洞，有潜在泄密危险的；</w:t>
      </w:r>
    </w:p>
    <w:p>
      <w:pPr>
        <w:adjustRightInd w:val="0"/>
        <w:snapToGrid w:val="0"/>
        <w:spacing w:line="360" w:lineRule="auto"/>
        <w:ind w:firstLine="420" w:firstLineChars="200"/>
        <w:jc w:val="left"/>
        <w:rPr>
          <w:rFonts w:ascii="宋体" w:hAnsi="宋体"/>
          <w:color w:val="auto"/>
          <w:kern w:val="0"/>
          <w:sz w:val="21"/>
        </w:rPr>
      </w:pPr>
      <w:r>
        <w:rPr>
          <w:rFonts w:hint="eastAsia" w:ascii="宋体" w:hAnsi="宋体"/>
          <w:color w:val="auto"/>
          <w:kern w:val="0"/>
          <w:sz w:val="21"/>
        </w:rPr>
        <w:t>4、</w:t>
      </w:r>
      <w:r>
        <w:rPr>
          <w:rFonts w:ascii="宋体" w:hAnsi="宋体"/>
          <w:color w:val="auto"/>
          <w:kern w:val="0"/>
          <w:sz w:val="21"/>
        </w:rPr>
        <w:t>病毒发作导致不能进行正常操作的； </w:t>
      </w:r>
    </w:p>
    <w:p>
      <w:pPr>
        <w:adjustRightInd w:val="0"/>
        <w:snapToGrid w:val="0"/>
        <w:spacing w:line="360" w:lineRule="auto"/>
        <w:ind w:firstLine="420" w:firstLineChars="200"/>
        <w:jc w:val="left"/>
        <w:rPr>
          <w:rFonts w:ascii="宋体" w:hAnsi="宋体"/>
          <w:color w:val="auto"/>
          <w:kern w:val="0"/>
          <w:sz w:val="21"/>
        </w:rPr>
      </w:pPr>
      <w:r>
        <w:rPr>
          <w:rFonts w:hint="eastAsia" w:ascii="宋体" w:hAnsi="宋体"/>
          <w:color w:val="auto"/>
          <w:kern w:val="0"/>
          <w:sz w:val="21"/>
        </w:rPr>
        <w:t>5、</w:t>
      </w:r>
      <w:r>
        <w:rPr>
          <w:rFonts w:ascii="宋体" w:hAnsi="宋体"/>
          <w:color w:val="auto"/>
          <w:kern w:val="0"/>
          <w:sz w:val="21"/>
        </w:rPr>
        <w:t>其他无法保证电子交易的公平、公正和安全的情况。</w:t>
      </w:r>
    </w:p>
    <w:p>
      <w:pPr>
        <w:adjustRightInd w:val="0"/>
        <w:snapToGrid w:val="0"/>
        <w:spacing w:line="360" w:lineRule="auto"/>
        <w:ind w:firstLine="420" w:firstLineChars="200"/>
        <w:jc w:val="left"/>
        <w:rPr>
          <w:color w:val="auto"/>
          <w:sz w:val="21"/>
        </w:rPr>
      </w:pPr>
      <w:r>
        <w:rPr>
          <w:rFonts w:ascii="宋体" w:hAnsi="宋体"/>
          <w:color w:val="auto"/>
          <w:kern w:val="0"/>
          <w:sz w:val="21"/>
        </w:rPr>
        <w:t>出现前款规定情形，不影响采购公平、公正性的，采购组织机构可以待上述情形消除后继续组织电子交易活动；影响或可能影响采购公平、公正性的，应当重新采购。</w:t>
      </w:r>
    </w:p>
    <w:p>
      <w:pPr>
        <w:pStyle w:val="20"/>
        <w:snapToGrid w:val="0"/>
        <w:spacing w:before="0" w:beforeAutospacing="0" w:after="0" w:afterAutospacing="0" w:line="360" w:lineRule="auto"/>
        <w:ind w:firstLine="480"/>
        <w:rPr>
          <w:rFonts w:hint="default"/>
          <w:color w:val="auto"/>
          <w:sz w:val="21"/>
        </w:rPr>
      </w:pPr>
      <w:r>
        <w:rPr>
          <w:b/>
          <w:color w:val="auto"/>
          <w:sz w:val="21"/>
        </w:rPr>
        <w:t>（五）磋商供应商存在下列情况之一的，响应无效，终止磋商</w:t>
      </w:r>
    </w:p>
    <w:p>
      <w:pPr>
        <w:adjustRightInd w:val="0"/>
        <w:snapToGrid w:val="0"/>
        <w:spacing w:line="360" w:lineRule="auto"/>
        <w:ind w:firstLine="420" w:firstLineChars="200"/>
        <w:jc w:val="left"/>
        <w:rPr>
          <w:rFonts w:ascii="宋体" w:hAnsi="宋体"/>
          <w:b/>
          <w:color w:val="auto"/>
          <w:sz w:val="21"/>
        </w:rPr>
      </w:pPr>
      <w:r>
        <w:rPr>
          <w:rFonts w:hint="eastAsia" w:ascii="宋体" w:hAnsi="宋体"/>
          <w:color w:val="auto"/>
          <w:kern w:val="0"/>
          <w:sz w:val="21"/>
        </w:rPr>
        <w:t>1、磋商响应文件中的报价货物跟商务与技术内容中的供应货物出现重大偏差的。</w:t>
      </w:r>
    </w:p>
    <w:p>
      <w:pPr>
        <w:pStyle w:val="20"/>
        <w:tabs>
          <w:tab w:val="left" w:pos="7380"/>
        </w:tabs>
        <w:adjustRightInd w:val="0"/>
        <w:snapToGrid w:val="0"/>
        <w:spacing w:before="0" w:beforeAutospacing="0" w:after="0" w:afterAutospacing="0" w:line="360" w:lineRule="auto"/>
        <w:ind w:firstLine="420" w:firstLineChars="200"/>
        <w:rPr>
          <w:rFonts w:hint="default"/>
          <w:color w:val="auto"/>
          <w:sz w:val="21"/>
        </w:rPr>
      </w:pPr>
      <w:r>
        <w:rPr>
          <w:color w:val="auto"/>
          <w:sz w:val="21"/>
        </w:rPr>
        <w:t>2、不具备磋商采购文件中规定的资格要求的。</w:t>
      </w:r>
    </w:p>
    <w:p>
      <w:pPr>
        <w:pStyle w:val="20"/>
        <w:adjustRightInd w:val="0"/>
        <w:snapToGrid w:val="0"/>
        <w:spacing w:before="0" w:beforeAutospacing="0" w:after="0" w:afterAutospacing="0" w:line="360" w:lineRule="auto"/>
        <w:ind w:firstLine="420" w:firstLineChars="200"/>
        <w:rPr>
          <w:rFonts w:hint="default"/>
          <w:color w:val="auto"/>
          <w:sz w:val="21"/>
        </w:rPr>
      </w:pPr>
      <w:r>
        <w:rPr>
          <w:color w:val="auto"/>
          <w:sz w:val="21"/>
        </w:rPr>
        <w:t>3、</w:t>
      </w:r>
      <w:r>
        <w:rPr>
          <w:color w:val="auto"/>
          <w:sz w:val="21"/>
          <w:szCs w:val="21"/>
        </w:rPr>
        <w:t>未实质性响应磋商文件中打“</w:t>
      </w:r>
      <w:r>
        <w:rPr>
          <w:color w:val="auto"/>
          <w:sz w:val="21"/>
          <w:szCs w:val="21"/>
          <w:lang w:val="zh-CN"/>
        </w:rPr>
        <w:t>▲</w:t>
      </w:r>
      <w:r>
        <w:rPr>
          <w:color w:val="auto"/>
          <w:sz w:val="21"/>
          <w:szCs w:val="21"/>
        </w:rPr>
        <w:t>”条款或者磋商响应文件含有采购人不能接受的附加条件的</w:t>
      </w:r>
      <w:r>
        <w:rPr>
          <w:color w:val="auto"/>
          <w:sz w:val="21"/>
        </w:rPr>
        <w:t>。</w:t>
      </w:r>
    </w:p>
    <w:p>
      <w:pPr>
        <w:adjustRightInd w:val="0"/>
        <w:snapToGrid w:val="0"/>
        <w:spacing w:line="360" w:lineRule="auto"/>
        <w:ind w:firstLine="420" w:firstLineChars="200"/>
        <w:jc w:val="left"/>
        <w:rPr>
          <w:rFonts w:ascii="宋体" w:hAnsi="宋体"/>
          <w:color w:val="auto"/>
          <w:kern w:val="0"/>
          <w:sz w:val="21"/>
        </w:rPr>
      </w:pPr>
      <w:r>
        <w:rPr>
          <w:rFonts w:hint="eastAsia" w:ascii="宋体" w:hAnsi="宋体"/>
          <w:color w:val="auto"/>
          <w:kern w:val="0"/>
          <w:sz w:val="21"/>
        </w:rPr>
        <w:t>4</w:t>
      </w:r>
      <w:r>
        <w:rPr>
          <w:rFonts w:hint="eastAsia" w:ascii="宋体" w:hAnsi="宋体"/>
          <w:color w:val="auto"/>
          <w:sz w:val="21"/>
        </w:rPr>
        <w:t>、磋商响应文件实质性内容填写不全或模糊不清，无法辨认的。</w:t>
      </w:r>
    </w:p>
    <w:p>
      <w:pPr>
        <w:pStyle w:val="20"/>
        <w:adjustRightInd w:val="0"/>
        <w:snapToGrid w:val="0"/>
        <w:spacing w:before="0" w:beforeAutospacing="0" w:after="0" w:afterAutospacing="0" w:line="360" w:lineRule="auto"/>
        <w:ind w:firstLine="420" w:firstLineChars="200"/>
        <w:rPr>
          <w:rFonts w:hint="default"/>
          <w:color w:val="auto"/>
          <w:sz w:val="21"/>
        </w:rPr>
      </w:pPr>
      <w:r>
        <w:rPr>
          <w:color w:val="auto"/>
          <w:sz w:val="21"/>
        </w:rPr>
        <w:t>5、磋商小组认为供应商的报价明显低于其他通过符合性审查供应商的报价，有可能影响产品质量或者不能诚信履约的，应当要求其在评审现场合理的时间内提供书面说明，必要时提交相关证明材料；供应商不能证明其报价合理性的，磋商小组应当与其终止磋商。</w:t>
      </w:r>
    </w:p>
    <w:p>
      <w:pPr>
        <w:pStyle w:val="20"/>
        <w:adjustRightInd w:val="0"/>
        <w:snapToGrid w:val="0"/>
        <w:spacing w:before="0" w:beforeAutospacing="0" w:after="0" w:afterAutospacing="0" w:line="360" w:lineRule="auto"/>
        <w:ind w:firstLine="420" w:firstLineChars="200"/>
        <w:rPr>
          <w:rFonts w:hint="default"/>
          <w:color w:val="auto"/>
          <w:sz w:val="21"/>
        </w:rPr>
      </w:pPr>
      <w:r>
        <w:rPr>
          <w:color w:val="auto"/>
          <w:sz w:val="21"/>
        </w:rPr>
        <w:t>6、</w:t>
      </w:r>
      <w:r>
        <w:rPr>
          <w:color w:val="auto"/>
          <w:sz w:val="21"/>
          <w:szCs w:val="21"/>
        </w:rPr>
        <w:t>报价超过磋商文件中规定的预算金额或者最高限价的</w:t>
      </w:r>
      <w:r>
        <w:rPr>
          <w:color w:val="auto"/>
          <w:sz w:val="21"/>
        </w:rPr>
        <w:t>。</w:t>
      </w:r>
    </w:p>
    <w:p>
      <w:pPr>
        <w:pStyle w:val="20"/>
        <w:adjustRightInd w:val="0"/>
        <w:snapToGrid w:val="0"/>
        <w:spacing w:before="0" w:beforeAutospacing="0" w:after="0" w:afterAutospacing="0" w:line="312" w:lineRule="auto"/>
        <w:ind w:firstLine="420" w:firstLineChars="200"/>
        <w:rPr>
          <w:rFonts w:hint="default"/>
          <w:color w:val="auto"/>
          <w:sz w:val="21"/>
          <w:szCs w:val="21"/>
        </w:rPr>
      </w:pPr>
      <w:r>
        <w:rPr>
          <w:color w:val="auto"/>
          <w:sz w:val="21"/>
          <w:szCs w:val="21"/>
        </w:rPr>
        <w:t>7、最终报价高于首次报价的；</w:t>
      </w:r>
    </w:p>
    <w:p>
      <w:pPr>
        <w:pStyle w:val="20"/>
        <w:adjustRightInd w:val="0"/>
        <w:snapToGrid w:val="0"/>
        <w:spacing w:before="0" w:beforeAutospacing="0" w:after="0" w:afterAutospacing="0" w:line="312" w:lineRule="auto"/>
        <w:ind w:firstLine="420" w:firstLineChars="200"/>
        <w:rPr>
          <w:rFonts w:hint="default"/>
          <w:color w:val="auto"/>
          <w:sz w:val="21"/>
          <w:szCs w:val="21"/>
        </w:rPr>
      </w:pPr>
      <w:r>
        <w:rPr>
          <w:color w:val="auto"/>
          <w:sz w:val="21"/>
          <w:szCs w:val="21"/>
        </w:rPr>
        <w:t>8、磋商供应商仅提交备份磋商响应文件的；</w:t>
      </w:r>
    </w:p>
    <w:p>
      <w:pPr>
        <w:pStyle w:val="20"/>
        <w:adjustRightInd w:val="0"/>
        <w:snapToGrid w:val="0"/>
        <w:spacing w:before="0" w:beforeAutospacing="0" w:after="0" w:afterAutospacing="0" w:line="312" w:lineRule="auto"/>
        <w:ind w:firstLine="420" w:firstLineChars="200"/>
        <w:rPr>
          <w:rFonts w:hint="default"/>
          <w:color w:val="auto"/>
          <w:sz w:val="21"/>
          <w:szCs w:val="21"/>
        </w:rPr>
      </w:pPr>
      <w:r>
        <w:rPr>
          <w:color w:val="auto"/>
          <w:sz w:val="21"/>
          <w:szCs w:val="21"/>
        </w:rPr>
        <w:t>9、电子加密磋商响应文件解密失败或未按时解密的，且未在规定时间内提交备份磋商响应文件的（包括未在解密规定时间内提供备份磋商响应文件解密密码或密码错误的）；</w:t>
      </w:r>
    </w:p>
    <w:p>
      <w:pPr>
        <w:tabs>
          <w:tab w:val="left" w:pos="1898"/>
        </w:tabs>
        <w:autoSpaceDE w:val="0"/>
        <w:autoSpaceDN w:val="0"/>
        <w:adjustRightInd w:val="0"/>
        <w:snapToGrid w:val="0"/>
        <w:spacing w:line="360" w:lineRule="auto"/>
        <w:ind w:firstLine="420" w:firstLineChars="200"/>
        <w:jc w:val="left"/>
        <w:rPr>
          <w:rFonts w:ascii="宋体" w:hAnsi="宋体"/>
          <w:color w:val="auto"/>
          <w:kern w:val="0"/>
          <w:sz w:val="21"/>
        </w:rPr>
      </w:pPr>
      <w:r>
        <w:rPr>
          <w:rFonts w:hint="eastAsia" w:ascii="宋体" w:hAnsi="宋体" w:eastAsia="宋体"/>
          <w:color w:val="auto"/>
          <w:kern w:val="0"/>
          <w:sz w:val="21"/>
        </w:rPr>
        <w:t>10</w:t>
      </w:r>
      <w:r>
        <w:rPr>
          <w:rFonts w:hint="eastAsia" w:ascii="宋体" w:hAnsi="宋体"/>
          <w:color w:val="auto"/>
          <w:kern w:val="0"/>
          <w:sz w:val="21"/>
        </w:rPr>
        <w:t>、磋商参数未如实填写，完全复制粘贴磋商采购参数的。</w:t>
      </w:r>
    </w:p>
    <w:p>
      <w:pPr>
        <w:tabs>
          <w:tab w:val="left" w:pos="1898"/>
        </w:tabs>
        <w:autoSpaceDE w:val="0"/>
        <w:autoSpaceDN w:val="0"/>
        <w:adjustRightInd w:val="0"/>
        <w:snapToGrid w:val="0"/>
        <w:spacing w:line="360" w:lineRule="auto"/>
        <w:ind w:firstLine="420" w:firstLineChars="200"/>
        <w:jc w:val="left"/>
        <w:rPr>
          <w:rFonts w:ascii="宋体" w:hAnsi="宋体"/>
          <w:color w:val="auto"/>
          <w:kern w:val="0"/>
          <w:sz w:val="21"/>
        </w:rPr>
      </w:pPr>
      <w:r>
        <w:rPr>
          <w:rFonts w:hint="eastAsia" w:ascii="宋体" w:hAnsi="宋体" w:eastAsia="宋体"/>
          <w:color w:val="auto"/>
          <w:kern w:val="0"/>
          <w:sz w:val="21"/>
        </w:rPr>
        <w:t>11</w:t>
      </w:r>
      <w:r>
        <w:rPr>
          <w:rFonts w:hint="eastAsia" w:ascii="宋体" w:hAnsi="宋体"/>
          <w:color w:val="auto"/>
          <w:kern w:val="0"/>
          <w:sz w:val="21"/>
        </w:rPr>
        <w:t>、</w:t>
      </w:r>
      <w:r>
        <w:rPr>
          <w:rFonts w:hint="eastAsia" w:ascii="宋体" w:hAnsi="宋体"/>
          <w:color w:val="auto"/>
          <w:sz w:val="21"/>
          <w:szCs w:val="21"/>
        </w:rPr>
        <w:t>磋商响应文件中技术方案不明确，存在一个或一个以上备选（替代）方案的</w:t>
      </w:r>
      <w:r>
        <w:rPr>
          <w:rFonts w:hint="eastAsia" w:ascii="宋体" w:hAnsi="宋体"/>
          <w:color w:val="auto"/>
          <w:kern w:val="0"/>
          <w:sz w:val="21"/>
        </w:rPr>
        <w:t>。</w:t>
      </w:r>
    </w:p>
    <w:p>
      <w:pPr>
        <w:tabs>
          <w:tab w:val="left" w:pos="1898"/>
        </w:tabs>
        <w:autoSpaceDE w:val="0"/>
        <w:autoSpaceDN w:val="0"/>
        <w:adjustRightInd w:val="0"/>
        <w:snapToGrid w:val="0"/>
        <w:spacing w:line="360" w:lineRule="auto"/>
        <w:ind w:firstLine="420" w:firstLineChars="200"/>
        <w:jc w:val="left"/>
        <w:rPr>
          <w:rFonts w:ascii="宋体" w:hAnsi="宋体"/>
          <w:color w:val="auto"/>
          <w:kern w:val="0"/>
          <w:sz w:val="21"/>
        </w:rPr>
      </w:pPr>
      <w:r>
        <w:rPr>
          <w:rFonts w:hint="eastAsia" w:ascii="宋体" w:hAnsi="宋体"/>
          <w:color w:val="auto"/>
          <w:kern w:val="0"/>
          <w:sz w:val="21"/>
        </w:rPr>
        <w:t>12、磋商响应文件提供虚假材料的。</w:t>
      </w:r>
    </w:p>
    <w:p>
      <w:pPr>
        <w:autoSpaceDE w:val="0"/>
        <w:autoSpaceDN w:val="0"/>
        <w:adjustRightInd w:val="0"/>
        <w:snapToGrid w:val="0"/>
        <w:spacing w:line="360" w:lineRule="auto"/>
        <w:ind w:firstLine="420" w:firstLineChars="200"/>
        <w:jc w:val="left"/>
        <w:rPr>
          <w:rFonts w:ascii="宋体" w:hAnsi="宋体" w:eastAsia="宋体"/>
          <w:color w:val="auto"/>
          <w:kern w:val="0"/>
          <w:sz w:val="21"/>
        </w:rPr>
      </w:pPr>
      <w:r>
        <w:rPr>
          <w:rFonts w:hint="eastAsia" w:ascii="宋体" w:hAnsi="宋体" w:eastAsia="宋体"/>
          <w:color w:val="auto"/>
          <w:kern w:val="0"/>
          <w:sz w:val="21"/>
        </w:rPr>
        <w:t>13、不同供应商的磋商响应文件由同一单位或者个人编制；</w:t>
      </w:r>
    </w:p>
    <w:p>
      <w:pPr>
        <w:autoSpaceDE w:val="0"/>
        <w:autoSpaceDN w:val="0"/>
        <w:adjustRightInd w:val="0"/>
        <w:snapToGrid w:val="0"/>
        <w:spacing w:line="360" w:lineRule="auto"/>
        <w:ind w:firstLine="420" w:firstLineChars="200"/>
        <w:jc w:val="left"/>
        <w:rPr>
          <w:rFonts w:ascii="宋体" w:hAnsi="宋体" w:eastAsia="宋体"/>
          <w:color w:val="auto"/>
          <w:kern w:val="0"/>
          <w:sz w:val="21"/>
        </w:rPr>
      </w:pPr>
      <w:r>
        <w:rPr>
          <w:rFonts w:hint="eastAsia" w:ascii="宋体" w:hAnsi="宋体" w:eastAsia="宋体"/>
          <w:color w:val="auto"/>
          <w:kern w:val="0"/>
          <w:sz w:val="21"/>
        </w:rPr>
        <w:t>14、不同供应商委托同一单位或者个人办理磋商事宜；</w:t>
      </w:r>
    </w:p>
    <w:p>
      <w:pPr>
        <w:autoSpaceDE w:val="0"/>
        <w:autoSpaceDN w:val="0"/>
        <w:adjustRightInd w:val="0"/>
        <w:snapToGrid w:val="0"/>
        <w:spacing w:line="360" w:lineRule="auto"/>
        <w:ind w:firstLine="420" w:firstLineChars="200"/>
        <w:jc w:val="left"/>
        <w:rPr>
          <w:rFonts w:ascii="宋体" w:hAnsi="宋体" w:eastAsia="宋体"/>
          <w:color w:val="auto"/>
          <w:kern w:val="0"/>
          <w:sz w:val="21"/>
        </w:rPr>
      </w:pPr>
      <w:r>
        <w:rPr>
          <w:rFonts w:hint="eastAsia" w:ascii="宋体" w:hAnsi="宋体" w:eastAsia="宋体"/>
          <w:color w:val="auto"/>
          <w:kern w:val="0"/>
          <w:sz w:val="21"/>
        </w:rPr>
        <w:t>15、不同供应商的磋商响应文件载明的项目管理成员或者联系人员为同一人；</w:t>
      </w:r>
    </w:p>
    <w:p>
      <w:pPr>
        <w:autoSpaceDE w:val="0"/>
        <w:autoSpaceDN w:val="0"/>
        <w:adjustRightInd w:val="0"/>
        <w:snapToGrid w:val="0"/>
        <w:spacing w:line="360" w:lineRule="auto"/>
        <w:ind w:firstLine="420" w:firstLineChars="200"/>
        <w:jc w:val="left"/>
        <w:rPr>
          <w:rFonts w:ascii="宋体" w:hAnsi="宋体" w:eastAsia="宋体"/>
          <w:color w:val="auto"/>
          <w:kern w:val="0"/>
          <w:sz w:val="21"/>
        </w:rPr>
      </w:pPr>
      <w:r>
        <w:rPr>
          <w:rFonts w:hint="eastAsia" w:ascii="宋体" w:hAnsi="宋体" w:eastAsia="宋体"/>
          <w:color w:val="auto"/>
          <w:kern w:val="0"/>
          <w:sz w:val="21"/>
        </w:rPr>
        <w:t>16、不同供应商的磋商响应文件异常一致或者报价呈规律性差异；</w:t>
      </w:r>
    </w:p>
    <w:p>
      <w:pPr>
        <w:autoSpaceDE w:val="0"/>
        <w:autoSpaceDN w:val="0"/>
        <w:adjustRightInd w:val="0"/>
        <w:snapToGrid w:val="0"/>
        <w:spacing w:line="360" w:lineRule="auto"/>
        <w:ind w:firstLine="420" w:firstLineChars="200"/>
        <w:jc w:val="left"/>
        <w:rPr>
          <w:rFonts w:ascii="宋体" w:hAnsi="宋体" w:eastAsia="宋体"/>
          <w:color w:val="auto"/>
          <w:kern w:val="0"/>
          <w:sz w:val="21"/>
        </w:rPr>
      </w:pPr>
      <w:r>
        <w:rPr>
          <w:rFonts w:hint="eastAsia" w:ascii="宋体" w:hAnsi="宋体" w:eastAsia="宋体"/>
          <w:color w:val="auto"/>
          <w:kern w:val="0"/>
          <w:sz w:val="21"/>
        </w:rPr>
        <w:t>17、不符合法律、法规和磋商采购文件中规定的其他实质性要求的（磋商采购文件中打“▲”内容及被拒绝的条款）。</w:t>
      </w:r>
    </w:p>
    <w:p>
      <w:pPr>
        <w:autoSpaceDE w:val="0"/>
        <w:autoSpaceDN w:val="0"/>
        <w:adjustRightInd w:val="0"/>
        <w:snapToGrid w:val="0"/>
        <w:spacing w:line="360" w:lineRule="auto"/>
        <w:ind w:firstLine="420" w:firstLineChars="200"/>
        <w:jc w:val="left"/>
        <w:rPr>
          <w:rFonts w:ascii="宋体" w:hAnsi="宋体"/>
          <w:color w:val="auto"/>
          <w:kern w:val="0"/>
          <w:sz w:val="21"/>
        </w:rPr>
      </w:pPr>
      <w:r>
        <w:rPr>
          <w:rFonts w:hint="eastAsia" w:ascii="宋体" w:hAnsi="宋体"/>
          <w:b/>
          <w:color w:val="auto"/>
          <w:kern w:val="0"/>
          <w:sz w:val="21"/>
        </w:rPr>
        <w:t>（六）有下列情况之一的，本次磋商终止。</w:t>
      </w:r>
    </w:p>
    <w:p>
      <w:pPr>
        <w:autoSpaceDE w:val="0"/>
        <w:autoSpaceDN w:val="0"/>
        <w:spacing w:line="360" w:lineRule="auto"/>
        <w:ind w:firstLine="420" w:firstLineChars="200"/>
        <w:textAlignment w:val="bottom"/>
        <w:rPr>
          <w:rFonts w:ascii="宋体" w:hAnsi="宋体"/>
          <w:color w:val="auto"/>
          <w:sz w:val="21"/>
          <w:szCs w:val="21"/>
        </w:rPr>
      </w:pPr>
      <w:r>
        <w:rPr>
          <w:rFonts w:hint="eastAsia" w:ascii="宋体" w:hAnsi="宋体"/>
          <w:color w:val="auto"/>
          <w:sz w:val="21"/>
          <w:szCs w:val="21"/>
        </w:rPr>
        <w:t>（1）</w:t>
      </w:r>
      <w:r>
        <w:rPr>
          <w:rFonts w:ascii="宋体" w:hAnsi="宋体"/>
          <w:color w:val="auto"/>
          <w:sz w:val="21"/>
          <w:szCs w:val="21"/>
        </w:rPr>
        <w:t>出现影响采购公正的违法、违规</w:t>
      </w:r>
      <w:r>
        <w:rPr>
          <w:rFonts w:hint="eastAsia" w:ascii="宋体" w:hAnsi="宋体"/>
          <w:color w:val="auto"/>
          <w:sz w:val="21"/>
          <w:szCs w:val="21"/>
        </w:rPr>
        <w:t>、欺骗行为</w:t>
      </w:r>
      <w:r>
        <w:rPr>
          <w:rFonts w:ascii="宋体" w:hAnsi="宋体"/>
          <w:color w:val="auto"/>
          <w:sz w:val="21"/>
          <w:szCs w:val="21"/>
        </w:rPr>
        <w:t>的；</w:t>
      </w:r>
    </w:p>
    <w:p>
      <w:pPr>
        <w:autoSpaceDE w:val="0"/>
        <w:autoSpaceDN w:val="0"/>
        <w:spacing w:line="360" w:lineRule="auto"/>
        <w:ind w:firstLine="420" w:firstLineChars="200"/>
        <w:textAlignment w:val="bottom"/>
        <w:rPr>
          <w:rFonts w:ascii="宋体" w:hAnsi="宋体"/>
          <w:color w:val="auto"/>
          <w:sz w:val="21"/>
          <w:szCs w:val="21"/>
        </w:rPr>
      </w:pPr>
      <w:r>
        <w:rPr>
          <w:rFonts w:hint="eastAsia" w:ascii="宋体" w:hAnsi="宋体"/>
          <w:color w:val="auto"/>
          <w:sz w:val="21"/>
          <w:szCs w:val="21"/>
        </w:rPr>
        <w:t>（2）</w:t>
      </w:r>
      <w:r>
        <w:rPr>
          <w:rFonts w:ascii="宋体" w:hAnsi="宋体"/>
          <w:color w:val="auto"/>
          <w:sz w:val="21"/>
          <w:szCs w:val="21"/>
        </w:rPr>
        <w:t>因重大变故，采购任务取消的；</w:t>
      </w:r>
    </w:p>
    <w:p>
      <w:pPr>
        <w:autoSpaceDE w:val="0"/>
        <w:autoSpaceDN w:val="0"/>
        <w:adjustRightInd w:val="0"/>
        <w:spacing w:line="360" w:lineRule="auto"/>
        <w:ind w:firstLine="420" w:firstLineChars="200"/>
        <w:rPr>
          <w:color w:val="auto"/>
          <w:sz w:val="21"/>
        </w:rPr>
      </w:pPr>
      <w:r>
        <w:rPr>
          <w:rFonts w:hint="eastAsia" w:ascii="宋体" w:hAnsi="宋体"/>
          <w:color w:val="auto"/>
          <w:sz w:val="21"/>
          <w:szCs w:val="21"/>
        </w:rPr>
        <w:t>（3）提交磋商响应文件供应商或符合资格条件供应商或实质性响应供应商不足三家的。</w:t>
      </w: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napToGrid w:val="0"/>
        <w:spacing w:line="360" w:lineRule="auto"/>
        <w:ind w:right="25" w:firstLine="420" w:firstLineChars="200"/>
        <w:jc w:val="left"/>
        <w:rPr>
          <w:rFonts w:ascii="宋体" w:hAnsi="宋体"/>
          <w:b/>
          <w:color w:val="auto"/>
          <w:kern w:val="0"/>
          <w:sz w:val="21"/>
        </w:rPr>
      </w:pPr>
      <w:r>
        <w:rPr>
          <w:rFonts w:hint="eastAsia" w:ascii="宋体" w:hAnsi="宋体"/>
          <w:b/>
          <w:color w:val="auto"/>
          <w:kern w:val="0"/>
          <w:sz w:val="21"/>
        </w:rPr>
        <w:t>（七）磋商原则和方法</w:t>
      </w:r>
    </w:p>
    <w:p>
      <w:pPr>
        <w:pStyle w:val="12"/>
        <w:snapToGrid w:val="0"/>
        <w:spacing w:line="360" w:lineRule="auto"/>
        <w:ind w:firstLine="525" w:firstLineChars="250"/>
        <w:rPr>
          <w:rFonts w:hAnsi="宋体"/>
          <w:color w:val="auto"/>
        </w:rPr>
      </w:pPr>
      <w:r>
        <w:rPr>
          <w:rFonts w:hint="eastAsia" w:hAnsi="宋体"/>
          <w:color w:val="auto"/>
        </w:rPr>
        <w:t>1、磋商原则。磋商小组必须公平、公正、客观，不带任何倾向性和启发性；不得向外界透露任何与评审有关的内容；任何单位和个人不得干扰、影响评审的正常进行；磋商小组及有关工作人员不得私下与磋商供应商接触。</w:t>
      </w:r>
    </w:p>
    <w:p>
      <w:pPr>
        <w:pStyle w:val="12"/>
        <w:snapToGrid w:val="0"/>
        <w:spacing w:line="360" w:lineRule="auto"/>
        <w:ind w:firstLine="525" w:firstLineChars="250"/>
        <w:rPr>
          <w:rFonts w:hAnsi="宋体"/>
          <w:color w:val="auto"/>
        </w:rPr>
      </w:pPr>
      <w:r>
        <w:rPr>
          <w:rFonts w:hint="eastAsia" w:hAnsi="宋体"/>
          <w:color w:val="auto"/>
        </w:rPr>
        <w:t>2、磋商办法。具体磋商内容及评分标准等详见《评审方法及评分标准》。</w:t>
      </w:r>
    </w:p>
    <w:p>
      <w:pPr>
        <w:pStyle w:val="12"/>
        <w:snapToGrid w:val="0"/>
        <w:spacing w:line="360" w:lineRule="auto"/>
        <w:ind w:firstLine="420" w:firstLineChars="200"/>
        <w:rPr>
          <w:rFonts w:hAnsi="宋体"/>
          <w:color w:val="auto"/>
        </w:rPr>
      </w:pPr>
      <w:r>
        <w:rPr>
          <w:rFonts w:hint="eastAsia" w:hAnsi="宋体"/>
          <w:b/>
          <w:color w:val="auto"/>
        </w:rPr>
        <w:t>（八）评审过程的监控</w:t>
      </w:r>
    </w:p>
    <w:p>
      <w:pPr>
        <w:pStyle w:val="20"/>
        <w:snapToGrid w:val="0"/>
        <w:spacing w:before="0" w:beforeAutospacing="0" w:after="0" w:afterAutospacing="0" w:line="360" w:lineRule="auto"/>
        <w:ind w:firstLine="420" w:firstLineChars="200"/>
        <w:jc w:val="both"/>
        <w:rPr>
          <w:rFonts w:hint="default"/>
          <w:color w:val="auto"/>
          <w:sz w:val="21"/>
        </w:rPr>
      </w:pPr>
      <w:r>
        <w:rPr>
          <w:color w:val="auto"/>
          <w:sz w:val="21"/>
        </w:rPr>
        <w:t>本项目评审过程实行全程录音、录像监控，政府采购监管部门视情进行现场监督，供应商在评审过程中所进行的试图影响评审结果的不公正活动，可能导致其被拒绝磋商。</w:t>
      </w:r>
    </w:p>
    <w:p>
      <w:pPr>
        <w:pStyle w:val="20"/>
        <w:snapToGrid w:val="0"/>
        <w:spacing w:before="0" w:beforeAutospacing="0" w:after="0" w:afterAutospacing="0" w:line="360" w:lineRule="auto"/>
        <w:ind w:firstLine="420" w:firstLineChars="200"/>
        <w:rPr>
          <w:rFonts w:hint="default"/>
          <w:color w:val="auto"/>
          <w:sz w:val="21"/>
        </w:rPr>
      </w:pPr>
      <w:r>
        <w:rPr>
          <w:b/>
          <w:color w:val="auto"/>
          <w:sz w:val="21"/>
        </w:rPr>
        <w:t>五、磋商结果确定</w:t>
      </w:r>
    </w:p>
    <w:p>
      <w:pPr>
        <w:pStyle w:val="20"/>
        <w:snapToGrid w:val="0"/>
        <w:spacing w:before="0" w:beforeAutospacing="0" w:after="0" w:afterAutospacing="0" w:line="360" w:lineRule="auto"/>
        <w:ind w:firstLine="525" w:firstLineChars="250"/>
        <w:jc w:val="both"/>
        <w:rPr>
          <w:rFonts w:hint="default"/>
          <w:color w:val="auto"/>
          <w:sz w:val="21"/>
        </w:rPr>
      </w:pPr>
      <w:r>
        <w:rPr>
          <w:color w:val="auto"/>
          <w:sz w:val="21"/>
        </w:rPr>
        <w:t>1、确定成交供应商。磋商小组根据采购人的《授权意见确认书》，推荐成交候选供应商或直接确定成交供应商。其中推荐成交候选供应商的，采购组织机构在评审结束之日起2个工作日内将评审报告送交采购人，采购人自收到评审报告之日起5个工作日内在评审报告推荐的成交候选人中按顺序确定成交供应商。</w:t>
      </w:r>
    </w:p>
    <w:p>
      <w:pPr>
        <w:snapToGrid w:val="0"/>
        <w:spacing w:line="360" w:lineRule="auto"/>
        <w:ind w:firstLine="420" w:firstLineChars="200"/>
        <w:rPr>
          <w:rFonts w:ascii="宋体" w:hAnsi="宋体"/>
          <w:color w:val="auto"/>
          <w:kern w:val="0"/>
          <w:sz w:val="21"/>
        </w:rPr>
      </w:pPr>
      <w:r>
        <w:rPr>
          <w:rFonts w:hint="eastAsia" w:ascii="宋体" w:hAnsi="宋体"/>
          <w:color w:val="auto"/>
          <w:kern w:val="0"/>
          <w:sz w:val="21"/>
        </w:rPr>
        <w:t>2、发布成交结果公告。采购组织机构应当在成交供应商确定后2个工作日内，在省级以上财政部门指定的政府采购信息发布媒体及相关网站上公告成交结果，并将磋商文件随同公告。</w:t>
      </w:r>
    </w:p>
    <w:p>
      <w:pPr>
        <w:snapToGrid w:val="0"/>
        <w:spacing w:line="360" w:lineRule="auto"/>
        <w:ind w:firstLine="420" w:firstLineChars="200"/>
        <w:rPr>
          <w:rFonts w:ascii="宋体" w:hAnsi="宋体"/>
          <w:color w:val="auto"/>
          <w:kern w:val="0"/>
          <w:sz w:val="21"/>
        </w:rPr>
      </w:pPr>
      <w:r>
        <w:rPr>
          <w:rFonts w:hint="eastAsia" w:ascii="宋体" w:hAnsi="宋体"/>
          <w:color w:val="auto"/>
          <w:kern w:val="0"/>
          <w:sz w:val="21"/>
        </w:rPr>
        <w:t>3、发出成交通知书。采购组织机构在发布成交结果同时，向成交供应商发出成交通知书。</w:t>
      </w:r>
    </w:p>
    <w:p>
      <w:pPr>
        <w:snapToGrid w:val="0"/>
        <w:spacing w:line="360" w:lineRule="auto"/>
        <w:ind w:firstLine="420" w:firstLineChars="200"/>
        <w:rPr>
          <w:rFonts w:ascii="宋体" w:hAnsi="宋体"/>
          <w:b/>
          <w:color w:val="auto"/>
          <w:kern w:val="0"/>
          <w:sz w:val="21"/>
        </w:rPr>
      </w:pPr>
      <w:r>
        <w:rPr>
          <w:rFonts w:hint="eastAsia" w:ascii="宋体" w:hAnsi="宋体"/>
          <w:b/>
          <w:color w:val="auto"/>
          <w:kern w:val="0"/>
          <w:sz w:val="21"/>
        </w:rPr>
        <w:t>六、合同签订及公告</w:t>
      </w:r>
    </w:p>
    <w:p>
      <w:pPr>
        <w:pStyle w:val="11"/>
        <w:snapToGrid w:val="0"/>
        <w:spacing w:line="360" w:lineRule="auto"/>
        <w:ind w:firstLine="422" w:firstLineChars="200"/>
        <w:rPr>
          <w:rFonts w:ascii="宋体" w:hAnsi="宋体" w:eastAsia="宋体" w:cs="宋体"/>
          <w:b/>
          <w:color w:val="auto"/>
          <w:sz w:val="21"/>
        </w:rPr>
      </w:pPr>
      <w:r>
        <w:rPr>
          <w:rFonts w:hint="eastAsia" w:ascii="宋体" w:hAnsi="宋体" w:eastAsia="宋体" w:cs="宋体"/>
          <w:b/>
          <w:color w:val="auto"/>
          <w:sz w:val="21"/>
        </w:rPr>
        <w:t>（一）签订合同</w:t>
      </w:r>
    </w:p>
    <w:p>
      <w:pPr>
        <w:pStyle w:val="20"/>
        <w:snapToGrid w:val="0"/>
        <w:spacing w:before="0" w:beforeAutospacing="0" w:after="0" w:afterAutospacing="0" w:line="360" w:lineRule="auto"/>
        <w:ind w:firstLine="525" w:firstLineChars="250"/>
        <w:jc w:val="both"/>
        <w:rPr>
          <w:rFonts w:hint="default"/>
          <w:color w:val="auto"/>
          <w:sz w:val="21"/>
        </w:rPr>
      </w:pPr>
      <w:r>
        <w:rPr>
          <w:color w:val="auto"/>
          <w:sz w:val="21"/>
        </w:rPr>
        <w:t>1、采购人应当自成交通知书发出之日起30个工作日内，按照磋商采购文件确定的合同文本以及采购标的、规格型号、采购金额、采购数量和服务要求等事项签订政府采购合同。</w:t>
      </w:r>
    </w:p>
    <w:p>
      <w:pPr>
        <w:pStyle w:val="20"/>
        <w:snapToGrid w:val="0"/>
        <w:spacing w:before="0" w:beforeAutospacing="0" w:after="0" w:afterAutospacing="0" w:line="360" w:lineRule="auto"/>
        <w:ind w:firstLine="525" w:firstLineChars="250"/>
        <w:jc w:val="both"/>
        <w:rPr>
          <w:rFonts w:hint="default"/>
          <w:color w:val="auto"/>
          <w:sz w:val="21"/>
        </w:rPr>
      </w:pPr>
      <w:r>
        <w:rPr>
          <w:color w:val="auto"/>
          <w:sz w:val="21"/>
        </w:rPr>
        <w:t>2、采购人不得向成交供应商提出超出磋商文件以外的任何要求作为签订合同的条件，不得与成交供应商订立背离磋商文件确定的合同文本以及采购标的、规格型号、采购金额、采购数量和服务要求等实质性内容的协议。</w:t>
      </w:r>
    </w:p>
    <w:p>
      <w:pPr>
        <w:pStyle w:val="20"/>
        <w:snapToGrid w:val="0"/>
        <w:spacing w:before="0" w:beforeAutospacing="0" w:after="0" w:afterAutospacing="0" w:line="360" w:lineRule="auto"/>
        <w:ind w:firstLine="525" w:firstLineChars="250"/>
        <w:jc w:val="both"/>
        <w:rPr>
          <w:rFonts w:hint="default"/>
          <w:color w:val="auto"/>
          <w:sz w:val="21"/>
        </w:rPr>
      </w:pPr>
      <w:r>
        <w:rPr>
          <w:color w:val="auto"/>
          <w:sz w:val="21"/>
        </w:rPr>
        <w:t>3、成交供应商无故拖延、拒签合同的,取消成交资格。</w:t>
      </w:r>
    </w:p>
    <w:p>
      <w:pPr>
        <w:pStyle w:val="20"/>
        <w:snapToGrid w:val="0"/>
        <w:spacing w:before="0" w:beforeAutospacing="0" w:after="0" w:afterAutospacing="0" w:line="360" w:lineRule="auto"/>
        <w:ind w:firstLine="525" w:firstLineChars="250"/>
        <w:jc w:val="both"/>
        <w:rPr>
          <w:rFonts w:hint="default"/>
          <w:color w:val="auto"/>
          <w:sz w:val="21"/>
        </w:rPr>
      </w:pPr>
      <w:r>
        <w:rPr>
          <w:color w:val="auto"/>
          <w:sz w:val="21"/>
        </w:rPr>
        <w:t>4、成交供应商拒绝与采购人签订合同的，采购人可以按照评审报告推荐的成交候选供应商名单排序，确定下一候选供应商为成交供应商，也可以重新开展政府采购活动。同时，拒绝与采购人签订合同的供应商，由同级财政部门依法作出处理。</w:t>
      </w:r>
    </w:p>
    <w:p>
      <w:pPr>
        <w:pStyle w:val="20"/>
        <w:snapToGrid w:val="0"/>
        <w:spacing w:before="0" w:beforeAutospacing="0" w:after="0" w:afterAutospacing="0" w:line="360" w:lineRule="auto"/>
        <w:ind w:firstLine="525" w:firstLineChars="250"/>
        <w:jc w:val="both"/>
        <w:rPr>
          <w:rFonts w:hint="default"/>
          <w:color w:val="auto"/>
          <w:sz w:val="21"/>
        </w:rPr>
      </w:pPr>
      <w:r>
        <w:rPr>
          <w:color w:val="auto"/>
          <w:sz w:val="21"/>
        </w:rPr>
        <w:t>5、询问或者质疑事项可能影响成交结果的，采购人应当暂停签订合同，已经签订合同的，应当中止履行合同（成交结果的质疑期为成交结果公告期限届满之日起七个工作日）。</w:t>
      </w:r>
    </w:p>
    <w:p>
      <w:pPr>
        <w:pStyle w:val="20"/>
        <w:snapToGrid w:val="0"/>
        <w:spacing w:before="0" w:beforeAutospacing="0" w:after="0" w:afterAutospacing="0" w:line="360" w:lineRule="auto"/>
        <w:ind w:firstLine="525" w:firstLineChars="250"/>
        <w:jc w:val="both"/>
        <w:rPr>
          <w:rFonts w:hint="default"/>
          <w:b/>
          <w:color w:val="auto"/>
          <w:sz w:val="21"/>
        </w:rPr>
      </w:pPr>
      <w:r>
        <w:rPr>
          <w:b/>
          <w:color w:val="auto"/>
          <w:sz w:val="21"/>
        </w:rPr>
        <w:t>（二）合同公告及备案</w:t>
      </w:r>
    </w:p>
    <w:p>
      <w:pPr>
        <w:pStyle w:val="20"/>
        <w:snapToGrid w:val="0"/>
        <w:spacing w:before="0" w:beforeAutospacing="0" w:after="0" w:afterAutospacing="0" w:line="360" w:lineRule="auto"/>
        <w:ind w:firstLine="525" w:firstLineChars="250"/>
        <w:jc w:val="both"/>
        <w:rPr>
          <w:rFonts w:hint="default" w:eastAsia="宋体" w:cs="宋体"/>
          <w:b/>
          <w:color w:val="auto"/>
          <w:sz w:val="30"/>
          <w:szCs w:val="30"/>
        </w:rPr>
      </w:pPr>
      <w:r>
        <w:rPr>
          <w:color w:val="auto"/>
          <w:sz w:val="21"/>
        </w:rPr>
        <w:t>采购人应当自政府采购合同签订之日起2个工作日内，在省级以上财政部门指定的政府采购信息发布媒体及相关网站上公告。</w:t>
      </w:r>
      <w:bookmarkEnd w:id="28"/>
      <w:bookmarkStart w:id="44" w:name="_Toc306901457"/>
      <w:bookmarkStart w:id="45" w:name="_Toc173810699"/>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s>
        <w:autoSpaceDE w:val="0"/>
        <w:autoSpaceDN w:val="0"/>
        <w:adjustRightInd w:val="0"/>
        <w:snapToGrid w:val="0"/>
        <w:spacing w:line="360" w:lineRule="auto"/>
        <w:ind w:firstLine="454"/>
        <w:rPr>
          <w:rFonts w:ascii="宋体" w:hAnsi="宋体"/>
          <w:b/>
          <w:color w:val="auto"/>
          <w:sz w:val="21"/>
        </w:rPr>
      </w:pPr>
      <w:r>
        <w:rPr>
          <w:rFonts w:hint="eastAsia" w:ascii="宋体" w:hAnsi="宋体"/>
          <w:b/>
          <w:color w:val="auto"/>
          <w:sz w:val="21"/>
        </w:rPr>
        <w:t>七、中标服务费</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s>
        <w:autoSpaceDE w:val="0"/>
        <w:autoSpaceDN w:val="0"/>
        <w:adjustRightInd w:val="0"/>
        <w:snapToGrid w:val="0"/>
        <w:spacing w:line="360" w:lineRule="auto"/>
        <w:ind w:firstLine="454"/>
        <w:rPr>
          <w:rFonts w:ascii="宋体" w:hAnsi="宋体" w:eastAsia="宋体" w:cs="宋体"/>
          <w:color w:val="auto"/>
          <w:sz w:val="21"/>
          <w:szCs w:val="21"/>
        </w:rPr>
      </w:pPr>
      <w:r>
        <w:rPr>
          <w:rFonts w:hint="eastAsia" w:ascii="宋体" w:hAnsi="宋体" w:eastAsia="宋体" w:cs="宋体"/>
          <w:color w:val="auto"/>
          <w:sz w:val="21"/>
          <w:szCs w:val="21"/>
        </w:rPr>
        <w:t>1、中标人须向招标代理机构按如下标准和规定交纳中标服务费。</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s>
        <w:autoSpaceDE w:val="0"/>
        <w:autoSpaceDN w:val="0"/>
        <w:adjustRightInd w:val="0"/>
        <w:snapToGrid w:val="0"/>
        <w:spacing w:line="360" w:lineRule="auto"/>
        <w:ind w:firstLine="454"/>
        <w:rPr>
          <w:rFonts w:ascii="宋体" w:hAnsi="宋体"/>
          <w:color w:val="auto"/>
          <w:sz w:val="21"/>
          <w:szCs w:val="21"/>
          <w:lang w:val="zh-CN"/>
        </w:rPr>
      </w:pPr>
      <w:r>
        <w:rPr>
          <w:rFonts w:hint="eastAsia" w:ascii="宋体" w:hAnsi="宋体" w:eastAsia="宋体" w:cs="宋体"/>
          <w:color w:val="auto"/>
          <w:sz w:val="21"/>
          <w:szCs w:val="21"/>
        </w:rPr>
        <w:t>2、</w:t>
      </w:r>
      <w:r>
        <w:rPr>
          <w:color w:val="auto"/>
          <w:sz w:val="21"/>
          <w:szCs w:val="21"/>
          <w:lang w:val="zh-CN"/>
        </w:rPr>
        <w:t>本项目招标代理服务费</w:t>
      </w:r>
      <w:r>
        <w:rPr>
          <w:rFonts w:hint="eastAsia"/>
          <w:color w:val="auto"/>
          <w:sz w:val="21"/>
          <w:szCs w:val="21"/>
          <w:lang w:val="zh-CN"/>
        </w:rPr>
        <w:t>按人民币</w:t>
      </w:r>
      <w:r>
        <w:rPr>
          <w:rFonts w:hint="eastAsia" w:eastAsia="宋体"/>
          <w:color w:val="auto"/>
          <w:sz w:val="21"/>
          <w:szCs w:val="21"/>
        </w:rPr>
        <w:t>8800元计取</w:t>
      </w:r>
      <w:r>
        <w:rPr>
          <w:rFonts w:hint="eastAsia" w:ascii="宋体" w:hAnsi="宋体" w:eastAsia="宋体" w:cs="宋体"/>
          <w:color w:val="auto"/>
          <w:sz w:val="21"/>
          <w:szCs w:val="21"/>
        </w:rPr>
        <w:t>。</w:t>
      </w:r>
      <w:r>
        <w:rPr>
          <w:color w:val="auto"/>
          <w:sz w:val="21"/>
          <w:szCs w:val="21"/>
          <w:lang w:val="zh-CN"/>
        </w:rPr>
        <w:t>中标（成交）人须在领取中标（成交）通知书的同时一次性向代理机构缴清</w:t>
      </w:r>
      <w:r>
        <w:rPr>
          <w:rFonts w:hint="eastAsia"/>
          <w:color w:val="auto"/>
          <w:sz w:val="21"/>
          <w:szCs w:val="21"/>
          <w:lang w:val="zh-CN"/>
        </w:rPr>
        <w:t>。</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s>
        <w:autoSpaceDE w:val="0"/>
        <w:autoSpaceDN w:val="0"/>
        <w:adjustRightInd w:val="0"/>
        <w:spacing w:line="360" w:lineRule="auto"/>
        <w:jc w:val="both"/>
        <w:rPr>
          <w:rFonts w:hint="eastAsia" w:ascii="宋体" w:hAnsi="宋体" w:eastAsia="宋体" w:cs="宋体"/>
          <w:b/>
          <w:color w:val="auto"/>
          <w:sz w:val="30"/>
          <w:szCs w:val="30"/>
        </w:rPr>
      </w:pPr>
    </w:p>
    <w:p>
      <w:pPr>
        <w:pStyle w:val="2"/>
        <w:rPr>
          <w:rFonts w:hint="eastAsia"/>
        </w:rPr>
      </w:pP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s>
        <w:autoSpaceDE w:val="0"/>
        <w:autoSpaceDN w:val="0"/>
        <w:adjustRightInd w:val="0"/>
        <w:spacing w:line="360" w:lineRule="auto"/>
        <w:jc w:val="center"/>
        <w:rPr>
          <w:rFonts w:ascii="宋体" w:hAnsi="宋体" w:eastAsia="宋体" w:cs="宋体"/>
          <w:b/>
          <w:color w:val="auto"/>
          <w:sz w:val="30"/>
          <w:szCs w:val="30"/>
        </w:rPr>
      </w:pPr>
      <w:r>
        <w:rPr>
          <w:rFonts w:hint="eastAsia" w:ascii="宋体" w:hAnsi="宋体" w:eastAsia="宋体" w:cs="宋体"/>
          <w:b/>
          <w:color w:val="auto"/>
          <w:sz w:val="30"/>
          <w:szCs w:val="30"/>
        </w:rPr>
        <w:t>第四部分   评标办法及评分标准</w:t>
      </w:r>
      <w:bookmarkEnd w:id="44"/>
    </w:p>
    <w:p>
      <w:pPr>
        <w:snapToGrid w:val="0"/>
        <w:spacing w:line="360" w:lineRule="auto"/>
        <w:ind w:firstLine="420"/>
        <w:rPr>
          <w:rFonts w:ascii="宋体" w:hAnsi="宋体" w:eastAsia="宋体" w:cs="宋体"/>
          <w:b/>
          <w:i/>
          <w:color w:val="auto"/>
          <w:sz w:val="21"/>
          <w:szCs w:val="21"/>
        </w:rPr>
      </w:pPr>
      <w:r>
        <w:rPr>
          <w:rFonts w:hint="eastAsia" w:ascii="宋体" w:hAnsi="宋体" w:eastAsia="宋体" w:cs="宋体"/>
          <w:color w:val="auto"/>
          <w:sz w:val="21"/>
          <w:szCs w:val="21"/>
        </w:rPr>
        <w:t xml:space="preserve">一、采购组织机构将组织磋商小组，对供应商提供的磋商响应文件进行综合评审。   </w:t>
      </w:r>
    </w:p>
    <w:p>
      <w:pPr>
        <w:snapToGrid w:val="0"/>
        <w:spacing w:line="360" w:lineRule="auto"/>
        <w:ind w:firstLine="420"/>
        <w:rPr>
          <w:rFonts w:ascii="宋体" w:hAnsi="宋体" w:eastAsia="宋体" w:cs="宋体"/>
          <w:color w:val="auto"/>
          <w:sz w:val="21"/>
          <w:szCs w:val="21"/>
        </w:rPr>
      </w:pPr>
      <w:r>
        <w:rPr>
          <w:rFonts w:hint="eastAsia" w:ascii="宋体" w:hAnsi="宋体" w:eastAsia="宋体" w:cs="宋体"/>
          <w:color w:val="auto"/>
          <w:sz w:val="21"/>
          <w:szCs w:val="21"/>
        </w:rPr>
        <w:t>二、本次磋商项目的评审方法为</w:t>
      </w:r>
      <w:r>
        <w:rPr>
          <w:rFonts w:hint="eastAsia" w:ascii="宋体" w:hAnsi="宋体" w:eastAsia="宋体" w:cs="宋体"/>
          <w:b/>
          <w:color w:val="auto"/>
          <w:sz w:val="21"/>
          <w:szCs w:val="21"/>
        </w:rPr>
        <w:t>综合评分法</w:t>
      </w:r>
      <w:r>
        <w:rPr>
          <w:rFonts w:hint="eastAsia" w:ascii="宋体" w:hAnsi="宋体" w:eastAsia="宋体" w:cs="宋体"/>
          <w:color w:val="auto"/>
          <w:sz w:val="21"/>
          <w:szCs w:val="21"/>
        </w:rPr>
        <w:t>，总计100分</w:t>
      </w:r>
      <w:r>
        <w:rPr>
          <w:rFonts w:hint="eastAsia" w:ascii="宋体" w:hAnsi="宋体" w:eastAsia="宋体" w:cs="宋体"/>
          <w:bCs/>
          <w:color w:val="auto"/>
          <w:sz w:val="21"/>
          <w:szCs w:val="21"/>
          <w:lang w:val="zh-CN"/>
        </w:rPr>
        <w:t>(商务与技术文件为</w:t>
      </w:r>
      <w:r>
        <w:rPr>
          <w:rFonts w:ascii="宋体" w:hAnsi="宋体" w:eastAsia="宋体" w:cs="宋体"/>
          <w:b/>
          <w:bCs/>
          <w:color w:val="auto"/>
          <w:sz w:val="21"/>
          <w:szCs w:val="21"/>
        </w:rPr>
        <w:t>7</w:t>
      </w:r>
      <w:r>
        <w:rPr>
          <w:rFonts w:hint="eastAsia" w:ascii="宋体" w:hAnsi="宋体" w:eastAsia="宋体" w:cs="宋体"/>
          <w:b/>
          <w:bCs/>
          <w:color w:val="auto"/>
          <w:sz w:val="21"/>
          <w:szCs w:val="21"/>
        </w:rPr>
        <w:t>0</w:t>
      </w:r>
      <w:r>
        <w:rPr>
          <w:rFonts w:hint="eastAsia" w:ascii="宋体" w:hAnsi="宋体" w:eastAsia="宋体" w:cs="宋体"/>
          <w:bCs/>
          <w:color w:val="auto"/>
          <w:sz w:val="21"/>
          <w:szCs w:val="21"/>
          <w:lang w:val="zh-CN"/>
        </w:rPr>
        <w:t>分，报价文件为</w:t>
      </w:r>
      <w:r>
        <w:rPr>
          <w:rFonts w:ascii="宋体" w:hAnsi="宋体" w:eastAsia="宋体" w:cs="宋体"/>
          <w:b/>
          <w:bCs/>
          <w:color w:val="auto"/>
          <w:sz w:val="21"/>
          <w:szCs w:val="21"/>
        </w:rPr>
        <w:t>3</w:t>
      </w:r>
      <w:r>
        <w:rPr>
          <w:rFonts w:hint="eastAsia" w:ascii="宋体" w:hAnsi="宋体" w:eastAsia="宋体" w:cs="宋体"/>
          <w:b/>
          <w:bCs/>
          <w:color w:val="auto"/>
          <w:sz w:val="21"/>
          <w:szCs w:val="21"/>
        </w:rPr>
        <w:t>0</w:t>
      </w:r>
      <w:r>
        <w:rPr>
          <w:rFonts w:hint="eastAsia" w:ascii="宋体" w:hAnsi="宋体" w:eastAsia="宋体" w:cs="宋体"/>
          <w:bCs/>
          <w:color w:val="auto"/>
          <w:sz w:val="21"/>
          <w:szCs w:val="21"/>
          <w:lang w:val="zh-CN"/>
        </w:rPr>
        <w:t>分)</w:t>
      </w:r>
      <w:r>
        <w:rPr>
          <w:rFonts w:hint="eastAsia" w:ascii="宋体" w:hAnsi="宋体" w:eastAsia="宋体" w:cs="宋体"/>
          <w:color w:val="auto"/>
          <w:sz w:val="21"/>
          <w:szCs w:val="21"/>
        </w:rPr>
        <w:t>。</w:t>
      </w:r>
    </w:p>
    <w:p>
      <w:pPr>
        <w:snapToGrid w:val="0"/>
        <w:spacing w:line="360" w:lineRule="auto"/>
        <w:ind w:firstLine="420"/>
        <w:rPr>
          <w:rFonts w:ascii="宋体" w:hAnsi="宋体" w:eastAsia="宋体" w:cs="宋体"/>
          <w:color w:val="auto"/>
          <w:sz w:val="21"/>
          <w:szCs w:val="21"/>
        </w:rPr>
      </w:pPr>
      <w:r>
        <w:rPr>
          <w:rFonts w:hint="eastAsia" w:ascii="宋体" w:hAnsi="宋体" w:eastAsia="宋体" w:cs="宋体"/>
          <w:color w:val="auto"/>
          <w:sz w:val="21"/>
          <w:szCs w:val="21"/>
        </w:rPr>
        <w:t>（一）商务与技术文件由磋商小组在规定的分值内单独评定打分。</w:t>
      </w:r>
    </w:p>
    <w:p>
      <w:pPr>
        <w:snapToGrid w:val="0"/>
        <w:spacing w:line="360" w:lineRule="auto"/>
        <w:ind w:firstLine="420"/>
        <w:rPr>
          <w:rFonts w:ascii="宋体" w:hAnsi="宋体" w:eastAsia="宋体" w:cs="宋体"/>
          <w:color w:val="auto"/>
          <w:sz w:val="21"/>
          <w:szCs w:val="21"/>
        </w:rPr>
      </w:pPr>
      <w:r>
        <w:rPr>
          <w:rFonts w:hint="eastAsia" w:ascii="宋体" w:hAnsi="宋体" w:eastAsia="宋体" w:cs="宋体"/>
          <w:color w:val="auto"/>
          <w:sz w:val="21"/>
          <w:szCs w:val="21"/>
        </w:rPr>
        <w:t>（二）各磋商供应商商务与技术文件得分按照磋商小组成员的独立评分结果汇总后的算术平均分计算，计算公式为：</w:t>
      </w:r>
    </w:p>
    <w:p>
      <w:pPr>
        <w:snapToGrid w:val="0"/>
        <w:spacing w:line="360" w:lineRule="auto"/>
        <w:ind w:firstLine="420"/>
        <w:rPr>
          <w:rFonts w:ascii="宋体" w:hAnsi="宋体" w:eastAsia="宋体" w:cs="宋体"/>
          <w:color w:val="auto"/>
          <w:sz w:val="21"/>
          <w:szCs w:val="21"/>
        </w:rPr>
      </w:pPr>
      <w:r>
        <w:rPr>
          <w:rFonts w:hint="eastAsia" w:ascii="宋体" w:hAnsi="宋体" w:eastAsia="宋体" w:cs="宋体"/>
          <w:color w:val="auto"/>
          <w:sz w:val="21"/>
          <w:szCs w:val="21"/>
        </w:rPr>
        <w:t>商务与技术文件得分=磋商小组所有成员评分合计数/磋商小组组成人员数。</w:t>
      </w:r>
    </w:p>
    <w:p>
      <w:pPr>
        <w:autoSpaceDE w:val="0"/>
        <w:autoSpaceDN w:val="0"/>
        <w:adjustRightInd w:val="0"/>
        <w:spacing w:before="156" w:beforeLines="50" w:line="360" w:lineRule="exact"/>
        <w:ind w:right="85" w:firstLine="312" w:firstLineChars="148"/>
        <w:rPr>
          <w:rFonts w:ascii="宋体" w:hAnsi="宋体" w:eastAsia="宋体" w:cs="宋体"/>
          <w:b/>
          <w:bCs/>
          <w:color w:val="auto"/>
          <w:sz w:val="21"/>
          <w:szCs w:val="21"/>
          <w:lang w:val="zh-CN"/>
        </w:rPr>
      </w:pPr>
      <w:r>
        <w:rPr>
          <w:rFonts w:hint="eastAsia" w:ascii="宋体" w:hAnsi="宋体" w:eastAsia="宋体" w:cs="宋体"/>
          <w:b/>
          <w:bCs/>
          <w:color w:val="auto"/>
          <w:sz w:val="21"/>
          <w:szCs w:val="21"/>
          <w:lang w:val="zh-CN"/>
        </w:rPr>
        <w:t>（三）</w:t>
      </w:r>
      <w:r>
        <w:rPr>
          <w:rFonts w:hint="eastAsia" w:ascii="宋体" w:hAnsi="宋体" w:eastAsia="宋体" w:cs="宋体"/>
          <w:b/>
          <w:color w:val="auto"/>
          <w:sz w:val="21"/>
          <w:szCs w:val="21"/>
          <w:lang w:val="zh-CN"/>
        </w:rPr>
        <w:t>资格证明文件、商务资信技术标、报价标</w:t>
      </w:r>
      <w:r>
        <w:rPr>
          <w:rFonts w:hint="eastAsia" w:ascii="宋体" w:hAnsi="宋体" w:eastAsia="宋体" w:cs="宋体"/>
          <w:b/>
          <w:bCs/>
          <w:color w:val="auto"/>
          <w:sz w:val="21"/>
          <w:szCs w:val="21"/>
          <w:lang w:val="zh-CN"/>
        </w:rPr>
        <w:t>评审</w:t>
      </w:r>
    </w:p>
    <w:p>
      <w:pPr>
        <w:autoSpaceDE w:val="0"/>
        <w:autoSpaceDN w:val="0"/>
        <w:adjustRightInd w:val="0"/>
        <w:spacing w:line="360" w:lineRule="exact"/>
        <w:ind w:right="84" w:firstLine="207" w:firstLineChars="98"/>
        <w:rPr>
          <w:rFonts w:ascii="宋体" w:hAnsi="宋体" w:eastAsia="宋体" w:cs="宋体"/>
          <w:b/>
          <w:color w:val="auto"/>
          <w:sz w:val="21"/>
          <w:szCs w:val="21"/>
          <w:lang w:val="zh-CN"/>
        </w:rPr>
      </w:pPr>
      <w:r>
        <w:rPr>
          <w:rFonts w:hint="eastAsia" w:ascii="宋体" w:hAnsi="宋体" w:eastAsia="宋体" w:cs="宋体"/>
          <w:b/>
          <w:color w:val="auto"/>
          <w:sz w:val="21"/>
          <w:szCs w:val="21"/>
          <w:lang w:val="zh-CN"/>
        </w:rPr>
        <w:t>▲1、资格证明文件资格审查（</w:t>
      </w:r>
      <w:r>
        <w:rPr>
          <w:rFonts w:hint="eastAsia" w:ascii="宋体" w:hAnsi="宋体" w:eastAsia="宋体" w:cs="宋体"/>
          <w:b/>
          <w:bCs/>
          <w:color w:val="auto"/>
          <w:kern w:val="0"/>
          <w:sz w:val="21"/>
          <w:szCs w:val="21"/>
        </w:rPr>
        <w:t>如发现有不符合下列条款的，投标文件将作无效标处理</w:t>
      </w:r>
      <w:r>
        <w:rPr>
          <w:rFonts w:hint="eastAsia" w:ascii="宋体" w:hAnsi="宋体" w:eastAsia="宋体" w:cs="宋体"/>
          <w:b/>
          <w:color w:val="auto"/>
          <w:sz w:val="21"/>
          <w:szCs w:val="21"/>
          <w:lang w:val="zh-CN"/>
        </w:rPr>
        <w:t>）</w:t>
      </w:r>
    </w:p>
    <w:p>
      <w:pPr>
        <w:autoSpaceDE w:val="0"/>
        <w:autoSpaceDN w:val="0"/>
        <w:adjustRightInd w:val="0"/>
        <w:spacing w:line="360" w:lineRule="exact"/>
        <w:ind w:right="84" w:firstLine="420" w:firstLineChars="200"/>
        <w:rPr>
          <w:rFonts w:ascii="宋体" w:hAnsi="宋体" w:eastAsia="宋体" w:cs="宋体"/>
          <w:color w:val="auto"/>
          <w:sz w:val="21"/>
          <w:szCs w:val="21"/>
          <w:lang w:val="zh-CN"/>
        </w:rPr>
      </w:pPr>
      <w:r>
        <w:rPr>
          <w:rFonts w:hint="eastAsia" w:ascii="宋体" w:hAnsi="宋体" w:eastAsia="宋体" w:cs="宋体"/>
          <w:color w:val="auto"/>
          <w:kern w:val="21"/>
          <w:sz w:val="21"/>
          <w:szCs w:val="21"/>
          <w:lang w:val="zh-CN"/>
        </w:rPr>
        <w:t>（1）授权委托书的合法性；</w:t>
      </w:r>
    </w:p>
    <w:p>
      <w:pPr>
        <w:autoSpaceDE w:val="0"/>
        <w:autoSpaceDN w:val="0"/>
        <w:adjustRightInd w:val="0"/>
        <w:spacing w:line="360" w:lineRule="exact"/>
        <w:ind w:right="84" w:firstLine="420" w:firstLineChars="200"/>
        <w:rPr>
          <w:rFonts w:ascii="宋体" w:hAnsi="宋体" w:eastAsia="宋体" w:cs="宋体"/>
          <w:color w:val="auto"/>
          <w:kern w:val="21"/>
          <w:sz w:val="21"/>
          <w:szCs w:val="21"/>
          <w:lang w:val="zh-CN"/>
        </w:rPr>
      </w:pPr>
      <w:r>
        <w:rPr>
          <w:rFonts w:hint="eastAsia" w:ascii="宋体" w:hAnsi="宋体" w:eastAsia="宋体" w:cs="宋体"/>
          <w:color w:val="auto"/>
          <w:kern w:val="21"/>
          <w:sz w:val="21"/>
          <w:szCs w:val="21"/>
          <w:lang w:val="zh-CN"/>
        </w:rPr>
        <w:t>（2）投标人资格条件审查。</w:t>
      </w:r>
    </w:p>
    <w:p>
      <w:pPr>
        <w:autoSpaceDE w:val="0"/>
        <w:autoSpaceDN w:val="0"/>
        <w:adjustRightInd w:val="0"/>
        <w:spacing w:line="360" w:lineRule="exact"/>
        <w:ind w:right="84" w:firstLine="207" w:firstLineChars="98"/>
        <w:rPr>
          <w:rFonts w:ascii="宋体" w:hAnsi="宋体" w:eastAsia="宋体" w:cs="宋体"/>
          <w:b/>
          <w:color w:val="auto"/>
          <w:sz w:val="21"/>
          <w:szCs w:val="21"/>
          <w:lang w:val="zh-CN"/>
        </w:rPr>
      </w:pPr>
      <w:r>
        <w:rPr>
          <w:rFonts w:hint="eastAsia" w:ascii="宋体" w:hAnsi="宋体" w:eastAsia="宋体" w:cs="宋体"/>
          <w:b/>
          <w:color w:val="auto"/>
          <w:kern w:val="21"/>
          <w:sz w:val="21"/>
          <w:szCs w:val="21"/>
          <w:lang w:val="zh-CN"/>
        </w:rPr>
        <w:t>▲</w:t>
      </w:r>
      <w:r>
        <w:rPr>
          <w:rFonts w:hint="eastAsia" w:ascii="宋体" w:hAnsi="宋体" w:eastAsia="宋体" w:cs="宋体"/>
          <w:b/>
          <w:color w:val="auto"/>
          <w:sz w:val="21"/>
          <w:szCs w:val="21"/>
          <w:lang w:val="zh-CN"/>
        </w:rPr>
        <w:t>2、商务资信技术标符合性审查（</w:t>
      </w:r>
      <w:r>
        <w:rPr>
          <w:rFonts w:hint="eastAsia" w:ascii="宋体" w:hAnsi="宋体" w:eastAsia="宋体" w:cs="宋体"/>
          <w:b/>
          <w:bCs/>
          <w:color w:val="auto"/>
          <w:kern w:val="0"/>
          <w:sz w:val="21"/>
          <w:szCs w:val="21"/>
        </w:rPr>
        <w:t>如发现有不符合下列条款的，投标文件将作无效标处理</w:t>
      </w:r>
      <w:r>
        <w:rPr>
          <w:rFonts w:hint="eastAsia" w:ascii="宋体" w:hAnsi="宋体" w:eastAsia="宋体" w:cs="宋体"/>
          <w:b/>
          <w:color w:val="auto"/>
          <w:sz w:val="21"/>
          <w:szCs w:val="21"/>
          <w:lang w:val="zh-CN"/>
        </w:rPr>
        <w:t>）</w:t>
      </w:r>
    </w:p>
    <w:p>
      <w:pPr>
        <w:autoSpaceDE w:val="0"/>
        <w:autoSpaceDN w:val="0"/>
        <w:adjustRightInd w:val="0"/>
        <w:spacing w:line="360" w:lineRule="exact"/>
        <w:ind w:right="84" w:firstLine="420" w:firstLineChars="200"/>
        <w:rPr>
          <w:rFonts w:ascii="宋体" w:hAnsi="宋体" w:eastAsia="宋体" w:cs="宋体"/>
          <w:color w:val="auto"/>
          <w:sz w:val="21"/>
          <w:szCs w:val="21"/>
          <w:lang w:val="zh-CN"/>
        </w:rPr>
      </w:pPr>
      <w:r>
        <w:rPr>
          <w:rFonts w:hint="eastAsia" w:ascii="宋体" w:hAnsi="宋体" w:eastAsia="宋体" w:cs="宋体"/>
          <w:color w:val="auto"/>
          <w:kern w:val="21"/>
          <w:sz w:val="21"/>
          <w:szCs w:val="21"/>
          <w:lang w:val="zh-CN"/>
        </w:rPr>
        <w:t>（1）</w:t>
      </w:r>
      <w:r>
        <w:rPr>
          <w:rFonts w:hint="eastAsia" w:ascii="宋体" w:hAnsi="宋体" w:eastAsia="宋体" w:cs="宋体"/>
          <w:color w:val="auto"/>
          <w:sz w:val="21"/>
          <w:szCs w:val="21"/>
          <w:lang w:val="zh-CN"/>
        </w:rPr>
        <w:t>“商务资信技术标”按</w:t>
      </w:r>
      <w:r>
        <w:rPr>
          <w:rFonts w:hint="eastAsia" w:ascii="宋体" w:hAnsi="宋体" w:eastAsia="宋体" w:cs="宋体"/>
          <w:color w:val="auto"/>
          <w:kern w:val="21"/>
          <w:sz w:val="21"/>
          <w:szCs w:val="21"/>
          <w:lang w:val="zh-CN"/>
        </w:rPr>
        <w:t>磋商</w:t>
      </w:r>
      <w:r>
        <w:rPr>
          <w:rFonts w:hint="eastAsia" w:ascii="宋体" w:hAnsi="宋体" w:eastAsia="宋体" w:cs="宋体"/>
          <w:color w:val="auto"/>
          <w:sz w:val="21"/>
          <w:szCs w:val="21"/>
          <w:lang w:val="zh-CN"/>
        </w:rPr>
        <w:t>文件要求编制，字迹清晰可辩，文件签署、盖章齐全；</w:t>
      </w:r>
    </w:p>
    <w:p>
      <w:pPr>
        <w:autoSpaceDE w:val="0"/>
        <w:autoSpaceDN w:val="0"/>
        <w:adjustRightInd w:val="0"/>
        <w:spacing w:line="360" w:lineRule="exact"/>
        <w:ind w:right="84" w:firstLine="420" w:firstLineChars="200"/>
        <w:rPr>
          <w:rFonts w:ascii="宋体" w:hAnsi="宋体" w:eastAsia="宋体" w:cs="宋体"/>
          <w:color w:val="auto"/>
          <w:sz w:val="21"/>
          <w:szCs w:val="21"/>
          <w:lang w:val="zh-CN"/>
        </w:rPr>
      </w:pPr>
      <w:r>
        <w:rPr>
          <w:rFonts w:hint="eastAsia" w:ascii="宋体" w:hAnsi="宋体" w:eastAsia="宋体" w:cs="宋体"/>
          <w:color w:val="auto"/>
          <w:kern w:val="21"/>
          <w:sz w:val="21"/>
          <w:szCs w:val="21"/>
          <w:lang w:val="zh-CN"/>
        </w:rPr>
        <w:t>（2）</w:t>
      </w:r>
      <w:r>
        <w:rPr>
          <w:rFonts w:hint="eastAsia" w:ascii="宋体" w:hAnsi="宋体" w:eastAsia="宋体" w:cs="宋体"/>
          <w:color w:val="auto"/>
          <w:sz w:val="21"/>
          <w:szCs w:val="21"/>
          <w:lang w:val="zh-CN"/>
        </w:rPr>
        <w:t>磋商响应文件中技术与服务满足</w:t>
      </w:r>
      <w:r>
        <w:rPr>
          <w:rFonts w:hint="eastAsia" w:ascii="宋体" w:hAnsi="宋体" w:eastAsia="宋体" w:cs="宋体"/>
          <w:color w:val="auto"/>
          <w:kern w:val="21"/>
          <w:sz w:val="21"/>
          <w:szCs w:val="21"/>
          <w:lang w:val="zh-CN"/>
        </w:rPr>
        <w:t>磋商</w:t>
      </w:r>
      <w:r>
        <w:rPr>
          <w:rFonts w:hint="eastAsia" w:ascii="宋体" w:hAnsi="宋体" w:eastAsia="宋体" w:cs="宋体"/>
          <w:color w:val="auto"/>
          <w:sz w:val="21"/>
          <w:szCs w:val="21"/>
          <w:lang w:val="zh-CN"/>
        </w:rPr>
        <w:t>文件采购需求的实质性要求；</w:t>
      </w:r>
    </w:p>
    <w:p>
      <w:pPr>
        <w:autoSpaceDE w:val="0"/>
        <w:autoSpaceDN w:val="0"/>
        <w:adjustRightInd w:val="0"/>
        <w:spacing w:line="360" w:lineRule="exact"/>
        <w:ind w:right="84" w:firstLine="420" w:firstLineChars="200"/>
        <w:rPr>
          <w:rFonts w:ascii="宋体" w:hAnsi="宋体" w:eastAsia="宋体" w:cs="宋体"/>
          <w:color w:val="auto"/>
          <w:sz w:val="21"/>
          <w:szCs w:val="21"/>
          <w:lang w:val="zh-CN"/>
        </w:rPr>
      </w:pPr>
      <w:r>
        <w:rPr>
          <w:rFonts w:hint="eastAsia" w:ascii="宋体" w:hAnsi="宋体" w:eastAsia="宋体" w:cs="宋体"/>
          <w:color w:val="auto"/>
          <w:kern w:val="21"/>
          <w:sz w:val="21"/>
          <w:szCs w:val="21"/>
          <w:lang w:val="zh-CN"/>
        </w:rPr>
        <w:t>（3）磋商文件其他实质性要求或规定。</w:t>
      </w:r>
    </w:p>
    <w:p>
      <w:pPr>
        <w:autoSpaceDE w:val="0"/>
        <w:autoSpaceDN w:val="0"/>
        <w:adjustRightInd w:val="0"/>
        <w:spacing w:line="360" w:lineRule="exact"/>
        <w:ind w:right="84" w:firstLine="207" w:firstLineChars="98"/>
        <w:rPr>
          <w:rFonts w:ascii="宋体" w:hAnsi="宋体" w:eastAsia="宋体" w:cs="宋体"/>
          <w:b/>
          <w:color w:val="auto"/>
          <w:sz w:val="21"/>
          <w:szCs w:val="21"/>
          <w:lang w:val="zh-CN"/>
        </w:rPr>
      </w:pPr>
      <w:r>
        <w:rPr>
          <w:rFonts w:hint="eastAsia" w:ascii="宋体" w:hAnsi="宋体" w:eastAsia="宋体" w:cs="宋体"/>
          <w:b/>
          <w:color w:val="auto"/>
          <w:kern w:val="21"/>
          <w:sz w:val="21"/>
          <w:szCs w:val="21"/>
          <w:lang w:val="zh-CN"/>
        </w:rPr>
        <w:t>▲</w:t>
      </w:r>
      <w:r>
        <w:rPr>
          <w:rFonts w:hint="eastAsia" w:ascii="宋体" w:hAnsi="宋体" w:eastAsia="宋体" w:cs="宋体"/>
          <w:b/>
          <w:color w:val="auto"/>
          <w:sz w:val="21"/>
          <w:szCs w:val="21"/>
          <w:lang w:val="zh-CN"/>
        </w:rPr>
        <w:t>3、报价标的符合性评审（</w:t>
      </w:r>
      <w:r>
        <w:rPr>
          <w:rFonts w:hint="eastAsia" w:ascii="宋体" w:hAnsi="宋体" w:eastAsia="宋体" w:cs="宋体"/>
          <w:b/>
          <w:bCs/>
          <w:color w:val="auto"/>
          <w:kern w:val="0"/>
          <w:sz w:val="21"/>
          <w:szCs w:val="21"/>
        </w:rPr>
        <w:t>如发现有不符合下列条款的，投标文件将作无效标处理</w:t>
      </w:r>
      <w:r>
        <w:rPr>
          <w:rFonts w:hint="eastAsia" w:ascii="宋体" w:hAnsi="宋体" w:eastAsia="宋体" w:cs="宋体"/>
          <w:b/>
          <w:color w:val="auto"/>
          <w:sz w:val="21"/>
          <w:szCs w:val="21"/>
          <w:lang w:val="zh-CN"/>
        </w:rPr>
        <w:t>）</w:t>
      </w:r>
    </w:p>
    <w:p>
      <w:pPr>
        <w:autoSpaceDE w:val="0"/>
        <w:autoSpaceDN w:val="0"/>
        <w:adjustRightInd w:val="0"/>
        <w:spacing w:line="360" w:lineRule="exact"/>
        <w:ind w:right="84" w:firstLine="420" w:firstLineChars="200"/>
        <w:rPr>
          <w:rFonts w:ascii="宋体" w:hAnsi="宋体" w:eastAsia="宋体" w:cs="宋体"/>
          <w:color w:val="auto"/>
          <w:sz w:val="21"/>
          <w:szCs w:val="21"/>
          <w:lang w:val="zh-CN"/>
        </w:rPr>
      </w:pPr>
      <w:r>
        <w:rPr>
          <w:rFonts w:hint="eastAsia" w:ascii="宋体" w:hAnsi="宋体" w:eastAsia="宋体" w:cs="宋体"/>
          <w:color w:val="auto"/>
          <w:kern w:val="21"/>
          <w:sz w:val="21"/>
          <w:szCs w:val="21"/>
          <w:lang w:val="zh-CN"/>
        </w:rPr>
        <w:t>（1）</w:t>
      </w:r>
      <w:r>
        <w:rPr>
          <w:rFonts w:hint="eastAsia" w:ascii="宋体" w:hAnsi="宋体" w:eastAsia="宋体" w:cs="宋体"/>
          <w:color w:val="auto"/>
          <w:sz w:val="21"/>
          <w:szCs w:val="21"/>
          <w:lang w:val="zh-CN"/>
        </w:rPr>
        <w:t>报价标内容是否提供完整，签署、盖章是否齐全；</w:t>
      </w:r>
    </w:p>
    <w:p>
      <w:pPr>
        <w:autoSpaceDE w:val="0"/>
        <w:autoSpaceDN w:val="0"/>
        <w:adjustRightInd w:val="0"/>
        <w:spacing w:line="360" w:lineRule="exact"/>
        <w:ind w:right="84" w:firstLine="420" w:firstLineChars="200"/>
        <w:rPr>
          <w:rFonts w:ascii="宋体" w:hAnsi="宋体" w:eastAsia="宋体" w:cs="宋体"/>
          <w:color w:val="auto"/>
          <w:kern w:val="21"/>
          <w:sz w:val="21"/>
          <w:szCs w:val="21"/>
          <w:lang w:val="zh-CN"/>
        </w:rPr>
      </w:pPr>
      <w:r>
        <w:rPr>
          <w:rFonts w:hint="eastAsia" w:ascii="宋体" w:hAnsi="宋体" w:eastAsia="宋体" w:cs="宋体"/>
          <w:color w:val="auto"/>
          <w:kern w:val="21"/>
          <w:sz w:val="21"/>
          <w:szCs w:val="21"/>
          <w:lang w:val="zh-CN"/>
        </w:rPr>
        <w:t>（2）报价文件</w:t>
      </w:r>
      <w:r>
        <w:rPr>
          <w:rFonts w:hint="eastAsia" w:ascii="宋体" w:hAnsi="宋体" w:eastAsia="宋体" w:cs="宋体"/>
          <w:color w:val="auto"/>
          <w:sz w:val="21"/>
          <w:szCs w:val="21"/>
          <w:lang w:val="zh-CN"/>
        </w:rPr>
        <w:t>是</w:t>
      </w:r>
      <w:r>
        <w:rPr>
          <w:rFonts w:hint="eastAsia" w:ascii="宋体" w:hAnsi="宋体" w:eastAsia="宋体" w:cs="宋体"/>
          <w:color w:val="auto"/>
          <w:kern w:val="21"/>
          <w:sz w:val="21"/>
          <w:szCs w:val="21"/>
          <w:lang w:val="zh-CN"/>
        </w:rPr>
        <w:t>否按规定的格式填写完整；</w:t>
      </w:r>
    </w:p>
    <w:p>
      <w:pPr>
        <w:autoSpaceDE w:val="0"/>
        <w:autoSpaceDN w:val="0"/>
        <w:adjustRightInd w:val="0"/>
        <w:spacing w:line="360" w:lineRule="exact"/>
        <w:ind w:right="84" w:firstLine="420" w:firstLineChars="200"/>
        <w:rPr>
          <w:color w:val="auto"/>
        </w:rPr>
      </w:pPr>
      <w:r>
        <w:rPr>
          <w:rFonts w:hint="eastAsia" w:ascii="宋体" w:hAnsi="宋体" w:eastAsia="宋体" w:cs="宋体"/>
          <w:color w:val="auto"/>
          <w:kern w:val="21"/>
          <w:sz w:val="21"/>
          <w:szCs w:val="21"/>
          <w:lang w:val="zh-CN"/>
        </w:rPr>
        <w:t>（3）磋商文件其他实质性要求或规定</w:t>
      </w:r>
      <w:r>
        <w:rPr>
          <w:rFonts w:hint="eastAsia" w:ascii="宋体" w:hAnsi="宋体" w:eastAsia="宋体" w:cs="宋体"/>
          <w:color w:val="auto"/>
          <w:sz w:val="21"/>
          <w:szCs w:val="21"/>
          <w:lang w:val="zh-CN"/>
        </w:rPr>
        <w:t>。</w:t>
      </w:r>
    </w:p>
    <w:p>
      <w:pPr>
        <w:snapToGrid w:val="0"/>
        <w:spacing w:line="360" w:lineRule="auto"/>
        <w:ind w:firstLine="420"/>
        <w:rPr>
          <w:rFonts w:ascii="宋体" w:hAnsi="宋体" w:eastAsia="宋体" w:cs="宋体"/>
          <w:color w:val="auto"/>
          <w:sz w:val="21"/>
          <w:szCs w:val="21"/>
        </w:rPr>
      </w:pPr>
      <w:r>
        <w:rPr>
          <w:rFonts w:hint="eastAsia" w:ascii="宋体" w:hAnsi="宋体" w:eastAsia="宋体" w:cs="宋体"/>
          <w:color w:val="auto"/>
          <w:sz w:val="21"/>
          <w:szCs w:val="21"/>
        </w:rPr>
        <w:t>（四）综合评分法中的价格分统一采用低价优先法计算，即满足磋商文件要求且最终报价最低的供应商的价格作为磋商基准价，其报价得满分。其他供应商的价格分统一按照下列公式计算：</w:t>
      </w:r>
    </w:p>
    <w:p>
      <w:pPr>
        <w:snapToGrid w:val="0"/>
        <w:spacing w:line="360" w:lineRule="auto"/>
        <w:ind w:firstLine="420"/>
        <w:rPr>
          <w:color w:val="auto"/>
        </w:rPr>
      </w:pPr>
      <w:r>
        <w:rPr>
          <w:rFonts w:hint="eastAsia" w:ascii="宋体" w:hAnsi="宋体" w:eastAsia="宋体" w:cs="宋体"/>
          <w:color w:val="auto"/>
          <w:sz w:val="21"/>
          <w:szCs w:val="21"/>
        </w:rPr>
        <w:t>磋商报价得分=(磋商基准价／最终磋商报价)×70%×100 。</w:t>
      </w:r>
    </w:p>
    <w:p>
      <w:pPr>
        <w:snapToGrid w:val="0"/>
        <w:spacing w:line="360" w:lineRule="auto"/>
        <w:ind w:firstLine="420"/>
        <w:rPr>
          <w:rFonts w:ascii="宋体" w:hAnsi="宋体" w:eastAsia="宋体" w:cs="宋体"/>
          <w:color w:val="auto"/>
          <w:sz w:val="21"/>
          <w:szCs w:val="21"/>
        </w:rPr>
      </w:pPr>
      <w:r>
        <w:rPr>
          <w:rFonts w:hint="eastAsia" w:ascii="宋体" w:hAnsi="宋体" w:eastAsia="宋体" w:cs="宋体"/>
          <w:color w:val="auto"/>
          <w:sz w:val="21"/>
          <w:szCs w:val="21"/>
        </w:rPr>
        <w:t>注：评分过程中采用四舍五入法，并保留小数2位（以政采云系统计算为准）。</w:t>
      </w:r>
    </w:p>
    <w:p>
      <w:pPr>
        <w:snapToGrid w:val="0"/>
        <w:spacing w:line="360" w:lineRule="auto"/>
        <w:ind w:firstLine="420"/>
        <w:rPr>
          <w:rFonts w:ascii="宋体" w:hAnsi="宋体" w:eastAsia="宋体" w:cs="宋体"/>
          <w:color w:val="auto"/>
          <w:sz w:val="21"/>
          <w:szCs w:val="21"/>
        </w:rPr>
      </w:pPr>
      <w:r>
        <w:rPr>
          <w:rFonts w:hint="eastAsia" w:ascii="宋体" w:hAnsi="宋体" w:eastAsia="宋体" w:cs="宋体"/>
          <w:color w:val="auto"/>
          <w:sz w:val="21"/>
          <w:szCs w:val="21"/>
        </w:rPr>
        <w:t>三、在最大限度地满足磋商文件实质性要求前提下，磋商小组按照磋商文件中规定的各项因素进行综合评审后，以评审总得分最高的供应商为成交候选供应商。</w:t>
      </w:r>
    </w:p>
    <w:p>
      <w:pPr>
        <w:autoSpaceDE w:val="0"/>
        <w:autoSpaceDN w:val="0"/>
        <w:adjustRightInd w:val="0"/>
        <w:snapToGrid w:val="0"/>
        <w:spacing w:line="360" w:lineRule="auto"/>
        <w:ind w:firstLine="315" w:firstLineChars="150"/>
        <w:rPr>
          <w:rFonts w:ascii="宋体" w:hAnsi="宋体" w:eastAsia="宋体" w:cs="宋体"/>
          <w:color w:val="auto"/>
          <w:sz w:val="21"/>
          <w:szCs w:val="21"/>
        </w:rPr>
      </w:pPr>
      <w:r>
        <w:rPr>
          <w:rFonts w:hint="eastAsia" w:ascii="宋体" w:hAnsi="宋体" w:eastAsia="宋体" w:cs="宋体"/>
          <w:color w:val="auto"/>
          <w:sz w:val="21"/>
          <w:szCs w:val="21"/>
        </w:rPr>
        <w:t xml:space="preserve">四、按评审后综合得分由高到低顺序排列。综合得分相同的，按磋商报价由低到高顺序排列；综合得分且磋商报价相同的，按技术分得分由高到低顺序排列。排名第一的供应商为第一中标候选人，排名第二的供应商为第二中标候选人，并以此类推（如有效供应商超过三家，原则上推荐三家）。 </w:t>
      </w:r>
    </w:p>
    <w:p>
      <w:pPr>
        <w:autoSpaceDE w:val="0"/>
        <w:autoSpaceDN w:val="0"/>
        <w:adjustRightInd w:val="0"/>
        <w:snapToGrid w:val="0"/>
        <w:spacing w:line="360" w:lineRule="auto"/>
        <w:ind w:firstLine="315" w:firstLineChars="150"/>
        <w:rPr>
          <w:rFonts w:ascii="宋体" w:hAnsi="宋体" w:eastAsia="宋体" w:cs="宋体"/>
          <w:b/>
          <w:color w:val="auto"/>
          <w:sz w:val="30"/>
          <w:szCs w:val="30"/>
        </w:rPr>
      </w:pPr>
      <w:r>
        <w:rPr>
          <w:rFonts w:hint="eastAsia" w:ascii="宋体" w:hAnsi="宋体" w:eastAsia="宋体" w:cs="宋体"/>
          <w:color w:val="auto"/>
          <w:sz w:val="21"/>
          <w:szCs w:val="21"/>
        </w:rPr>
        <w:t>五、本次评分具体分值细化条款如下表:</w:t>
      </w:r>
      <w:bookmarkEnd w:id="45"/>
      <w:bookmarkStart w:id="46" w:name="_Toc306901461"/>
    </w:p>
    <w:tbl>
      <w:tblPr>
        <w:tblStyle w:val="24"/>
        <w:tblW w:w="99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2119"/>
        <w:gridCol w:w="6011"/>
        <w:gridCol w:w="1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776" w:type="dxa"/>
            <w:vAlign w:val="center"/>
          </w:tcPr>
          <w:p>
            <w:pPr>
              <w:jc w:val="center"/>
              <w:rPr>
                <w:rFonts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2119" w:type="dxa"/>
            <w:vAlign w:val="center"/>
          </w:tcPr>
          <w:p>
            <w:pPr>
              <w:pStyle w:val="19"/>
              <w:ind w:left="0" w:leftChars="0"/>
              <w:jc w:val="center"/>
              <w:rPr>
                <w:rFonts w:ascii="宋体" w:hAnsi="宋体" w:eastAsia="宋体" w:cs="宋体"/>
                <w:b/>
                <w:bCs/>
                <w:color w:val="auto"/>
                <w:sz w:val="21"/>
                <w:szCs w:val="21"/>
              </w:rPr>
            </w:pPr>
            <w:r>
              <w:rPr>
                <w:rFonts w:hint="eastAsia" w:ascii="宋体" w:hAnsi="宋体" w:eastAsia="宋体" w:cs="宋体"/>
                <w:b/>
                <w:bCs/>
                <w:color w:val="auto"/>
                <w:sz w:val="21"/>
                <w:szCs w:val="21"/>
              </w:rPr>
              <w:t>评审内容</w:t>
            </w:r>
          </w:p>
        </w:tc>
        <w:tc>
          <w:tcPr>
            <w:tcW w:w="6011" w:type="dxa"/>
            <w:vAlign w:val="center"/>
          </w:tcPr>
          <w:p>
            <w:pPr>
              <w:pStyle w:val="19"/>
              <w:ind w:left="0" w:leftChars="0"/>
              <w:jc w:val="center"/>
              <w:rPr>
                <w:rFonts w:ascii="宋体" w:hAnsi="宋体" w:eastAsia="宋体" w:cs="宋体"/>
                <w:b/>
                <w:bCs/>
                <w:color w:val="auto"/>
                <w:sz w:val="21"/>
                <w:szCs w:val="21"/>
              </w:rPr>
            </w:pPr>
            <w:r>
              <w:rPr>
                <w:rFonts w:hint="eastAsia" w:ascii="宋体" w:hAnsi="宋体" w:eastAsia="宋体" w:cs="宋体"/>
                <w:b/>
                <w:bCs/>
                <w:color w:val="auto"/>
                <w:sz w:val="21"/>
                <w:szCs w:val="21"/>
              </w:rPr>
              <w:t>评分标准</w:t>
            </w:r>
          </w:p>
        </w:tc>
        <w:tc>
          <w:tcPr>
            <w:tcW w:w="1033" w:type="dxa"/>
            <w:vAlign w:val="center"/>
          </w:tcPr>
          <w:p>
            <w:pPr>
              <w:pStyle w:val="19"/>
              <w:ind w:left="0" w:leftChars="0"/>
              <w:jc w:val="center"/>
              <w:rPr>
                <w:rFonts w:ascii="宋体" w:hAnsi="宋体" w:eastAsia="宋体" w:cs="宋体"/>
                <w:b/>
                <w:bCs/>
                <w:color w:val="auto"/>
                <w:sz w:val="21"/>
                <w:szCs w:val="21"/>
              </w:rPr>
            </w:pPr>
            <w:r>
              <w:rPr>
                <w:rFonts w:hint="eastAsia" w:ascii="宋体" w:hAnsi="宋体" w:eastAsia="宋体" w:cs="宋体"/>
                <w:b/>
                <w:bCs/>
                <w:color w:val="auto"/>
                <w:sz w:val="21"/>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8906" w:type="dxa"/>
            <w:gridSpan w:val="3"/>
            <w:vAlign w:val="center"/>
          </w:tcPr>
          <w:p>
            <w:pPr>
              <w:pStyle w:val="19"/>
              <w:ind w:left="720" w:firstLine="420"/>
              <w:jc w:val="center"/>
              <w:rPr>
                <w:rFonts w:ascii="宋体" w:hAnsi="宋体" w:eastAsia="宋体" w:cs="宋体"/>
                <w:b/>
                <w:bCs/>
                <w:color w:val="auto"/>
                <w:sz w:val="21"/>
                <w:szCs w:val="21"/>
              </w:rPr>
            </w:pPr>
            <w:r>
              <w:rPr>
                <w:rFonts w:hint="eastAsia" w:ascii="宋体" w:hAnsi="宋体" w:eastAsia="宋体" w:cs="宋体"/>
                <w:b/>
                <w:bCs/>
                <w:color w:val="auto"/>
                <w:sz w:val="21"/>
                <w:szCs w:val="21"/>
              </w:rPr>
              <w:t>一、商务资信分</w:t>
            </w:r>
          </w:p>
        </w:tc>
        <w:tc>
          <w:tcPr>
            <w:tcW w:w="1033" w:type="dxa"/>
            <w:vAlign w:val="center"/>
          </w:tcPr>
          <w:p>
            <w:pPr>
              <w:pStyle w:val="19"/>
              <w:ind w:left="0" w:leftChars="0"/>
              <w:jc w:val="center"/>
              <w:rPr>
                <w:rFonts w:ascii="宋体" w:hAnsi="宋体" w:eastAsia="宋体" w:cs="宋体"/>
                <w:b/>
                <w:bCs/>
                <w:color w:val="auto"/>
                <w:sz w:val="21"/>
                <w:szCs w:val="21"/>
              </w:rPr>
            </w:pPr>
            <w:r>
              <w:rPr>
                <w:rFonts w:ascii="宋体" w:hAnsi="宋体" w:eastAsia="宋体" w:cs="宋体"/>
                <w:b/>
                <w:bCs/>
                <w:color w:val="auto"/>
                <w:sz w:val="21"/>
                <w:szCs w:val="21"/>
              </w:rPr>
              <w:t>6</w:t>
            </w:r>
            <w:r>
              <w:rPr>
                <w:rFonts w:hint="eastAsia" w:ascii="宋体" w:hAnsi="宋体" w:eastAsia="宋体" w:cs="宋体"/>
                <w:b/>
                <w:bCs/>
                <w:color w:val="auto"/>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9" w:hRule="atLeast"/>
          <w:jc w:val="center"/>
        </w:trPr>
        <w:tc>
          <w:tcPr>
            <w:tcW w:w="776" w:type="dxa"/>
            <w:vAlign w:val="center"/>
          </w:tcPr>
          <w:p>
            <w:pPr>
              <w:widowControl/>
              <w:jc w:val="center"/>
              <w:rPr>
                <w:rFonts w:ascii="宋体" w:hAnsi="宋体" w:eastAsia="宋体" w:cs="宋体"/>
                <w:color w:val="auto"/>
                <w:sz w:val="21"/>
                <w:szCs w:val="21"/>
              </w:rPr>
            </w:pPr>
            <w:r>
              <w:rPr>
                <w:rFonts w:ascii="宋体" w:hAnsi="宋体" w:eastAsia="宋体" w:cs="宋体"/>
                <w:color w:val="auto"/>
                <w:sz w:val="21"/>
                <w:szCs w:val="21"/>
              </w:rPr>
              <w:t>1</w:t>
            </w:r>
          </w:p>
        </w:tc>
        <w:tc>
          <w:tcPr>
            <w:tcW w:w="2119" w:type="dxa"/>
            <w:vAlign w:val="center"/>
          </w:tcPr>
          <w:p>
            <w:pPr>
              <w:jc w:val="center"/>
              <w:rPr>
                <w:rFonts w:ascii="宋体" w:hAnsi="宋体" w:eastAsia="宋体" w:cs="宋体"/>
                <w:color w:val="auto"/>
                <w:sz w:val="21"/>
                <w:szCs w:val="21"/>
              </w:rPr>
            </w:pPr>
            <w:r>
              <w:rPr>
                <w:rFonts w:hint="eastAsia" w:ascii="宋体" w:hAnsi="宋体" w:eastAsia="宋体" w:cs="宋体"/>
                <w:color w:val="auto"/>
                <w:sz w:val="21"/>
                <w:szCs w:val="21"/>
              </w:rPr>
              <w:t>类似项目业绩</w:t>
            </w:r>
          </w:p>
        </w:tc>
        <w:tc>
          <w:tcPr>
            <w:tcW w:w="6011" w:type="dxa"/>
            <w:vAlign w:val="center"/>
          </w:tcPr>
          <w:p>
            <w:pPr>
              <w:rPr>
                <w:rFonts w:ascii="宋体" w:hAnsi="宋体" w:eastAsia="宋体" w:cs="宋体"/>
                <w:color w:val="auto"/>
                <w:sz w:val="21"/>
                <w:szCs w:val="21"/>
              </w:rPr>
            </w:pPr>
            <w:r>
              <w:rPr>
                <w:rFonts w:hint="eastAsia" w:ascii="宋体" w:hAnsi="宋体" w:eastAsia="宋体" w:cs="宋体"/>
                <w:color w:val="auto"/>
                <w:sz w:val="21"/>
                <w:szCs w:val="21"/>
              </w:rPr>
              <w:t>自2019年1月1日（以合同签订时间为准）以来，承担过类似项目施工业绩的，每项得1分，最高得2分。</w:t>
            </w:r>
          </w:p>
        </w:tc>
        <w:tc>
          <w:tcPr>
            <w:tcW w:w="1033" w:type="dxa"/>
            <w:vAlign w:val="center"/>
          </w:tcPr>
          <w:p>
            <w:pPr>
              <w:pStyle w:val="19"/>
              <w:ind w:left="0" w:leftChars="0"/>
              <w:jc w:val="center"/>
              <w:rPr>
                <w:rFonts w:ascii="宋体" w:hAnsi="宋体" w:eastAsia="宋体" w:cs="宋体"/>
                <w:color w:val="auto"/>
                <w:sz w:val="21"/>
                <w:szCs w:val="21"/>
              </w:rPr>
            </w:pPr>
            <w:r>
              <w:rPr>
                <w:rFonts w:hint="eastAsia" w:ascii="宋体" w:hAnsi="宋体" w:eastAsia="宋体" w:cs="宋体"/>
                <w:color w:val="auto"/>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7" w:hRule="atLeast"/>
          <w:jc w:val="center"/>
        </w:trPr>
        <w:tc>
          <w:tcPr>
            <w:tcW w:w="776" w:type="dxa"/>
            <w:vAlign w:val="center"/>
          </w:tcPr>
          <w:p>
            <w:pPr>
              <w:widowControl/>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w:t>
            </w:r>
          </w:p>
        </w:tc>
        <w:tc>
          <w:tcPr>
            <w:tcW w:w="2119" w:type="dxa"/>
            <w:vAlign w:val="center"/>
          </w:tcPr>
          <w:p>
            <w:pPr>
              <w:pStyle w:val="19"/>
              <w:ind w:left="0" w:leftChars="0"/>
              <w:rPr>
                <w:rFonts w:ascii="宋体" w:eastAsia="宋体" w:cs="宋体"/>
                <w:bCs/>
                <w:color w:val="auto"/>
                <w:sz w:val="21"/>
                <w:szCs w:val="21"/>
              </w:rPr>
            </w:pPr>
            <w:r>
              <w:rPr>
                <w:rFonts w:hint="eastAsia" w:ascii="宋体" w:eastAsia="宋体" w:cs="宋体"/>
                <w:bCs/>
                <w:color w:val="auto"/>
                <w:sz w:val="21"/>
                <w:szCs w:val="21"/>
              </w:rPr>
              <w:t>项目管理班子配备情况</w:t>
            </w:r>
          </w:p>
        </w:tc>
        <w:tc>
          <w:tcPr>
            <w:tcW w:w="6011" w:type="dxa"/>
            <w:vAlign w:val="center"/>
          </w:tcPr>
          <w:p>
            <w:pPr>
              <w:rPr>
                <w:rFonts w:ascii="宋体" w:hAnsi="宋体" w:eastAsia="宋体" w:cs="宋体"/>
                <w:color w:val="auto"/>
                <w:sz w:val="21"/>
                <w:szCs w:val="21"/>
              </w:rPr>
            </w:pPr>
            <w:r>
              <w:rPr>
                <w:rFonts w:hint="eastAsia" w:ascii="宋体" w:hAnsi="宋体" w:eastAsia="宋体" w:cs="宋体"/>
                <w:color w:val="auto"/>
                <w:sz w:val="21"/>
                <w:szCs w:val="21"/>
              </w:rPr>
              <w:t>项目管理班子的人员中配备技术负责人（须具备高级工程师职称证书）、 质量员（须具备住建局颁发的建筑工程质量员培训合格证）、施工员（须具备建筑工程施工员培训合格证）、专职安全管理人员（须具备专职安全管理人员C”类证书）的，每提供一人得</w:t>
            </w:r>
            <w:r>
              <w:rPr>
                <w:rFonts w:ascii="宋体" w:hAnsi="宋体" w:eastAsia="宋体" w:cs="宋体"/>
                <w:color w:val="auto"/>
                <w:sz w:val="21"/>
                <w:szCs w:val="21"/>
              </w:rPr>
              <w:t>1</w:t>
            </w:r>
            <w:r>
              <w:rPr>
                <w:rFonts w:hint="eastAsia" w:ascii="宋体" w:hAnsi="宋体" w:eastAsia="宋体" w:cs="宋体"/>
                <w:color w:val="auto"/>
                <w:sz w:val="21"/>
                <w:szCs w:val="21"/>
              </w:rPr>
              <w:t>分，最高得</w:t>
            </w:r>
            <w:r>
              <w:rPr>
                <w:rFonts w:ascii="宋体" w:hAnsi="宋体" w:eastAsia="宋体" w:cs="宋体"/>
                <w:color w:val="auto"/>
                <w:sz w:val="21"/>
                <w:szCs w:val="21"/>
              </w:rPr>
              <w:t>4</w:t>
            </w:r>
            <w:r>
              <w:rPr>
                <w:rFonts w:hint="eastAsia" w:ascii="宋体" w:hAnsi="宋体" w:eastAsia="宋体" w:cs="宋体"/>
                <w:color w:val="auto"/>
                <w:sz w:val="21"/>
                <w:szCs w:val="21"/>
              </w:rPr>
              <w:t>分。</w:t>
            </w:r>
          </w:p>
          <w:p>
            <w:pPr>
              <w:rPr>
                <w:rFonts w:ascii="宋体" w:hAnsi="宋体" w:eastAsia="宋体" w:cs="宋体"/>
                <w:b/>
                <w:bCs/>
                <w:color w:val="auto"/>
                <w:sz w:val="21"/>
                <w:szCs w:val="21"/>
              </w:rPr>
            </w:pPr>
            <w:r>
              <w:rPr>
                <w:rFonts w:hint="eastAsia" w:ascii="宋体" w:hAnsi="宋体" w:eastAsia="宋体" w:cs="宋体"/>
                <w:b/>
                <w:bCs/>
                <w:color w:val="auto"/>
                <w:sz w:val="21"/>
                <w:szCs w:val="21"/>
              </w:rPr>
              <w:t>注：提供近3个月的本单位社保缴纳证明复印件及有效证书复印件编入</w:t>
            </w:r>
            <w:r>
              <w:rPr>
                <w:rFonts w:hint="eastAsia" w:ascii="宋体" w:hAnsi="宋体" w:eastAsia="宋体" w:cs="宋体"/>
                <w:b/>
                <w:color w:val="auto"/>
                <w:sz w:val="21"/>
                <w:szCs w:val="21"/>
              </w:rPr>
              <w:t>商务与技术标</w:t>
            </w:r>
            <w:r>
              <w:rPr>
                <w:rFonts w:hint="eastAsia" w:ascii="宋体" w:hAnsi="宋体" w:eastAsia="宋体" w:cs="宋体"/>
                <w:b/>
                <w:bCs/>
                <w:color w:val="auto"/>
                <w:sz w:val="21"/>
                <w:szCs w:val="21"/>
              </w:rPr>
              <w:t>,</w:t>
            </w:r>
            <w:r>
              <w:rPr>
                <w:rFonts w:hint="eastAsia" w:ascii="宋体" w:hAnsi="宋体" w:eastAsia="宋体" w:cs="宋体"/>
                <w:b/>
                <w:color w:val="auto"/>
                <w:sz w:val="21"/>
                <w:szCs w:val="21"/>
              </w:rPr>
              <w:t>否则不得分。</w:t>
            </w:r>
          </w:p>
        </w:tc>
        <w:tc>
          <w:tcPr>
            <w:tcW w:w="1033" w:type="dxa"/>
            <w:vAlign w:val="center"/>
          </w:tcPr>
          <w:p>
            <w:pPr>
              <w:pStyle w:val="19"/>
              <w:ind w:left="0" w:leftChars="0"/>
              <w:jc w:val="center"/>
              <w:rPr>
                <w:rFonts w:ascii="宋体" w:hAnsi="宋体" w:eastAsia="宋体" w:cs="宋体"/>
                <w:color w:val="auto"/>
                <w:sz w:val="21"/>
                <w:szCs w:val="21"/>
              </w:rPr>
            </w:pPr>
            <w:r>
              <w:rPr>
                <w:rFonts w:ascii="宋体" w:hAnsi="宋体" w:eastAsia="宋体" w:cs="宋体"/>
                <w:color w:val="auto"/>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8906" w:type="dxa"/>
            <w:gridSpan w:val="3"/>
            <w:vAlign w:val="center"/>
          </w:tcPr>
          <w:p>
            <w:pPr>
              <w:pStyle w:val="19"/>
              <w:ind w:left="720" w:firstLine="420"/>
              <w:jc w:val="center"/>
              <w:rPr>
                <w:rFonts w:ascii="宋体" w:hAnsi="宋体" w:eastAsia="宋体" w:cs="宋体"/>
                <w:b/>
                <w:bCs/>
                <w:color w:val="auto"/>
                <w:sz w:val="21"/>
                <w:szCs w:val="21"/>
              </w:rPr>
            </w:pPr>
            <w:r>
              <w:rPr>
                <w:rFonts w:hint="eastAsia" w:ascii="宋体" w:hAnsi="宋体" w:eastAsia="宋体" w:cs="宋体"/>
                <w:b/>
                <w:bCs/>
                <w:color w:val="auto"/>
                <w:sz w:val="21"/>
                <w:szCs w:val="21"/>
              </w:rPr>
              <w:t>二、技术分</w:t>
            </w:r>
          </w:p>
        </w:tc>
        <w:tc>
          <w:tcPr>
            <w:tcW w:w="1033" w:type="dxa"/>
            <w:vAlign w:val="center"/>
          </w:tcPr>
          <w:p>
            <w:pPr>
              <w:pStyle w:val="19"/>
              <w:ind w:left="0" w:leftChars="0"/>
              <w:jc w:val="center"/>
              <w:rPr>
                <w:rFonts w:ascii="宋体" w:hAnsi="宋体" w:eastAsia="宋体" w:cs="宋体"/>
                <w:b/>
                <w:bCs/>
                <w:color w:val="auto"/>
                <w:sz w:val="21"/>
                <w:szCs w:val="21"/>
              </w:rPr>
            </w:pPr>
            <w:r>
              <w:rPr>
                <w:rFonts w:ascii="宋体" w:hAnsi="宋体" w:eastAsia="宋体" w:cs="宋体"/>
                <w:b/>
                <w:bCs/>
                <w:color w:val="auto"/>
                <w:sz w:val="21"/>
                <w:szCs w:val="21"/>
              </w:rPr>
              <w:t>64</w:t>
            </w:r>
            <w:r>
              <w:rPr>
                <w:rFonts w:hint="eastAsia" w:ascii="宋体" w:hAnsi="宋体" w:eastAsia="宋体" w:cs="宋体"/>
                <w:b/>
                <w:bCs/>
                <w:color w:val="auto"/>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5" w:hRule="atLeast"/>
          <w:jc w:val="center"/>
        </w:trPr>
        <w:tc>
          <w:tcPr>
            <w:tcW w:w="776" w:type="dxa"/>
            <w:vMerge w:val="restart"/>
            <w:vAlign w:val="center"/>
          </w:tcPr>
          <w:p>
            <w:pPr>
              <w:widowControl/>
              <w:jc w:val="center"/>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val="en-US" w:eastAsia="zh-CN"/>
              </w:rPr>
              <w:t>3</w:t>
            </w:r>
          </w:p>
        </w:tc>
        <w:tc>
          <w:tcPr>
            <w:tcW w:w="2119" w:type="dxa"/>
            <w:vMerge w:val="restart"/>
            <w:vAlign w:val="center"/>
          </w:tcPr>
          <w:p>
            <w:pPr>
              <w:jc w:val="center"/>
              <w:rPr>
                <w:rFonts w:ascii="宋体" w:hAnsi="宋体" w:eastAsia="宋体" w:cs="宋体"/>
                <w:color w:val="auto"/>
                <w:sz w:val="21"/>
                <w:szCs w:val="21"/>
              </w:rPr>
            </w:pPr>
            <w:r>
              <w:rPr>
                <w:rFonts w:hint="eastAsia" w:ascii="宋体" w:hAnsi="宋体" w:eastAsia="宋体" w:cs="宋体"/>
                <w:bCs/>
                <w:color w:val="auto"/>
                <w:sz w:val="22"/>
                <w:szCs w:val="22"/>
              </w:rPr>
              <w:t>项目组织实施方案</w:t>
            </w:r>
          </w:p>
        </w:tc>
        <w:tc>
          <w:tcPr>
            <w:tcW w:w="6011" w:type="dxa"/>
            <w:vAlign w:val="center"/>
          </w:tcPr>
          <w:p>
            <w:pPr>
              <w:rPr>
                <w:rFonts w:ascii="宋体" w:hAnsi="宋体" w:eastAsia="宋体" w:cs="宋体"/>
                <w:color w:val="auto"/>
                <w:sz w:val="21"/>
                <w:szCs w:val="21"/>
              </w:rPr>
            </w:pPr>
            <w:r>
              <w:rPr>
                <w:rFonts w:hint="eastAsia" w:ascii="宋体" w:hAnsi="宋体" w:eastAsia="宋体" w:cs="宋体"/>
                <w:bCs/>
                <w:color w:val="auto"/>
                <w:sz w:val="22"/>
                <w:szCs w:val="22"/>
              </w:rPr>
              <w:t>根据供应商提供的针对本项目的具体组织实施方案的可行性，供货配送方案的合理性、科学性以及保障项目顺利实施的各项措施，其中进度安排、实施计划与方案由</w:t>
            </w:r>
            <w:r>
              <w:rPr>
                <w:rFonts w:hint="eastAsia" w:ascii="宋体" w:hAnsi="宋体"/>
                <w:color w:val="auto"/>
                <w:kern w:val="0"/>
                <w:sz w:val="22"/>
                <w:szCs w:val="22"/>
                <w:lang w:val="en-US" w:eastAsia="zh-CN"/>
              </w:rPr>
              <w:t>磋商小组酌情打分</w:t>
            </w:r>
            <w:r>
              <w:rPr>
                <w:rFonts w:hint="eastAsia" w:ascii="宋体" w:hAnsi="宋体" w:cs="宋体"/>
                <w:color w:val="auto"/>
                <w:kern w:val="0"/>
                <w:sz w:val="22"/>
                <w:szCs w:val="22"/>
              </w:rPr>
              <w:t>。</w:t>
            </w:r>
          </w:p>
        </w:tc>
        <w:tc>
          <w:tcPr>
            <w:tcW w:w="1033" w:type="dxa"/>
            <w:vAlign w:val="center"/>
          </w:tcPr>
          <w:p>
            <w:pPr>
              <w:widowControl/>
              <w:jc w:val="center"/>
              <w:rPr>
                <w:rFonts w:ascii="宋体" w:hAnsi="宋体" w:eastAsia="宋体" w:cs="宋体"/>
                <w:color w:val="auto"/>
                <w:sz w:val="21"/>
                <w:szCs w:val="21"/>
              </w:rPr>
            </w:pPr>
            <w:r>
              <w:rPr>
                <w:rFonts w:ascii="宋体" w:hAnsi="宋体" w:eastAsia="宋体" w:cs="宋体"/>
                <w:color w:val="auto"/>
                <w:kern w:val="0"/>
                <w:sz w:val="22"/>
                <w:szCs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139" w:hRule="atLeast"/>
          <w:jc w:val="center"/>
        </w:trPr>
        <w:tc>
          <w:tcPr>
            <w:tcW w:w="776" w:type="dxa"/>
            <w:vMerge w:val="continue"/>
            <w:vAlign w:val="center"/>
          </w:tcPr>
          <w:p>
            <w:pPr>
              <w:widowControl/>
              <w:jc w:val="center"/>
              <w:rPr>
                <w:rFonts w:ascii="宋体" w:hAnsi="宋体" w:eastAsia="宋体" w:cs="宋体"/>
                <w:color w:val="auto"/>
                <w:kern w:val="0"/>
                <w:sz w:val="21"/>
                <w:szCs w:val="21"/>
              </w:rPr>
            </w:pPr>
          </w:p>
        </w:tc>
        <w:tc>
          <w:tcPr>
            <w:tcW w:w="2119" w:type="dxa"/>
            <w:vMerge w:val="continue"/>
            <w:vAlign w:val="center"/>
          </w:tcPr>
          <w:p>
            <w:pPr>
              <w:rPr>
                <w:rFonts w:ascii="宋体" w:hAnsi="宋体" w:eastAsia="宋体" w:cs="宋体"/>
                <w:color w:val="auto"/>
                <w:sz w:val="21"/>
                <w:szCs w:val="21"/>
              </w:rPr>
            </w:pPr>
          </w:p>
        </w:tc>
        <w:tc>
          <w:tcPr>
            <w:tcW w:w="6011" w:type="dxa"/>
            <w:vAlign w:val="center"/>
          </w:tcPr>
          <w:p>
            <w:pPr>
              <w:rPr>
                <w:rFonts w:ascii="宋体" w:hAnsi="宋体" w:eastAsia="宋体" w:cs="宋体"/>
                <w:color w:val="auto"/>
                <w:sz w:val="21"/>
                <w:szCs w:val="21"/>
              </w:rPr>
            </w:pPr>
            <w:r>
              <w:rPr>
                <w:rFonts w:hint="eastAsia" w:ascii="宋体" w:hAnsi="宋体" w:eastAsia="宋体" w:cs="宋体"/>
                <w:bCs/>
                <w:color w:val="auto"/>
                <w:sz w:val="22"/>
                <w:szCs w:val="22"/>
              </w:rPr>
              <w:t>根据施工、安装方案和调试验收方案、措施科学合理性、服务质量保证措施的完整性以及是否符合现场安装条件</w:t>
            </w:r>
            <w:r>
              <w:rPr>
                <w:rFonts w:hint="eastAsia" w:ascii="宋体" w:hAnsi="宋体"/>
                <w:color w:val="auto"/>
                <w:kern w:val="0"/>
                <w:sz w:val="22"/>
                <w:szCs w:val="22"/>
                <w:lang w:val="en-US" w:eastAsia="zh-CN"/>
              </w:rPr>
              <w:t>磋商小组酌情打分</w:t>
            </w:r>
            <w:r>
              <w:rPr>
                <w:rFonts w:hint="eastAsia" w:ascii="宋体" w:hAnsi="宋体" w:cs="宋体"/>
                <w:color w:val="auto"/>
                <w:kern w:val="0"/>
                <w:sz w:val="22"/>
                <w:szCs w:val="22"/>
              </w:rPr>
              <w:t>。</w:t>
            </w:r>
          </w:p>
        </w:tc>
        <w:tc>
          <w:tcPr>
            <w:tcW w:w="1033" w:type="dxa"/>
            <w:vAlign w:val="center"/>
          </w:tcPr>
          <w:p>
            <w:pPr>
              <w:widowControl/>
              <w:jc w:val="center"/>
              <w:rPr>
                <w:rFonts w:ascii="宋体" w:hAnsi="宋体" w:eastAsia="宋体" w:cs="宋体"/>
                <w:color w:val="auto"/>
                <w:sz w:val="21"/>
                <w:szCs w:val="21"/>
              </w:rPr>
            </w:pPr>
            <w:r>
              <w:rPr>
                <w:rFonts w:ascii="宋体" w:hAnsi="宋体" w:eastAsia="宋体" w:cs="宋体"/>
                <w:color w:val="auto"/>
                <w:kern w:val="0"/>
                <w:sz w:val="22"/>
                <w:szCs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9" w:hRule="atLeast"/>
          <w:jc w:val="center"/>
        </w:trPr>
        <w:tc>
          <w:tcPr>
            <w:tcW w:w="776" w:type="dxa"/>
            <w:vAlign w:val="center"/>
          </w:tcPr>
          <w:p>
            <w:pPr>
              <w:widowControl/>
              <w:jc w:val="center"/>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val="en-US" w:eastAsia="zh-CN"/>
              </w:rPr>
              <w:t>4</w:t>
            </w:r>
          </w:p>
        </w:tc>
        <w:tc>
          <w:tcPr>
            <w:tcW w:w="2119" w:type="dxa"/>
            <w:vAlign w:val="center"/>
          </w:tcPr>
          <w:p>
            <w:pPr>
              <w:pStyle w:val="19"/>
              <w:ind w:left="0" w:leftChars="0"/>
              <w:jc w:val="center"/>
              <w:rPr>
                <w:rFonts w:ascii="宋体" w:hAnsi="宋体" w:eastAsia="宋体" w:cs="宋体"/>
                <w:color w:val="auto"/>
                <w:sz w:val="21"/>
                <w:szCs w:val="21"/>
              </w:rPr>
            </w:pPr>
            <w:r>
              <w:rPr>
                <w:rFonts w:hint="eastAsia" w:ascii="宋体" w:hAnsi="宋体" w:eastAsia="宋体" w:cs="宋体"/>
                <w:color w:val="auto"/>
                <w:kern w:val="0"/>
                <w:sz w:val="21"/>
                <w:szCs w:val="21"/>
              </w:rPr>
              <w:t>工期、施工进度的方案和措施</w:t>
            </w:r>
          </w:p>
        </w:tc>
        <w:tc>
          <w:tcPr>
            <w:tcW w:w="6011" w:type="dxa"/>
            <w:vAlign w:val="center"/>
          </w:tcPr>
          <w:p>
            <w:pPr>
              <w:rPr>
                <w:rFonts w:ascii="宋体" w:hAnsi="宋体" w:eastAsia="宋体" w:cs="宋体"/>
                <w:color w:val="auto"/>
                <w:sz w:val="21"/>
                <w:szCs w:val="21"/>
              </w:rPr>
            </w:pPr>
            <w:r>
              <w:rPr>
                <w:rFonts w:hint="eastAsia" w:ascii="宋体" w:hAnsi="宋体" w:eastAsia="宋体" w:cs="宋体"/>
                <w:color w:val="auto"/>
                <w:sz w:val="21"/>
                <w:szCs w:val="21"/>
              </w:rPr>
              <w:t>根据供应商提供的工期、施工进度的方案和措施的完整性、全面性、有效性等，</w:t>
            </w:r>
            <w:r>
              <w:rPr>
                <w:rFonts w:hint="eastAsia" w:ascii="宋体" w:hAnsi="宋体"/>
                <w:color w:val="auto"/>
                <w:kern w:val="0"/>
                <w:sz w:val="22"/>
                <w:szCs w:val="22"/>
                <w:lang w:val="en-US" w:eastAsia="zh-CN"/>
              </w:rPr>
              <w:t>磋商小组酌情打分</w:t>
            </w:r>
            <w:r>
              <w:rPr>
                <w:rFonts w:hint="eastAsia" w:ascii="宋体" w:hAnsi="宋体" w:cs="宋体"/>
                <w:color w:val="auto"/>
                <w:kern w:val="0"/>
                <w:sz w:val="22"/>
                <w:szCs w:val="22"/>
              </w:rPr>
              <w:t>。</w:t>
            </w:r>
          </w:p>
        </w:tc>
        <w:tc>
          <w:tcPr>
            <w:tcW w:w="1033" w:type="dxa"/>
            <w:vAlign w:val="center"/>
          </w:tcPr>
          <w:p>
            <w:pPr>
              <w:widowControl/>
              <w:jc w:val="center"/>
              <w:rPr>
                <w:rFonts w:ascii="宋体" w:hAnsi="宋体" w:eastAsia="宋体" w:cs="宋体"/>
                <w:color w:val="auto"/>
                <w:sz w:val="21"/>
                <w:szCs w:val="21"/>
              </w:rPr>
            </w:pPr>
            <w:r>
              <w:rPr>
                <w:rFonts w:ascii="宋体" w:hAnsi="宋体" w:eastAsia="宋体" w:cs="宋体"/>
                <w:color w:val="auto"/>
                <w:kern w:val="0"/>
                <w:sz w:val="22"/>
                <w:szCs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3" w:hRule="atLeast"/>
          <w:jc w:val="center"/>
        </w:trPr>
        <w:tc>
          <w:tcPr>
            <w:tcW w:w="776" w:type="dxa"/>
            <w:vAlign w:val="center"/>
          </w:tcPr>
          <w:p>
            <w:pPr>
              <w:widowControl/>
              <w:jc w:val="center"/>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val="en-US" w:eastAsia="zh-CN"/>
              </w:rPr>
              <w:t>5</w:t>
            </w:r>
          </w:p>
        </w:tc>
        <w:tc>
          <w:tcPr>
            <w:tcW w:w="2119" w:type="dxa"/>
            <w:vAlign w:val="center"/>
          </w:tcPr>
          <w:p>
            <w:pPr>
              <w:pStyle w:val="19"/>
              <w:ind w:left="0" w:leftChars="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本项目技术方案</w:t>
            </w:r>
          </w:p>
        </w:tc>
        <w:tc>
          <w:tcPr>
            <w:tcW w:w="6011" w:type="dxa"/>
            <w:vAlign w:val="center"/>
          </w:tcPr>
          <w:p>
            <w:pPr>
              <w:rPr>
                <w:rFonts w:ascii="宋体" w:hAnsi="宋体" w:eastAsia="宋体" w:cs="宋体"/>
                <w:color w:val="auto"/>
                <w:sz w:val="21"/>
                <w:szCs w:val="21"/>
              </w:rPr>
            </w:pPr>
            <w:r>
              <w:rPr>
                <w:rFonts w:hint="eastAsia" w:ascii="宋体" w:hAnsi="宋体"/>
                <w:color w:val="auto"/>
                <w:kern w:val="0"/>
                <w:sz w:val="22"/>
                <w:szCs w:val="22"/>
              </w:rPr>
              <w:t>投标单位须提供针对本项目的技术设计方案，提供不限于图纸、文字描述等详细资料供评委评审，</w:t>
            </w:r>
            <w:r>
              <w:rPr>
                <w:rFonts w:hint="eastAsia" w:ascii="宋体" w:hAnsi="宋体"/>
                <w:color w:val="auto"/>
                <w:kern w:val="0"/>
                <w:sz w:val="22"/>
                <w:szCs w:val="22"/>
                <w:lang w:val="en-US" w:eastAsia="zh-CN"/>
              </w:rPr>
              <w:t>磋商小组酌情打分</w:t>
            </w:r>
            <w:r>
              <w:rPr>
                <w:rFonts w:hint="eastAsia" w:ascii="宋体" w:hAnsi="宋体" w:cs="宋体"/>
                <w:color w:val="auto"/>
                <w:kern w:val="0"/>
                <w:sz w:val="22"/>
                <w:szCs w:val="22"/>
              </w:rPr>
              <w:t>。</w:t>
            </w:r>
          </w:p>
        </w:tc>
        <w:tc>
          <w:tcPr>
            <w:tcW w:w="1033" w:type="dxa"/>
            <w:vAlign w:val="center"/>
          </w:tcPr>
          <w:p>
            <w:pPr>
              <w:widowControl/>
              <w:jc w:val="center"/>
              <w:rPr>
                <w:rFonts w:ascii="宋体" w:hAnsi="宋体" w:eastAsia="宋体" w:cs="宋体"/>
                <w:color w:val="auto"/>
                <w:kern w:val="0"/>
                <w:sz w:val="22"/>
                <w:szCs w:val="22"/>
              </w:rPr>
            </w:pPr>
            <w:r>
              <w:rPr>
                <w:rFonts w:ascii="宋体" w:hAnsi="宋体" w:eastAsia="宋体" w:cs="宋体"/>
                <w:color w:val="auto"/>
                <w:kern w:val="0"/>
                <w:sz w:val="22"/>
                <w:szCs w:val="22"/>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1" w:hRule="atLeast"/>
          <w:jc w:val="center"/>
        </w:trPr>
        <w:tc>
          <w:tcPr>
            <w:tcW w:w="776" w:type="dxa"/>
            <w:vAlign w:val="center"/>
          </w:tcPr>
          <w:p>
            <w:pPr>
              <w:widowControl/>
              <w:jc w:val="center"/>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val="en-US" w:eastAsia="zh-CN"/>
              </w:rPr>
              <w:t>6</w:t>
            </w:r>
          </w:p>
        </w:tc>
        <w:tc>
          <w:tcPr>
            <w:tcW w:w="2119" w:type="dxa"/>
            <w:vAlign w:val="center"/>
          </w:tcPr>
          <w:p>
            <w:pPr>
              <w:pStyle w:val="19"/>
              <w:ind w:left="0" w:leftChars="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产品制造技术方案</w:t>
            </w:r>
          </w:p>
        </w:tc>
        <w:tc>
          <w:tcPr>
            <w:tcW w:w="6011" w:type="dxa"/>
            <w:vAlign w:val="center"/>
          </w:tcPr>
          <w:p>
            <w:pPr>
              <w:rPr>
                <w:rFonts w:ascii="宋体" w:hAnsi="宋体" w:eastAsia="宋体" w:cs="宋体"/>
                <w:color w:val="auto"/>
                <w:sz w:val="21"/>
                <w:szCs w:val="21"/>
              </w:rPr>
            </w:pPr>
            <w:r>
              <w:rPr>
                <w:rFonts w:hint="eastAsia" w:ascii="宋体" w:hAnsi="宋体"/>
                <w:color w:val="auto"/>
                <w:kern w:val="0"/>
                <w:sz w:val="22"/>
                <w:szCs w:val="22"/>
              </w:rPr>
              <w:t>投标单位须提供涉及本项目的主要产品的制造技术方案，提供不限于图纸、文字描述等产品的详细制造技术资料供评委评审，</w:t>
            </w:r>
            <w:r>
              <w:rPr>
                <w:rFonts w:hint="eastAsia" w:ascii="宋体" w:hAnsi="宋体"/>
                <w:color w:val="auto"/>
                <w:kern w:val="0"/>
                <w:sz w:val="22"/>
                <w:szCs w:val="22"/>
                <w:lang w:val="en-US" w:eastAsia="zh-CN"/>
              </w:rPr>
              <w:t>磋商小组酌情打分</w:t>
            </w:r>
            <w:r>
              <w:rPr>
                <w:rFonts w:hint="eastAsia" w:ascii="宋体" w:hAnsi="宋体" w:cs="宋体"/>
                <w:color w:val="auto"/>
                <w:kern w:val="0"/>
                <w:sz w:val="22"/>
                <w:szCs w:val="22"/>
              </w:rPr>
              <w:t>。</w:t>
            </w:r>
          </w:p>
        </w:tc>
        <w:tc>
          <w:tcPr>
            <w:tcW w:w="1033" w:type="dxa"/>
            <w:vAlign w:val="center"/>
          </w:tcPr>
          <w:p>
            <w:pPr>
              <w:widowControl/>
              <w:jc w:val="center"/>
              <w:rPr>
                <w:rFonts w:ascii="宋体" w:hAnsi="宋体" w:eastAsia="宋体" w:cs="宋体"/>
                <w:color w:val="auto"/>
                <w:kern w:val="0"/>
                <w:sz w:val="22"/>
                <w:szCs w:val="22"/>
              </w:rPr>
            </w:pPr>
            <w:r>
              <w:rPr>
                <w:rFonts w:ascii="宋体" w:hAnsi="宋体" w:eastAsia="宋体" w:cs="宋体"/>
                <w:color w:val="auto"/>
                <w:kern w:val="0"/>
                <w:sz w:val="22"/>
                <w:szCs w:val="22"/>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1" w:hRule="atLeast"/>
          <w:jc w:val="center"/>
        </w:trPr>
        <w:tc>
          <w:tcPr>
            <w:tcW w:w="776" w:type="dxa"/>
            <w:vAlign w:val="center"/>
          </w:tcPr>
          <w:p>
            <w:pPr>
              <w:widowControl/>
              <w:jc w:val="center"/>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val="en-US" w:eastAsia="zh-CN"/>
              </w:rPr>
              <w:t>7</w:t>
            </w:r>
          </w:p>
        </w:tc>
        <w:tc>
          <w:tcPr>
            <w:tcW w:w="2119" w:type="dxa"/>
            <w:vAlign w:val="center"/>
          </w:tcPr>
          <w:p>
            <w:pPr>
              <w:pStyle w:val="19"/>
              <w:ind w:left="0" w:leftChars="0"/>
              <w:jc w:val="center"/>
              <w:rPr>
                <w:rFonts w:ascii="宋体" w:hAnsi="宋体" w:eastAsia="宋体" w:cs="宋体"/>
                <w:color w:val="auto"/>
                <w:kern w:val="0"/>
                <w:sz w:val="21"/>
                <w:szCs w:val="21"/>
              </w:rPr>
            </w:pPr>
            <w:r>
              <w:rPr>
                <w:rFonts w:hint="eastAsia" w:ascii="宋体" w:hAnsi="宋体" w:eastAsia="宋体" w:cs="宋体"/>
                <w:color w:val="auto"/>
                <w:kern w:val="0"/>
                <w:sz w:val="22"/>
                <w:szCs w:val="22"/>
              </w:rPr>
              <w:t>投标产品的性能与需求的吻合程度</w:t>
            </w:r>
          </w:p>
        </w:tc>
        <w:tc>
          <w:tcPr>
            <w:tcW w:w="6011" w:type="dxa"/>
            <w:vAlign w:val="center"/>
          </w:tcPr>
          <w:p>
            <w:pPr>
              <w:spacing w:line="300" w:lineRule="exact"/>
              <w:rPr>
                <w:rFonts w:ascii="宋体" w:hAnsi="宋体" w:eastAsia="宋体" w:cs="宋体"/>
                <w:color w:val="auto"/>
                <w:sz w:val="21"/>
                <w:szCs w:val="21"/>
              </w:rPr>
            </w:pPr>
            <w:r>
              <w:rPr>
                <w:rFonts w:hint="eastAsia" w:ascii="宋体" w:hAnsi="宋体" w:eastAsia="宋体" w:cs="宋体"/>
                <w:color w:val="auto"/>
                <w:kern w:val="0"/>
                <w:sz w:val="22"/>
                <w:szCs w:val="22"/>
              </w:rPr>
              <w:t>投标产品的基本功能、技术参数与需求的吻合程度和偏差情况（包括所投标产品的详细配置、主要技术参数、随机软件等），是否能够满足招标文件要求，是否体现一定先进性、可靠性、成熟性、易维护性、可扩展性等。完全满足或高于招标文件要求的，得29分；带“</w:t>
            </w:r>
            <w:r>
              <w:rPr>
                <w:rFonts w:hint="eastAsia" w:ascii="宋体" w:hAnsi="宋体"/>
                <w:color w:val="auto"/>
                <w:sz w:val="21"/>
                <w:szCs w:val="21"/>
                <w:lang w:val="zh-CN"/>
              </w:rPr>
              <w:t>★</w:t>
            </w:r>
            <w:r>
              <w:rPr>
                <w:rFonts w:hint="eastAsia" w:ascii="宋体" w:hAnsi="宋体" w:eastAsia="宋体" w:cs="宋体"/>
                <w:color w:val="auto"/>
                <w:kern w:val="0"/>
                <w:sz w:val="22"/>
                <w:szCs w:val="22"/>
              </w:rPr>
              <w:t>”为重要条款，带“</w:t>
            </w:r>
            <w:r>
              <w:rPr>
                <w:rFonts w:hint="eastAsia" w:ascii="宋体" w:hAnsi="宋体"/>
                <w:color w:val="auto"/>
                <w:sz w:val="21"/>
                <w:szCs w:val="21"/>
                <w:lang w:val="zh-CN"/>
              </w:rPr>
              <w:t>★</w:t>
            </w:r>
            <w:r>
              <w:rPr>
                <w:rFonts w:hint="eastAsia" w:ascii="宋体" w:hAnsi="宋体" w:eastAsia="宋体" w:cs="宋体"/>
                <w:color w:val="auto"/>
                <w:kern w:val="0"/>
                <w:sz w:val="22"/>
                <w:szCs w:val="22"/>
              </w:rPr>
              <w:t>”为指标负偏离或未响应的每项扣2分，其他指标负偏离或未响应的每项扣1分，扣完为止。</w:t>
            </w:r>
          </w:p>
        </w:tc>
        <w:tc>
          <w:tcPr>
            <w:tcW w:w="1033" w:type="dxa"/>
            <w:vAlign w:val="center"/>
          </w:tcPr>
          <w:p>
            <w:pPr>
              <w:widowControl/>
              <w:jc w:val="center"/>
              <w:rPr>
                <w:rFonts w:ascii="宋体" w:hAnsi="宋体" w:eastAsia="宋体" w:cs="宋体"/>
                <w:color w:val="auto"/>
                <w:kern w:val="0"/>
                <w:sz w:val="22"/>
                <w:szCs w:val="22"/>
              </w:rPr>
            </w:pPr>
            <w:r>
              <w:rPr>
                <w:rFonts w:ascii="宋体" w:hAnsi="宋体" w:eastAsia="宋体" w:cs="宋体"/>
                <w:color w:val="auto"/>
                <w:kern w:val="0"/>
                <w:sz w:val="22"/>
                <w:szCs w:val="22"/>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jc w:val="center"/>
        </w:trPr>
        <w:tc>
          <w:tcPr>
            <w:tcW w:w="776" w:type="dxa"/>
            <w:vMerge w:val="restart"/>
            <w:vAlign w:val="center"/>
          </w:tcPr>
          <w:p>
            <w:pPr>
              <w:widowControl/>
              <w:jc w:val="center"/>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val="en-US" w:eastAsia="zh-CN"/>
              </w:rPr>
              <w:t>8</w:t>
            </w:r>
          </w:p>
        </w:tc>
        <w:tc>
          <w:tcPr>
            <w:tcW w:w="2119" w:type="dxa"/>
            <w:vMerge w:val="restart"/>
            <w:vAlign w:val="center"/>
          </w:tcPr>
          <w:p>
            <w:pPr>
              <w:pStyle w:val="19"/>
              <w:ind w:left="0" w:leftChars="0"/>
              <w:jc w:val="center"/>
              <w:rPr>
                <w:rFonts w:ascii="宋体" w:hAnsi="宋体" w:eastAsia="宋体" w:cs="宋体"/>
                <w:color w:val="auto"/>
                <w:kern w:val="0"/>
                <w:sz w:val="21"/>
                <w:szCs w:val="21"/>
              </w:rPr>
            </w:pPr>
            <w:r>
              <w:rPr>
                <w:rFonts w:hint="eastAsia" w:ascii="宋体" w:hAnsi="宋体" w:cs="宋体"/>
                <w:bCs/>
                <w:color w:val="auto"/>
                <w:sz w:val="21"/>
                <w:szCs w:val="21"/>
              </w:rPr>
              <w:t>售后服务</w:t>
            </w:r>
          </w:p>
        </w:tc>
        <w:tc>
          <w:tcPr>
            <w:tcW w:w="6011" w:type="dxa"/>
            <w:vAlign w:val="center"/>
          </w:tcPr>
          <w:p>
            <w:pPr>
              <w:spacing w:line="300" w:lineRule="exact"/>
              <w:rPr>
                <w:rFonts w:ascii="宋体" w:hAnsi="宋体" w:eastAsia="宋体" w:cs="宋体"/>
                <w:b/>
                <w:bCs/>
                <w:color w:val="auto"/>
                <w:sz w:val="21"/>
                <w:szCs w:val="21"/>
              </w:rPr>
            </w:pPr>
            <w:r>
              <w:rPr>
                <w:rFonts w:hint="eastAsia" w:ascii="宋体" w:hAnsi="宋体" w:cs="宋体"/>
                <w:color w:val="auto"/>
                <w:kern w:val="0"/>
                <w:sz w:val="22"/>
                <w:szCs w:val="22"/>
              </w:rPr>
              <w:t>售后服务内容、标准；售后服务响应时间；</w:t>
            </w:r>
            <w:r>
              <w:rPr>
                <w:rFonts w:hint="eastAsia" w:ascii="宋体" w:hAnsi="宋体"/>
                <w:color w:val="auto"/>
                <w:kern w:val="0"/>
                <w:sz w:val="22"/>
                <w:szCs w:val="22"/>
                <w:lang w:val="en-US" w:eastAsia="zh-CN"/>
              </w:rPr>
              <w:t>磋商小组酌情打分</w:t>
            </w:r>
            <w:r>
              <w:rPr>
                <w:rFonts w:hint="eastAsia" w:ascii="宋体" w:hAnsi="宋体" w:cs="宋体"/>
                <w:color w:val="auto"/>
                <w:kern w:val="0"/>
                <w:sz w:val="22"/>
                <w:szCs w:val="22"/>
              </w:rPr>
              <w:t>。</w:t>
            </w:r>
          </w:p>
        </w:tc>
        <w:tc>
          <w:tcPr>
            <w:tcW w:w="1033" w:type="dxa"/>
            <w:vAlign w:val="center"/>
          </w:tcPr>
          <w:p>
            <w:pPr>
              <w:pStyle w:val="19"/>
              <w:ind w:left="0" w:leftChars="0"/>
              <w:jc w:val="center"/>
              <w:rPr>
                <w:rFonts w:ascii="宋体" w:hAnsi="宋体" w:eastAsia="宋体" w:cs="宋体"/>
                <w:color w:val="auto"/>
                <w:sz w:val="21"/>
                <w:szCs w:val="21"/>
              </w:rPr>
            </w:pPr>
            <w:r>
              <w:rPr>
                <w:rFonts w:hint="eastAsia" w:ascii="宋体" w:hAnsi="宋体" w:eastAsia="宋体" w:cs="宋体"/>
                <w:color w:val="auto"/>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1" w:hRule="atLeast"/>
          <w:jc w:val="center"/>
        </w:trPr>
        <w:tc>
          <w:tcPr>
            <w:tcW w:w="776" w:type="dxa"/>
            <w:vMerge w:val="continue"/>
            <w:vAlign w:val="center"/>
          </w:tcPr>
          <w:p>
            <w:pPr>
              <w:widowControl/>
              <w:jc w:val="center"/>
              <w:rPr>
                <w:rFonts w:ascii="宋体" w:hAnsi="宋体" w:eastAsia="宋体" w:cs="宋体"/>
                <w:color w:val="auto"/>
                <w:kern w:val="0"/>
                <w:sz w:val="21"/>
                <w:szCs w:val="21"/>
              </w:rPr>
            </w:pPr>
          </w:p>
        </w:tc>
        <w:tc>
          <w:tcPr>
            <w:tcW w:w="2119" w:type="dxa"/>
            <w:vMerge w:val="continue"/>
            <w:vAlign w:val="center"/>
          </w:tcPr>
          <w:p>
            <w:pPr>
              <w:pStyle w:val="19"/>
              <w:ind w:left="0" w:leftChars="0"/>
              <w:jc w:val="center"/>
              <w:rPr>
                <w:rFonts w:ascii="宋体" w:hAnsi="宋体" w:eastAsia="宋体" w:cs="宋体"/>
                <w:color w:val="auto"/>
                <w:kern w:val="0"/>
                <w:sz w:val="21"/>
                <w:szCs w:val="21"/>
              </w:rPr>
            </w:pPr>
          </w:p>
        </w:tc>
        <w:tc>
          <w:tcPr>
            <w:tcW w:w="6011" w:type="dxa"/>
            <w:vAlign w:val="center"/>
          </w:tcPr>
          <w:p>
            <w:pPr>
              <w:spacing w:line="300" w:lineRule="exact"/>
              <w:rPr>
                <w:rFonts w:ascii="宋体" w:hAnsi="宋体" w:eastAsia="宋体" w:cs="宋体"/>
                <w:b/>
                <w:bCs/>
                <w:color w:val="auto"/>
                <w:sz w:val="21"/>
                <w:szCs w:val="21"/>
              </w:rPr>
            </w:pPr>
            <w:r>
              <w:rPr>
                <w:rFonts w:hint="eastAsia" w:ascii="宋体" w:hAnsi="宋体" w:cs="宋体"/>
                <w:color w:val="auto"/>
                <w:kern w:val="0"/>
                <w:sz w:val="22"/>
                <w:szCs w:val="22"/>
              </w:rPr>
              <w:t>备品备件的提供及优惠承诺：为保证设备持续运行，投标人须保证相关设备的备品备件长期稳定供应，须列出有关备品备件清单以及质保期外备品备件费用收取的价格和人工费用的承诺。</w:t>
            </w:r>
            <w:r>
              <w:rPr>
                <w:rFonts w:hint="eastAsia" w:ascii="宋体" w:hAnsi="宋体" w:eastAsia="宋体" w:cs="宋体"/>
                <w:color w:val="auto"/>
                <w:kern w:val="0"/>
                <w:sz w:val="22"/>
                <w:szCs w:val="22"/>
                <w:lang w:eastAsia="zh-CN"/>
              </w:rPr>
              <w:t>由</w:t>
            </w:r>
            <w:r>
              <w:rPr>
                <w:rFonts w:hint="eastAsia" w:ascii="宋体" w:hAnsi="宋体"/>
                <w:color w:val="auto"/>
                <w:kern w:val="0"/>
                <w:sz w:val="22"/>
                <w:szCs w:val="22"/>
                <w:lang w:val="en-US" w:eastAsia="zh-CN"/>
              </w:rPr>
              <w:t>磋商小组酌情打分</w:t>
            </w:r>
            <w:r>
              <w:rPr>
                <w:rFonts w:hint="eastAsia" w:ascii="宋体" w:hAnsi="宋体" w:cs="宋体"/>
                <w:color w:val="auto"/>
                <w:kern w:val="0"/>
                <w:sz w:val="22"/>
                <w:szCs w:val="22"/>
              </w:rPr>
              <w:t>。</w:t>
            </w:r>
          </w:p>
        </w:tc>
        <w:tc>
          <w:tcPr>
            <w:tcW w:w="1033" w:type="dxa"/>
            <w:vAlign w:val="center"/>
          </w:tcPr>
          <w:p>
            <w:pPr>
              <w:pStyle w:val="19"/>
              <w:ind w:left="0" w:leftChars="0"/>
              <w:jc w:val="center"/>
              <w:rPr>
                <w:rFonts w:ascii="宋体" w:hAnsi="宋体" w:eastAsia="宋体" w:cs="宋体"/>
                <w:color w:val="auto"/>
                <w:sz w:val="21"/>
                <w:szCs w:val="21"/>
              </w:rPr>
            </w:pPr>
            <w:r>
              <w:rPr>
                <w:rFonts w:ascii="宋体" w:hAnsi="宋体" w:eastAsia="宋体" w:cs="宋体"/>
                <w:color w:val="auto"/>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1" w:hRule="atLeast"/>
          <w:jc w:val="center"/>
        </w:trPr>
        <w:tc>
          <w:tcPr>
            <w:tcW w:w="776" w:type="dxa"/>
            <w:vMerge w:val="continue"/>
            <w:vAlign w:val="center"/>
          </w:tcPr>
          <w:p>
            <w:pPr>
              <w:widowControl/>
              <w:jc w:val="center"/>
              <w:rPr>
                <w:rFonts w:ascii="宋体" w:hAnsi="宋体" w:eastAsia="宋体" w:cs="宋体"/>
                <w:color w:val="auto"/>
                <w:kern w:val="0"/>
                <w:sz w:val="21"/>
                <w:szCs w:val="21"/>
              </w:rPr>
            </w:pPr>
          </w:p>
        </w:tc>
        <w:tc>
          <w:tcPr>
            <w:tcW w:w="2119" w:type="dxa"/>
            <w:vMerge w:val="continue"/>
            <w:vAlign w:val="center"/>
          </w:tcPr>
          <w:p>
            <w:pPr>
              <w:pStyle w:val="19"/>
              <w:ind w:left="0" w:leftChars="0"/>
              <w:jc w:val="center"/>
              <w:rPr>
                <w:rFonts w:ascii="宋体" w:hAnsi="宋体" w:eastAsia="宋体" w:cs="宋体"/>
                <w:color w:val="auto"/>
                <w:kern w:val="0"/>
                <w:sz w:val="21"/>
                <w:szCs w:val="21"/>
              </w:rPr>
            </w:pPr>
          </w:p>
        </w:tc>
        <w:tc>
          <w:tcPr>
            <w:tcW w:w="6011" w:type="dxa"/>
            <w:vAlign w:val="center"/>
          </w:tcPr>
          <w:p>
            <w:pPr>
              <w:spacing w:line="300" w:lineRule="exact"/>
              <w:rPr>
                <w:rFonts w:ascii="宋体" w:hAnsi="宋体" w:cs="宋体"/>
                <w:color w:val="auto"/>
                <w:kern w:val="0"/>
                <w:sz w:val="22"/>
                <w:szCs w:val="22"/>
              </w:rPr>
            </w:pPr>
            <w:r>
              <w:rPr>
                <w:rFonts w:hint="eastAsia" w:ascii="宋体" w:hAnsi="宋体" w:eastAsia="宋体" w:cs="宋体"/>
                <w:color w:val="auto"/>
                <w:kern w:val="0"/>
                <w:sz w:val="22"/>
                <w:szCs w:val="22"/>
              </w:rPr>
              <w:t>承诺工程保修</w:t>
            </w:r>
            <w:r>
              <w:rPr>
                <w:rFonts w:hint="eastAsia" w:ascii="宋体" w:hAnsi="宋体" w:cs="宋体"/>
                <w:color w:val="auto"/>
                <w:kern w:val="0"/>
                <w:sz w:val="22"/>
                <w:szCs w:val="22"/>
              </w:rPr>
              <w:t>期</w:t>
            </w:r>
            <w:r>
              <w:rPr>
                <w:rFonts w:hint="eastAsia" w:ascii="宋体" w:hAnsi="宋体" w:eastAsia="宋体" w:cs="宋体"/>
                <w:color w:val="auto"/>
                <w:kern w:val="0"/>
                <w:sz w:val="22"/>
                <w:szCs w:val="22"/>
              </w:rPr>
              <w:t>2年，设备保修期5年的不得分，工程和设备保修</w:t>
            </w:r>
            <w:r>
              <w:rPr>
                <w:rFonts w:hint="eastAsia" w:ascii="宋体" w:hAnsi="宋体" w:cs="宋体"/>
                <w:color w:val="auto"/>
                <w:kern w:val="0"/>
                <w:sz w:val="22"/>
                <w:szCs w:val="22"/>
              </w:rPr>
              <w:t>期</w:t>
            </w:r>
            <w:r>
              <w:rPr>
                <w:rFonts w:hint="eastAsia" w:ascii="宋体" w:hAnsi="宋体" w:eastAsia="宋体" w:cs="宋体"/>
                <w:color w:val="auto"/>
                <w:kern w:val="0"/>
                <w:sz w:val="22"/>
                <w:szCs w:val="22"/>
              </w:rPr>
              <w:t>每增加1年得1分，最高得3分</w:t>
            </w:r>
            <w:r>
              <w:rPr>
                <w:rFonts w:hint="eastAsia" w:ascii="宋体" w:hAnsi="宋体" w:cs="宋体"/>
                <w:color w:val="auto"/>
                <w:kern w:val="0"/>
                <w:sz w:val="22"/>
                <w:szCs w:val="22"/>
              </w:rPr>
              <w:t>。</w:t>
            </w:r>
          </w:p>
        </w:tc>
        <w:tc>
          <w:tcPr>
            <w:tcW w:w="1033" w:type="dxa"/>
            <w:vAlign w:val="center"/>
          </w:tcPr>
          <w:p>
            <w:pPr>
              <w:pStyle w:val="19"/>
              <w:ind w:left="0" w:leftChars="0"/>
              <w:jc w:val="center"/>
              <w:rPr>
                <w:rFonts w:ascii="宋体" w:hAnsi="宋体" w:eastAsia="宋体" w:cs="宋体"/>
                <w:color w:val="auto"/>
                <w:sz w:val="21"/>
                <w:szCs w:val="21"/>
              </w:rPr>
            </w:pPr>
            <w:r>
              <w:rPr>
                <w:rFonts w:hint="eastAsia" w:ascii="宋体" w:hAnsi="宋体" w:eastAsia="宋体" w:cs="宋体"/>
                <w:color w:val="auto"/>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7" w:hRule="atLeast"/>
          <w:jc w:val="center"/>
        </w:trPr>
        <w:tc>
          <w:tcPr>
            <w:tcW w:w="776" w:type="dxa"/>
            <w:vAlign w:val="center"/>
          </w:tcPr>
          <w:p>
            <w:pPr>
              <w:widowControl/>
              <w:jc w:val="center"/>
              <w:rPr>
                <w:rFonts w:ascii="宋体" w:hAnsi="宋体" w:eastAsia="宋体" w:cs="宋体"/>
                <w:color w:val="auto"/>
                <w:sz w:val="21"/>
                <w:szCs w:val="21"/>
              </w:rPr>
            </w:pPr>
            <w:r>
              <w:rPr>
                <w:rFonts w:hint="eastAsia" w:ascii="宋体" w:hAnsi="宋体" w:eastAsia="宋体" w:cs="宋体"/>
                <w:color w:val="auto"/>
                <w:sz w:val="21"/>
                <w:szCs w:val="21"/>
              </w:rPr>
              <w:t>备注</w:t>
            </w:r>
          </w:p>
        </w:tc>
        <w:tc>
          <w:tcPr>
            <w:tcW w:w="9163" w:type="dxa"/>
            <w:gridSpan w:val="3"/>
            <w:vAlign w:val="center"/>
          </w:tcPr>
          <w:p>
            <w:pPr>
              <w:jc w:val="center"/>
              <w:rPr>
                <w:rFonts w:ascii="宋体" w:hAnsi="宋体" w:eastAsia="宋体" w:cs="宋体"/>
                <w:color w:val="auto"/>
                <w:sz w:val="21"/>
                <w:szCs w:val="21"/>
              </w:rPr>
            </w:pPr>
            <w:r>
              <w:rPr>
                <w:rFonts w:hint="eastAsia" w:ascii="宋体" w:hAnsi="宋体" w:eastAsia="宋体" w:cs="宋体"/>
                <w:color w:val="auto"/>
                <w:kern w:val="0"/>
                <w:sz w:val="21"/>
                <w:szCs w:val="21"/>
              </w:rPr>
              <w:t>评委打分小数点后保留一位</w:t>
            </w:r>
          </w:p>
        </w:tc>
      </w:tr>
    </w:tbl>
    <w:p>
      <w:pPr>
        <w:autoSpaceDE w:val="0"/>
        <w:autoSpaceDN w:val="0"/>
        <w:adjustRightInd w:val="0"/>
        <w:snapToGrid w:val="0"/>
        <w:spacing w:line="360" w:lineRule="auto"/>
        <w:ind w:firstLine="315" w:firstLineChars="150"/>
        <w:rPr>
          <w:rFonts w:ascii="宋体" w:hAnsi="宋体" w:eastAsia="宋体" w:cs="宋体"/>
          <w:color w:val="auto"/>
          <w:sz w:val="21"/>
          <w:szCs w:val="21"/>
        </w:rPr>
      </w:pPr>
    </w:p>
    <w:p>
      <w:pPr>
        <w:pStyle w:val="2"/>
        <w:rPr>
          <w:rFonts w:ascii="宋体" w:hAnsi="宋体" w:eastAsia="宋体" w:cs="宋体"/>
          <w:color w:val="auto"/>
          <w:szCs w:val="21"/>
        </w:rPr>
      </w:pPr>
    </w:p>
    <w:p>
      <w:pPr>
        <w:pStyle w:val="22"/>
        <w:ind w:firstLine="210"/>
        <w:rPr>
          <w:color w:val="auto"/>
        </w:rPr>
      </w:pPr>
    </w:p>
    <w:p>
      <w:pPr>
        <w:pStyle w:val="18"/>
        <w:ind w:left="3600"/>
        <w:rPr>
          <w:color w:val="auto"/>
        </w:rPr>
      </w:pPr>
    </w:p>
    <w:p>
      <w:pPr>
        <w:rPr>
          <w:color w:val="auto"/>
        </w:rPr>
      </w:pPr>
    </w:p>
    <w:p>
      <w:pPr>
        <w:pStyle w:val="2"/>
        <w:rPr>
          <w:color w:val="auto"/>
        </w:rPr>
      </w:pPr>
    </w:p>
    <w:p>
      <w:pPr>
        <w:pStyle w:val="22"/>
        <w:ind w:firstLine="210"/>
        <w:rPr>
          <w:color w:val="auto"/>
        </w:rPr>
      </w:pPr>
    </w:p>
    <w:p>
      <w:pPr>
        <w:pStyle w:val="18"/>
        <w:ind w:left="3600"/>
        <w:rPr>
          <w:color w:val="auto"/>
        </w:rPr>
      </w:pPr>
    </w:p>
    <w:p>
      <w:pPr>
        <w:rPr>
          <w:color w:val="auto"/>
        </w:rPr>
      </w:pPr>
    </w:p>
    <w:p>
      <w:pPr>
        <w:pStyle w:val="2"/>
        <w:rPr>
          <w:color w:val="auto"/>
        </w:rPr>
      </w:pPr>
    </w:p>
    <w:p>
      <w:pPr>
        <w:pStyle w:val="22"/>
        <w:ind w:firstLine="210"/>
        <w:rPr>
          <w:color w:val="auto"/>
        </w:rPr>
      </w:pPr>
    </w:p>
    <w:p>
      <w:pPr>
        <w:pStyle w:val="18"/>
        <w:ind w:left="3600"/>
        <w:rPr>
          <w:color w:val="auto"/>
        </w:rPr>
      </w:pPr>
    </w:p>
    <w:p>
      <w:pPr>
        <w:rPr>
          <w:color w:val="auto"/>
        </w:rPr>
      </w:pPr>
    </w:p>
    <w:p>
      <w:pPr>
        <w:pStyle w:val="2"/>
        <w:rPr>
          <w:color w:val="auto"/>
        </w:rPr>
      </w:pPr>
    </w:p>
    <w:p>
      <w:pPr>
        <w:pStyle w:val="22"/>
        <w:ind w:firstLine="210"/>
        <w:rPr>
          <w:color w:val="auto"/>
        </w:rPr>
      </w:pPr>
    </w:p>
    <w:p>
      <w:pPr>
        <w:pStyle w:val="18"/>
        <w:ind w:left="3600"/>
        <w:rPr>
          <w:color w:val="auto"/>
        </w:rPr>
      </w:pPr>
    </w:p>
    <w:p>
      <w:pPr>
        <w:rPr>
          <w:color w:val="auto"/>
        </w:rPr>
      </w:pPr>
    </w:p>
    <w:p>
      <w:pPr>
        <w:rPr>
          <w:color w:val="auto"/>
        </w:rPr>
      </w:pPr>
    </w:p>
    <w:p>
      <w:pPr>
        <w:pStyle w:val="2"/>
        <w:rPr>
          <w:color w:val="auto"/>
        </w:rPr>
      </w:pPr>
    </w:p>
    <w:p>
      <w:pPr>
        <w:pStyle w:val="3"/>
        <w:rPr>
          <w:color w:val="auto"/>
        </w:rPr>
      </w:pPr>
    </w:p>
    <w:p/>
    <w:p>
      <w:pPr>
        <w:pStyle w:val="2"/>
        <w:rPr>
          <w:color w:val="auto"/>
        </w:rPr>
      </w:pPr>
    </w:p>
    <w:bookmarkEnd w:id="46"/>
    <w:p>
      <w:pPr>
        <w:numPr>
          <w:ilvl w:val="0"/>
          <w:numId w:val="6"/>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s>
        <w:autoSpaceDE w:val="0"/>
        <w:autoSpaceDN w:val="0"/>
        <w:adjustRightInd w:val="0"/>
        <w:spacing w:line="360" w:lineRule="auto"/>
        <w:jc w:val="center"/>
        <w:rPr>
          <w:rFonts w:ascii="宋体" w:hAnsi="宋体" w:eastAsia="宋体" w:cs="宋体"/>
          <w:b/>
          <w:color w:val="auto"/>
          <w:sz w:val="30"/>
          <w:szCs w:val="30"/>
        </w:rPr>
      </w:pPr>
      <w:bookmarkStart w:id="47" w:name="_Toc18790"/>
      <w:r>
        <w:rPr>
          <w:rFonts w:hint="eastAsia" w:ascii="宋体" w:hAnsi="宋体" w:eastAsia="宋体" w:cs="宋体"/>
          <w:b/>
          <w:color w:val="auto"/>
          <w:sz w:val="28"/>
          <w:szCs w:val="28"/>
        </w:rPr>
        <w:t>合同条款及格式</w:t>
      </w:r>
      <w:bookmarkEnd w:id="47"/>
    </w:p>
    <w:p>
      <w:pPr>
        <w:keepNext/>
        <w:keepLines/>
        <w:spacing w:after="330"/>
        <w:jc w:val="center"/>
        <w:rPr>
          <w:rFonts w:ascii="宋体" w:hAnsi="宋体" w:eastAsia="宋体" w:cs="宋体"/>
          <w:bCs/>
          <w:color w:val="auto"/>
          <w:kern w:val="44"/>
          <w:sz w:val="21"/>
          <w:szCs w:val="21"/>
        </w:rPr>
      </w:pPr>
      <w:bookmarkStart w:id="48" w:name="_Toc296503025"/>
      <w:bookmarkStart w:id="49" w:name="_Toc296890982"/>
      <w:bookmarkStart w:id="50" w:name="_Toc351203480"/>
      <w:bookmarkStart w:id="51" w:name="_Toc237695004"/>
      <w:bookmarkStart w:id="52" w:name="_Toc163484941"/>
      <w:bookmarkStart w:id="53" w:name="_Toc237694779"/>
      <w:bookmarkStart w:id="54" w:name="_Toc163484939"/>
      <w:bookmarkStart w:id="55" w:name="_Toc306901462"/>
      <w:bookmarkStart w:id="56" w:name="_Toc240724385"/>
      <w:r>
        <w:rPr>
          <w:rFonts w:hint="eastAsia" w:ascii="宋体" w:hAnsi="宋体" w:eastAsia="宋体" w:cs="宋体"/>
          <w:b/>
          <w:bCs/>
          <w:color w:val="auto"/>
          <w:kern w:val="44"/>
          <w:sz w:val="21"/>
          <w:szCs w:val="21"/>
        </w:rPr>
        <w:t>第一部分 合同协议书</w:t>
      </w:r>
      <w:bookmarkEnd w:id="48"/>
      <w:bookmarkEnd w:id="49"/>
      <w:bookmarkEnd w:id="50"/>
    </w:p>
    <w:bookmarkEnd w:id="51"/>
    <w:bookmarkEnd w:id="52"/>
    <w:bookmarkEnd w:id="53"/>
    <w:bookmarkEnd w:id="54"/>
    <w:p>
      <w:pPr>
        <w:adjustRightInd w:val="0"/>
        <w:snapToGrid w:val="0"/>
        <w:spacing w:line="336" w:lineRule="auto"/>
        <w:rPr>
          <w:rFonts w:ascii="宋体" w:hAnsi="宋体" w:eastAsia="宋体" w:cs="宋体"/>
          <w:bCs/>
          <w:color w:val="auto"/>
          <w:sz w:val="21"/>
          <w:szCs w:val="21"/>
          <w:u w:val="single"/>
        </w:rPr>
      </w:pPr>
      <w:r>
        <w:rPr>
          <w:rFonts w:hint="eastAsia" w:ascii="宋体" w:hAnsi="宋体" w:eastAsia="宋体" w:cs="宋体"/>
          <w:bCs/>
          <w:color w:val="auto"/>
          <w:sz w:val="21"/>
          <w:szCs w:val="21"/>
        </w:rPr>
        <w:t>发包人（全称）：</w:t>
      </w:r>
      <w:r>
        <w:rPr>
          <w:rFonts w:hint="eastAsia" w:ascii="宋体" w:hAnsi="宋体" w:eastAsia="宋体" w:cs="宋体"/>
          <w:bCs/>
          <w:color w:val="auto"/>
          <w:sz w:val="21"/>
          <w:szCs w:val="21"/>
          <w:u w:val="single"/>
        </w:rPr>
        <w:t xml:space="preserve">仙居县人民医院      </w:t>
      </w:r>
    </w:p>
    <w:p>
      <w:pPr>
        <w:adjustRightInd w:val="0"/>
        <w:snapToGrid w:val="0"/>
        <w:spacing w:line="336" w:lineRule="auto"/>
        <w:rPr>
          <w:rFonts w:ascii="宋体" w:hAnsi="宋体" w:eastAsia="宋体" w:cs="宋体"/>
          <w:bCs/>
          <w:color w:val="auto"/>
          <w:sz w:val="21"/>
          <w:szCs w:val="21"/>
          <w:u w:val="single"/>
        </w:rPr>
      </w:pPr>
      <w:r>
        <w:rPr>
          <w:rFonts w:hint="eastAsia" w:ascii="宋体" w:hAnsi="宋体" w:eastAsia="宋体" w:cs="宋体"/>
          <w:bCs/>
          <w:color w:val="auto"/>
          <w:sz w:val="21"/>
          <w:szCs w:val="21"/>
        </w:rPr>
        <w:t>承包人（全称）：</w:t>
      </w:r>
      <w:r>
        <w:rPr>
          <w:rFonts w:hint="eastAsia" w:ascii="宋体" w:hAnsi="宋体" w:eastAsia="宋体" w:cs="宋体"/>
          <w:bCs/>
          <w:color w:val="auto"/>
          <w:sz w:val="21"/>
          <w:szCs w:val="21"/>
          <w:u w:val="single"/>
        </w:rPr>
        <w:t xml:space="preserve">                    </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根据《中华人民共和国合同法》、《中华人民共和国建筑法》及有关法律规定，遵循平等、自愿、公平和诚实信用的原则，双方就</w:t>
      </w:r>
      <w:r>
        <w:rPr>
          <w:rFonts w:hint="eastAsia" w:ascii="宋体" w:hAnsi="宋体" w:eastAsia="宋体" w:cs="宋体"/>
          <w:bCs/>
          <w:color w:val="auto"/>
          <w:sz w:val="21"/>
          <w:szCs w:val="21"/>
          <w:u w:val="single"/>
          <w:lang w:eastAsia="zh-CN"/>
        </w:rPr>
        <w:t>仙居县人民医院病理科改造项目（重新招标）</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施工及有关事项协商一致，共同达成如下协议：</w:t>
      </w:r>
    </w:p>
    <w:p>
      <w:pPr>
        <w:adjustRightInd w:val="0"/>
        <w:snapToGrid w:val="0"/>
        <w:spacing w:line="336" w:lineRule="auto"/>
        <w:rPr>
          <w:rFonts w:ascii="宋体" w:hAnsi="宋体" w:eastAsia="宋体" w:cs="宋体"/>
          <w:bCs/>
          <w:color w:val="auto"/>
          <w:sz w:val="21"/>
          <w:szCs w:val="21"/>
        </w:rPr>
      </w:pPr>
      <w:bookmarkStart w:id="57" w:name="_Toc351203481"/>
      <w:r>
        <w:rPr>
          <w:rFonts w:hint="eastAsia" w:ascii="宋体" w:hAnsi="宋体" w:eastAsia="宋体" w:cs="宋体"/>
          <w:bCs/>
          <w:color w:val="auto"/>
          <w:sz w:val="21"/>
          <w:szCs w:val="21"/>
        </w:rPr>
        <w:t>一、工程概况</w:t>
      </w:r>
      <w:bookmarkEnd w:id="57"/>
    </w:p>
    <w:p>
      <w:pPr>
        <w:adjustRightInd w:val="0"/>
        <w:snapToGrid w:val="0"/>
        <w:spacing w:line="336" w:lineRule="auto"/>
        <w:ind w:firstLine="411" w:firstLineChars="196"/>
        <w:rPr>
          <w:rFonts w:ascii="宋体" w:hAnsi="宋体" w:eastAsia="宋体" w:cs="宋体"/>
          <w:bCs/>
          <w:color w:val="auto"/>
          <w:sz w:val="21"/>
          <w:szCs w:val="21"/>
          <w:u w:val="single"/>
        </w:rPr>
      </w:pPr>
      <w:r>
        <w:rPr>
          <w:rFonts w:hint="eastAsia" w:ascii="宋体" w:hAnsi="宋体" w:eastAsia="宋体" w:cs="宋体"/>
          <w:bCs/>
          <w:color w:val="auto"/>
          <w:sz w:val="21"/>
          <w:szCs w:val="21"/>
        </w:rPr>
        <w:t>1.工程名称：</w:t>
      </w:r>
      <w:r>
        <w:rPr>
          <w:rFonts w:hint="eastAsia" w:ascii="宋体" w:hAnsi="宋体" w:eastAsia="宋体" w:cs="宋体"/>
          <w:bCs/>
          <w:color w:val="auto"/>
          <w:sz w:val="21"/>
          <w:szCs w:val="21"/>
          <w:u w:val="single"/>
          <w:lang w:eastAsia="zh-CN"/>
        </w:rPr>
        <w:t>仙居县人民医院病理科改造项目（重新招标）</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w:t>
      </w:r>
    </w:p>
    <w:p>
      <w:pPr>
        <w:adjustRightInd w:val="0"/>
        <w:snapToGrid w:val="0"/>
        <w:spacing w:line="336" w:lineRule="auto"/>
        <w:ind w:firstLine="411" w:firstLineChars="196"/>
        <w:rPr>
          <w:rFonts w:ascii="宋体" w:hAnsi="宋体" w:eastAsia="宋体" w:cs="宋体"/>
          <w:bCs/>
          <w:color w:val="auto"/>
          <w:sz w:val="21"/>
          <w:szCs w:val="21"/>
        </w:rPr>
      </w:pPr>
      <w:r>
        <w:rPr>
          <w:rFonts w:hint="eastAsia" w:ascii="宋体" w:hAnsi="宋体" w:eastAsia="宋体" w:cs="宋体"/>
          <w:bCs/>
          <w:color w:val="auto"/>
          <w:sz w:val="21"/>
          <w:szCs w:val="21"/>
        </w:rPr>
        <w:t>2.工程地点：</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w:t>
      </w:r>
    </w:p>
    <w:p>
      <w:pPr>
        <w:adjustRightInd w:val="0"/>
        <w:snapToGrid w:val="0"/>
        <w:spacing w:line="336" w:lineRule="auto"/>
        <w:ind w:firstLine="411" w:firstLineChars="196"/>
        <w:rPr>
          <w:rFonts w:ascii="宋体" w:hAnsi="宋体" w:eastAsia="宋体" w:cs="宋体"/>
          <w:bCs/>
          <w:color w:val="auto"/>
          <w:sz w:val="21"/>
          <w:szCs w:val="21"/>
        </w:rPr>
      </w:pPr>
      <w:r>
        <w:rPr>
          <w:rFonts w:hint="eastAsia" w:ascii="宋体" w:hAnsi="宋体" w:eastAsia="宋体" w:cs="宋体"/>
          <w:bCs/>
          <w:color w:val="auto"/>
          <w:sz w:val="21"/>
          <w:szCs w:val="21"/>
        </w:rPr>
        <w:t>3.工程立项批准文号：</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w:t>
      </w:r>
    </w:p>
    <w:p>
      <w:pPr>
        <w:adjustRightInd w:val="0"/>
        <w:snapToGrid w:val="0"/>
        <w:spacing w:line="336" w:lineRule="auto"/>
        <w:ind w:firstLine="411" w:firstLineChars="196"/>
        <w:rPr>
          <w:rFonts w:ascii="宋体" w:hAnsi="宋体" w:eastAsia="宋体" w:cs="宋体"/>
          <w:bCs/>
          <w:color w:val="auto"/>
          <w:sz w:val="21"/>
          <w:szCs w:val="21"/>
        </w:rPr>
      </w:pPr>
      <w:r>
        <w:rPr>
          <w:rFonts w:hint="eastAsia" w:ascii="宋体" w:hAnsi="宋体" w:eastAsia="宋体" w:cs="宋体"/>
          <w:bCs/>
          <w:color w:val="auto"/>
          <w:sz w:val="21"/>
          <w:szCs w:val="21"/>
        </w:rPr>
        <w:t>4.资金来源：</w:t>
      </w:r>
      <w:r>
        <w:rPr>
          <w:rFonts w:hint="eastAsia" w:ascii="宋体" w:hAnsi="宋体" w:eastAsia="宋体" w:cs="宋体"/>
          <w:bCs/>
          <w:color w:val="auto"/>
          <w:sz w:val="21"/>
          <w:szCs w:val="21"/>
          <w:u w:val="single"/>
        </w:rPr>
        <w:t xml:space="preserve">自筹 </w:t>
      </w:r>
      <w:r>
        <w:rPr>
          <w:rFonts w:hint="eastAsia" w:ascii="宋体" w:hAnsi="宋体" w:eastAsia="宋体" w:cs="宋体"/>
          <w:bCs/>
          <w:color w:val="auto"/>
          <w:sz w:val="21"/>
          <w:szCs w:val="21"/>
        </w:rPr>
        <w:t>。</w:t>
      </w:r>
    </w:p>
    <w:p>
      <w:pPr>
        <w:adjustRightInd w:val="0"/>
        <w:snapToGrid w:val="0"/>
        <w:spacing w:line="336" w:lineRule="auto"/>
        <w:ind w:firstLine="411" w:firstLineChars="196"/>
        <w:rPr>
          <w:rFonts w:ascii="宋体" w:hAnsi="宋体" w:eastAsia="宋体" w:cs="宋体"/>
          <w:bCs/>
          <w:color w:val="auto"/>
          <w:sz w:val="21"/>
          <w:szCs w:val="21"/>
        </w:rPr>
      </w:pPr>
      <w:r>
        <w:rPr>
          <w:rFonts w:hint="eastAsia" w:ascii="宋体" w:hAnsi="宋体" w:eastAsia="宋体" w:cs="宋体"/>
          <w:bCs/>
          <w:color w:val="auto"/>
          <w:sz w:val="21"/>
          <w:szCs w:val="21"/>
        </w:rPr>
        <w:t>5.工程内容：</w:t>
      </w:r>
      <w:r>
        <w:rPr>
          <w:rFonts w:hint="eastAsia" w:ascii="宋体" w:hAnsi="宋体" w:eastAsia="宋体" w:cs="宋体"/>
          <w:bCs/>
          <w:color w:val="auto"/>
          <w:sz w:val="21"/>
          <w:szCs w:val="21"/>
          <w:u w:val="single"/>
        </w:rPr>
        <w:t>采购人提供的施工图纸及预算书中所包含的安装、建筑等所有项目。具体内容详见发包人提供的工程量清单及编制说明</w:t>
      </w:r>
      <w:r>
        <w:rPr>
          <w:rFonts w:hint="eastAsia" w:ascii="宋体" w:hAnsi="宋体" w:eastAsia="宋体" w:cs="宋体"/>
          <w:bCs/>
          <w:color w:val="auto"/>
          <w:sz w:val="21"/>
          <w:szCs w:val="21"/>
        </w:rPr>
        <w:t>。</w:t>
      </w:r>
    </w:p>
    <w:p>
      <w:pPr>
        <w:adjustRightInd w:val="0"/>
        <w:snapToGrid w:val="0"/>
        <w:spacing w:line="336" w:lineRule="auto"/>
        <w:ind w:firstLine="411" w:firstLineChars="196"/>
        <w:rPr>
          <w:rFonts w:ascii="宋体" w:hAnsi="宋体" w:eastAsia="宋体" w:cs="宋体"/>
          <w:bCs/>
          <w:color w:val="auto"/>
          <w:sz w:val="21"/>
          <w:szCs w:val="21"/>
        </w:rPr>
      </w:pPr>
      <w:r>
        <w:rPr>
          <w:rFonts w:hint="eastAsia" w:ascii="宋体" w:hAnsi="宋体" w:eastAsia="宋体" w:cs="宋体"/>
          <w:bCs/>
          <w:color w:val="auto"/>
          <w:sz w:val="21"/>
          <w:szCs w:val="21"/>
        </w:rPr>
        <w:t>6.工程承包范围：</w:t>
      </w:r>
      <w:r>
        <w:rPr>
          <w:rFonts w:hint="eastAsia" w:ascii="宋体" w:hAnsi="宋体" w:eastAsia="宋体" w:cs="宋体"/>
          <w:bCs/>
          <w:color w:val="auto"/>
          <w:sz w:val="21"/>
          <w:szCs w:val="21"/>
          <w:u w:val="single"/>
        </w:rPr>
        <w:t>包工、包料、包工期、包质量、包安全文明施工、包检测验收合格至交付使用等。</w:t>
      </w:r>
    </w:p>
    <w:p>
      <w:pPr>
        <w:adjustRightInd w:val="0"/>
        <w:snapToGrid w:val="0"/>
        <w:spacing w:line="336" w:lineRule="auto"/>
        <w:rPr>
          <w:rFonts w:ascii="宋体" w:hAnsi="宋体" w:eastAsia="宋体" w:cs="宋体"/>
          <w:bCs/>
          <w:color w:val="auto"/>
          <w:sz w:val="21"/>
          <w:szCs w:val="21"/>
        </w:rPr>
      </w:pPr>
      <w:bookmarkStart w:id="58" w:name="_Toc351203482"/>
      <w:r>
        <w:rPr>
          <w:rFonts w:hint="eastAsia" w:ascii="宋体" w:hAnsi="宋体" w:eastAsia="宋体" w:cs="宋体"/>
          <w:bCs/>
          <w:color w:val="auto"/>
          <w:sz w:val="21"/>
          <w:szCs w:val="21"/>
        </w:rPr>
        <w:t>二、合同工期</w:t>
      </w:r>
      <w:bookmarkEnd w:id="58"/>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计划开工日期：</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年</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月</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日。</w:t>
      </w:r>
    </w:p>
    <w:p>
      <w:pPr>
        <w:adjustRightInd w:val="0"/>
        <w:snapToGrid w:val="0"/>
        <w:spacing w:line="336" w:lineRule="auto"/>
        <w:ind w:firstLine="459"/>
        <w:rPr>
          <w:rFonts w:ascii="宋体" w:hAnsi="宋体" w:eastAsia="宋体" w:cs="宋体"/>
          <w:bCs/>
          <w:color w:val="auto"/>
          <w:sz w:val="21"/>
          <w:szCs w:val="21"/>
        </w:rPr>
      </w:pPr>
      <w:r>
        <w:rPr>
          <w:rFonts w:hint="eastAsia" w:ascii="宋体" w:hAnsi="宋体" w:eastAsia="宋体" w:cs="宋体"/>
          <w:bCs/>
          <w:color w:val="auto"/>
          <w:sz w:val="21"/>
          <w:szCs w:val="21"/>
        </w:rPr>
        <w:t>计划竣工日期：</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年</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月</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日。</w:t>
      </w:r>
    </w:p>
    <w:p>
      <w:pPr>
        <w:adjustRightInd w:val="0"/>
        <w:snapToGrid w:val="0"/>
        <w:spacing w:line="336" w:lineRule="auto"/>
        <w:ind w:firstLine="459"/>
        <w:rPr>
          <w:rFonts w:ascii="宋体" w:hAnsi="宋体" w:eastAsia="宋体" w:cs="宋体"/>
          <w:bCs/>
          <w:color w:val="auto"/>
          <w:sz w:val="21"/>
          <w:szCs w:val="21"/>
        </w:rPr>
      </w:pPr>
      <w:r>
        <w:rPr>
          <w:rFonts w:hint="eastAsia" w:ascii="宋体" w:hAnsi="宋体" w:eastAsia="宋体" w:cs="宋体"/>
          <w:bCs/>
          <w:color w:val="auto"/>
          <w:sz w:val="21"/>
          <w:szCs w:val="21"/>
        </w:rPr>
        <w:t>工期总日历天数：</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日历天。工期总日历天数与根据前述计划开竣工日期计算的工期天数不一致的，以工期总日历天数为准。</w:t>
      </w:r>
    </w:p>
    <w:p>
      <w:pPr>
        <w:adjustRightInd w:val="0"/>
        <w:snapToGrid w:val="0"/>
        <w:spacing w:line="336" w:lineRule="auto"/>
        <w:rPr>
          <w:rFonts w:ascii="宋体" w:hAnsi="宋体" w:eastAsia="宋体" w:cs="宋体"/>
          <w:bCs/>
          <w:color w:val="auto"/>
          <w:sz w:val="21"/>
          <w:szCs w:val="21"/>
        </w:rPr>
      </w:pPr>
      <w:bookmarkStart w:id="59" w:name="_Toc351203483"/>
      <w:r>
        <w:rPr>
          <w:rFonts w:hint="eastAsia" w:ascii="宋体" w:hAnsi="宋体" w:eastAsia="宋体" w:cs="宋体"/>
          <w:bCs/>
          <w:color w:val="auto"/>
          <w:sz w:val="21"/>
          <w:szCs w:val="21"/>
        </w:rPr>
        <w:t>三、质量标准</w:t>
      </w:r>
      <w:bookmarkEnd w:id="59"/>
    </w:p>
    <w:p>
      <w:pPr>
        <w:adjustRightInd w:val="0"/>
        <w:snapToGrid w:val="0"/>
        <w:spacing w:line="336" w:lineRule="auto"/>
        <w:ind w:left="256" w:leftChars="71" w:firstLine="216" w:firstLineChars="103"/>
        <w:rPr>
          <w:rFonts w:ascii="宋体" w:hAnsi="宋体" w:eastAsia="宋体" w:cs="宋体"/>
          <w:bCs/>
          <w:color w:val="auto"/>
          <w:sz w:val="21"/>
          <w:szCs w:val="21"/>
        </w:rPr>
      </w:pPr>
      <w:r>
        <w:rPr>
          <w:rFonts w:hint="eastAsia" w:ascii="宋体" w:hAnsi="宋体" w:eastAsia="宋体" w:cs="宋体"/>
          <w:bCs/>
          <w:color w:val="auto"/>
          <w:sz w:val="21"/>
          <w:szCs w:val="21"/>
        </w:rPr>
        <w:t>工程质量符合</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标准。</w:t>
      </w:r>
    </w:p>
    <w:p>
      <w:pPr>
        <w:adjustRightInd w:val="0"/>
        <w:snapToGrid w:val="0"/>
        <w:spacing w:line="336" w:lineRule="auto"/>
        <w:rPr>
          <w:rFonts w:ascii="宋体" w:hAnsi="宋体" w:eastAsia="宋体" w:cs="宋体"/>
          <w:bCs/>
          <w:color w:val="auto"/>
          <w:sz w:val="21"/>
          <w:szCs w:val="21"/>
        </w:rPr>
      </w:pPr>
      <w:bookmarkStart w:id="60" w:name="_Toc351203484"/>
      <w:r>
        <w:rPr>
          <w:rFonts w:hint="eastAsia" w:ascii="宋体" w:hAnsi="宋体" w:eastAsia="宋体" w:cs="宋体"/>
          <w:bCs/>
          <w:color w:val="auto"/>
          <w:sz w:val="21"/>
          <w:szCs w:val="21"/>
        </w:rPr>
        <w:t>四、签约合同价与合同价格形式</w:t>
      </w:r>
      <w:bookmarkEnd w:id="60"/>
      <w:r>
        <w:rPr>
          <w:rFonts w:hint="eastAsia" w:ascii="宋体" w:hAnsi="宋体" w:eastAsia="宋体" w:cs="宋体"/>
          <w:bCs/>
          <w:color w:val="auto"/>
          <w:sz w:val="21"/>
          <w:szCs w:val="21"/>
        </w:rPr>
        <w:tab/>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1.签约合同价为：</w:t>
      </w:r>
    </w:p>
    <w:p>
      <w:pPr>
        <w:adjustRightInd w:val="0"/>
        <w:snapToGrid w:val="0"/>
        <w:spacing w:line="336" w:lineRule="auto"/>
        <w:ind w:firstLine="525" w:firstLineChars="250"/>
        <w:rPr>
          <w:rFonts w:ascii="宋体" w:hAnsi="宋体" w:eastAsia="宋体" w:cs="宋体"/>
          <w:bCs/>
          <w:color w:val="auto"/>
          <w:sz w:val="21"/>
          <w:szCs w:val="21"/>
        </w:rPr>
      </w:pPr>
      <w:r>
        <w:rPr>
          <w:rFonts w:hint="eastAsia" w:ascii="宋体" w:hAnsi="宋体" w:eastAsia="宋体" w:cs="宋体"/>
          <w:bCs/>
          <w:color w:val="auto"/>
          <w:sz w:val="21"/>
          <w:szCs w:val="21"/>
        </w:rPr>
        <w:t>人民币（大写）</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元)；</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2.合同价格形式：</w:t>
      </w:r>
      <w:r>
        <w:rPr>
          <w:rFonts w:hint="eastAsia" w:ascii="宋体" w:hAnsi="宋体" w:eastAsia="宋体" w:cs="宋体"/>
          <w:bCs/>
          <w:color w:val="auto"/>
          <w:sz w:val="21"/>
          <w:szCs w:val="21"/>
          <w:u w:val="single"/>
        </w:rPr>
        <w:t>采用固定综合单价合同</w:t>
      </w:r>
      <w:r>
        <w:rPr>
          <w:rFonts w:hint="eastAsia" w:ascii="宋体" w:hAnsi="宋体" w:eastAsia="宋体" w:cs="宋体"/>
          <w:bCs/>
          <w:color w:val="auto"/>
          <w:sz w:val="21"/>
          <w:szCs w:val="21"/>
        </w:rPr>
        <w:t>。</w:t>
      </w:r>
    </w:p>
    <w:p>
      <w:pPr>
        <w:adjustRightInd w:val="0"/>
        <w:snapToGrid w:val="0"/>
        <w:spacing w:line="336" w:lineRule="auto"/>
        <w:rPr>
          <w:rFonts w:ascii="宋体" w:hAnsi="宋体" w:eastAsia="宋体" w:cs="宋体"/>
          <w:bCs/>
          <w:color w:val="auto"/>
          <w:sz w:val="21"/>
          <w:szCs w:val="21"/>
        </w:rPr>
      </w:pPr>
      <w:bookmarkStart w:id="61" w:name="_Toc351203485"/>
      <w:r>
        <w:rPr>
          <w:rFonts w:hint="eastAsia" w:ascii="宋体" w:hAnsi="宋体" w:eastAsia="宋体" w:cs="宋体"/>
          <w:bCs/>
          <w:color w:val="auto"/>
          <w:sz w:val="21"/>
          <w:szCs w:val="21"/>
        </w:rPr>
        <w:t>五、</w:t>
      </w:r>
      <w:bookmarkEnd w:id="61"/>
      <w:r>
        <w:rPr>
          <w:rFonts w:hint="eastAsia" w:ascii="宋体" w:hAnsi="宋体" w:eastAsia="宋体" w:cs="宋体"/>
          <w:bCs/>
          <w:color w:val="auto"/>
          <w:sz w:val="21"/>
          <w:szCs w:val="21"/>
        </w:rPr>
        <w:t>项目经理</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承包人项目经理：。</w:t>
      </w:r>
    </w:p>
    <w:p>
      <w:pPr>
        <w:adjustRightInd w:val="0"/>
        <w:snapToGrid w:val="0"/>
        <w:spacing w:line="336" w:lineRule="auto"/>
        <w:rPr>
          <w:rFonts w:ascii="宋体" w:hAnsi="宋体" w:eastAsia="宋体" w:cs="宋体"/>
          <w:bCs/>
          <w:color w:val="auto"/>
          <w:sz w:val="21"/>
          <w:szCs w:val="21"/>
        </w:rPr>
      </w:pPr>
      <w:bookmarkStart w:id="62" w:name="_Toc351203486"/>
      <w:r>
        <w:rPr>
          <w:rFonts w:hint="eastAsia" w:ascii="宋体" w:hAnsi="宋体" w:eastAsia="宋体" w:cs="宋体"/>
          <w:bCs/>
          <w:color w:val="auto"/>
          <w:sz w:val="21"/>
          <w:szCs w:val="21"/>
        </w:rPr>
        <w:t>六、合同文件构成</w:t>
      </w:r>
      <w:bookmarkEnd w:id="62"/>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本协议书与下列文件一起构成合同文件：</w:t>
      </w:r>
    </w:p>
    <w:p>
      <w:pPr>
        <w:autoSpaceDE w:val="0"/>
        <w:autoSpaceDN w:val="0"/>
        <w:adjustRightInd w:val="0"/>
        <w:snapToGrid w:val="0"/>
        <w:spacing w:line="336" w:lineRule="auto"/>
        <w:ind w:firstLine="424" w:firstLineChars="202"/>
        <w:jc w:val="left"/>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1、成交通知书；</w:t>
      </w:r>
    </w:p>
    <w:p>
      <w:pPr>
        <w:autoSpaceDE w:val="0"/>
        <w:autoSpaceDN w:val="0"/>
        <w:adjustRightInd w:val="0"/>
        <w:snapToGrid w:val="0"/>
        <w:spacing w:line="336" w:lineRule="auto"/>
        <w:ind w:firstLine="424" w:firstLineChars="202"/>
        <w:jc w:val="left"/>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2、本合同专用条款；</w:t>
      </w:r>
    </w:p>
    <w:p>
      <w:pPr>
        <w:autoSpaceDE w:val="0"/>
        <w:autoSpaceDN w:val="0"/>
        <w:adjustRightInd w:val="0"/>
        <w:snapToGrid w:val="0"/>
        <w:spacing w:line="336" w:lineRule="auto"/>
        <w:ind w:firstLine="424" w:firstLineChars="202"/>
        <w:jc w:val="left"/>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3、询标纪要；</w:t>
      </w:r>
    </w:p>
    <w:p>
      <w:pPr>
        <w:autoSpaceDE w:val="0"/>
        <w:autoSpaceDN w:val="0"/>
        <w:adjustRightInd w:val="0"/>
        <w:snapToGrid w:val="0"/>
        <w:spacing w:line="336" w:lineRule="auto"/>
        <w:ind w:firstLine="424" w:firstLineChars="202"/>
        <w:jc w:val="left"/>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4、磋商文件及磋商补充文件；</w:t>
      </w:r>
    </w:p>
    <w:p>
      <w:pPr>
        <w:autoSpaceDE w:val="0"/>
        <w:autoSpaceDN w:val="0"/>
        <w:adjustRightInd w:val="0"/>
        <w:snapToGrid w:val="0"/>
        <w:spacing w:line="336" w:lineRule="auto"/>
        <w:ind w:firstLine="424" w:firstLineChars="202"/>
        <w:jc w:val="left"/>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5、响应文件及其附件（含已标价工程量清单）；</w:t>
      </w:r>
    </w:p>
    <w:p>
      <w:pPr>
        <w:autoSpaceDE w:val="0"/>
        <w:autoSpaceDN w:val="0"/>
        <w:adjustRightInd w:val="0"/>
        <w:snapToGrid w:val="0"/>
        <w:spacing w:line="336" w:lineRule="auto"/>
        <w:ind w:firstLine="424" w:firstLineChars="202"/>
        <w:jc w:val="left"/>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6、图纸；</w:t>
      </w:r>
    </w:p>
    <w:p>
      <w:pPr>
        <w:autoSpaceDE w:val="0"/>
        <w:autoSpaceDN w:val="0"/>
        <w:adjustRightInd w:val="0"/>
        <w:snapToGrid w:val="0"/>
        <w:spacing w:line="336" w:lineRule="auto"/>
        <w:ind w:firstLine="424" w:firstLineChars="202"/>
        <w:jc w:val="left"/>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7、本合同通用条款；</w:t>
      </w:r>
    </w:p>
    <w:p>
      <w:pPr>
        <w:autoSpaceDE w:val="0"/>
        <w:autoSpaceDN w:val="0"/>
        <w:adjustRightInd w:val="0"/>
        <w:snapToGrid w:val="0"/>
        <w:spacing w:line="336" w:lineRule="auto"/>
        <w:ind w:firstLine="424" w:firstLineChars="202"/>
        <w:jc w:val="left"/>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8、标准、规范及有关技术文件；</w:t>
      </w:r>
    </w:p>
    <w:p>
      <w:pPr>
        <w:autoSpaceDE w:val="0"/>
        <w:autoSpaceDN w:val="0"/>
        <w:adjustRightInd w:val="0"/>
        <w:snapToGrid w:val="0"/>
        <w:spacing w:line="336" w:lineRule="auto"/>
        <w:ind w:firstLine="424" w:firstLineChars="202"/>
        <w:jc w:val="left"/>
        <w:rPr>
          <w:rFonts w:ascii="宋体" w:hAnsi="宋体" w:eastAsia="宋体" w:cs="宋体"/>
          <w:bCs/>
          <w:color w:val="auto"/>
          <w:sz w:val="21"/>
          <w:szCs w:val="21"/>
        </w:rPr>
      </w:pPr>
      <w:r>
        <w:rPr>
          <w:rFonts w:hint="eastAsia" w:ascii="宋体" w:hAnsi="宋体" w:eastAsia="宋体" w:cs="宋体"/>
          <w:bCs/>
          <w:color w:val="auto"/>
          <w:sz w:val="21"/>
          <w:szCs w:val="21"/>
          <w:u w:val="single"/>
        </w:rPr>
        <w:t>9、其他合同文件</w:t>
      </w:r>
      <w:r>
        <w:rPr>
          <w:rFonts w:hint="eastAsia" w:ascii="宋体" w:hAnsi="宋体" w:eastAsia="宋体" w:cs="宋体"/>
          <w:bCs/>
          <w:color w:val="auto"/>
          <w:sz w:val="21"/>
          <w:szCs w:val="21"/>
        </w:rPr>
        <w:t>。</w:t>
      </w:r>
    </w:p>
    <w:p>
      <w:pPr>
        <w:autoSpaceDE w:val="0"/>
        <w:autoSpaceDN w:val="0"/>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在合同订立及履行过程中形成的与合同有关的文件均构成合同文件组成部分。</w:t>
      </w:r>
    </w:p>
    <w:p>
      <w:pPr>
        <w:autoSpaceDE w:val="0"/>
        <w:autoSpaceDN w:val="0"/>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上述各项合同文件包括合同当事人就该项合同文件所作出的补充和修改，属于同一类内容的文件，应以最新签署的为准。专用合同条款及其附件须经合同当事人签字或盖章。</w:t>
      </w:r>
    </w:p>
    <w:p>
      <w:pPr>
        <w:adjustRightInd w:val="0"/>
        <w:snapToGrid w:val="0"/>
        <w:spacing w:line="336" w:lineRule="auto"/>
        <w:rPr>
          <w:rFonts w:ascii="宋体" w:hAnsi="宋体" w:eastAsia="宋体" w:cs="宋体"/>
          <w:bCs/>
          <w:color w:val="auto"/>
          <w:sz w:val="21"/>
          <w:szCs w:val="21"/>
        </w:rPr>
      </w:pPr>
      <w:bookmarkStart w:id="63" w:name="_Toc351203487"/>
      <w:r>
        <w:rPr>
          <w:rFonts w:hint="eastAsia" w:ascii="宋体" w:hAnsi="宋体" w:eastAsia="宋体" w:cs="宋体"/>
          <w:bCs/>
          <w:color w:val="auto"/>
          <w:sz w:val="21"/>
          <w:szCs w:val="21"/>
        </w:rPr>
        <w:t>七、承诺</w:t>
      </w:r>
      <w:bookmarkEnd w:id="63"/>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1.发包人承诺按照法律规定履行项目审批手续、筹集工程建设资金并按照合同约定的期限和方式支付合同价款。</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2.承包人承诺按照法律规定及合同约定组织完成工程施工，确保工程质量和安全，不进行转包及违法分包，并在缺陷责任期及保修期内承担相应的工程维修责任。</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3.发包人和承包人通过招投标形式签订合同的，双方理解并承诺不再就同一工程另行签订与合同实质性内容相背离的协议。</w:t>
      </w:r>
    </w:p>
    <w:p>
      <w:pPr>
        <w:adjustRightInd w:val="0"/>
        <w:snapToGrid w:val="0"/>
        <w:spacing w:line="336" w:lineRule="auto"/>
        <w:rPr>
          <w:rFonts w:ascii="宋体" w:hAnsi="宋体" w:eastAsia="宋体" w:cs="宋体"/>
          <w:bCs/>
          <w:color w:val="auto"/>
          <w:sz w:val="21"/>
          <w:szCs w:val="21"/>
        </w:rPr>
      </w:pPr>
      <w:bookmarkStart w:id="64" w:name="_Toc351203488"/>
      <w:r>
        <w:rPr>
          <w:rFonts w:hint="eastAsia" w:ascii="宋体" w:hAnsi="宋体" w:eastAsia="宋体" w:cs="宋体"/>
          <w:bCs/>
          <w:color w:val="auto"/>
          <w:sz w:val="21"/>
          <w:szCs w:val="21"/>
        </w:rPr>
        <w:t>八、词语含义</w:t>
      </w:r>
      <w:bookmarkEnd w:id="64"/>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本协议书中词语含义与第二部分通用合同条款中赋予的含义相同。</w:t>
      </w:r>
    </w:p>
    <w:p>
      <w:pPr>
        <w:adjustRightInd w:val="0"/>
        <w:snapToGrid w:val="0"/>
        <w:spacing w:line="336" w:lineRule="auto"/>
        <w:rPr>
          <w:rFonts w:ascii="宋体" w:hAnsi="宋体" w:eastAsia="宋体" w:cs="宋体"/>
          <w:bCs/>
          <w:color w:val="auto"/>
          <w:sz w:val="21"/>
          <w:szCs w:val="21"/>
        </w:rPr>
      </w:pPr>
      <w:bookmarkStart w:id="65" w:name="_Toc351203489"/>
      <w:r>
        <w:rPr>
          <w:rFonts w:hint="eastAsia" w:ascii="宋体" w:hAnsi="宋体" w:eastAsia="宋体" w:cs="宋体"/>
          <w:bCs/>
          <w:color w:val="auto"/>
          <w:sz w:val="21"/>
          <w:szCs w:val="21"/>
        </w:rPr>
        <w:t>九、签订时间</w:t>
      </w:r>
      <w:bookmarkEnd w:id="65"/>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本合同于</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年</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月</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日签订。</w:t>
      </w:r>
    </w:p>
    <w:p>
      <w:pPr>
        <w:adjustRightInd w:val="0"/>
        <w:snapToGrid w:val="0"/>
        <w:spacing w:line="336" w:lineRule="auto"/>
        <w:rPr>
          <w:rFonts w:ascii="宋体" w:hAnsi="宋体" w:eastAsia="宋体" w:cs="宋体"/>
          <w:bCs/>
          <w:color w:val="auto"/>
          <w:sz w:val="21"/>
          <w:szCs w:val="21"/>
        </w:rPr>
      </w:pPr>
      <w:bookmarkStart w:id="66" w:name="_Toc351203490"/>
      <w:r>
        <w:rPr>
          <w:rFonts w:hint="eastAsia" w:ascii="宋体" w:hAnsi="宋体" w:eastAsia="宋体" w:cs="宋体"/>
          <w:bCs/>
          <w:color w:val="auto"/>
          <w:sz w:val="21"/>
          <w:szCs w:val="21"/>
        </w:rPr>
        <w:t>十、签订地点</w:t>
      </w:r>
      <w:bookmarkEnd w:id="66"/>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本合同在签订。</w:t>
      </w:r>
    </w:p>
    <w:p>
      <w:pPr>
        <w:adjustRightInd w:val="0"/>
        <w:snapToGrid w:val="0"/>
        <w:spacing w:line="336" w:lineRule="auto"/>
        <w:rPr>
          <w:rFonts w:ascii="宋体" w:hAnsi="宋体" w:eastAsia="宋体" w:cs="宋体"/>
          <w:bCs/>
          <w:color w:val="auto"/>
          <w:sz w:val="21"/>
          <w:szCs w:val="21"/>
        </w:rPr>
      </w:pPr>
      <w:bookmarkStart w:id="67" w:name="_Toc351203491"/>
      <w:r>
        <w:rPr>
          <w:rFonts w:hint="eastAsia" w:ascii="宋体" w:hAnsi="宋体" w:eastAsia="宋体" w:cs="宋体"/>
          <w:bCs/>
          <w:color w:val="auto"/>
          <w:sz w:val="21"/>
          <w:szCs w:val="21"/>
        </w:rPr>
        <w:t>十一、补充协议</w:t>
      </w:r>
      <w:bookmarkEnd w:id="67"/>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合同未尽事宜，合同当事人另行签订补充协议，补充协议是合同的组成部分。</w:t>
      </w:r>
    </w:p>
    <w:p>
      <w:pPr>
        <w:adjustRightInd w:val="0"/>
        <w:snapToGrid w:val="0"/>
        <w:spacing w:line="336" w:lineRule="auto"/>
        <w:rPr>
          <w:rFonts w:ascii="宋体" w:hAnsi="宋体" w:eastAsia="宋体" w:cs="宋体"/>
          <w:bCs/>
          <w:color w:val="auto"/>
          <w:sz w:val="21"/>
          <w:szCs w:val="21"/>
        </w:rPr>
      </w:pPr>
      <w:bookmarkStart w:id="68" w:name="_Toc351203492"/>
      <w:r>
        <w:rPr>
          <w:rFonts w:hint="eastAsia" w:ascii="宋体" w:hAnsi="宋体" w:eastAsia="宋体" w:cs="宋体"/>
          <w:bCs/>
          <w:color w:val="auto"/>
          <w:sz w:val="21"/>
          <w:szCs w:val="21"/>
        </w:rPr>
        <w:t>十二、合同生效</w:t>
      </w:r>
      <w:bookmarkEnd w:id="68"/>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本合同自</w:t>
      </w:r>
      <w:r>
        <w:rPr>
          <w:rFonts w:hint="eastAsia" w:ascii="宋体" w:hAnsi="宋体" w:eastAsia="宋体" w:cs="宋体"/>
          <w:bCs/>
          <w:color w:val="auto"/>
          <w:sz w:val="21"/>
          <w:szCs w:val="21"/>
          <w:u w:val="single"/>
        </w:rPr>
        <w:t>双方签字盖章后且承包人提交足额的履约担保后</w:t>
      </w:r>
      <w:r>
        <w:rPr>
          <w:rFonts w:hint="eastAsia" w:ascii="宋体" w:hAnsi="宋体" w:eastAsia="宋体" w:cs="宋体"/>
          <w:bCs/>
          <w:color w:val="auto"/>
          <w:sz w:val="21"/>
          <w:szCs w:val="21"/>
        </w:rPr>
        <w:t>生效。</w:t>
      </w:r>
    </w:p>
    <w:p>
      <w:pPr>
        <w:adjustRightInd w:val="0"/>
        <w:snapToGrid w:val="0"/>
        <w:spacing w:line="336" w:lineRule="auto"/>
        <w:rPr>
          <w:rFonts w:ascii="宋体" w:hAnsi="宋体" w:eastAsia="宋体" w:cs="宋体"/>
          <w:bCs/>
          <w:color w:val="auto"/>
          <w:sz w:val="21"/>
          <w:szCs w:val="21"/>
        </w:rPr>
      </w:pPr>
      <w:bookmarkStart w:id="69" w:name="_Toc351203493"/>
      <w:r>
        <w:rPr>
          <w:rFonts w:hint="eastAsia" w:ascii="宋体" w:hAnsi="宋体" w:eastAsia="宋体" w:cs="宋体"/>
          <w:bCs/>
          <w:color w:val="auto"/>
          <w:sz w:val="21"/>
          <w:szCs w:val="21"/>
        </w:rPr>
        <w:t>十三、合同份数</w:t>
      </w:r>
      <w:bookmarkEnd w:id="69"/>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本合同一式</w:t>
      </w:r>
      <w:r>
        <w:rPr>
          <w:rFonts w:hint="eastAsia" w:ascii="宋体" w:hAnsi="宋体" w:eastAsia="宋体" w:cs="宋体"/>
          <w:bCs/>
          <w:color w:val="auto"/>
          <w:sz w:val="21"/>
          <w:szCs w:val="21"/>
          <w:u w:val="single"/>
        </w:rPr>
        <w:t>捌</w:t>
      </w:r>
      <w:r>
        <w:rPr>
          <w:rFonts w:hint="eastAsia" w:ascii="宋体" w:hAnsi="宋体" w:eastAsia="宋体" w:cs="宋体"/>
          <w:bCs/>
          <w:color w:val="auto"/>
          <w:sz w:val="21"/>
          <w:szCs w:val="21"/>
        </w:rPr>
        <w:t>份，均具有同等法律效力，发包人执</w:t>
      </w:r>
      <w:r>
        <w:rPr>
          <w:rFonts w:hint="eastAsia" w:ascii="宋体" w:hAnsi="宋体" w:eastAsia="宋体" w:cs="宋体"/>
          <w:bCs/>
          <w:color w:val="auto"/>
          <w:sz w:val="21"/>
          <w:szCs w:val="21"/>
          <w:u w:val="single"/>
        </w:rPr>
        <w:t>叁</w:t>
      </w:r>
      <w:r>
        <w:rPr>
          <w:rFonts w:hint="eastAsia" w:ascii="宋体" w:hAnsi="宋体" w:eastAsia="宋体" w:cs="宋体"/>
          <w:bCs/>
          <w:color w:val="auto"/>
          <w:sz w:val="21"/>
          <w:szCs w:val="21"/>
        </w:rPr>
        <w:t>份，承包人执</w:t>
      </w:r>
      <w:r>
        <w:rPr>
          <w:rFonts w:hint="eastAsia" w:ascii="宋体" w:hAnsi="宋体" w:eastAsia="宋体" w:cs="宋体"/>
          <w:bCs/>
          <w:color w:val="auto"/>
          <w:sz w:val="21"/>
          <w:szCs w:val="21"/>
          <w:u w:val="single"/>
        </w:rPr>
        <w:t>叁</w:t>
      </w:r>
      <w:r>
        <w:rPr>
          <w:rFonts w:hint="eastAsia" w:ascii="宋体" w:hAnsi="宋体" w:eastAsia="宋体" w:cs="宋体"/>
          <w:bCs/>
          <w:color w:val="auto"/>
          <w:sz w:val="21"/>
          <w:szCs w:val="21"/>
        </w:rPr>
        <w:t>份，采购代理和仙居县财政局采购监督科各</w:t>
      </w:r>
      <w:r>
        <w:rPr>
          <w:rFonts w:hint="eastAsia" w:ascii="宋体" w:hAnsi="宋体" w:eastAsia="宋体" w:cs="宋体"/>
          <w:bCs/>
          <w:color w:val="auto"/>
          <w:sz w:val="21"/>
          <w:szCs w:val="21"/>
          <w:u w:val="single"/>
        </w:rPr>
        <w:t xml:space="preserve"> 壹 </w:t>
      </w:r>
      <w:r>
        <w:rPr>
          <w:rFonts w:hint="eastAsia" w:ascii="宋体" w:hAnsi="宋体" w:eastAsia="宋体" w:cs="宋体"/>
          <w:bCs/>
          <w:color w:val="auto"/>
          <w:sz w:val="21"/>
          <w:szCs w:val="21"/>
        </w:rPr>
        <w:t>份。</w:t>
      </w:r>
    </w:p>
    <w:p>
      <w:pPr>
        <w:adjustRightInd w:val="0"/>
        <w:snapToGrid w:val="0"/>
        <w:spacing w:line="336" w:lineRule="auto"/>
        <w:rPr>
          <w:rFonts w:ascii="宋体" w:hAnsi="宋体" w:eastAsia="宋体" w:cs="宋体"/>
          <w:bCs/>
          <w:color w:val="auto"/>
          <w:sz w:val="21"/>
          <w:szCs w:val="21"/>
        </w:rPr>
      </w:pPr>
    </w:p>
    <w:p>
      <w:pPr>
        <w:adjustRightInd w:val="0"/>
        <w:snapToGrid w:val="0"/>
        <w:spacing w:line="336" w:lineRule="auto"/>
        <w:rPr>
          <w:rFonts w:ascii="宋体" w:hAnsi="宋体" w:eastAsia="宋体" w:cs="宋体"/>
          <w:bCs/>
          <w:color w:val="auto"/>
          <w:sz w:val="21"/>
          <w:szCs w:val="21"/>
        </w:rPr>
      </w:pPr>
      <w:r>
        <w:rPr>
          <w:rFonts w:hint="eastAsia" w:ascii="宋体" w:hAnsi="宋体" w:eastAsia="宋体" w:cs="宋体"/>
          <w:bCs/>
          <w:color w:val="auto"/>
          <w:sz w:val="21"/>
          <w:szCs w:val="21"/>
        </w:rPr>
        <w:t>发包人：  (公章)             承包人：  (公章)</w:t>
      </w:r>
    </w:p>
    <w:p>
      <w:pPr>
        <w:adjustRightInd w:val="0"/>
        <w:snapToGrid w:val="0"/>
        <w:spacing w:line="336" w:lineRule="auto"/>
        <w:rPr>
          <w:rFonts w:ascii="宋体" w:hAnsi="宋体" w:eastAsia="宋体" w:cs="宋体"/>
          <w:bCs/>
          <w:color w:val="auto"/>
          <w:sz w:val="21"/>
          <w:szCs w:val="21"/>
          <w:u w:val="single"/>
        </w:rPr>
      </w:pPr>
    </w:p>
    <w:p>
      <w:pPr>
        <w:adjustRightInd w:val="0"/>
        <w:snapToGrid w:val="0"/>
        <w:spacing w:line="336" w:lineRule="auto"/>
        <w:rPr>
          <w:rFonts w:ascii="宋体" w:hAnsi="宋体" w:eastAsia="宋体" w:cs="宋体"/>
          <w:bCs/>
          <w:color w:val="auto"/>
          <w:sz w:val="21"/>
          <w:szCs w:val="21"/>
        </w:rPr>
      </w:pPr>
      <w:r>
        <w:rPr>
          <w:rFonts w:hint="eastAsia" w:ascii="宋体" w:hAnsi="宋体" w:eastAsia="宋体" w:cs="宋体"/>
          <w:bCs/>
          <w:color w:val="auto"/>
          <w:sz w:val="21"/>
          <w:szCs w:val="21"/>
        </w:rPr>
        <w:t>法定代表人或其委托代理人：  法定代表人或其委托代理人：</w:t>
      </w:r>
    </w:p>
    <w:p>
      <w:pPr>
        <w:adjustRightInd w:val="0"/>
        <w:snapToGrid w:val="0"/>
        <w:spacing w:line="336" w:lineRule="auto"/>
        <w:rPr>
          <w:rFonts w:ascii="宋体" w:hAnsi="宋体" w:eastAsia="宋体" w:cs="宋体"/>
          <w:bCs/>
          <w:color w:val="auto"/>
          <w:sz w:val="21"/>
          <w:szCs w:val="21"/>
        </w:rPr>
      </w:pPr>
      <w:r>
        <w:rPr>
          <w:rFonts w:hint="eastAsia" w:ascii="宋体" w:hAnsi="宋体" w:eastAsia="宋体" w:cs="宋体"/>
          <w:bCs/>
          <w:color w:val="auto"/>
          <w:sz w:val="21"/>
          <w:szCs w:val="21"/>
        </w:rPr>
        <w:t>（签字）                    （签字）</w:t>
      </w:r>
    </w:p>
    <w:p>
      <w:pPr>
        <w:adjustRightInd w:val="0"/>
        <w:snapToGrid w:val="0"/>
        <w:spacing w:line="336" w:lineRule="auto"/>
        <w:rPr>
          <w:rFonts w:ascii="宋体" w:hAnsi="宋体" w:eastAsia="宋体" w:cs="宋体"/>
          <w:bCs/>
          <w:color w:val="auto"/>
          <w:sz w:val="21"/>
          <w:szCs w:val="21"/>
          <w:u w:val="single"/>
        </w:rPr>
      </w:pPr>
    </w:p>
    <w:p>
      <w:pPr>
        <w:adjustRightInd w:val="0"/>
        <w:snapToGrid w:val="0"/>
        <w:spacing w:line="336" w:lineRule="auto"/>
        <w:rPr>
          <w:rFonts w:ascii="宋体" w:hAnsi="宋体" w:eastAsia="宋体" w:cs="宋体"/>
          <w:bCs/>
          <w:color w:val="auto"/>
          <w:sz w:val="21"/>
          <w:szCs w:val="21"/>
        </w:rPr>
      </w:pPr>
      <w:r>
        <w:rPr>
          <w:rFonts w:hint="eastAsia" w:ascii="宋体" w:hAnsi="宋体" w:eastAsia="宋体" w:cs="宋体"/>
          <w:bCs/>
          <w:color w:val="auto"/>
          <w:sz w:val="21"/>
          <w:szCs w:val="21"/>
        </w:rPr>
        <w:t>地  址：                             地  址：</w:t>
      </w:r>
    </w:p>
    <w:p>
      <w:pPr>
        <w:adjustRightInd w:val="0"/>
        <w:snapToGrid w:val="0"/>
        <w:spacing w:line="336" w:lineRule="auto"/>
        <w:rPr>
          <w:rFonts w:ascii="宋体" w:hAnsi="宋体" w:eastAsia="宋体" w:cs="宋体"/>
          <w:bCs/>
          <w:color w:val="auto"/>
          <w:sz w:val="21"/>
          <w:szCs w:val="21"/>
        </w:rPr>
      </w:pPr>
    </w:p>
    <w:p>
      <w:pPr>
        <w:adjustRightInd w:val="0"/>
        <w:snapToGrid w:val="0"/>
        <w:spacing w:line="336" w:lineRule="auto"/>
        <w:rPr>
          <w:rFonts w:ascii="宋体" w:hAnsi="宋体" w:eastAsia="宋体" w:cs="宋体"/>
          <w:bCs/>
          <w:color w:val="auto"/>
          <w:sz w:val="21"/>
          <w:szCs w:val="21"/>
        </w:rPr>
      </w:pPr>
      <w:r>
        <w:rPr>
          <w:rFonts w:hint="eastAsia" w:ascii="宋体" w:hAnsi="宋体" w:eastAsia="宋体" w:cs="宋体"/>
          <w:bCs/>
          <w:color w:val="auto"/>
          <w:sz w:val="21"/>
          <w:szCs w:val="21"/>
        </w:rPr>
        <w:t>邮政编码：                           邮政编码：</w:t>
      </w:r>
    </w:p>
    <w:p>
      <w:pPr>
        <w:adjustRightInd w:val="0"/>
        <w:snapToGrid w:val="0"/>
        <w:spacing w:line="336" w:lineRule="auto"/>
        <w:rPr>
          <w:rFonts w:ascii="宋体" w:hAnsi="宋体" w:eastAsia="宋体" w:cs="宋体"/>
          <w:bCs/>
          <w:color w:val="auto"/>
          <w:sz w:val="21"/>
          <w:szCs w:val="21"/>
        </w:rPr>
      </w:pPr>
    </w:p>
    <w:p>
      <w:pPr>
        <w:adjustRightInd w:val="0"/>
        <w:snapToGrid w:val="0"/>
        <w:spacing w:line="336" w:lineRule="auto"/>
        <w:rPr>
          <w:rFonts w:ascii="宋体" w:hAnsi="宋体" w:eastAsia="宋体" w:cs="宋体"/>
          <w:bCs/>
          <w:color w:val="auto"/>
          <w:sz w:val="21"/>
          <w:szCs w:val="21"/>
        </w:rPr>
      </w:pPr>
      <w:r>
        <w:rPr>
          <w:rFonts w:hint="eastAsia" w:ascii="宋体" w:hAnsi="宋体" w:eastAsia="宋体" w:cs="宋体"/>
          <w:bCs/>
          <w:color w:val="auto"/>
          <w:sz w:val="21"/>
          <w:szCs w:val="21"/>
        </w:rPr>
        <w:t>法定代表人：                         法定代表人：</w:t>
      </w:r>
    </w:p>
    <w:p>
      <w:pPr>
        <w:adjustRightInd w:val="0"/>
        <w:snapToGrid w:val="0"/>
        <w:spacing w:line="336" w:lineRule="auto"/>
        <w:rPr>
          <w:rFonts w:ascii="宋体" w:hAnsi="宋体" w:eastAsia="宋体" w:cs="宋体"/>
          <w:bCs/>
          <w:color w:val="auto"/>
          <w:sz w:val="21"/>
          <w:szCs w:val="21"/>
        </w:rPr>
      </w:pPr>
    </w:p>
    <w:p>
      <w:pPr>
        <w:adjustRightInd w:val="0"/>
        <w:snapToGrid w:val="0"/>
        <w:spacing w:line="336" w:lineRule="auto"/>
        <w:rPr>
          <w:rFonts w:ascii="宋体" w:hAnsi="宋体" w:eastAsia="宋体" w:cs="宋体"/>
          <w:bCs/>
          <w:color w:val="auto"/>
          <w:sz w:val="21"/>
          <w:szCs w:val="21"/>
        </w:rPr>
      </w:pPr>
      <w:r>
        <w:rPr>
          <w:rFonts w:hint="eastAsia" w:ascii="宋体" w:hAnsi="宋体" w:eastAsia="宋体" w:cs="宋体"/>
          <w:bCs/>
          <w:color w:val="auto"/>
          <w:sz w:val="21"/>
          <w:szCs w:val="21"/>
        </w:rPr>
        <w:t>委托代理人：                         委托代理人：</w:t>
      </w:r>
    </w:p>
    <w:p>
      <w:pPr>
        <w:adjustRightInd w:val="0"/>
        <w:snapToGrid w:val="0"/>
        <w:spacing w:line="336" w:lineRule="auto"/>
        <w:rPr>
          <w:rFonts w:ascii="宋体" w:hAnsi="宋体" w:eastAsia="宋体" w:cs="宋体"/>
          <w:bCs/>
          <w:color w:val="auto"/>
          <w:sz w:val="21"/>
          <w:szCs w:val="21"/>
        </w:rPr>
      </w:pPr>
    </w:p>
    <w:p>
      <w:pPr>
        <w:adjustRightInd w:val="0"/>
        <w:snapToGrid w:val="0"/>
        <w:spacing w:line="336" w:lineRule="auto"/>
        <w:rPr>
          <w:rFonts w:ascii="宋体" w:hAnsi="宋体" w:eastAsia="宋体" w:cs="宋体"/>
          <w:bCs/>
          <w:color w:val="auto"/>
          <w:sz w:val="21"/>
          <w:szCs w:val="21"/>
        </w:rPr>
      </w:pPr>
      <w:r>
        <w:rPr>
          <w:rFonts w:hint="eastAsia" w:ascii="宋体" w:hAnsi="宋体" w:eastAsia="宋体" w:cs="宋体"/>
          <w:bCs/>
          <w:color w:val="auto"/>
          <w:sz w:val="21"/>
          <w:szCs w:val="21"/>
        </w:rPr>
        <w:t>电  话：                             电  话：</w:t>
      </w:r>
    </w:p>
    <w:p>
      <w:pPr>
        <w:adjustRightInd w:val="0"/>
        <w:snapToGrid w:val="0"/>
        <w:spacing w:line="336" w:lineRule="auto"/>
        <w:rPr>
          <w:rFonts w:ascii="宋体" w:hAnsi="宋体" w:eastAsia="宋体" w:cs="宋体"/>
          <w:bCs/>
          <w:color w:val="auto"/>
          <w:sz w:val="21"/>
          <w:szCs w:val="21"/>
        </w:rPr>
      </w:pPr>
    </w:p>
    <w:p>
      <w:pPr>
        <w:adjustRightInd w:val="0"/>
        <w:snapToGrid w:val="0"/>
        <w:spacing w:line="336" w:lineRule="auto"/>
        <w:rPr>
          <w:rFonts w:ascii="宋体" w:hAnsi="宋体" w:eastAsia="宋体" w:cs="宋体"/>
          <w:bCs/>
          <w:color w:val="auto"/>
          <w:sz w:val="21"/>
          <w:szCs w:val="21"/>
        </w:rPr>
      </w:pPr>
      <w:r>
        <w:rPr>
          <w:rFonts w:hint="eastAsia" w:ascii="宋体" w:hAnsi="宋体" w:eastAsia="宋体" w:cs="宋体"/>
          <w:bCs/>
          <w:color w:val="auto"/>
          <w:sz w:val="21"/>
          <w:szCs w:val="21"/>
        </w:rPr>
        <w:t>传  真：                             传  真：</w:t>
      </w:r>
    </w:p>
    <w:p>
      <w:pPr>
        <w:adjustRightInd w:val="0"/>
        <w:snapToGrid w:val="0"/>
        <w:spacing w:line="336" w:lineRule="auto"/>
        <w:rPr>
          <w:rFonts w:ascii="宋体" w:hAnsi="宋体" w:eastAsia="宋体" w:cs="宋体"/>
          <w:bCs/>
          <w:color w:val="auto"/>
          <w:sz w:val="21"/>
          <w:szCs w:val="21"/>
        </w:rPr>
      </w:pPr>
    </w:p>
    <w:p>
      <w:pPr>
        <w:adjustRightInd w:val="0"/>
        <w:snapToGrid w:val="0"/>
        <w:spacing w:line="336" w:lineRule="auto"/>
        <w:rPr>
          <w:rFonts w:ascii="宋体" w:hAnsi="宋体" w:eastAsia="宋体" w:cs="宋体"/>
          <w:bCs/>
          <w:color w:val="auto"/>
          <w:sz w:val="21"/>
          <w:szCs w:val="21"/>
        </w:rPr>
      </w:pPr>
      <w:r>
        <w:rPr>
          <w:rFonts w:hint="eastAsia" w:ascii="宋体" w:hAnsi="宋体" w:eastAsia="宋体" w:cs="宋体"/>
          <w:bCs/>
          <w:color w:val="auto"/>
          <w:sz w:val="21"/>
          <w:szCs w:val="21"/>
        </w:rPr>
        <w:t>电子信箱：                           电子信箱：</w:t>
      </w:r>
    </w:p>
    <w:p>
      <w:pPr>
        <w:adjustRightInd w:val="0"/>
        <w:snapToGrid w:val="0"/>
        <w:spacing w:line="336" w:lineRule="auto"/>
        <w:rPr>
          <w:rFonts w:ascii="宋体" w:hAnsi="宋体" w:eastAsia="宋体" w:cs="宋体"/>
          <w:bCs/>
          <w:color w:val="auto"/>
          <w:sz w:val="21"/>
          <w:szCs w:val="21"/>
        </w:rPr>
      </w:pPr>
    </w:p>
    <w:p>
      <w:pPr>
        <w:adjustRightInd w:val="0"/>
        <w:snapToGrid w:val="0"/>
        <w:spacing w:line="336" w:lineRule="auto"/>
        <w:rPr>
          <w:rFonts w:ascii="宋体" w:hAnsi="宋体" w:eastAsia="宋体" w:cs="宋体"/>
          <w:bCs/>
          <w:color w:val="auto"/>
          <w:sz w:val="21"/>
          <w:szCs w:val="21"/>
        </w:rPr>
      </w:pPr>
      <w:r>
        <w:rPr>
          <w:rFonts w:hint="eastAsia" w:ascii="宋体" w:hAnsi="宋体" w:eastAsia="宋体" w:cs="宋体"/>
          <w:bCs/>
          <w:color w:val="auto"/>
          <w:sz w:val="21"/>
          <w:szCs w:val="21"/>
        </w:rPr>
        <w:t>开户银行：                           开户银行：</w:t>
      </w:r>
    </w:p>
    <w:p>
      <w:pPr>
        <w:adjustRightInd w:val="0"/>
        <w:snapToGrid w:val="0"/>
        <w:spacing w:line="336" w:lineRule="auto"/>
        <w:rPr>
          <w:rFonts w:ascii="宋体" w:hAnsi="宋体" w:eastAsia="宋体" w:cs="宋体"/>
          <w:bCs/>
          <w:color w:val="auto"/>
          <w:sz w:val="21"/>
          <w:szCs w:val="21"/>
        </w:rPr>
      </w:pPr>
    </w:p>
    <w:p>
      <w:pPr>
        <w:adjustRightInd w:val="0"/>
        <w:snapToGrid w:val="0"/>
        <w:spacing w:line="336" w:lineRule="auto"/>
        <w:rPr>
          <w:rFonts w:ascii="宋体" w:hAnsi="宋体" w:eastAsia="宋体" w:cs="宋体"/>
          <w:bCs/>
          <w:color w:val="auto"/>
          <w:sz w:val="21"/>
          <w:szCs w:val="21"/>
        </w:rPr>
      </w:pPr>
      <w:r>
        <w:rPr>
          <w:rFonts w:hint="eastAsia" w:ascii="宋体" w:hAnsi="宋体" w:eastAsia="宋体" w:cs="宋体"/>
          <w:bCs/>
          <w:color w:val="auto"/>
          <w:sz w:val="21"/>
          <w:szCs w:val="21"/>
        </w:rPr>
        <w:t>账  号：                             账  号：</w:t>
      </w:r>
    </w:p>
    <w:p>
      <w:pPr>
        <w:keepNext/>
        <w:keepLines/>
        <w:autoSpaceDE w:val="0"/>
        <w:autoSpaceDN w:val="0"/>
        <w:adjustRightInd w:val="0"/>
        <w:snapToGrid w:val="0"/>
        <w:spacing w:line="336" w:lineRule="auto"/>
        <w:jc w:val="center"/>
        <w:outlineLvl w:val="2"/>
        <w:rPr>
          <w:rFonts w:ascii="宋体" w:hAnsi="宋体" w:eastAsia="宋体" w:cs="宋体"/>
          <w:bCs/>
          <w:color w:val="auto"/>
          <w:kern w:val="0"/>
          <w:sz w:val="21"/>
          <w:szCs w:val="21"/>
        </w:rPr>
      </w:pPr>
      <w:r>
        <w:rPr>
          <w:rFonts w:hint="eastAsia" w:ascii="宋体" w:hAnsi="宋体" w:eastAsia="宋体" w:cs="宋体"/>
          <w:bCs/>
          <w:color w:val="auto"/>
          <w:kern w:val="0"/>
          <w:sz w:val="21"/>
          <w:szCs w:val="21"/>
          <w:u w:val="single"/>
        </w:rPr>
        <w:br w:type="page"/>
      </w:r>
      <w:bookmarkStart w:id="70" w:name="_Toc337558727"/>
      <w:r>
        <w:rPr>
          <w:rFonts w:hint="eastAsia" w:ascii="宋体" w:hAnsi="宋体" w:eastAsia="宋体" w:cs="宋体"/>
          <w:bCs/>
          <w:color w:val="auto"/>
          <w:kern w:val="0"/>
          <w:sz w:val="21"/>
          <w:szCs w:val="21"/>
        </w:rPr>
        <w:t>第二部分 通用合同条款</w:t>
      </w:r>
    </w:p>
    <w:p>
      <w:pPr>
        <w:adjustRightInd w:val="0"/>
        <w:snapToGrid w:val="0"/>
        <w:spacing w:line="336" w:lineRule="auto"/>
        <w:jc w:val="center"/>
        <w:rPr>
          <w:rFonts w:ascii="宋体" w:hAnsi="宋体" w:eastAsia="宋体" w:cs="宋体"/>
          <w:bCs/>
          <w:color w:val="auto"/>
          <w:sz w:val="21"/>
          <w:szCs w:val="21"/>
        </w:rPr>
      </w:pPr>
      <w:r>
        <w:rPr>
          <w:rFonts w:hint="eastAsia" w:ascii="宋体" w:hAnsi="宋体" w:eastAsia="宋体" w:cs="宋体"/>
          <w:bCs/>
          <w:color w:val="auto"/>
          <w:sz w:val="21"/>
          <w:szCs w:val="21"/>
        </w:rPr>
        <w:t>略，见（GF—2017—0201）《建设工程施工合同》（示范文本）</w:t>
      </w:r>
    </w:p>
    <w:p>
      <w:pPr>
        <w:adjustRightInd w:val="0"/>
        <w:snapToGrid w:val="0"/>
        <w:spacing w:line="336" w:lineRule="auto"/>
        <w:jc w:val="center"/>
        <w:rPr>
          <w:rFonts w:ascii="宋体" w:hAnsi="宋体" w:eastAsia="宋体" w:cs="宋体"/>
          <w:bCs/>
          <w:color w:val="auto"/>
          <w:sz w:val="21"/>
          <w:szCs w:val="21"/>
        </w:rPr>
      </w:pPr>
    </w:p>
    <w:bookmarkEnd w:id="70"/>
    <w:p>
      <w:pPr>
        <w:keepNext/>
        <w:keepLines/>
        <w:autoSpaceDE w:val="0"/>
        <w:autoSpaceDN w:val="0"/>
        <w:adjustRightInd w:val="0"/>
        <w:snapToGrid w:val="0"/>
        <w:spacing w:line="336" w:lineRule="auto"/>
        <w:jc w:val="center"/>
        <w:outlineLvl w:val="2"/>
        <w:rPr>
          <w:rFonts w:ascii="宋体" w:hAnsi="宋体" w:eastAsia="宋体" w:cs="宋体"/>
          <w:bCs/>
          <w:color w:val="auto"/>
          <w:kern w:val="0"/>
          <w:sz w:val="21"/>
          <w:szCs w:val="21"/>
        </w:rPr>
      </w:pPr>
      <w:bookmarkStart w:id="71" w:name="_Toc351203632"/>
      <w:r>
        <w:rPr>
          <w:rFonts w:hint="eastAsia" w:ascii="宋体" w:hAnsi="宋体" w:eastAsia="宋体" w:cs="宋体"/>
          <w:bCs/>
          <w:color w:val="auto"/>
          <w:kern w:val="0"/>
          <w:sz w:val="21"/>
          <w:szCs w:val="21"/>
        </w:rPr>
        <w:t>第三部分 专用合同条款</w:t>
      </w:r>
      <w:bookmarkEnd w:id="71"/>
    </w:p>
    <w:p>
      <w:pPr>
        <w:adjustRightInd w:val="0"/>
        <w:snapToGrid w:val="0"/>
        <w:spacing w:line="336" w:lineRule="auto"/>
        <w:rPr>
          <w:rFonts w:ascii="宋体" w:hAnsi="宋体" w:eastAsia="宋体" w:cs="宋体"/>
          <w:bCs/>
          <w:color w:val="auto"/>
          <w:sz w:val="21"/>
          <w:szCs w:val="21"/>
        </w:rPr>
      </w:pPr>
      <w:bookmarkStart w:id="72" w:name="_Toc351203633"/>
      <w:r>
        <w:rPr>
          <w:rFonts w:hint="eastAsia" w:ascii="宋体" w:hAnsi="宋体" w:eastAsia="宋体" w:cs="宋体"/>
          <w:bCs/>
          <w:color w:val="auto"/>
          <w:sz w:val="21"/>
          <w:szCs w:val="21"/>
        </w:rPr>
        <w:t>1</w:t>
      </w:r>
      <w:bookmarkStart w:id="73" w:name="_Toc296347155"/>
      <w:bookmarkStart w:id="74" w:name="_Toc296891196"/>
      <w:bookmarkStart w:id="75" w:name="_Toc292559866"/>
      <w:bookmarkStart w:id="76" w:name="_Toc297120456"/>
      <w:bookmarkStart w:id="77" w:name="_Toc292559361"/>
      <w:bookmarkStart w:id="78" w:name="_Toc296944495"/>
      <w:bookmarkStart w:id="79" w:name="_Toc297048342"/>
      <w:bookmarkStart w:id="80" w:name="_Toc296890984"/>
      <w:bookmarkStart w:id="81" w:name="_Toc296346657"/>
      <w:bookmarkStart w:id="82" w:name="_Toc296503156"/>
      <w:r>
        <w:rPr>
          <w:rFonts w:hint="eastAsia" w:ascii="宋体" w:hAnsi="宋体" w:eastAsia="宋体" w:cs="宋体"/>
          <w:bCs/>
          <w:color w:val="auto"/>
          <w:sz w:val="21"/>
          <w:szCs w:val="21"/>
        </w:rPr>
        <w:t>. 一般约定</w:t>
      </w:r>
      <w:bookmarkEnd w:id="72"/>
    </w:p>
    <w:bookmarkEnd w:id="73"/>
    <w:bookmarkEnd w:id="74"/>
    <w:bookmarkEnd w:id="75"/>
    <w:bookmarkEnd w:id="76"/>
    <w:bookmarkEnd w:id="77"/>
    <w:bookmarkEnd w:id="78"/>
    <w:bookmarkEnd w:id="79"/>
    <w:bookmarkEnd w:id="80"/>
    <w:bookmarkEnd w:id="81"/>
    <w:bookmarkEnd w:id="82"/>
    <w:p>
      <w:pPr>
        <w:adjustRightInd w:val="0"/>
        <w:snapToGrid w:val="0"/>
        <w:spacing w:line="336" w:lineRule="auto"/>
        <w:ind w:firstLine="420" w:firstLineChars="200"/>
        <w:outlineLvl w:val="0"/>
        <w:rPr>
          <w:rFonts w:ascii="宋体" w:hAnsi="宋体" w:eastAsia="宋体" w:cs="宋体"/>
          <w:bCs/>
          <w:color w:val="auto"/>
          <w:sz w:val="21"/>
          <w:szCs w:val="21"/>
        </w:rPr>
      </w:pPr>
      <w:r>
        <w:rPr>
          <w:rFonts w:hint="eastAsia" w:ascii="宋体" w:hAnsi="宋体" w:eastAsia="宋体" w:cs="宋体"/>
          <w:bCs/>
          <w:color w:val="auto"/>
          <w:sz w:val="21"/>
          <w:szCs w:val="21"/>
        </w:rPr>
        <w:t>1.1 词语定义</w:t>
      </w:r>
    </w:p>
    <w:p>
      <w:pPr>
        <w:adjustRightInd w:val="0"/>
        <w:snapToGrid w:val="0"/>
        <w:spacing w:line="336" w:lineRule="auto"/>
        <w:ind w:firstLine="420" w:firstLineChars="200"/>
        <w:rPr>
          <w:rFonts w:ascii="宋体" w:hAnsi="宋体" w:eastAsia="宋体" w:cs="宋体"/>
          <w:bCs/>
          <w:color w:val="auto"/>
          <w:kern w:val="0"/>
          <w:sz w:val="21"/>
          <w:szCs w:val="21"/>
        </w:rPr>
      </w:pPr>
      <w:r>
        <w:rPr>
          <w:rFonts w:hint="eastAsia" w:ascii="宋体" w:hAnsi="宋体" w:eastAsia="宋体" w:cs="宋体"/>
          <w:bCs/>
          <w:color w:val="auto"/>
          <w:kern w:val="0"/>
          <w:sz w:val="21"/>
          <w:szCs w:val="21"/>
        </w:rPr>
        <w:t>1.1.1合同</w:t>
      </w:r>
    </w:p>
    <w:p>
      <w:pPr>
        <w:adjustRightInd w:val="0"/>
        <w:snapToGrid w:val="0"/>
        <w:spacing w:line="336" w:lineRule="auto"/>
        <w:ind w:firstLine="420" w:firstLineChars="200"/>
        <w:rPr>
          <w:rFonts w:ascii="宋体" w:hAnsi="宋体" w:eastAsia="宋体" w:cs="宋体"/>
          <w:bCs/>
          <w:color w:val="auto"/>
          <w:kern w:val="0"/>
          <w:sz w:val="21"/>
          <w:szCs w:val="21"/>
        </w:rPr>
      </w:pPr>
      <w:r>
        <w:rPr>
          <w:rFonts w:hint="eastAsia" w:ascii="宋体" w:hAnsi="宋体" w:eastAsia="宋体" w:cs="宋体"/>
          <w:bCs/>
          <w:color w:val="auto"/>
          <w:kern w:val="0"/>
          <w:sz w:val="21"/>
          <w:szCs w:val="21"/>
        </w:rPr>
        <w:t>1.1.1.10其他合同文件包括：</w:t>
      </w:r>
      <w:r>
        <w:rPr>
          <w:rFonts w:hint="eastAsia" w:ascii="宋体" w:hAnsi="宋体" w:eastAsia="宋体" w:cs="宋体"/>
          <w:bCs/>
          <w:color w:val="auto"/>
          <w:sz w:val="21"/>
          <w:szCs w:val="21"/>
          <w:u w:val="single"/>
        </w:rPr>
        <w:t xml:space="preserve">      /         </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1.1.2 合同当事人及其他相关方</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1.1.2.4监理人：</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名    称：</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资质类别和等级：</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联系电话：</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电子信箱：</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通信地址：</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1.1.2.5 设计人：</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名    称：</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资质类别和等级：</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联系电话：</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电子信箱：</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通信地址：</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1.1.3 工程和设备</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1.1.3.7 作为施工现场组成部分的其他场所包括：</w:t>
      </w:r>
      <w:r>
        <w:rPr>
          <w:rFonts w:hint="eastAsia" w:ascii="宋体" w:hAnsi="宋体" w:eastAsia="宋体" w:cs="宋体"/>
          <w:bCs/>
          <w:color w:val="auto"/>
          <w:sz w:val="21"/>
          <w:szCs w:val="21"/>
          <w:u w:val="single"/>
        </w:rPr>
        <w:t xml:space="preserve"> /   </w:t>
      </w:r>
    </w:p>
    <w:p>
      <w:pPr>
        <w:adjustRightInd w:val="0"/>
        <w:snapToGrid w:val="0"/>
        <w:spacing w:line="336" w:lineRule="auto"/>
        <w:ind w:firstLine="420" w:firstLineChars="200"/>
        <w:jc w:val="left"/>
        <w:rPr>
          <w:rFonts w:ascii="宋体" w:hAnsi="宋体" w:eastAsia="宋体" w:cs="宋体"/>
          <w:bCs/>
          <w:color w:val="auto"/>
          <w:kern w:val="0"/>
          <w:sz w:val="21"/>
          <w:szCs w:val="21"/>
        </w:rPr>
      </w:pPr>
      <w:r>
        <w:rPr>
          <w:rFonts w:hint="eastAsia" w:ascii="宋体" w:hAnsi="宋体" w:eastAsia="宋体" w:cs="宋体"/>
          <w:bCs/>
          <w:color w:val="auto"/>
          <w:kern w:val="0"/>
          <w:sz w:val="21"/>
          <w:szCs w:val="21"/>
        </w:rPr>
        <w:t>1.1.3.9 永久占地包括：</w:t>
      </w:r>
      <w:r>
        <w:rPr>
          <w:rFonts w:hint="eastAsia" w:ascii="宋体" w:hAnsi="宋体" w:eastAsia="宋体" w:cs="宋体"/>
          <w:bCs/>
          <w:color w:val="auto"/>
          <w:sz w:val="21"/>
          <w:szCs w:val="21"/>
          <w:u w:val="single"/>
        </w:rPr>
        <w:t xml:space="preserve">       /    </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kern w:val="0"/>
          <w:sz w:val="21"/>
          <w:szCs w:val="21"/>
        </w:rPr>
        <w:t>1.1.3.10 临时占地包括：</w:t>
      </w:r>
      <w:r>
        <w:rPr>
          <w:rFonts w:hint="eastAsia" w:ascii="宋体" w:hAnsi="宋体" w:eastAsia="宋体" w:cs="宋体"/>
          <w:bCs/>
          <w:color w:val="auto"/>
          <w:sz w:val="21"/>
          <w:szCs w:val="21"/>
          <w:u w:val="single"/>
        </w:rPr>
        <w:t xml:space="preserve">     /    </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 xml:space="preserve">1.3法律 </w:t>
      </w:r>
    </w:p>
    <w:p>
      <w:pPr>
        <w:autoSpaceDE w:val="0"/>
        <w:autoSpaceDN w:val="0"/>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适用于合同的其他规范性文件：《浙江省建筑工程预算定额》（上下册）2018版；《浙江省安装工程预算定额》（各册）2018版；《浙江省市政工程预算定额》（各册）2018版；《浙江省建设工程施工费用定额》2018版；建设工程工程量清单计价规范GB50500-2013;关于调整民工工伤保险费率的通知台建〔2016〕52号; 《关于发布营改增后浙江省建设工程施工取费费率的通知》</w:t>
      </w:r>
    </w:p>
    <w:p>
      <w:pPr>
        <w:autoSpaceDE w:val="0"/>
        <w:autoSpaceDN w:val="0"/>
        <w:adjustRightInd w:val="0"/>
        <w:snapToGrid w:val="0"/>
        <w:spacing w:line="336" w:lineRule="auto"/>
        <w:jc w:val="left"/>
        <w:rPr>
          <w:rFonts w:ascii="宋体" w:hAnsi="宋体" w:eastAsia="宋体" w:cs="宋体"/>
          <w:bCs/>
          <w:color w:val="auto"/>
          <w:sz w:val="21"/>
          <w:szCs w:val="21"/>
        </w:rPr>
      </w:pPr>
      <w:r>
        <w:rPr>
          <w:rFonts w:hint="eastAsia" w:ascii="宋体" w:hAnsi="宋体" w:eastAsia="宋体" w:cs="宋体"/>
          <w:bCs/>
          <w:color w:val="auto"/>
          <w:sz w:val="21"/>
          <w:szCs w:val="21"/>
        </w:rPr>
        <w:t>浙建站定〔2016〕23号；关于建筑业实施营改增后浙江省建设工程计价规则调整的通知建[2016]144号；调整《关于台州市“营改增”后建设工程计价的有关意见》中税率的通知台建价[2016]31号;</w:t>
      </w:r>
    </w:p>
    <w:p>
      <w:pPr>
        <w:autoSpaceDE w:val="0"/>
        <w:autoSpaceDN w:val="0"/>
        <w:adjustRightInd w:val="0"/>
        <w:snapToGrid w:val="0"/>
        <w:spacing w:line="336" w:lineRule="auto"/>
        <w:jc w:val="left"/>
        <w:rPr>
          <w:rFonts w:ascii="宋体" w:hAnsi="宋体" w:eastAsia="宋体" w:cs="宋体"/>
          <w:bCs/>
          <w:color w:val="auto"/>
          <w:sz w:val="21"/>
          <w:szCs w:val="21"/>
        </w:rPr>
      </w:pPr>
      <w:r>
        <w:rPr>
          <w:rFonts w:hint="eastAsia" w:ascii="宋体" w:hAnsi="宋体" w:eastAsia="宋体" w:cs="宋体"/>
          <w:bCs/>
          <w:color w:val="auto"/>
          <w:sz w:val="21"/>
          <w:szCs w:val="21"/>
        </w:rPr>
        <w:t>台州信息价(正副刊仙居价)2022年【1】；委托方提供的工程设计施工图；电子文件和其它原始资料；其他有关文件、标准图、预算软件和规范。</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1.4 标准和规范</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1.4.1适用于工程的标准规范包括：</w:t>
      </w:r>
      <w:r>
        <w:rPr>
          <w:rFonts w:hint="eastAsia" w:ascii="宋体" w:hAnsi="宋体" w:eastAsia="宋体" w:cs="宋体"/>
          <w:color w:val="auto"/>
          <w:sz w:val="21"/>
          <w:szCs w:val="21"/>
          <w:u w:val="single"/>
        </w:rPr>
        <w:t>按现行的国家、省、市施工验收规范、质量评定标准及有关规定。合同工期内的标准、规范，磋商文件中的技术要求等</w:t>
      </w:r>
      <w:r>
        <w:rPr>
          <w:rFonts w:hint="eastAsia" w:ascii="宋体" w:hAnsi="宋体" w:eastAsia="宋体" w:cs="宋体"/>
          <w:bCs/>
          <w:color w:val="auto"/>
          <w:sz w:val="21"/>
          <w:szCs w:val="21"/>
        </w:rPr>
        <w:t>。</w:t>
      </w:r>
    </w:p>
    <w:p>
      <w:pPr>
        <w:adjustRightInd w:val="0"/>
        <w:snapToGrid w:val="0"/>
        <w:spacing w:line="336" w:lineRule="auto"/>
        <w:ind w:firstLine="420" w:firstLineChars="200"/>
        <w:outlineLvl w:val="0"/>
        <w:rPr>
          <w:rFonts w:ascii="宋体" w:hAnsi="宋体" w:eastAsia="宋体" w:cs="宋体"/>
          <w:bCs/>
          <w:color w:val="auto"/>
          <w:kern w:val="0"/>
          <w:sz w:val="21"/>
          <w:szCs w:val="21"/>
          <w:u w:val="single"/>
        </w:rPr>
      </w:pPr>
      <w:r>
        <w:rPr>
          <w:rFonts w:hint="eastAsia" w:ascii="宋体" w:hAnsi="宋体" w:eastAsia="宋体" w:cs="宋体"/>
          <w:bCs/>
          <w:color w:val="auto"/>
          <w:kern w:val="0"/>
          <w:sz w:val="21"/>
          <w:szCs w:val="21"/>
        </w:rPr>
        <w:t>1.4.2 发包人提供国外标准、规范的名称：</w:t>
      </w:r>
      <w:r>
        <w:rPr>
          <w:rFonts w:hint="eastAsia" w:ascii="宋体" w:hAnsi="宋体" w:eastAsia="宋体" w:cs="宋体"/>
          <w:bCs/>
          <w:color w:val="auto"/>
          <w:kern w:val="0"/>
          <w:sz w:val="21"/>
          <w:szCs w:val="21"/>
          <w:u w:val="single"/>
        </w:rPr>
        <w:t xml:space="preserve">   /            </w:t>
      </w:r>
      <w:r>
        <w:rPr>
          <w:rFonts w:hint="eastAsia" w:ascii="宋体" w:hAnsi="宋体" w:eastAsia="宋体" w:cs="宋体"/>
          <w:bCs/>
          <w:color w:val="auto"/>
          <w:kern w:val="0"/>
          <w:sz w:val="21"/>
          <w:szCs w:val="21"/>
        </w:rPr>
        <w:t>；</w:t>
      </w:r>
    </w:p>
    <w:p>
      <w:pPr>
        <w:adjustRightInd w:val="0"/>
        <w:snapToGrid w:val="0"/>
        <w:spacing w:line="336" w:lineRule="auto"/>
        <w:ind w:firstLine="420" w:firstLineChars="200"/>
        <w:rPr>
          <w:rFonts w:ascii="宋体" w:hAnsi="宋体" w:eastAsia="宋体" w:cs="宋体"/>
          <w:bCs/>
          <w:color w:val="auto"/>
          <w:kern w:val="0"/>
          <w:sz w:val="21"/>
          <w:szCs w:val="21"/>
        </w:rPr>
      </w:pPr>
      <w:r>
        <w:rPr>
          <w:rFonts w:hint="eastAsia" w:ascii="宋体" w:hAnsi="宋体" w:eastAsia="宋体" w:cs="宋体"/>
          <w:bCs/>
          <w:color w:val="auto"/>
          <w:kern w:val="0"/>
          <w:sz w:val="21"/>
          <w:szCs w:val="21"/>
        </w:rPr>
        <w:t>发包人提供国外标准、规范的份数：</w:t>
      </w:r>
      <w:r>
        <w:rPr>
          <w:rFonts w:hint="eastAsia" w:ascii="宋体" w:hAnsi="宋体" w:eastAsia="宋体" w:cs="宋体"/>
          <w:bCs/>
          <w:color w:val="auto"/>
          <w:kern w:val="0"/>
          <w:sz w:val="21"/>
          <w:szCs w:val="21"/>
          <w:u w:val="single"/>
        </w:rPr>
        <w:t xml:space="preserve">         /            </w:t>
      </w:r>
      <w:r>
        <w:rPr>
          <w:rFonts w:hint="eastAsia" w:ascii="宋体" w:hAnsi="宋体" w:eastAsia="宋体" w:cs="宋体"/>
          <w:bCs/>
          <w:color w:val="auto"/>
          <w:kern w:val="0"/>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kern w:val="0"/>
          <w:sz w:val="21"/>
          <w:szCs w:val="21"/>
        </w:rPr>
        <w:t>发包人提供国外标准、规范的名称：</w:t>
      </w:r>
      <w:r>
        <w:rPr>
          <w:rFonts w:hint="eastAsia" w:ascii="宋体" w:hAnsi="宋体" w:eastAsia="宋体" w:cs="宋体"/>
          <w:bCs/>
          <w:color w:val="auto"/>
          <w:kern w:val="0"/>
          <w:sz w:val="21"/>
          <w:szCs w:val="21"/>
          <w:u w:val="single"/>
        </w:rPr>
        <w:t xml:space="preserve">        /             </w:t>
      </w:r>
      <w:r>
        <w:rPr>
          <w:rFonts w:hint="eastAsia" w:ascii="宋体" w:hAnsi="宋体" w:eastAsia="宋体" w:cs="宋体"/>
          <w:bCs/>
          <w:color w:val="auto"/>
          <w:kern w:val="0"/>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1.4.3发包人对工程的技术标准和功能要求的特殊要求：</w:t>
      </w:r>
      <w:r>
        <w:rPr>
          <w:rFonts w:hint="eastAsia" w:ascii="宋体" w:hAnsi="宋体" w:eastAsia="宋体" w:cs="宋体"/>
          <w:iCs/>
          <w:color w:val="auto"/>
          <w:sz w:val="21"/>
          <w:szCs w:val="21"/>
          <w:u w:val="single"/>
        </w:rPr>
        <w:t>没有国家标准、规范时，有行业标准、规范的，使用行业标准、规范；没有国家和行业标准、规范的，使用地方的标准、规范。</w:t>
      </w:r>
      <w:r>
        <w:rPr>
          <w:rFonts w:hint="eastAsia" w:ascii="宋体" w:hAnsi="宋体" w:eastAsia="宋体" w:cs="宋体"/>
          <w:bCs/>
          <w:color w:val="auto"/>
          <w:sz w:val="21"/>
          <w:szCs w:val="21"/>
        </w:rPr>
        <w:t>。</w:t>
      </w:r>
    </w:p>
    <w:p>
      <w:pPr>
        <w:adjustRightInd w:val="0"/>
        <w:snapToGrid w:val="0"/>
        <w:spacing w:line="336" w:lineRule="auto"/>
        <w:ind w:firstLine="420" w:firstLineChars="200"/>
        <w:outlineLvl w:val="0"/>
        <w:rPr>
          <w:rFonts w:ascii="宋体" w:hAnsi="宋体" w:eastAsia="宋体" w:cs="宋体"/>
          <w:bCs/>
          <w:color w:val="auto"/>
          <w:sz w:val="21"/>
          <w:szCs w:val="21"/>
        </w:rPr>
      </w:pPr>
      <w:r>
        <w:rPr>
          <w:rFonts w:hint="eastAsia" w:ascii="宋体" w:hAnsi="宋体" w:eastAsia="宋体" w:cs="宋体"/>
          <w:bCs/>
          <w:color w:val="auto"/>
          <w:sz w:val="21"/>
          <w:szCs w:val="21"/>
        </w:rPr>
        <w:t>1.5 合同文件的优先顺序</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合同文件组成及优先顺序为：</w:t>
      </w:r>
    </w:p>
    <w:p>
      <w:pPr>
        <w:autoSpaceDE w:val="0"/>
        <w:autoSpaceDN w:val="0"/>
        <w:adjustRightInd w:val="0"/>
        <w:snapToGrid w:val="0"/>
        <w:spacing w:line="336" w:lineRule="auto"/>
        <w:ind w:firstLine="424" w:firstLineChars="202"/>
        <w:jc w:val="left"/>
        <w:rPr>
          <w:rFonts w:ascii="宋体" w:hAnsi="宋体" w:eastAsia="宋体" w:cs="宋体"/>
          <w:bCs/>
          <w:color w:val="auto"/>
          <w:sz w:val="21"/>
          <w:szCs w:val="21"/>
        </w:rPr>
      </w:pPr>
      <w:r>
        <w:rPr>
          <w:rFonts w:hint="eastAsia" w:ascii="宋体" w:hAnsi="宋体" w:eastAsia="宋体" w:cs="宋体"/>
          <w:bCs/>
          <w:color w:val="auto"/>
          <w:sz w:val="21"/>
          <w:szCs w:val="21"/>
          <w:u w:val="single"/>
        </w:rPr>
        <w:t>1、本合同协议书；2、成交通知书；3、本合同专用条款；4、询标纪要；5、磋商文件及磋商补充文件；6、响应文件及其附件（含已标价工程量清单）；7、图纸；8、本合同通用条款； 9、标准、规范及有关技术文件；10、其他合同文件</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u w:val="single"/>
        </w:rPr>
        <w:t>双方有关工程的洽商、变更等书面协议或文件视为本合同的组成部分。除上述合同顺序外，合同文件之间有矛盾的，以时间较晚者为准，任何不在上列的其他文件，皆不影响合同文件，除非双方另签补充合同</w:t>
      </w:r>
      <w:r>
        <w:rPr>
          <w:rFonts w:hint="eastAsia" w:ascii="宋体" w:hAnsi="宋体" w:eastAsia="宋体" w:cs="宋体"/>
          <w:bCs/>
          <w:color w:val="auto"/>
          <w:sz w:val="21"/>
          <w:szCs w:val="21"/>
        </w:rPr>
        <w:t>。</w:t>
      </w:r>
    </w:p>
    <w:p>
      <w:pPr>
        <w:adjustRightInd w:val="0"/>
        <w:snapToGrid w:val="0"/>
        <w:spacing w:line="336" w:lineRule="auto"/>
        <w:ind w:firstLine="420" w:firstLineChars="200"/>
        <w:outlineLvl w:val="0"/>
        <w:rPr>
          <w:rFonts w:ascii="宋体" w:hAnsi="宋体" w:eastAsia="宋体" w:cs="宋体"/>
          <w:bCs/>
          <w:color w:val="auto"/>
          <w:sz w:val="21"/>
          <w:szCs w:val="21"/>
        </w:rPr>
      </w:pPr>
      <w:r>
        <w:rPr>
          <w:rFonts w:hint="eastAsia" w:ascii="宋体" w:hAnsi="宋体" w:eastAsia="宋体" w:cs="宋体"/>
          <w:bCs/>
          <w:color w:val="auto"/>
          <w:sz w:val="21"/>
          <w:szCs w:val="21"/>
        </w:rPr>
        <w:t>1.6 图纸和承包人文件</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1.6.1 图纸的提供</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发包人向承包人提供图纸的期限：</w:t>
      </w:r>
      <w:r>
        <w:rPr>
          <w:rFonts w:hint="eastAsia" w:ascii="宋体" w:hAnsi="宋体" w:eastAsia="宋体" w:cs="宋体"/>
          <w:bCs/>
          <w:color w:val="auto"/>
          <w:sz w:val="21"/>
          <w:szCs w:val="21"/>
          <w:u w:val="single"/>
        </w:rPr>
        <w:t>合同签定后7天内</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发包人向承包人提供图纸的数量：</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发包人向承包人提供图纸的内容：</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1.6.4 承包人文件</w:t>
      </w:r>
    </w:p>
    <w:p>
      <w:pPr>
        <w:adjustRightInd w:val="0"/>
        <w:snapToGrid w:val="0"/>
        <w:spacing w:line="336" w:lineRule="auto"/>
        <w:ind w:left="1022" w:leftChars="284"/>
        <w:jc w:val="left"/>
        <w:rPr>
          <w:rFonts w:ascii="宋体" w:hAnsi="宋体" w:eastAsia="宋体" w:cs="宋体"/>
          <w:bCs/>
          <w:color w:val="auto"/>
          <w:sz w:val="21"/>
          <w:szCs w:val="21"/>
        </w:rPr>
      </w:pPr>
      <w:r>
        <w:rPr>
          <w:rFonts w:hint="eastAsia" w:ascii="宋体" w:hAnsi="宋体" w:eastAsia="宋体" w:cs="宋体"/>
          <w:bCs/>
          <w:color w:val="auto"/>
          <w:sz w:val="21"/>
          <w:szCs w:val="21"/>
        </w:rPr>
        <w:t>需要由承包人提供的文件，包括：</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承包人提供的文件的期限为：</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承包人提供的文件的数量为：</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承包人提供的文件的形式为：</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发包人审批承包人文件的期限：</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1.6.5 现场图纸准备</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关于现场图纸准备的约定：</w:t>
      </w:r>
      <w:r>
        <w:rPr>
          <w:rFonts w:hint="eastAsia" w:ascii="宋体" w:hAnsi="宋体" w:eastAsia="宋体" w:cs="宋体"/>
          <w:bCs/>
          <w:color w:val="auto"/>
          <w:sz w:val="21"/>
          <w:szCs w:val="21"/>
          <w:u w:val="single"/>
        </w:rPr>
        <w:t>按通用合同条款规定执行</w:t>
      </w:r>
      <w:r>
        <w:rPr>
          <w:rFonts w:hint="eastAsia" w:ascii="宋体" w:hAnsi="宋体" w:eastAsia="宋体" w:cs="宋体"/>
          <w:bCs/>
          <w:color w:val="auto"/>
          <w:sz w:val="21"/>
          <w:szCs w:val="21"/>
        </w:rPr>
        <w:t>。</w:t>
      </w:r>
    </w:p>
    <w:p>
      <w:pPr>
        <w:adjustRightInd w:val="0"/>
        <w:snapToGrid w:val="0"/>
        <w:spacing w:line="336" w:lineRule="auto"/>
        <w:ind w:firstLine="420" w:firstLineChars="200"/>
        <w:outlineLvl w:val="0"/>
        <w:rPr>
          <w:rFonts w:ascii="宋体" w:hAnsi="宋体" w:eastAsia="宋体" w:cs="宋体"/>
          <w:bCs/>
          <w:color w:val="auto"/>
          <w:sz w:val="21"/>
          <w:szCs w:val="21"/>
        </w:rPr>
      </w:pPr>
      <w:r>
        <w:rPr>
          <w:rFonts w:hint="eastAsia" w:ascii="宋体" w:hAnsi="宋体" w:eastAsia="宋体" w:cs="宋体"/>
          <w:bCs/>
          <w:color w:val="auto"/>
          <w:sz w:val="21"/>
          <w:szCs w:val="21"/>
        </w:rPr>
        <w:t>1.7 联络</w:t>
      </w:r>
    </w:p>
    <w:p>
      <w:pPr>
        <w:adjustRightInd w:val="0"/>
        <w:snapToGrid w:val="0"/>
        <w:spacing w:line="336" w:lineRule="auto"/>
        <w:ind w:firstLine="420" w:firstLineChars="200"/>
        <w:rPr>
          <w:rFonts w:ascii="宋体" w:hAnsi="宋体" w:eastAsia="宋体" w:cs="宋体"/>
          <w:bCs/>
          <w:color w:val="auto"/>
          <w:kern w:val="0"/>
          <w:sz w:val="21"/>
          <w:szCs w:val="21"/>
        </w:rPr>
      </w:pPr>
      <w:r>
        <w:rPr>
          <w:rFonts w:hint="eastAsia" w:ascii="宋体" w:hAnsi="宋体" w:eastAsia="宋体" w:cs="宋体"/>
          <w:bCs/>
          <w:color w:val="auto"/>
          <w:kern w:val="0"/>
          <w:sz w:val="21"/>
          <w:szCs w:val="21"/>
        </w:rPr>
        <w:t>1.7.1发包人和承包人应当在</w:t>
      </w:r>
      <w:r>
        <w:rPr>
          <w:rFonts w:hint="eastAsia" w:ascii="宋体" w:hAnsi="宋体" w:eastAsia="宋体" w:cs="宋体"/>
          <w:bCs/>
          <w:color w:val="auto"/>
          <w:sz w:val="21"/>
          <w:szCs w:val="21"/>
          <w:u w:val="single"/>
        </w:rPr>
        <w:t>七</w:t>
      </w:r>
      <w:r>
        <w:rPr>
          <w:rFonts w:hint="eastAsia" w:ascii="宋体" w:hAnsi="宋体" w:eastAsia="宋体" w:cs="宋体"/>
          <w:bCs/>
          <w:color w:val="auto"/>
          <w:kern w:val="0"/>
          <w:sz w:val="21"/>
          <w:szCs w:val="21"/>
        </w:rPr>
        <w:t>天内将与合同有关的通知、批准、证明、证书、指示、指令、要求、请求、同意、意见、确定和决定等书面函件送达对方当事人。</w:t>
      </w:r>
    </w:p>
    <w:p>
      <w:pPr>
        <w:adjustRightInd w:val="0"/>
        <w:snapToGrid w:val="0"/>
        <w:spacing w:line="336" w:lineRule="auto"/>
        <w:ind w:firstLine="420" w:firstLineChars="200"/>
        <w:rPr>
          <w:rFonts w:ascii="宋体" w:hAnsi="宋体" w:eastAsia="宋体" w:cs="宋体"/>
          <w:bCs/>
          <w:color w:val="auto"/>
          <w:kern w:val="0"/>
          <w:sz w:val="21"/>
          <w:szCs w:val="21"/>
        </w:rPr>
      </w:pPr>
      <w:r>
        <w:rPr>
          <w:rFonts w:hint="eastAsia" w:ascii="宋体" w:hAnsi="宋体" w:eastAsia="宋体" w:cs="宋体"/>
          <w:bCs/>
          <w:color w:val="auto"/>
          <w:kern w:val="0"/>
          <w:sz w:val="21"/>
          <w:szCs w:val="21"/>
        </w:rPr>
        <w:t>1.7.2 发包人接收文件的地点：</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kern w:val="0"/>
          <w:sz w:val="21"/>
          <w:szCs w:val="21"/>
        </w:rPr>
        <w:t>；</w:t>
      </w:r>
    </w:p>
    <w:p>
      <w:pPr>
        <w:adjustRightInd w:val="0"/>
        <w:snapToGrid w:val="0"/>
        <w:spacing w:line="336" w:lineRule="auto"/>
        <w:ind w:firstLine="420" w:firstLineChars="200"/>
        <w:rPr>
          <w:rFonts w:ascii="宋体" w:hAnsi="宋体" w:eastAsia="宋体" w:cs="宋体"/>
          <w:bCs/>
          <w:color w:val="auto"/>
          <w:kern w:val="0"/>
          <w:sz w:val="21"/>
          <w:szCs w:val="21"/>
        </w:rPr>
      </w:pPr>
      <w:r>
        <w:rPr>
          <w:rFonts w:hint="eastAsia" w:ascii="宋体" w:hAnsi="宋体" w:eastAsia="宋体" w:cs="宋体"/>
          <w:bCs/>
          <w:color w:val="auto"/>
          <w:kern w:val="0"/>
          <w:sz w:val="21"/>
          <w:szCs w:val="21"/>
        </w:rPr>
        <w:t>发包人指定的接收人为：</w:t>
      </w:r>
      <w:r>
        <w:rPr>
          <w:rFonts w:hint="eastAsia" w:ascii="宋体" w:hAnsi="宋体" w:eastAsia="宋体" w:cs="宋体"/>
          <w:bCs/>
          <w:color w:val="auto"/>
          <w:kern w:val="0"/>
          <w:sz w:val="21"/>
          <w:szCs w:val="21"/>
          <w:u w:val="single"/>
        </w:rPr>
        <w:t xml:space="preserve">                </w:t>
      </w:r>
      <w:r>
        <w:rPr>
          <w:rFonts w:hint="eastAsia" w:ascii="宋体" w:hAnsi="宋体" w:eastAsia="宋体" w:cs="宋体"/>
          <w:bCs/>
          <w:color w:val="auto"/>
          <w:kern w:val="0"/>
          <w:sz w:val="21"/>
          <w:szCs w:val="21"/>
        </w:rPr>
        <w:t>。</w:t>
      </w:r>
    </w:p>
    <w:p>
      <w:pPr>
        <w:adjustRightInd w:val="0"/>
        <w:snapToGrid w:val="0"/>
        <w:spacing w:line="336" w:lineRule="auto"/>
        <w:ind w:firstLine="420" w:firstLineChars="200"/>
        <w:rPr>
          <w:rFonts w:ascii="宋体" w:hAnsi="宋体" w:eastAsia="宋体" w:cs="宋体"/>
          <w:bCs/>
          <w:color w:val="auto"/>
          <w:kern w:val="0"/>
          <w:sz w:val="21"/>
          <w:szCs w:val="21"/>
        </w:rPr>
      </w:pPr>
      <w:r>
        <w:rPr>
          <w:rFonts w:hint="eastAsia" w:ascii="宋体" w:hAnsi="宋体" w:eastAsia="宋体" w:cs="宋体"/>
          <w:bCs/>
          <w:color w:val="auto"/>
          <w:kern w:val="0"/>
          <w:sz w:val="21"/>
          <w:szCs w:val="21"/>
        </w:rPr>
        <w:t>承包人接收文件的地点：</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kern w:val="0"/>
          <w:sz w:val="21"/>
          <w:szCs w:val="21"/>
        </w:rPr>
        <w:t>；</w:t>
      </w:r>
    </w:p>
    <w:p>
      <w:pPr>
        <w:adjustRightInd w:val="0"/>
        <w:snapToGrid w:val="0"/>
        <w:spacing w:line="336" w:lineRule="auto"/>
        <w:ind w:firstLine="420" w:firstLineChars="200"/>
        <w:rPr>
          <w:rFonts w:ascii="宋体" w:hAnsi="宋体" w:eastAsia="宋体" w:cs="宋体"/>
          <w:bCs/>
          <w:color w:val="auto"/>
          <w:kern w:val="0"/>
          <w:sz w:val="21"/>
          <w:szCs w:val="21"/>
        </w:rPr>
      </w:pPr>
      <w:r>
        <w:rPr>
          <w:rFonts w:hint="eastAsia" w:ascii="宋体" w:hAnsi="宋体" w:eastAsia="宋体" w:cs="宋体"/>
          <w:bCs/>
          <w:color w:val="auto"/>
          <w:kern w:val="0"/>
          <w:sz w:val="21"/>
          <w:szCs w:val="21"/>
        </w:rPr>
        <w:t>承包人指定的接收人为：</w:t>
      </w:r>
      <w:r>
        <w:rPr>
          <w:rFonts w:hint="eastAsia" w:ascii="宋体" w:hAnsi="宋体" w:eastAsia="宋体" w:cs="宋体"/>
          <w:bCs/>
          <w:color w:val="auto"/>
          <w:kern w:val="0"/>
          <w:sz w:val="21"/>
          <w:szCs w:val="21"/>
          <w:u w:val="single"/>
        </w:rPr>
        <w:t xml:space="preserve">                </w:t>
      </w:r>
      <w:r>
        <w:rPr>
          <w:rFonts w:hint="eastAsia" w:ascii="宋体" w:hAnsi="宋体" w:eastAsia="宋体" w:cs="宋体"/>
          <w:bCs/>
          <w:color w:val="auto"/>
          <w:kern w:val="0"/>
          <w:sz w:val="21"/>
          <w:szCs w:val="21"/>
        </w:rPr>
        <w:t>。</w:t>
      </w:r>
    </w:p>
    <w:p>
      <w:pPr>
        <w:adjustRightInd w:val="0"/>
        <w:snapToGrid w:val="0"/>
        <w:spacing w:line="336" w:lineRule="auto"/>
        <w:ind w:firstLine="420" w:firstLineChars="200"/>
        <w:rPr>
          <w:rFonts w:ascii="宋体" w:hAnsi="宋体" w:eastAsia="宋体" w:cs="宋体"/>
          <w:bCs/>
          <w:color w:val="auto"/>
          <w:kern w:val="0"/>
          <w:sz w:val="21"/>
          <w:szCs w:val="21"/>
        </w:rPr>
      </w:pPr>
      <w:r>
        <w:rPr>
          <w:rFonts w:hint="eastAsia" w:ascii="宋体" w:hAnsi="宋体" w:eastAsia="宋体" w:cs="宋体"/>
          <w:bCs/>
          <w:color w:val="auto"/>
          <w:kern w:val="0"/>
          <w:sz w:val="21"/>
          <w:szCs w:val="21"/>
        </w:rPr>
        <w:t>监理人接收文件的地点：</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kern w:val="0"/>
          <w:sz w:val="21"/>
          <w:szCs w:val="21"/>
        </w:rPr>
        <w:t>；</w:t>
      </w:r>
    </w:p>
    <w:p>
      <w:pPr>
        <w:adjustRightInd w:val="0"/>
        <w:snapToGrid w:val="0"/>
        <w:spacing w:line="336" w:lineRule="auto"/>
        <w:ind w:firstLine="420" w:firstLineChars="200"/>
        <w:rPr>
          <w:rFonts w:ascii="宋体" w:hAnsi="宋体" w:eastAsia="宋体" w:cs="宋体"/>
          <w:bCs/>
          <w:color w:val="auto"/>
          <w:kern w:val="0"/>
          <w:sz w:val="21"/>
          <w:szCs w:val="21"/>
        </w:rPr>
      </w:pPr>
      <w:r>
        <w:rPr>
          <w:rFonts w:hint="eastAsia" w:ascii="宋体" w:hAnsi="宋体" w:eastAsia="宋体" w:cs="宋体"/>
          <w:bCs/>
          <w:color w:val="auto"/>
          <w:kern w:val="0"/>
          <w:sz w:val="21"/>
          <w:szCs w:val="21"/>
        </w:rPr>
        <w:t>监理人指定的接收人为：</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kern w:val="0"/>
          <w:sz w:val="21"/>
          <w:szCs w:val="21"/>
        </w:rPr>
        <w:t>。</w:t>
      </w:r>
    </w:p>
    <w:p>
      <w:pPr>
        <w:adjustRightInd w:val="0"/>
        <w:snapToGrid w:val="0"/>
        <w:spacing w:line="336" w:lineRule="auto"/>
        <w:ind w:firstLine="420" w:firstLineChars="200"/>
        <w:outlineLvl w:val="0"/>
        <w:rPr>
          <w:rFonts w:ascii="宋体" w:hAnsi="宋体" w:eastAsia="宋体" w:cs="宋体"/>
          <w:bCs/>
          <w:color w:val="auto"/>
          <w:sz w:val="21"/>
          <w:szCs w:val="21"/>
        </w:rPr>
      </w:pPr>
      <w:r>
        <w:rPr>
          <w:rFonts w:hint="eastAsia" w:ascii="宋体" w:hAnsi="宋体" w:eastAsia="宋体" w:cs="宋体"/>
          <w:bCs/>
          <w:color w:val="auto"/>
          <w:sz w:val="21"/>
          <w:szCs w:val="21"/>
        </w:rPr>
        <w:t>1.10 交通运输</w:t>
      </w:r>
    </w:p>
    <w:p>
      <w:pPr>
        <w:adjustRightInd w:val="0"/>
        <w:snapToGrid w:val="0"/>
        <w:spacing w:line="336" w:lineRule="auto"/>
        <w:ind w:firstLine="420" w:firstLineChars="200"/>
        <w:outlineLvl w:val="0"/>
        <w:rPr>
          <w:rFonts w:ascii="宋体" w:hAnsi="宋体" w:eastAsia="宋体" w:cs="宋体"/>
          <w:bCs/>
          <w:color w:val="auto"/>
          <w:sz w:val="21"/>
          <w:szCs w:val="21"/>
        </w:rPr>
      </w:pPr>
      <w:r>
        <w:rPr>
          <w:rFonts w:hint="eastAsia" w:ascii="宋体" w:hAnsi="宋体" w:eastAsia="宋体" w:cs="宋体"/>
          <w:bCs/>
          <w:color w:val="auto"/>
          <w:sz w:val="21"/>
          <w:szCs w:val="21"/>
        </w:rPr>
        <w:t>1</w:t>
      </w:r>
      <w:bookmarkStart w:id="83" w:name="_Toc300934943"/>
      <w:bookmarkStart w:id="84" w:name="_Toc304295521"/>
      <w:bookmarkStart w:id="85" w:name="_Toc318581155"/>
      <w:bookmarkStart w:id="86" w:name="_Toc312677986"/>
      <w:bookmarkStart w:id="87" w:name="_Toc303539100"/>
      <w:r>
        <w:rPr>
          <w:rFonts w:hint="eastAsia" w:ascii="宋体" w:hAnsi="宋体" w:eastAsia="宋体" w:cs="宋体"/>
          <w:bCs/>
          <w:color w:val="auto"/>
          <w:sz w:val="21"/>
          <w:szCs w:val="21"/>
        </w:rPr>
        <w:t>.10.1 出入现场的权利</w:t>
      </w:r>
    </w:p>
    <w:p>
      <w:pPr>
        <w:adjustRightInd w:val="0"/>
        <w:snapToGrid w:val="0"/>
        <w:spacing w:line="336" w:lineRule="auto"/>
        <w:ind w:left="1022" w:leftChars="284"/>
        <w:rPr>
          <w:rFonts w:ascii="宋体" w:hAnsi="宋体" w:eastAsia="宋体" w:cs="宋体"/>
          <w:bCs/>
          <w:color w:val="auto"/>
          <w:sz w:val="21"/>
          <w:szCs w:val="21"/>
        </w:rPr>
      </w:pPr>
      <w:r>
        <w:rPr>
          <w:rFonts w:hint="eastAsia" w:ascii="宋体" w:hAnsi="宋体" w:eastAsia="宋体" w:cs="宋体"/>
          <w:bCs/>
          <w:color w:val="auto"/>
          <w:sz w:val="21"/>
          <w:szCs w:val="21"/>
        </w:rPr>
        <w:t>关于出入现场的权利的约定：</w:t>
      </w:r>
      <w:r>
        <w:rPr>
          <w:rFonts w:hint="eastAsia" w:ascii="宋体" w:hAnsi="宋体" w:eastAsia="宋体" w:cs="宋体"/>
          <w:bCs/>
          <w:color w:val="auto"/>
          <w:sz w:val="21"/>
          <w:szCs w:val="21"/>
          <w:u w:val="single"/>
        </w:rPr>
        <w:t>按通用合同条款规定执行</w:t>
      </w:r>
      <w:r>
        <w:rPr>
          <w:rFonts w:hint="eastAsia" w:ascii="宋体" w:hAnsi="宋体" w:eastAsia="宋体" w:cs="宋体"/>
          <w:bCs/>
          <w:color w:val="auto"/>
          <w:sz w:val="21"/>
          <w:szCs w:val="21"/>
        </w:rPr>
        <w:t>。</w:t>
      </w:r>
    </w:p>
    <w:bookmarkEnd w:id="83"/>
    <w:bookmarkEnd w:id="84"/>
    <w:bookmarkEnd w:id="85"/>
    <w:bookmarkEnd w:id="86"/>
    <w:bookmarkEnd w:id="87"/>
    <w:p>
      <w:pPr>
        <w:adjustRightInd w:val="0"/>
        <w:snapToGrid w:val="0"/>
        <w:spacing w:line="336" w:lineRule="auto"/>
        <w:ind w:firstLine="420" w:firstLineChars="200"/>
        <w:jc w:val="left"/>
        <w:outlineLvl w:val="0"/>
        <w:rPr>
          <w:rFonts w:ascii="宋体" w:hAnsi="宋体" w:eastAsia="宋体" w:cs="宋体"/>
          <w:bCs/>
          <w:color w:val="auto"/>
          <w:sz w:val="21"/>
          <w:szCs w:val="21"/>
        </w:rPr>
      </w:pPr>
      <w:r>
        <w:rPr>
          <w:rFonts w:hint="eastAsia" w:ascii="宋体" w:hAnsi="宋体" w:eastAsia="宋体" w:cs="宋体"/>
          <w:bCs/>
          <w:color w:val="auto"/>
          <w:sz w:val="21"/>
          <w:szCs w:val="21"/>
        </w:rPr>
        <w:t>1</w:t>
      </w:r>
      <w:bookmarkStart w:id="88" w:name="_Toc304295522"/>
      <w:bookmarkStart w:id="89" w:name="_Toc312677987"/>
      <w:bookmarkStart w:id="90" w:name="_Toc318581156"/>
      <w:bookmarkStart w:id="91" w:name="_Toc303539101"/>
      <w:bookmarkStart w:id="92" w:name="_Toc300934944"/>
      <w:r>
        <w:rPr>
          <w:rFonts w:hint="eastAsia" w:ascii="宋体" w:hAnsi="宋体" w:eastAsia="宋体" w:cs="宋体"/>
          <w:bCs/>
          <w:color w:val="auto"/>
          <w:sz w:val="21"/>
          <w:szCs w:val="21"/>
        </w:rPr>
        <w:t>.10.3 场内交通</w:t>
      </w:r>
    </w:p>
    <w:p>
      <w:pPr>
        <w:adjustRightInd w:val="0"/>
        <w:snapToGrid w:val="0"/>
        <w:spacing w:line="336" w:lineRule="auto"/>
        <w:ind w:firstLine="420" w:firstLineChars="200"/>
        <w:jc w:val="left"/>
        <w:rPr>
          <w:rFonts w:ascii="宋体" w:hAnsi="宋体" w:eastAsia="宋体" w:cs="宋体"/>
          <w:bCs/>
          <w:color w:val="auto"/>
          <w:kern w:val="0"/>
          <w:sz w:val="21"/>
          <w:szCs w:val="21"/>
        </w:rPr>
      </w:pPr>
      <w:r>
        <w:rPr>
          <w:rFonts w:hint="eastAsia" w:ascii="宋体" w:hAnsi="宋体" w:eastAsia="宋体" w:cs="宋体"/>
          <w:bCs/>
          <w:color w:val="auto"/>
          <w:kern w:val="0"/>
          <w:sz w:val="21"/>
          <w:szCs w:val="21"/>
        </w:rPr>
        <w:t>关于场外交通和场内交通的边界的约定：</w:t>
      </w:r>
      <w:r>
        <w:rPr>
          <w:rFonts w:hint="eastAsia" w:ascii="宋体" w:hAnsi="宋体" w:eastAsia="宋体" w:cs="宋体"/>
          <w:bCs/>
          <w:color w:val="auto"/>
          <w:kern w:val="0"/>
          <w:sz w:val="21"/>
          <w:szCs w:val="21"/>
          <w:u w:val="single"/>
        </w:rPr>
        <w:t xml:space="preserve">     </w:t>
      </w:r>
      <w:r>
        <w:rPr>
          <w:rFonts w:hint="eastAsia" w:ascii="宋体" w:hAnsi="宋体" w:eastAsia="宋体" w:cs="宋体"/>
          <w:bCs/>
          <w:color w:val="auto"/>
          <w:sz w:val="21"/>
          <w:szCs w:val="21"/>
          <w:u w:val="single"/>
        </w:rPr>
        <w:t>/</w:t>
      </w:r>
      <w:r>
        <w:rPr>
          <w:rFonts w:hint="eastAsia" w:ascii="宋体" w:hAnsi="宋体" w:eastAsia="宋体" w:cs="宋体"/>
          <w:bCs/>
          <w:color w:val="auto"/>
          <w:sz w:val="21"/>
          <w:szCs w:val="21"/>
        </w:rPr>
        <w:t>。</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关于发包人向承包人免费提供满足工程施工需要的场内道路和交通设施的约定：</w:t>
      </w:r>
      <w:r>
        <w:rPr>
          <w:rFonts w:hint="eastAsia" w:ascii="宋体" w:hAnsi="宋体" w:eastAsia="宋体" w:cs="宋体"/>
          <w:bCs/>
          <w:color w:val="auto"/>
          <w:sz w:val="21"/>
          <w:szCs w:val="21"/>
          <w:u w:val="single"/>
        </w:rPr>
        <w:t>已开通，承包人应负责从发包人指定的场外公共道路至施工区及施工区内道路和交通设施的修建、维修、养护和管理，包括维修、养护和管理发包人提供的道路和交通设施，并承担相应费用</w:t>
      </w:r>
      <w:r>
        <w:rPr>
          <w:rFonts w:hint="eastAsia" w:ascii="宋体" w:hAnsi="宋体" w:eastAsia="宋体" w:cs="宋体"/>
          <w:bCs/>
          <w:color w:val="auto"/>
          <w:sz w:val="21"/>
          <w:szCs w:val="21"/>
        </w:rPr>
        <w:t>。</w:t>
      </w:r>
      <w:bookmarkEnd w:id="88"/>
      <w:bookmarkEnd w:id="89"/>
      <w:bookmarkEnd w:id="90"/>
      <w:bookmarkEnd w:id="91"/>
      <w:bookmarkEnd w:id="92"/>
      <w:bookmarkStart w:id="93" w:name="_Toc318581157"/>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1.10.4超大件和超重件的运输</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运输超大件或超重件所需的道路和桥梁临时加固改造费用和其他有关费用由</w:t>
      </w:r>
      <w:r>
        <w:rPr>
          <w:rFonts w:hint="eastAsia" w:ascii="宋体" w:hAnsi="宋体" w:eastAsia="宋体" w:cs="宋体"/>
          <w:bCs/>
          <w:color w:val="auto"/>
          <w:sz w:val="21"/>
          <w:szCs w:val="21"/>
          <w:u w:val="single"/>
        </w:rPr>
        <w:t>承包人</w:t>
      </w:r>
      <w:r>
        <w:rPr>
          <w:rFonts w:hint="eastAsia" w:ascii="宋体" w:hAnsi="宋体" w:eastAsia="宋体" w:cs="宋体"/>
          <w:bCs/>
          <w:color w:val="auto"/>
          <w:sz w:val="21"/>
          <w:szCs w:val="21"/>
        </w:rPr>
        <w:t>承担。</w:t>
      </w:r>
    </w:p>
    <w:bookmarkEnd w:id="93"/>
    <w:p>
      <w:pPr>
        <w:adjustRightInd w:val="0"/>
        <w:snapToGrid w:val="0"/>
        <w:spacing w:line="336" w:lineRule="auto"/>
        <w:ind w:firstLine="420" w:firstLineChars="200"/>
        <w:outlineLvl w:val="0"/>
        <w:rPr>
          <w:rFonts w:ascii="宋体" w:hAnsi="宋体" w:eastAsia="宋体" w:cs="宋体"/>
          <w:bCs/>
          <w:color w:val="auto"/>
          <w:sz w:val="21"/>
          <w:szCs w:val="21"/>
        </w:rPr>
      </w:pPr>
      <w:r>
        <w:rPr>
          <w:rFonts w:hint="eastAsia" w:ascii="宋体" w:hAnsi="宋体" w:eastAsia="宋体" w:cs="宋体"/>
          <w:bCs/>
          <w:color w:val="auto"/>
          <w:sz w:val="21"/>
          <w:szCs w:val="21"/>
        </w:rPr>
        <w:t>1.11 知识产权</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1.11.1关于发包人提供给承包人的图纸、发包人为实施工程自行编制或委托编制的技术规范以及反映发包人关于合同要求或其他类似性质的文件的著作权的归属：</w:t>
      </w:r>
      <w:r>
        <w:rPr>
          <w:rFonts w:hint="eastAsia" w:ascii="宋体" w:hAnsi="宋体" w:eastAsia="宋体" w:cs="宋体"/>
          <w:color w:val="auto"/>
          <w:sz w:val="21"/>
          <w:szCs w:val="21"/>
          <w:u w:val="single"/>
        </w:rPr>
        <w:t>按合同通用条款</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关于发包人提供的上述文件的使用限制的要求：</w:t>
      </w:r>
      <w:r>
        <w:rPr>
          <w:rFonts w:hint="eastAsia" w:ascii="宋体" w:hAnsi="宋体" w:eastAsia="宋体" w:cs="宋体"/>
          <w:color w:val="auto"/>
          <w:sz w:val="21"/>
          <w:szCs w:val="21"/>
          <w:u w:val="single"/>
        </w:rPr>
        <w:t>按合同通用条款</w:t>
      </w:r>
      <w:r>
        <w:rPr>
          <w:rFonts w:hint="eastAsia" w:ascii="宋体" w:hAnsi="宋体" w:eastAsia="宋体" w:cs="宋体"/>
          <w:bCs/>
          <w:color w:val="auto"/>
          <w:sz w:val="21"/>
          <w:szCs w:val="21"/>
        </w:rPr>
        <w:t>。</w:t>
      </w:r>
    </w:p>
    <w:p>
      <w:pPr>
        <w:adjustRightInd w:val="0"/>
        <w:snapToGrid w:val="0"/>
        <w:spacing w:line="336" w:lineRule="auto"/>
        <w:ind w:firstLine="420" w:firstLineChars="200"/>
        <w:outlineLvl w:val="0"/>
        <w:rPr>
          <w:rFonts w:ascii="宋体" w:hAnsi="宋体" w:eastAsia="宋体" w:cs="宋体"/>
          <w:bCs/>
          <w:color w:val="auto"/>
          <w:sz w:val="21"/>
          <w:szCs w:val="21"/>
        </w:rPr>
      </w:pPr>
      <w:r>
        <w:rPr>
          <w:rFonts w:hint="eastAsia" w:ascii="宋体" w:hAnsi="宋体" w:eastAsia="宋体" w:cs="宋体"/>
          <w:bCs/>
          <w:color w:val="auto"/>
          <w:sz w:val="21"/>
          <w:szCs w:val="21"/>
        </w:rPr>
        <w:t>1.11.2 关于承包人为实施工程所编制文件的著作权的归属：</w:t>
      </w:r>
      <w:r>
        <w:rPr>
          <w:rFonts w:hint="eastAsia" w:ascii="宋体" w:hAnsi="宋体" w:eastAsia="宋体" w:cs="宋体"/>
          <w:bCs/>
          <w:color w:val="auto"/>
          <w:sz w:val="21"/>
          <w:szCs w:val="21"/>
          <w:u w:val="single"/>
        </w:rPr>
        <w:t>发包人</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关于承包人提供的上述文件的使用限制的要求：</w:t>
      </w:r>
      <w:r>
        <w:rPr>
          <w:rFonts w:hint="eastAsia" w:ascii="宋体" w:hAnsi="宋体" w:eastAsia="宋体" w:cs="宋体"/>
          <w:color w:val="auto"/>
          <w:sz w:val="21"/>
          <w:szCs w:val="21"/>
          <w:u w:val="single"/>
        </w:rPr>
        <w:t>按合同通用条款</w:t>
      </w:r>
      <w:r>
        <w:rPr>
          <w:rFonts w:hint="eastAsia" w:ascii="宋体" w:hAnsi="宋体" w:eastAsia="宋体" w:cs="宋体"/>
          <w:bCs/>
          <w:color w:val="auto"/>
          <w:sz w:val="21"/>
          <w:szCs w:val="21"/>
        </w:rPr>
        <w:t>。</w:t>
      </w:r>
    </w:p>
    <w:p>
      <w:pPr>
        <w:adjustRightInd w:val="0"/>
        <w:snapToGrid w:val="0"/>
        <w:spacing w:line="336" w:lineRule="auto"/>
        <w:ind w:firstLine="420" w:firstLineChars="200"/>
        <w:outlineLvl w:val="0"/>
        <w:rPr>
          <w:rFonts w:ascii="宋体" w:hAnsi="宋体" w:eastAsia="宋体" w:cs="宋体"/>
          <w:bCs/>
          <w:color w:val="auto"/>
          <w:kern w:val="0"/>
          <w:sz w:val="21"/>
          <w:szCs w:val="21"/>
        </w:rPr>
      </w:pPr>
      <w:r>
        <w:rPr>
          <w:rFonts w:hint="eastAsia" w:ascii="宋体" w:hAnsi="宋体" w:eastAsia="宋体" w:cs="宋体"/>
          <w:bCs/>
          <w:color w:val="auto"/>
          <w:sz w:val="21"/>
          <w:szCs w:val="21"/>
        </w:rPr>
        <w:t>1.11.4 承包人在施工过程中所采用的专利、专有技术、技术秘密的使用费的承担方式：</w:t>
      </w:r>
      <w:r>
        <w:rPr>
          <w:rFonts w:hint="eastAsia" w:ascii="宋体" w:hAnsi="宋体" w:eastAsia="宋体" w:cs="宋体"/>
          <w:bCs/>
          <w:color w:val="auto"/>
          <w:sz w:val="21"/>
          <w:szCs w:val="21"/>
          <w:u w:val="single"/>
        </w:rPr>
        <w:t>承包人自行承担</w:t>
      </w:r>
      <w:r>
        <w:rPr>
          <w:rFonts w:hint="eastAsia" w:ascii="宋体" w:hAnsi="宋体" w:eastAsia="宋体" w:cs="宋体"/>
          <w:bCs/>
          <w:color w:val="auto"/>
          <w:kern w:val="0"/>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1.13工程量清单错误的修正</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出现工程量清单错误时，是否调整合同价格：</w:t>
      </w:r>
      <w:r>
        <w:rPr>
          <w:rFonts w:hint="eastAsia" w:ascii="宋体" w:hAnsi="宋体" w:eastAsia="宋体" w:cs="宋体"/>
          <w:color w:val="auto"/>
          <w:sz w:val="21"/>
          <w:szCs w:val="21"/>
          <w:u w:val="single"/>
        </w:rPr>
        <w:t>调整合同价格</w:t>
      </w:r>
      <w:r>
        <w:rPr>
          <w:rFonts w:hint="eastAsia" w:ascii="宋体" w:hAnsi="宋体" w:eastAsia="宋体" w:cs="宋体"/>
          <w:bCs/>
          <w:color w:val="auto"/>
          <w:kern w:val="0"/>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允许调整合同价格的工程量偏差范围：</w:t>
      </w:r>
      <w:r>
        <w:rPr>
          <w:rFonts w:hint="eastAsia" w:ascii="宋体" w:hAnsi="宋体" w:eastAsia="宋体" w:cs="宋体"/>
          <w:bCs/>
          <w:color w:val="auto"/>
          <w:sz w:val="21"/>
          <w:szCs w:val="21"/>
          <w:u w:val="single"/>
        </w:rPr>
        <w:t xml:space="preserve">    /    </w:t>
      </w:r>
      <w:r>
        <w:rPr>
          <w:rFonts w:hint="eastAsia" w:ascii="宋体" w:hAnsi="宋体" w:eastAsia="宋体" w:cs="宋体"/>
          <w:bCs/>
          <w:color w:val="auto"/>
          <w:kern w:val="0"/>
          <w:sz w:val="21"/>
          <w:szCs w:val="21"/>
        </w:rPr>
        <w:t>。</w:t>
      </w:r>
    </w:p>
    <w:p>
      <w:pPr>
        <w:adjustRightInd w:val="0"/>
        <w:snapToGrid w:val="0"/>
        <w:spacing w:line="336" w:lineRule="auto"/>
        <w:rPr>
          <w:rFonts w:ascii="宋体" w:hAnsi="宋体" w:eastAsia="宋体" w:cs="宋体"/>
          <w:bCs/>
          <w:color w:val="auto"/>
          <w:sz w:val="21"/>
          <w:szCs w:val="21"/>
        </w:rPr>
      </w:pPr>
      <w:bookmarkStart w:id="94" w:name="_Toc351203634"/>
      <w:r>
        <w:rPr>
          <w:rFonts w:hint="eastAsia" w:ascii="宋体" w:hAnsi="宋体" w:eastAsia="宋体" w:cs="宋体"/>
          <w:bCs/>
          <w:color w:val="auto"/>
          <w:sz w:val="21"/>
          <w:szCs w:val="21"/>
        </w:rPr>
        <w:t>2</w:t>
      </w:r>
      <w:bookmarkStart w:id="95" w:name="_Toc292559362"/>
      <w:bookmarkStart w:id="96" w:name="_Toc292559867"/>
      <w:bookmarkStart w:id="97" w:name="_Toc296346658"/>
      <w:bookmarkStart w:id="98" w:name="_Toc296347156"/>
      <w:bookmarkStart w:id="99" w:name="_Toc297120457"/>
      <w:bookmarkStart w:id="100" w:name="_Toc296890985"/>
      <w:bookmarkStart w:id="101" w:name="_Toc296891197"/>
      <w:bookmarkStart w:id="102" w:name="_Toc296503157"/>
      <w:bookmarkStart w:id="103" w:name="_Toc297048343"/>
      <w:bookmarkStart w:id="104" w:name="_Toc296944496"/>
      <w:r>
        <w:rPr>
          <w:rFonts w:hint="eastAsia" w:ascii="宋体" w:hAnsi="宋体" w:eastAsia="宋体" w:cs="宋体"/>
          <w:bCs/>
          <w:color w:val="auto"/>
          <w:sz w:val="21"/>
          <w:szCs w:val="21"/>
        </w:rPr>
        <w:t>. 发包人</w:t>
      </w:r>
      <w:bookmarkEnd w:id="94"/>
    </w:p>
    <w:bookmarkEnd w:id="95"/>
    <w:bookmarkEnd w:id="96"/>
    <w:bookmarkEnd w:id="97"/>
    <w:bookmarkEnd w:id="98"/>
    <w:bookmarkEnd w:id="99"/>
    <w:bookmarkEnd w:id="100"/>
    <w:bookmarkEnd w:id="101"/>
    <w:bookmarkEnd w:id="102"/>
    <w:bookmarkEnd w:id="103"/>
    <w:bookmarkEnd w:id="104"/>
    <w:p>
      <w:pPr>
        <w:adjustRightInd w:val="0"/>
        <w:snapToGrid w:val="0"/>
        <w:spacing w:line="336" w:lineRule="auto"/>
        <w:ind w:firstLine="420" w:firstLineChars="200"/>
        <w:outlineLvl w:val="0"/>
        <w:rPr>
          <w:rFonts w:ascii="宋体" w:hAnsi="宋体" w:eastAsia="宋体" w:cs="宋体"/>
          <w:bCs/>
          <w:color w:val="auto"/>
          <w:sz w:val="21"/>
          <w:szCs w:val="21"/>
        </w:rPr>
      </w:pPr>
      <w:r>
        <w:rPr>
          <w:rFonts w:hint="eastAsia" w:ascii="宋体" w:hAnsi="宋体" w:eastAsia="宋体" w:cs="宋体"/>
          <w:bCs/>
          <w:color w:val="auto"/>
          <w:sz w:val="21"/>
          <w:szCs w:val="21"/>
        </w:rPr>
        <w:t>2.2 发包人代表</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发包人代表：</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姓    名：</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身份证号：</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职    务：</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联系电话：</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电子信箱：</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通信地址：</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发包人对发包人代表的授权范围如下：</w:t>
      </w:r>
      <w:r>
        <w:rPr>
          <w:rFonts w:hint="eastAsia" w:ascii="宋体" w:hAnsi="宋体" w:eastAsia="宋体" w:cs="宋体"/>
          <w:bCs/>
          <w:color w:val="auto"/>
          <w:sz w:val="21"/>
          <w:szCs w:val="21"/>
          <w:u w:val="single"/>
        </w:rPr>
        <w:t>负责本合同的履行与监督，负责本工程质量、进度、投资、安全等项目管理内容的协调管理工作，行使除监理工程师职权外的其他工程师的职权协调关系，签发进度款及现场鉴证</w:t>
      </w:r>
      <w:r>
        <w:rPr>
          <w:rFonts w:hint="eastAsia" w:ascii="宋体" w:hAnsi="宋体" w:eastAsia="宋体" w:cs="宋体"/>
          <w:bCs/>
          <w:color w:val="auto"/>
          <w:sz w:val="21"/>
          <w:szCs w:val="21"/>
        </w:rPr>
        <w:t>。</w:t>
      </w:r>
    </w:p>
    <w:p>
      <w:pPr>
        <w:adjustRightInd w:val="0"/>
        <w:snapToGrid w:val="0"/>
        <w:spacing w:line="336" w:lineRule="auto"/>
        <w:ind w:firstLine="420" w:firstLineChars="200"/>
        <w:outlineLvl w:val="0"/>
        <w:rPr>
          <w:rFonts w:ascii="宋体" w:hAnsi="宋体" w:eastAsia="宋体" w:cs="宋体"/>
          <w:bCs/>
          <w:color w:val="auto"/>
          <w:sz w:val="21"/>
          <w:szCs w:val="21"/>
        </w:rPr>
      </w:pPr>
      <w:r>
        <w:rPr>
          <w:rFonts w:hint="eastAsia" w:ascii="宋体" w:hAnsi="宋体" w:eastAsia="宋体" w:cs="宋体"/>
          <w:bCs/>
          <w:color w:val="auto"/>
          <w:sz w:val="21"/>
          <w:szCs w:val="21"/>
        </w:rPr>
        <w:t>2.4 施工现场、施工条件和基础资料的提供</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2.4.1 提供施工现场</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关于发包人移交施工现场的期限要求：</w:t>
      </w:r>
      <w:r>
        <w:rPr>
          <w:rFonts w:hint="eastAsia" w:ascii="宋体" w:hAnsi="宋体" w:eastAsia="宋体" w:cs="宋体"/>
          <w:bCs/>
          <w:color w:val="auto"/>
          <w:sz w:val="21"/>
          <w:szCs w:val="21"/>
          <w:u w:val="single"/>
        </w:rPr>
        <w:t>/</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2.4.2 提供施工条件</w:t>
      </w:r>
    </w:p>
    <w:p>
      <w:pPr>
        <w:adjustRightInd w:val="0"/>
        <w:snapToGrid w:val="0"/>
        <w:spacing w:line="336" w:lineRule="auto"/>
        <w:ind w:firstLine="420" w:firstLineChars="200"/>
        <w:rPr>
          <w:rFonts w:ascii="宋体" w:hAnsi="宋体" w:eastAsia="宋体" w:cs="宋体"/>
          <w:bCs/>
          <w:color w:val="auto"/>
          <w:sz w:val="21"/>
          <w:szCs w:val="21"/>
          <w:u w:val="single"/>
        </w:rPr>
      </w:pPr>
      <w:r>
        <w:rPr>
          <w:rFonts w:hint="eastAsia" w:ascii="宋体" w:hAnsi="宋体" w:eastAsia="宋体" w:cs="宋体"/>
          <w:bCs/>
          <w:color w:val="auto"/>
          <w:sz w:val="21"/>
          <w:szCs w:val="21"/>
        </w:rPr>
        <w:t>关于发包人应负责提供施工所需要的条件，包括：</w:t>
      </w:r>
      <w:r>
        <w:rPr>
          <w:rFonts w:hint="eastAsia" w:ascii="宋体" w:hAnsi="宋体" w:eastAsia="宋体" w:cs="宋体"/>
          <w:bCs/>
          <w:color w:val="auto"/>
          <w:sz w:val="21"/>
          <w:szCs w:val="21"/>
          <w:u w:val="single"/>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2.5 资金来源证明及支付担保</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发包人提供资金来源证明的期限要求：</w:t>
      </w:r>
      <w:r>
        <w:rPr>
          <w:rFonts w:hint="eastAsia" w:ascii="宋体" w:hAnsi="宋体" w:eastAsia="宋体" w:cs="宋体"/>
          <w:bCs/>
          <w:color w:val="auto"/>
          <w:sz w:val="21"/>
          <w:szCs w:val="21"/>
          <w:u w:val="single"/>
        </w:rPr>
        <w:t xml:space="preserve">     /       </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发包人是否提供支付担保：</w:t>
      </w:r>
      <w:r>
        <w:rPr>
          <w:rFonts w:hint="eastAsia" w:ascii="宋体" w:hAnsi="宋体" w:eastAsia="宋体" w:cs="宋体"/>
          <w:bCs/>
          <w:color w:val="auto"/>
          <w:sz w:val="21"/>
          <w:szCs w:val="21"/>
          <w:u w:val="single"/>
        </w:rPr>
        <w:t xml:space="preserve">        /     </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u w:val="single"/>
        </w:rPr>
      </w:pPr>
      <w:r>
        <w:rPr>
          <w:rFonts w:hint="eastAsia" w:ascii="宋体" w:hAnsi="宋体" w:eastAsia="宋体" w:cs="宋体"/>
          <w:bCs/>
          <w:color w:val="auto"/>
          <w:sz w:val="21"/>
          <w:szCs w:val="21"/>
        </w:rPr>
        <w:t>发包人提供支付担保的形式：</w:t>
      </w:r>
      <w:r>
        <w:rPr>
          <w:rFonts w:hint="eastAsia" w:ascii="宋体" w:hAnsi="宋体" w:eastAsia="宋体" w:cs="宋体"/>
          <w:bCs/>
          <w:color w:val="auto"/>
          <w:sz w:val="21"/>
          <w:szCs w:val="21"/>
          <w:u w:val="single"/>
        </w:rPr>
        <w:t xml:space="preserve">     /        </w:t>
      </w:r>
      <w:r>
        <w:rPr>
          <w:rFonts w:hint="eastAsia" w:ascii="宋体" w:hAnsi="宋体" w:eastAsia="宋体" w:cs="宋体"/>
          <w:bCs/>
          <w:color w:val="auto"/>
          <w:sz w:val="21"/>
          <w:szCs w:val="21"/>
        </w:rPr>
        <w:t>。</w:t>
      </w:r>
    </w:p>
    <w:p>
      <w:pPr>
        <w:adjustRightInd w:val="0"/>
        <w:snapToGrid w:val="0"/>
        <w:spacing w:line="336" w:lineRule="auto"/>
        <w:rPr>
          <w:rFonts w:ascii="宋体" w:hAnsi="宋体" w:eastAsia="宋体" w:cs="宋体"/>
          <w:bCs/>
          <w:color w:val="auto"/>
          <w:sz w:val="21"/>
          <w:szCs w:val="21"/>
        </w:rPr>
      </w:pPr>
      <w:bookmarkStart w:id="105" w:name="_Toc351203635"/>
      <w:r>
        <w:rPr>
          <w:rFonts w:hint="eastAsia" w:ascii="宋体" w:hAnsi="宋体" w:eastAsia="宋体" w:cs="宋体"/>
          <w:bCs/>
          <w:color w:val="auto"/>
          <w:sz w:val="21"/>
          <w:szCs w:val="21"/>
        </w:rPr>
        <w:t>3</w:t>
      </w:r>
      <w:bookmarkStart w:id="106" w:name="_Toc296944497"/>
      <w:bookmarkStart w:id="107" w:name="_Toc296891198"/>
      <w:bookmarkStart w:id="108" w:name="_Toc292559868"/>
      <w:bookmarkStart w:id="109" w:name="_Toc297120458"/>
      <w:bookmarkStart w:id="110" w:name="_Toc296346659"/>
      <w:bookmarkStart w:id="111" w:name="_Toc296347157"/>
      <w:bookmarkStart w:id="112" w:name="_Toc292559363"/>
      <w:bookmarkStart w:id="113" w:name="_Toc296503158"/>
      <w:bookmarkStart w:id="114" w:name="_Toc296890986"/>
      <w:bookmarkStart w:id="115" w:name="_Toc297048344"/>
      <w:r>
        <w:rPr>
          <w:rFonts w:hint="eastAsia" w:ascii="宋体" w:hAnsi="宋体" w:eastAsia="宋体" w:cs="宋体"/>
          <w:bCs/>
          <w:color w:val="auto"/>
          <w:sz w:val="21"/>
          <w:szCs w:val="21"/>
        </w:rPr>
        <w:t>. 承包人</w:t>
      </w:r>
      <w:bookmarkEnd w:id="105"/>
    </w:p>
    <w:bookmarkEnd w:id="106"/>
    <w:bookmarkEnd w:id="107"/>
    <w:bookmarkEnd w:id="108"/>
    <w:bookmarkEnd w:id="109"/>
    <w:bookmarkEnd w:id="110"/>
    <w:bookmarkEnd w:id="111"/>
    <w:bookmarkEnd w:id="112"/>
    <w:bookmarkEnd w:id="113"/>
    <w:bookmarkEnd w:id="114"/>
    <w:bookmarkEnd w:id="115"/>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3.1 承包人的一般义务</w:t>
      </w:r>
    </w:p>
    <w:p>
      <w:pPr>
        <w:adjustRightInd w:val="0"/>
        <w:snapToGrid w:val="0"/>
        <w:spacing w:line="336" w:lineRule="auto"/>
        <w:ind w:firstLine="420" w:firstLineChars="200"/>
        <w:rPr>
          <w:rFonts w:ascii="宋体" w:hAnsi="宋体" w:eastAsia="宋体" w:cs="宋体"/>
          <w:bCs/>
          <w:color w:val="auto"/>
          <w:sz w:val="21"/>
          <w:szCs w:val="21"/>
          <w:u w:val="single"/>
        </w:rPr>
      </w:pPr>
      <w:r>
        <w:rPr>
          <w:rFonts w:hint="eastAsia" w:ascii="宋体" w:hAnsi="宋体" w:eastAsia="宋体" w:cs="宋体"/>
          <w:bCs/>
          <w:color w:val="auto"/>
          <w:sz w:val="21"/>
          <w:szCs w:val="21"/>
        </w:rPr>
        <w:t>（1）应提供计划、报表的名称及完成时间：</w:t>
      </w:r>
      <w:r>
        <w:rPr>
          <w:rFonts w:hint="eastAsia" w:ascii="宋体" w:hAnsi="宋体" w:eastAsia="宋体" w:cs="宋体"/>
          <w:bCs/>
          <w:color w:val="auto"/>
          <w:sz w:val="21"/>
          <w:szCs w:val="21"/>
          <w:u w:val="single"/>
        </w:rPr>
        <w:t xml:space="preserve">   /     </w:t>
      </w:r>
    </w:p>
    <w:p>
      <w:pPr>
        <w:adjustRightInd w:val="0"/>
        <w:snapToGrid w:val="0"/>
        <w:spacing w:line="336" w:lineRule="auto"/>
        <w:ind w:firstLine="420" w:firstLineChars="200"/>
        <w:rPr>
          <w:rFonts w:ascii="宋体" w:hAnsi="宋体" w:eastAsia="宋体" w:cs="宋体"/>
          <w:bCs/>
          <w:color w:val="auto"/>
          <w:sz w:val="21"/>
          <w:szCs w:val="21"/>
          <w:u w:val="single"/>
        </w:rPr>
      </w:pPr>
      <w:r>
        <w:rPr>
          <w:rFonts w:hint="eastAsia" w:ascii="宋体" w:hAnsi="宋体" w:eastAsia="宋体" w:cs="宋体"/>
          <w:bCs/>
          <w:color w:val="auto"/>
          <w:sz w:val="21"/>
          <w:szCs w:val="21"/>
        </w:rPr>
        <w:t>（2）承担施工安全保卫工作及非夜间施工照明的责任和要求：</w:t>
      </w:r>
      <w:r>
        <w:rPr>
          <w:rFonts w:hint="eastAsia" w:ascii="宋体" w:hAnsi="宋体" w:eastAsia="宋体" w:cs="宋体"/>
          <w:bCs/>
          <w:color w:val="auto"/>
          <w:sz w:val="21"/>
          <w:szCs w:val="21"/>
          <w:u w:val="single"/>
        </w:rPr>
        <w:t xml:space="preserve"> 施工现场的夜间照明线路必须单独敷设，承担所有安全保卫责任以及引起的所有经济和法律责任；承担各级政府管理部门所要求的一切责任以及引起的所有经济和法律责任。</w:t>
      </w:r>
    </w:p>
    <w:p>
      <w:pPr>
        <w:adjustRightInd w:val="0"/>
        <w:snapToGrid w:val="0"/>
        <w:spacing w:line="336" w:lineRule="auto"/>
        <w:ind w:firstLine="420" w:firstLineChars="200"/>
        <w:rPr>
          <w:rFonts w:ascii="宋体" w:hAnsi="宋体" w:eastAsia="宋体" w:cs="宋体"/>
          <w:bCs/>
          <w:color w:val="auto"/>
          <w:sz w:val="21"/>
          <w:szCs w:val="21"/>
          <w:u w:val="single"/>
        </w:rPr>
      </w:pPr>
      <w:r>
        <w:rPr>
          <w:rFonts w:hint="eastAsia" w:ascii="宋体" w:hAnsi="宋体" w:eastAsia="宋体" w:cs="宋体"/>
          <w:bCs/>
          <w:color w:val="auto"/>
          <w:sz w:val="21"/>
          <w:szCs w:val="21"/>
        </w:rPr>
        <w:t>（3）需承包人办理的有关施工场地交通、环卫和施工噪音管理等手续：</w:t>
      </w:r>
      <w:r>
        <w:rPr>
          <w:rFonts w:hint="eastAsia" w:ascii="宋体" w:hAnsi="宋体" w:eastAsia="宋体" w:cs="宋体"/>
          <w:bCs/>
          <w:color w:val="auto"/>
          <w:sz w:val="21"/>
          <w:szCs w:val="21"/>
          <w:u w:val="single"/>
        </w:rPr>
        <w:t>遵照政府有关部门对施工场地交通、环卫和施工噪音的管理规定，按规定办理相关手续，费用由承包人负责，发包人给予配合。如承包人未及时办理有关手续而造成的罚款由承包人承担。</w:t>
      </w:r>
    </w:p>
    <w:p>
      <w:pPr>
        <w:adjustRightInd w:val="0"/>
        <w:snapToGrid w:val="0"/>
        <w:spacing w:line="336" w:lineRule="auto"/>
        <w:ind w:firstLine="420" w:firstLineChars="200"/>
        <w:rPr>
          <w:rFonts w:ascii="宋体" w:hAnsi="宋体" w:eastAsia="宋体" w:cs="宋体"/>
          <w:bCs/>
          <w:color w:val="auto"/>
          <w:sz w:val="21"/>
          <w:szCs w:val="21"/>
          <w:u w:val="single"/>
        </w:rPr>
      </w:pPr>
      <w:r>
        <w:rPr>
          <w:rFonts w:hint="eastAsia" w:ascii="宋体" w:hAnsi="宋体" w:eastAsia="宋体" w:cs="宋体"/>
          <w:bCs/>
          <w:color w:val="auto"/>
          <w:sz w:val="21"/>
          <w:szCs w:val="21"/>
        </w:rPr>
        <w:t>（4）完工工程成品保护的特殊要求及费用承担：</w:t>
      </w:r>
      <w:r>
        <w:rPr>
          <w:rFonts w:hint="eastAsia" w:ascii="宋体" w:hAnsi="宋体" w:eastAsia="宋体" w:cs="宋体"/>
          <w:bCs/>
          <w:color w:val="auto"/>
          <w:sz w:val="21"/>
          <w:szCs w:val="21"/>
          <w:u w:val="single"/>
        </w:rPr>
        <w:t>按发包人的要求进行保护，所有费用承包人已在磋商响应报价中包干。</w:t>
      </w:r>
    </w:p>
    <w:p>
      <w:pPr>
        <w:adjustRightInd w:val="0"/>
        <w:snapToGrid w:val="0"/>
        <w:spacing w:line="336" w:lineRule="auto"/>
        <w:ind w:firstLine="420" w:firstLineChars="200"/>
        <w:rPr>
          <w:rFonts w:ascii="宋体" w:hAnsi="宋体" w:eastAsia="宋体" w:cs="宋体"/>
          <w:bCs/>
          <w:color w:val="auto"/>
          <w:kern w:val="0"/>
          <w:sz w:val="21"/>
          <w:szCs w:val="21"/>
        </w:rPr>
      </w:pPr>
      <w:r>
        <w:rPr>
          <w:rFonts w:hint="eastAsia" w:ascii="宋体" w:hAnsi="宋体" w:eastAsia="宋体" w:cs="宋体"/>
          <w:bCs/>
          <w:color w:val="auto"/>
          <w:sz w:val="21"/>
          <w:szCs w:val="21"/>
        </w:rPr>
        <w:t>（5）施工现场清洁卫生的要求：</w:t>
      </w:r>
      <w:r>
        <w:rPr>
          <w:rFonts w:hint="eastAsia" w:ascii="宋体" w:hAnsi="宋体" w:eastAsia="宋体" w:cs="宋体"/>
          <w:bCs/>
          <w:color w:val="auto"/>
          <w:sz w:val="21"/>
          <w:szCs w:val="21"/>
          <w:u w:val="single"/>
        </w:rPr>
        <w:t>承包人结合《浙江省建设工程现场安全文明施工标准化工地管理办法》等省市相关规定，制定相应文明施工措施方案，保证施工现场清洁卫生。如承包人未按文明施工方案实施的，发包人有权责令承包人立即整改，对承包人拒不整改或未按规定期限完成整改的，发包人有权对承包人处以罚款、暂停施工等处罚。本工程承包人搭设的所有临时设施、施工便道等（包括借地范围内），在本工程交工验收合格后，必须在规定的期限内自行拆除清运完毕，达到监理和发包人认为合格的使用状态否则将不予结算。</w:t>
      </w:r>
    </w:p>
    <w:p>
      <w:pPr>
        <w:adjustRightInd w:val="0"/>
        <w:snapToGrid w:val="0"/>
        <w:spacing w:line="336" w:lineRule="auto"/>
        <w:ind w:firstLine="420" w:firstLineChars="200"/>
        <w:rPr>
          <w:rFonts w:ascii="宋体" w:hAnsi="宋体" w:eastAsia="宋体" w:cs="宋体"/>
          <w:bCs/>
          <w:color w:val="auto"/>
          <w:kern w:val="0"/>
          <w:sz w:val="21"/>
          <w:szCs w:val="21"/>
        </w:rPr>
      </w:pPr>
      <w:r>
        <w:rPr>
          <w:rFonts w:hint="eastAsia" w:ascii="宋体" w:hAnsi="宋体" w:eastAsia="宋体" w:cs="宋体"/>
          <w:bCs/>
          <w:color w:val="auto"/>
          <w:kern w:val="0"/>
          <w:sz w:val="21"/>
          <w:szCs w:val="21"/>
        </w:rPr>
        <w:t>（6）承包人提交的竣工资料的内容：</w:t>
      </w:r>
      <w:r>
        <w:rPr>
          <w:rFonts w:hint="eastAsia" w:ascii="宋体" w:hAnsi="宋体" w:eastAsia="宋体" w:cs="宋体"/>
          <w:bCs/>
          <w:color w:val="auto"/>
          <w:kern w:val="0"/>
          <w:sz w:val="21"/>
          <w:szCs w:val="21"/>
          <w:u w:val="single"/>
        </w:rPr>
        <w:t>向发包方提供竣工图、竣工资料及竣工验收报告，并附光盘（含影像资料、图片等）</w:t>
      </w:r>
      <w:r>
        <w:rPr>
          <w:rFonts w:hint="eastAsia" w:ascii="宋体" w:hAnsi="宋体" w:eastAsia="宋体" w:cs="宋体"/>
          <w:bCs/>
          <w:color w:val="auto"/>
          <w:kern w:val="0"/>
          <w:sz w:val="21"/>
          <w:szCs w:val="21"/>
        </w:rPr>
        <w:t>。</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承包人需要提交的竣工资料套数：</w:t>
      </w:r>
      <w:r>
        <w:rPr>
          <w:rFonts w:hint="eastAsia" w:ascii="宋体" w:hAnsi="宋体" w:eastAsia="宋体" w:cs="宋体"/>
          <w:bCs/>
          <w:color w:val="auto"/>
          <w:sz w:val="21"/>
          <w:szCs w:val="21"/>
          <w:u w:val="single"/>
        </w:rPr>
        <w:t>满足工程所在地建设行政主管部门施工资料的要求</w:t>
      </w:r>
      <w:r>
        <w:rPr>
          <w:rFonts w:hint="eastAsia" w:ascii="宋体" w:hAnsi="宋体" w:eastAsia="宋体" w:cs="宋体"/>
          <w:bCs/>
          <w:color w:val="auto"/>
          <w:sz w:val="21"/>
          <w:szCs w:val="21"/>
        </w:rPr>
        <w:t>。</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承包人提交的竣工资料的费用承担：</w:t>
      </w:r>
      <w:r>
        <w:rPr>
          <w:rFonts w:hint="eastAsia" w:ascii="宋体" w:hAnsi="宋体" w:eastAsia="宋体" w:cs="宋体"/>
          <w:bCs/>
          <w:color w:val="auto"/>
          <w:sz w:val="21"/>
          <w:szCs w:val="21"/>
          <w:u w:val="single"/>
        </w:rPr>
        <w:t>承包人承担</w:t>
      </w:r>
      <w:r>
        <w:rPr>
          <w:rFonts w:hint="eastAsia" w:ascii="宋体" w:hAnsi="宋体" w:eastAsia="宋体" w:cs="宋体"/>
          <w:bCs/>
          <w:color w:val="auto"/>
          <w:sz w:val="21"/>
          <w:szCs w:val="21"/>
        </w:rPr>
        <w:t>。</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承包人提交的竣工资料移交时间：</w:t>
      </w:r>
      <w:r>
        <w:rPr>
          <w:rFonts w:hint="eastAsia" w:ascii="宋体" w:hAnsi="宋体" w:eastAsia="宋体" w:cs="宋体"/>
          <w:bCs/>
          <w:color w:val="auto"/>
          <w:sz w:val="21"/>
          <w:szCs w:val="21"/>
          <w:u w:val="single"/>
        </w:rPr>
        <w:t>竣工验收前十天</w:t>
      </w:r>
      <w:r>
        <w:rPr>
          <w:rFonts w:hint="eastAsia" w:ascii="宋体" w:hAnsi="宋体" w:eastAsia="宋体" w:cs="宋体"/>
          <w:bCs/>
          <w:color w:val="auto"/>
          <w:sz w:val="21"/>
          <w:szCs w:val="21"/>
        </w:rPr>
        <w:t>。</w:t>
      </w:r>
    </w:p>
    <w:p>
      <w:pPr>
        <w:adjustRightInd w:val="0"/>
        <w:snapToGrid w:val="0"/>
        <w:spacing w:line="336" w:lineRule="auto"/>
        <w:ind w:firstLine="420" w:firstLineChars="200"/>
        <w:jc w:val="left"/>
        <w:rPr>
          <w:rFonts w:ascii="宋体" w:hAnsi="宋体" w:eastAsia="宋体" w:cs="宋体"/>
          <w:bCs/>
          <w:color w:val="auto"/>
          <w:sz w:val="21"/>
          <w:szCs w:val="21"/>
          <w:u w:val="single"/>
        </w:rPr>
      </w:pPr>
      <w:r>
        <w:rPr>
          <w:rFonts w:hint="eastAsia" w:ascii="宋体" w:hAnsi="宋体" w:eastAsia="宋体" w:cs="宋体"/>
          <w:bCs/>
          <w:color w:val="auto"/>
          <w:sz w:val="21"/>
          <w:szCs w:val="21"/>
        </w:rPr>
        <w:t>承包人提交的竣工资料形式要求：</w:t>
      </w:r>
      <w:r>
        <w:rPr>
          <w:rFonts w:hint="eastAsia" w:ascii="宋体" w:hAnsi="宋体" w:eastAsia="宋体" w:cs="宋体"/>
          <w:bCs/>
          <w:color w:val="auto"/>
          <w:sz w:val="21"/>
          <w:szCs w:val="21"/>
          <w:u w:val="single"/>
        </w:rPr>
        <w:t>发包人收到承包人提交的竣工验收报告及竣工验收资料后，认为工程尚不具备竣工验收条件或承包人提交人竣工验收资料不完整的，有权不组织竣工验收，直至工程符合工程竣工验收条件或竣工验收资料完整。若工程验收时，竣工验收资料尚不完整，或不完全符合主管部门要求的，工程竣工验收通过后，承包人仍应按要求提交完整的符合要求的竣工资料。承包人应在发包人指定的时间内向发包人提供符合存档备案要求的竣工图、竣工资料及竣工验收报告等，并有义务配合发包人将该些资料存档备案，否则，每逾期一天，承包人应按照人民币贰仟元向发包人支付违约金，且发包人有权拒付工程款。</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kern w:val="0"/>
          <w:sz w:val="21"/>
          <w:szCs w:val="21"/>
        </w:rPr>
        <w:t>（7）承包人应履行的其他义务：</w:t>
      </w:r>
    </w:p>
    <w:p>
      <w:pPr>
        <w:adjustRightInd w:val="0"/>
        <w:snapToGrid w:val="0"/>
        <w:spacing w:line="336" w:lineRule="auto"/>
        <w:ind w:firstLine="420" w:firstLineChars="200"/>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a、承包人在工程实施期间应对发包人提供的各项水电设施以及沿街户外广告进行必要的保护，相关费用在磋商响应报价中综合考虑。若由于承包人未能妥善保护给发包人造成的损失由承包人承担。</w:t>
      </w:r>
    </w:p>
    <w:p>
      <w:pPr>
        <w:adjustRightInd w:val="0"/>
        <w:snapToGrid w:val="0"/>
        <w:spacing w:line="336" w:lineRule="auto"/>
        <w:ind w:firstLine="420" w:firstLineChars="200"/>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b、协助发包人和监理工程师避免合同文件各个部分之间的差异可能给工程带来的任何损失是承包人的义务，承包人故意隐瞒或不及时向监理工程师通报此类较为明显的差异，承包人应自费纠正或消除此类差异给工程带来的影响。</w:t>
      </w:r>
    </w:p>
    <w:p>
      <w:pPr>
        <w:adjustRightInd w:val="0"/>
        <w:snapToGrid w:val="0"/>
        <w:spacing w:line="336" w:lineRule="auto"/>
        <w:ind w:firstLine="420" w:firstLineChars="200"/>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c、承包人在施工中，有责任配合发包人或发包人委托的科研单位进行本工程有关的科研监测、测试和检测工作，并不得提出任何费用要求。</w:t>
      </w:r>
    </w:p>
    <w:p>
      <w:pPr>
        <w:adjustRightInd w:val="0"/>
        <w:snapToGrid w:val="0"/>
        <w:spacing w:line="336" w:lineRule="auto"/>
        <w:ind w:firstLine="420" w:firstLineChars="200"/>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d、承包人在使用地方道路过程中，必须采取一切措施确保车辆正常通行，做到施工、通车两不误，由于承包人措施不力，导致堵车和事故频发或损坏地方道路，影响交通安全和正常运行，并造成重大影响，引起索赔，赔偿，诉讼费用及工程拖延或施工费用增加时，因由承包人承担一切费用。</w:t>
      </w:r>
    </w:p>
    <w:p>
      <w:pPr>
        <w:adjustRightInd w:val="0"/>
        <w:snapToGrid w:val="0"/>
        <w:spacing w:line="336" w:lineRule="auto"/>
        <w:ind w:firstLine="420" w:firstLineChars="200"/>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e、承包人有责任按发包人、监理人的指令协调、配合工程范围的管线的搬迁（含管线回搬）及交通组织（含路面恢复）、绿化迁移、三通一平工作，负责办理市政设施养护管理交接手续，负责对工程范围内已废弃的管线（必要的需经管线单位确认）以及其他障碍物的拆除和处理。负责组织各类施工协调、交通配合例会，做好施工现场的交通管理工作。实施上述项目所需时间包含在总工期内。承包人亦必须服从发包人和监理单位的同意协调、指令与要求，做好与其他多家单位的施工配合。</w:t>
      </w:r>
    </w:p>
    <w:p>
      <w:pPr>
        <w:adjustRightInd w:val="0"/>
        <w:snapToGrid w:val="0"/>
        <w:spacing w:line="336" w:lineRule="auto"/>
        <w:ind w:firstLine="420" w:firstLineChars="200"/>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f、承包人的项目部、临时加工场地、项目参与人员的临时宿舍等临时设施的借地由承包人负责，并承担一切费用。因条件有限，发包人概不负责相关场地宿舍等。</w:t>
      </w:r>
    </w:p>
    <w:p>
      <w:pPr>
        <w:adjustRightInd w:val="0"/>
        <w:snapToGrid w:val="0"/>
        <w:spacing w:line="336" w:lineRule="auto"/>
        <w:ind w:firstLine="420" w:firstLineChars="200"/>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g、承包人有责任维护发包人形象，若由于承包人的安全、文明施工问题而造成发包人被他人索赔，发包人保留向承包人索赔的权利。</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u w:val="single"/>
        </w:rPr>
        <w:t>h、作为一名有经验的承包人，有义务及时与电力部门协商，对于图纸设计中不满足现行验收规范要求的部分及时提出合理化的建议，若未及时发现并提出不利于今后施工及验收的问题，应承担相应的责任。</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3.2 项目经理</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kern w:val="0"/>
          <w:sz w:val="21"/>
          <w:szCs w:val="21"/>
        </w:rPr>
        <w:t xml:space="preserve">3.2.1 </w:t>
      </w:r>
      <w:r>
        <w:rPr>
          <w:rFonts w:hint="eastAsia" w:ascii="宋体" w:hAnsi="宋体" w:eastAsia="宋体" w:cs="宋体"/>
          <w:bCs/>
          <w:color w:val="auto"/>
          <w:sz w:val="21"/>
          <w:szCs w:val="21"/>
        </w:rPr>
        <w:t>项目经理：</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姓    名：</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身份证号：</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建造师执业资格等级：</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建造师注册证书号：</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建造师执业印章号：</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安全生产考核合格证书号：</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联系电话：</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电子信箱：</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通信地址：</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承包人对项目经理的授权范围如下：</w:t>
      </w:r>
      <w:r>
        <w:rPr>
          <w:rFonts w:hint="eastAsia" w:ascii="宋体" w:hAnsi="宋体" w:eastAsia="宋体" w:cs="宋体"/>
          <w:color w:val="auto"/>
          <w:sz w:val="21"/>
          <w:szCs w:val="21"/>
          <w:u w:val="single"/>
        </w:rPr>
        <w:t xml:space="preserve">                           </w:t>
      </w:r>
      <w:r>
        <w:rPr>
          <w:rFonts w:hint="eastAsia" w:ascii="宋体" w:hAnsi="宋体" w:eastAsia="宋体" w:cs="宋体"/>
          <w:bCs/>
          <w:color w:val="auto"/>
          <w:sz w:val="21"/>
          <w:szCs w:val="21"/>
        </w:rPr>
        <w:t>。</w:t>
      </w:r>
    </w:p>
    <w:p>
      <w:pPr>
        <w:adjustRightInd w:val="0"/>
        <w:snapToGrid w:val="0"/>
        <w:spacing w:line="336" w:lineRule="auto"/>
        <w:ind w:firstLine="420" w:firstLineChars="200"/>
        <w:jc w:val="left"/>
        <w:rPr>
          <w:rFonts w:ascii="宋体" w:hAnsi="宋体" w:eastAsia="宋体" w:cs="宋体"/>
          <w:bCs/>
          <w:color w:val="auto"/>
          <w:kern w:val="0"/>
          <w:sz w:val="21"/>
          <w:szCs w:val="21"/>
        </w:rPr>
      </w:pPr>
      <w:r>
        <w:rPr>
          <w:rFonts w:hint="eastAsia" w:ascii="宋体" w:hAnsi="宋体" w:eastAsia="宋体" w:cs="宋体"/>
          <w:bCs/>
          <w:color w:val="auto"/>
          <w:kern w:val="0"/>
          <w:sz w:val="21"/>
          <w:szCs w:val="21"/>
        </w:rPr>
        <w:t>关于项目经理每月在施工现场的时间要求：</w:t>
      </w:r>
      <w:r>
        <w:rPr>
          <w:rFonts w:hint="eastAsia" w:ascii="宋体" w:hAnsi="宋体" w:eastAsia="宋体" w:cs="宋体"/>
          <w:bCs/>
          <w:color w:val="auto"/>
          <w:sz w:val="21"/>
          <w:szCs w:val="21"/>
          <w:u w:val="single"/>
        </w:rPr>
        <w:t>出勤率按照为每月24天，每日工作时间8小时考勤。重要施工工序或环节时项目经理、技术负责人等必须到场</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kern w:val="0"/>
          <w:sz w:val="21"/>
          <w:szCs w:val="21"/>
        </w:rPr>
      </w:pPr>
      <w:r>
        <w:rPr>
          <w:rFonts w:hint="eastAsia" w:ascii="宋体" w:hAnsi="宋体" w:eastAsia="宋体" w:cs="宋体"/>
          <w:bCs/>
          <w:color w:val="auto"/>
          <w:kern w:val="0"/>
          <w:sz w:val="21"/>
          <w:szCs w:val="21"/>
        </w:rPr>
        <w:t>承包人未提交劳动合同，以及没有为项目经理缴纳社会保险证明的违约责任：</w:t>
      </w:r>
      <w:r>
        <w:rPr>
          <w:rFonts w:hint="eastAsia" w:ascii="宋体" w:hAnsi="宋体" w:eastAsia="宋体" w:cs="宋体"/>
          <w:bCs/>
          <w:color w:val="auto"/>
          <w:sz w:val="21"/>
          <w:szCs w:val="21"/>
          <w:u w:val="single"/>
        </w:rPr>
        <w:t>由承包人承担违约责任</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u w:val="single"/>
        </w:rPr>
      </w:pPr>
      <w:r>
        <w:rPr>
          <w:rFonts w:hint="eastAsia" w:ascii="宋体" w:hAnsi="宋体" w:eastAsia="宋体" w:cs="宋体"/>
          <w:bCs/>
          <w:color w:val="auto"/>
          <w:kern w:val="0"/>
          <w:sz w:val="21"/>
          <w:szCs w:val="21"/>
        </w:rPr>
        <w:t>项目经理未经批准，擅自离开施工现场的违约责任：</w:t>
      </w:r>
      <w:r>
        <w:rPr>
          <w:rFonts w:hint="eastAsia" w:ascii="宋体" w:hAnsi="宋体" w:eastAsia="宋体" w:cs="宋体"/>
          <w:color w:val="auto"/>
          <w:sz w:val="21"/>
          <w:szCs w:val="21"/>
          <w:u w:val="single"/>
        </w:rPr>
        <w:t xml:space="preserve">   /    </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3.2.3 承包人擅自更换项目经理的违约责任：</w:t>
      </w:r>
      <w:r>
        <w:rPr>
          <w:rFonts w:hint="eastAsia" w:ascii="宋体" w:hAnsi="宋体" w:eastAsia="宋体" w:cs="宋体"/>
          <w:color w:val="auto"/>
          <w:sz w:val="21"/>
          <w:szCs w:val="21"/>
          <w:u w:val="single"/>
        </w:rPr>
        <w:t xml:space="preserve">  /           </w:t>
      </w:r>
      <w:r>
        <w:rPr>
          <w:rFonts w:hint="eastAsia" w:ascii="宋体" w:hAnsi="宋体" w:eastAsia="宋体" w:cs="宋体"/>
          <w:bCs/>
          <w:color w:val="auto"/>
          <w:sz w:val="21"/>
          <w:szCs w:val="21"/>
        </w:rPr>
        <w:t>。</w:t>
      </w:r>
    </w:p>
    <w:p>
      <w:pPr>
        <w:adjustRightInd w:val="0"/>
        <w:snapToGrid w:val="0"/>
        <w:spacing w:line="336" w:lineRule="auto"/>
        <w:outlineLvl w:val="0"/>
        <w:rPr>
          <w:rFonts w:ascii="宋体" w:hAnsi="宋体" w:eastAsia="宋体" w:cs="宋体"/>
          <w:bCs/>
          <w:color w:val="auto"/>
          <w:sz w:val="21"/>
          <w:szCs w:val="21"/>
        </w:rPr>
      </w:pPr>
      <w:r>
        <w:rPr>
          <w:rFonts w:hint="eastAsia" w:ascii="宋体" w:hAnsi="宋体" w:eastAsia="宋体" w:cs="宋体"/>
          <w:bCs/>
          <w:color w:val="auto"/>
          <w:sz w:val="21"/>
          <w:szCs w:val="21"/>
        </w:rPr>
        <w:t xml:space="preserve">    3.2.4 承包人无正当理由拒绝更换项目经理的违约责任：</w:t>
      </w:r>
      <w:r>
        <w:rPr>
          <w:rFonts w:hint="eastAsia" w:ascii="宋体" w:hAnsi="宋体" w:eastAsia="宋体" w:cs="宋体"/>
          <w:color w:val="auto"/>
          <w:sz w:val="21"/>
          <w:szCs w:val="21"/>
          <w:u w:val="single"/>
        </w:rPr>
        <w:t>发包人可通知承包人全部解除合同，所有履约担保金归发包人，同时赔偿发包人损失</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3.3 承包人人员</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3.3.1 承包人提交项目管理机构及施工现场管理人员安排报告的期限：</w:t>
      </w:r>
      <w:r>
        <w:rPr>
          <w:rFonts w:hint="eastAsia" w:ascii="宋体" w:hAnsi="宋体" w:eastAsia="宋体" w:cs="宋体"/>
          <w:bCs/>
          <w:color w:val="auto"/>
          <w:sz w:val="21"/>
          <w:szCs w:val="21"/>
          <w:u w:val="single"/>
        </w:rPr>
        <w:t>合同签订前</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3.3.3 承包人无正当理由拒绝撤换主要施工管理人员的违约责任：</w:t>
      </w:r>
      <w:r>
        <w:rPr>
          <w:rFonts w:hint="eastAsia" w:ascii="宋体" w:hAnsi="宋体" w:eastAsia="宋体" w:cs="宋体"/>
          <w:color w:val="auto"/>
          <w:sz w:val="21"/>
          <w:szCs w:val="21"/>
          <w:u w:val="single"/>
        </w:rPr>
        <w:t>发包人可通知承包人全部解除合同，所有履约担保金归发包人，同时赔偿发包人损失</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u w:val="single"/>
        </w:rPr>
      </w:pPr>
      <w:r>
        <w:rPr>
          <w:rFonts w:hint="eastAsia" w:ascii="宋体" w:hAnsi="宋体" w:eastAsia="宋体" w:cs="宋体"/>
          <w:bCs/>
          <w:color w:val="auto"/>
          <w:sz w:val="21"/>
          <w:szCs w:val="21"/>
        </w:rPr>
        <w:t xml:space="preserve">3.3.4 承包人主要施工管理人员离开施工现场的批准要求： </w:t>
      </w:r>
      <w:r>
        <w:rPr>
          <w:rFonts w:hint="eastAsia" w:ascii="宋体" w:hAnsi="宋体" w:eastAsia="宋体" w:cs="宋体"/>
          <w:bCs/>
          <w:color w:val="auto"/>
          <w:sz w:val="21"/>
          <w:szCs w:val="21"/>
          <w:u w:val="single"/>
        </w:rPr>
        <w:t>按通用合同条款规定执行</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3.3.5承包人擅自更换主要施工管理人员的违约责任：</w:t>
      </w:r>
      <w:r>
        <w:rPr>
          <w:rFonts w:hint="eastAsia" w:ascii="宋体" w:hAnsi="宋体" w:eastAsia="宋体" w:cs="宋体"/>
          <w:bCs/>
          <w:color w:val="auto"/>
          <w:sz w:val="21"/>
          <w:szCs w:val="21"/>
          <w:u w:val="single"/>
        </w:rPr>
        <w:t xml:space="preserve">        /         </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承包人主要施工管理人员擅自离开施工现场的违约责任：</w:t>
      </w:r>
      <w:r>
        <w:rPr>
          <w:rFonts w:hint="eastAsia" w:ascii="宋体" w:hAnsi="宋体" w:eastAsia="宋体" w:cs="宋体"/>
          <w:bCs/>
          <w:color w:val="auto"/>
          <w:sz w:val="21"/>
          <w:szCs w:val="21"/>
          <w:u w:val="single"/>
        </w:rPr>
        <w:t>发包人有权要求更换管理人员</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3</w:t>
      </w:r>
      <w:bookmarkStart w:id="116" w:name="_Toc296347158"/>
      <w:bookmarkStart w:id="117" w:name="_Toc297123492"/>
      <w:bookmarkStart w:id="118" w:name="_Toc292559364"/>
      <w:bookmarkStart w:id="119" w:name="_Toc304295523"/>
      <w:bookmarkStart w:id="120" w:name="_Toc296891199"/>
      <w:bookmarkStart w:id="121" w:name="_Toc292559869"/>
      <w:bookmarkStart w:id="122" w:name="_Toc297048345"/>
      <w:bookmarkStart w:id="123" w:name="_Toc303539102"/>
      <w:bookmarkStart w:id="124" w:name="_Toc296944498"/>
      <w:bookmarkStart w:id="125" w:name="_Toc296890987"/>
      <w:bookmarkStart w:id="126" w:name="_Toc312677988"/>
      <w:bookmarkStart w:id="127" w:name="_Toc296346660"/>
      <w:bookmarkStart w:id="128" w:name="_Toc296503159"/>
      <w:bookmarkStart w:id="129" w:name="_Toc300934945"/>
      <w:bookmarkStart w:id="130" w:name="_Toc297120459"/>
      <w:bookmarkStart w:id="131" w:name="_Toc297216151"/>
      <w:r>
        <w:rPr>
          <w:rFonts w:hint="eastAsia" w:ascii="宋体" w:hAnsi="宋体" w:eastAsia="宋体" w:cs="宋体"/>
          <w:bCs/>
          <w:color w:val="auto"/>
          <w:sz w:val="21"/>
          <w:szCs w:val="21"/>
        </w:rPr>
        <w:t>.5 分包</w:t>
      </w:r>
    </w:p>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3</w:t>
      </w:r>
      <w:bookmarkStart w:id="132" w:name="_Toc296891200"/>
      <w:bookmarkStart w:id="133" w:name="_Toc292559365"/>
      <w:bookmarkStart w:id="134" w:name="_Toc297216152"/>
      <w:bookmarkStart w:id="135" w:name="_Toc304295524"/>
      <w:bookmarkStart w:id="136" w:name="_Toc303539103"/>
      <w:bookmarkStart w:id="137" w:name="_Toc297048346"/>
      <w:bookmarkStart w:id="138" w:name="_Toc296944499"/>
      <w:bookmarkStart w:id="139" w:name="_Toc292559870"/>
      <w:bookmarkStart w:id="140" w:name="_Toc296347159"/>
      <w:bookmarkStart w:id="141" w:name="_Toc297120460"/>
      <w:bookmarkStart w:id="142" w:name="_Toc296503160"/>
      <w:bookmarkStart w:id="143" w:name="_Toc300934946"/>
      <w:bookmarkStart w:id="144" w:name="_Toc296890988"/>
      <w:bookmarkStart w:id="145" w:name="_Toc297123493"/>
      <w:bookmarkStart w:id="146" w:name="_Toc296346661"/>
      <w:bookmarkStart w:id="147" w:name="_Toc318581158"/>
      <w:bookmarkStart w:id="148" w:name="_Toc312677989"/>
      <w:r>
        <w:rPr>
          <w:rFonts w:hint="eastAsia" w:ascii="宋体" w:hAnsi="宋体" w:eastAsia="宋体" w:cs="宋体"/>
          <w:bCs/>
          <w:color w:val="auto"/>
          <w:sz w:val="21"/>
          <w:szCs w:val="21"/>
        </w:rPr>
        <w:t>.5.1 分包的一般约定</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禁止分包的工程包括：</w:t>
      </w:r>
      <w:r>
        <w:rPr>
          <w:rFonts w:hint="eastAsia" w:ascii="宋体" w:hAnsi="宋体" w:eastAsia="宋体" w:cs="宋体"/>
          <w:bCs/>
          <w:color w:val="auto"/>
          <w:sz w:val="21"/>
          <w:szCs w:val="21"/>
          <w:u w:val="single"/>
        </w:rPr>
        <w:t>未经发包人同意一律不得分包</w:t>
      </w:r>
      <w:r>
        <w:rPr>
          <w:rFonts w:hint="eastAsia" w:ascii="宋体" w:hAnsi="宋体" w:eastAsia="宋体" w:cs="宋体"/>
          <w:bCs/>
          <w:color w:val="auto"/>
          <w:sz w:val="21"/>
          <w:szCs w:val="21"/>
        </w:rPr>
        <w:t>。</w:t>
      </w:r>
    </w:p>
    <w:p>
      <w:pPr>
        <w:adjustRightInd w:val="0"/>
        <w:snapToGrid w:val="0"/>
        <w:spacing w:line="336" w:lineRule="auto"/>
        <w:ind w:firstLine="420" w:firstLineChars="200"/>
        <w:jc w:val="left"/>
        <w:rPr>
          <w:rFonts w:ascii="宋体" w:hAnsi="宋体" w:eastAsia="宋体" w:cs="宋体"/>
          <w:bCs/>
          <w:color w:val="auto"/>
          <w:sz w:val="21"/>
          <w:szCs w:val="21"/>
          <w:u w:val="single"/>
        </w:rPr>
      </w:pPr>
      <w:r>
        <w:rPr>
          <w:rFonts w:hint="eastAsia" w:ascii="宋体" w:hAnsi="宋体" w:eastAsia="宋体" w:cs="宋体"/>
          <w:bCs/>
          <w:color w:val="auto"/>
          <w:sz w:val="21"/>
          <w:szCs w:val="21"/>
        </w:rPr>
        <w:t>主体结构、关键性工作的范围：</w:t>
      </w:r>
      <w:r>
        <w:rPr>
          <w:rFonts w:hint="eastAsia" w:ascii="宋体" w:hAnsi="宋体" w:eastAsia="宋体" w:cs="宋体"/>
          <w:bCs/>
          <w:color w:val="auto"/>
          <w:sz w:val="21"/>
          <w:szCs w:val="21"/>
          <w:u w:val="single"/>
        </w:rPr>
        <w:t xml:space="preserve">    /     </w:t>
      </w:r>
      <w:r>
        <w:rPr>
          <w:rFonts w:hint="eastAsia" w:ascii="宋体" w:hAnsi="宋体" w:eastAsia="宋体" w:cs="宋体"/>
          <w:bCs/>
          <w:color w:val="auto"/>
          <w:sz w:val="21"/>
          <w:szCs w:val="21"/>
        </w:rPr>
        <w:t>。</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Start w:id="149" w:name="_Toc297048347"/>
      <w:bookmarkStart w:id="150" w:name="_Toc304295525"/>
      <w:bookmarkStart w:id="151" w:name="_Toc303539104"/>
      <w:bookmarkStart w:id="152" w:name="_Toc296346662"/>
      <w:bookmarkStart w:id="153" w:name="_Toc300934947"/>
      <w:bookmarkStart w:id="154" w:name="_Toc297120461"/>
      <w:bookmarkStart w:id="155" w:name="_Toc296890989"/>
      <w:bookmarkStart w:id="156" w:name="_Toc297123494"/>
      <w:bookmarkStart w:id="157" w:name="_Toc296891201"/>
      <w:bookmarkStart w:id="158" w:name="_Toc296503161"/>
      <w:bookmarkStart w:id="159" w:name="_Toc297216153"/>
      <w:bookmarkStart w:id="160" w:name="_Toc296347160"/>
      <w:bookmarkStart w:id="161" w:name="_Toc296944500"/>
    </w:p>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Pr>
        <w:adjustRightInd w:val="0"/>
        <w:snapToGrid w:val="0"/>
        <w:spacing w:line="336" w:lineRule="auto"/>
        <w:rPr>
          <w:rFonts w:ascii="宋体" w:hAnsi="宋体" w:eastAsia="宋体" w:cs="宋体"/>
          <w:bCs/>
          <w:color w:val="auto"/>
          <w:sz w:val="21"/>
          <w:szCs w:val="21"/>
        </w:rPr>
      </w:pPr>
      <w:r>
        <w:rPr>
          <w:rFonts w:hint="eastAsia" w:ascii="宋体" w:hAnsi="宋体" w:eastAsia="宋体" w:cs="宋体"/>
          <w:bCs/>
          <w:color w:val="auto"/>
          <w:sz w:val="21"/>
          <w:szCs w:val="21"/>
        </w:rPr>
        <w:t xml:space="preserve">    3</w:t>
      </w:r>
      <w:bookmarkStart w:id="162" w:name="_Toc312677990"/>
      <w:bookmarkStart w:id="163" w:name="_Toc318581159"/>
      <w:r>
        <w:rPr>
          <w:rFonts w:hint="eastAsia" w:ascii="宋体" w:hAnsi="宋体" w:eastAsia="宋体" w:cs="宋体"/>
          <w:bCs/>
          <w:color w:val="auto"/>
          <w:sz w:val="21"/>
          <w:szCs w:val="21"/>
        </w:rPr>
        <w:t>.5.2分包的确定</w:t>
      </w:r>
    </w:p>
    <w:p>
      <w:pPr>
        <w:adjustRightInd w:val="0"/>
        <w:snapToGrid w:val="0"/>
        <w:spacing w:line="336" w:lineRule="auto"/>
        <w:ind w:firstLine="420" w:firstLineChars="200"/>
        <w:rPr>
          <w:rFonts w:ascii="宋体" w:hAnsi="宋体" w:eastAsia="宋体" w:cs="宋体"/>
          <w:bCs/>
          <w:color w:val="auto"/>
          <w:sz w:val="21"/>
          <w:szCs w:val="21"/>
          <w:u w:val="single"/>
        </w:rPr>
      </w:pPr>
      <w:r>
        <w:rPr>
          <w:rFonts w:hint="eastAsia" w:ascii="宋体" w:hAnsi="宋体" w:eastAsia="宋体" w:cs="宋体"/>
          <w:bCs/>
          <w:color w:val="auto"/>
          <w:sz w:val="21"/>
          <w:szCs w:val="21"/>
        </w:rPr>
        <w:t>允许分包的专业工程包括：</w:t>
      </w:r>
      <w:r>
        <w:rPr>
          <w:rFonts w:hint="eastAsia" w:ascii="宋体" w:hAnsi="宋体" w:eastAsia="宋体" w:cs="宋体"/>
          <w:bCs/>
          <w:color w:val="auto"/>
          <w:sz w:val="21"/>
          <w:szCs w:val="21"/>
          <w:u w:val="single"/>
        </w:rPr>
        <w:t xml:space="preserve">     /       </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其他关于分包的约定：</w:t>
      </w:r>
      <w:r>
        <w:rPr>
          <w:rFonts w:hint="eastAsia" w:ascii="宋体" w:hAnsi="宋体" w:eastAsia="宋体" w:cs="宋体"/>
          <w:bCs/>
          <w:color w:val="auto"/>
          <w:sz w:val="21"/>
          <w:szCs w:val="21"/>
          <w:u w:val="single"/>
        </w:rPr>
        <w:t xml:space="preserve">     /      </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3.5.4 分包合同价款</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关于分包合同价款支付的约定：</w:t>
      </w:r>
      <w:r>
        <w:rPr>
          <w:rFonts w:hint="eastAsia" w:ascii="宋体" w:hAnsi="宋体" w:eastAsia="宋体" w:cs="宋体"/>
          <w:bCs/>
          <w:color w:val="auto"/>
          <w:sz w:val="21"/>
          <w:szCs w:val="21"/>
          <w:u w:val="single"/>
        </w:rPr>
        <w:t xml:space="preserve">   /      </w:t>
      </w:r>
      <w:r>
        <w:rPr>
          <w:rFonts w:hint="eastAsia" w:ascii="宋体" w:hAnsi="宋体" w:eastAsia="宋体" w:cs="宋体"/>
          <w:bCs/>
          <w:color w:val="auto"/>
          <w:sz w:val="21"/>
          <w:szCs w:val="21"/>
        </w:rPr>
        <w:t>。</w:t>
      </w:r>
    </w:p>
    <w:bookmarkEnd w:id="162"/>
    <w:bookmarkEnd w:id="163"/>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3.6 工程照管与成品、半成品保护</w:t>
      </w:r>
    </w:p>
    <w:p>
      <w:pPr>
        <w:adjustRightInd w:val="0"/>
        <w:snapToGrid w:val="0"/>
        <w:spacing w:line="336" w:lineRule="auto"/>
        <w:ind w:firstLine="420" w:firstLineChars="200"/>
        <w:rPr>
          <w:rFonts w:ascii="宋体" w:hAnsi="宋体" w:eastAsia="宋体" w:cs="宋体"/>
          <w:bCs/>
          <w:color w:val="auto"/>
          <w:kern w:val="0"/>
          <w:sz w:val="21"/>
          <w:szCs w:val="21"/>
          <w:u w:val="single"/>
        </w:rPr>
      </w:pPr>
      <w:r>
        <w:rPr>
          <w:rFonts w:hint="eastAsia" w:ascii="宋体" w:hAnsi="宋体" w:eastAsia="宋体" w:cs="宋体"/>
          <w:bCs/>
          <w:color w:val="auto"/>
          <w:kern w:val="0"/>
          <w:sz w:val="21"/>
          <w:szCs w:val="21"/>
        </w:rPr>
        <w:t>承包人负责照管工程及工程相关的材料、工程设备的起始时间：</w:t>
      </w:r>
      <w:r>
        <w:rPr>
          <w:rFonts w:hint="eastAsia" w:ascii="宋体" w:hAnsi="宋体" w:eastAsia="宋体" w:cs="宋体"/>
          <w:bCs/>
          <w:color w:val="auto"/>
          <w:kern w:val="0"/>
          <w:sz w:val="21"/>
          <w:szCs w:val="21"/>
          <w:u w:val="single"/>
        </w:rPr>
        <w:t>按通用合同条款规定执行</w:t>
      </w:r>
      <w:r>
        <w:rPr>
          <w:rFonts w:hint="eastAsia" w:ascii="宋体" w:hAnsi="宋体" w:eastAsia="宋体" w:cs="宋体"/>
          <w:bCs/>
          <w:color w:val="auto"/>
          <w:kern w:val="0"/>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3.7 履约担保</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承包人是否提供履约担保：</w:t>
      </w:r>
      <w:r>
        <w:rPr>
          <w:rFonts w:hint="eastAsia" w:ascii="宋体" w:hAnsi="宋体" w:eastAsia="宋体" w:cs="宋体"/>
          <w:bCs/>
          <w:color w:val="auto"/>
          <w:sz w:val="21"/>
          <w:szCs w:val="21"/>
          <w:u w:val="single"/>
        </w:rPr>
        <w:t xml:space="preserve">     是    </w:t>
      </w:r>
      <w:r>
        <w:rPr>
          <w:rFonts w:hint="eastAsia" w:ascii="宋体" w:hAnsi="宋体" w:eastAsia="宋体" w:cs="宋体"/>
          <w:bCs/>
          <w:color w:val="auto"/>
          <w:sz w:val="21"/>
          <w:szCs w:val="21"/>
        </w:rPr>
        <w:t>。</w:t>
      </w:r>
    </w:p>
    <w:p>
      <w:pPr>
        <w:adjustRightInd w:val="0"/>
        <w:snapToGrid w:val="0"/>
        <w:spacing w:line="336" w:lineRule="auto"/>
        <w:ind w:firstLine="420" w:firstLineChars="200"/>
        <w:jc w:val="left"/>
        <w:rPr>
          <w:rFonts w:ascii="宋体" w:hAnsi="宋体" w:eastAsia="宋体" w:cs="宋体"/>
          <w:bCs/>
          <w:color w:val="auto"/>
          <w:sz w:val="21"/>
          <w:szCs w:val="21"/>
          <w:u w:val="single"/>
        </w:rPr>
      </w:pPr>
      <w:r>
        <w:rPr>
          <w:rFonts w:hint="eastAsia" w:ascii="宋体" w:hAnsi="宋体" w:eastAsia="宋体" w:cs="宋体"/>
          <w:bCs/>
          <w:color w:val="auto"/>
          <w:sz w:val="21"/>
          <w:szCs w:val="21"/>
        </w:rPr>
        <w:t>承包人提供履约担保的形式、金额及期限的：</w:t>
      </w:r>
      <w:r>
        <w:rPr>
          <w:rFonts w:hint="eastAsia" w:ascii="宋体" w:hAnsi="宋体" w:eastAsia="宋体" w:cs="宋体"/>
          <w:bCs/>
          <w:color w:val="auto"/>
          <w:sz w:val="21"/>
          <w:szCs w:val="21"/>
          <w:u w:val="single"/>
        </w:rPr>
        <w:t>履约担保的金额：成交金额的2%。履约担保的形式：支票、转账或不可撤销的银行保函（仅限省内四大国有银行及商业银行无条件支付保函），若提供履约保函则需经发包人确认。履约担保有效期自履约担保缴纳之日起至竣工验收合格后并完成全部竣工资料移交后30日内有效。如承包人未能履行合同约定的任何义务，发包人有权扣除承包人部分直至全部履约保证金。执行本条各项要求所需的费用由承包人承担。但如果此时存在合同争端并且未能解决，那么履约保证金有效期应延长到上诉争端最终解决且索赔完毕后终止。</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u w:val="single"/>
        </w:rPr>
        <w:t>履约保证金的补足：发包人根据本合同约定行使处分履约保证金权利后应当及时书面通知承包人，承包人应当接到通知后5个工作日补足，以使整个合同期内的履约保证金始终维持在成交金额2%的数额。逾期未能补足的，每日按应补而未补金额的万分之五支付逾期补交违约金。</w:t>
      </w:r>
    </w:p>
    <w:p>
      <w:pPr>
        <w:adjustRightInd w:val="0"/>
        <w:snapToGrid w:val="0"/>
        <w:spacing w:line="336" w:lineRule="auto"/>
        <w:ind w:firstLine="420" w:firstLineChars="200"/>
        <w:rPr>
          <w:rFonts w:ascii="宋体" w:hAnsi="宋体" w:eastAsia="宋体" w:cs="宋体"/>
          <w:bCs/>
          <w:color w:val="auto"/>
          <w:sz w:val="21"/>
          <w:szCs w:val="21"/>
        </w:rPr>
      </w:pPr>
      <w:bookmarkStart w:id="164" w:name="_Toc351203636"/>
      <w:r>
        <w:rPr>
          <w:rFonts w:hint="eastAsia" w:ascii="宋体" w:hAnsi="宋体" w:eastAsia="宋体" w:cs="宋体"/>
          <w:bCs/>
          <w:color w:val="auto"/>
          <w:sz w:val="21"/>
          <w:szCs w:val="21"/>
        </w:rPr>
        <w:t>4</w:t>
      </w:r>
      <w:bookmarkStart w:id="165" w:name="_Toc296891202"/>
      <w:bookmarkStart w:id="166" w:name="_Toc267251413"/>
      <w:bookmarkStart w:id="167" w:name="_Toc296503162"/>
      <w:bookmarkStart w:id="168" w:name="_Toc296347161"/>
      <w:bookmarkStart w:id="169" w:name="_Toc296944501"/>
      <w:bookmarkStart w:id="170" w:name="_Toc297120462"/>
      <w:bookmarkStart w:id="171" w:name="_Toc296346663"/>
      <w:bookmarkStart w:id="172" w:name="_Toc296890990"/>
      <w:bookmarkStart w:id="173" w:name="_Toc292559366"/>
      <w:bookmarkStart w:id="174" w:name="_Toc297048348"/>
      <w:bookmarkStart w:id="175" w:name="_Toc292559871"/>
      <w:r>
        <w:rPr>
          <w:rFonts w:hint="eastAsia" w:ascii="宋体" w:hAnsi="宋体" w:eastAsia="宋体" w:cs="宋体"/>
          <w:bCs/>
          <w:color w:val="auto"/>
          <w:sz w:val="21"/>
          <w:szCs w:val="21"/>
        </w:rPr>
        <w:t>. 监</w:t>
      </w:r>
      <w:bookmarkEnd w:id="165"/>
      <w:bookmarkEnd w:id="166"/>
      <w:bookmarkEnd w:id="167"/>
      <w:bookmarkEnd w:id="168"/>
      <w:bookmarkEnd w:id="169"/>
      <w:bookmarkEnd w:id="170"/>
      <w:bookmarkEnd w:id="171"/>
      <w:bookmarkEnd w:id="172"/>
      <w:bookmarkEnd w:id="173"/>
      <w:bookmarkEnd w:id="174"/>
      <w:bookmarkEnd w:id="175"/>
      <w:r>
        <w:rPr>
          <w:rFonts w:hint="eastAsia" w:ascii="宋体" w:hAnsi="宋体" w:eastAsia="宋体" w:cs="宋体"/>
          <w:bCs/>
          <w:color w:val="auto"/>
          <w:sz w:val="21"/>
          <w:szCs w:val="21"/>
        </w:rPr>
        <w:t>理人</w:t>
      </w:r>
      <w:bookmarkEnd w:id="164"/>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4.1监理人的一般规定</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关于监理人的监理内容：</w:t>
      </w:r>
      <w:r>
        <w:rPr>
          <w:rFonts w:hint="eastAsia" w:ascii="宋体" w:hAnsi="宋体" w:eastAsia="宋体" w:cs="宋体"/>
          <w:bCs/>
          <w:color w:val="auto"/>
          <w:sz w:val="21"/>
          <w:szCs w:val="21"/>
          <w:u w:val="single"/>
        </w:rPr>
        <w:t>按监理合同约定实行</w:t>
      </w:r>
      <w:r>
        <w:rPr>
          <w:rFonts w:hint="eastAsia" w:ascii="宋体" w:hAnsi="宋体" w:eastAsia="宋体" w:cs="宋体"/>
          <w:bCs/>
          <w:color w:val="auto"/>
          <w:sz w:val="21"/>
          <w:szCs w:val="21"/>
        </w:rPr>
        <w:t>。</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关于监理人的监理权限：</w:t>
      </w:r>
      <w:r>
        <w:rPr>
          <w:rFonts w:hint="eastAsia" w:ascii="宋体" w:hAnsi="宋体" w:eastAsia="宋体" w:cs="宋体"/>
          <w:bCs/>
          <w:color w:val="auto"/>
          <w:sz w:val="21"/>
          <w:szCs w:val="21"/>
          <w:u w:val="single"/>
        </w:rPr>
        <w:t>按监理合同约定实行</w:t>
      </w:r>
      <w:r>
        <w:rPr>
          <w:rFonts w:hint="eastAsia" w:ascii="宋体" w:hAnsi="宋体" w:eastAsia="宋体" w:cs="宋体"/>
          <w:bCs/>
          <w:color w:val="auto"/>
          <w:sz w:val="21"/>
          <w:szCs w:val="21"/>
        </w:rPr>
        <w:t xml:space="preserve">。 </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关于监理人在施工现场的办公场所、生活场所的提供和费用承担的约定：</w:t>
      </w:r>
      <w:r>
        <w:rPr>
          <w:rFonts w:hint="eastAsia" w:ascii="宋体" w:hAnsi="宋体" w:eastAsia="宋体" w:cs="宋体"/>
          <w:bCs/>
          <w:color w:val="auto"/>
          <w:sz w:val="21"/>
          <w:szCs w:val="21"/>
          <w:u w:val="single"/>
        </w:rPr>
        <w:t xml:space="preserve">      /     </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4.2 监理人员</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总监理工程师：</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姓    名：</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职    务：</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监理工程师执业资格证书号：</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联系电话：</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电子信箱：</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通信地址：</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关于监理人的其他约定：</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4.4 商定或确定</w:t>
      </w:r>
    </w:p>
    <w:p>
      <w:pPr>
        <w:adjustRightInd w:val="0"/>
        <w:snapToGrid w:val="0"/>
        <w:spacing w:line="336" w:lineRule="auto"/>
        <w:ind w:firstLine="420" w:firstLineChars="200"/>
        <w:rPr>
          <w:rFonts w:ascii="宋体" w:hAnsi="宋体" w:eastAsia="宋体" w:cs="宋体"/>
          <w:bCs/>
          <w:color w:val="auto"/>
          <w:sz w:val="21"/>
          <w:szCs w:val="21"/>
        </w:rPr>
      </w:pPr>
      <w:bookmarkStart w:id="176" w:name="_Toc267251418"/>
      <w:r>
        <w:rPr>
          <w:rFonts w:hint="eastAsia" w:ascii="宋体" w:hAnsi="宋体" w:eastAsia="宋体" w:cs="宋体"/>
          <w:bCs/>
          <w:color w:val="auto"/>
          <w:sz w:val="21"/>
          <w:szCs w:val="21"/>
        </w:rPr>
        <w:t>在发包人和承包人不能通过协商达成一致意见时，发包人授权监理人对以下事项进行确定：</w:t>
      </w:r>
    </w:p>
    <w:p>
      <w:pPr>
        <w:autoSpaceDE w:val="0"/>
        <w:autoSpaceDN w:val="0"/>
        <w:adjustRightInd w:val="0"/>
        <w:snapToGrid w:val="0"/>
        <w:spacing w:line="336" w:lineRule="auto"/>
        <w:ind w:firstLine="420" w:firstLineChars="200"/>
        <w:jc w:val="left"/>
        <w:rPr>
          <w:rFonts w:ascii="宋体" w:hAnsi="宋体" w:eastAsia="宋体" w:cs="宋体"/>
          <w:bCs/>
          <w:color w:val="auto"/>
          <w:kern w:val="0"/>
          <w:sz w:val="21"/>
          <w:szCs w:val="21"/>
        </w:rPr>
      </w:pPr>
      <w:r>
        <w:rPr>
          <w:rFonts w:hint="eastAsia" w:ascii="宋体" w:hAnsi="宋体" w:eastAsia="宋体" w:cs="宋体"/>
          <w:bCs/>
          <w:color w:val="auto"/>
          <w:kern w:val="0"/>
          <w:sz w:val="21"/>
          <w:szCs w:val="21"/>
        </w:rPr>
        <w:t>（1）</w:t>
      </w:r>
      <w:r>
        <w:rPr>
          <w:rFonts w:hint="eastAsia" w:ascii="宋体" w:hAnsi="宋体" w:eastAsia="宋体" w:cs="宋体"/>
          <w:bCs/>
          <w:color w:val="auto"/>
          <w:kern w:val="0"/>
          <w:sz w:val="21"/>
          <w:szCs w:val="21"/>
          <w:u w:val="single"/>
        </w:rPr>
        <w:t xml:space="preserve">                                  </w:t>
      </w:r>
      <w:r>
        <w:rPr>
          <w:rFonts w:hint="eastAsia" w:ascii="宋体" w:hAnsi="宋体" w:eastAsia="宋体" w:cs="宋体"/>
          <w:bCs/>
          <w:color w:val="auto"/>
          <w:sz w:val="21"/>
          <w:szCs w:val="21"/>
        </w:rPr>
        <w:t>；</w:t>
      </w:r>
    </w:p>
    <w:p>
      <w:pPr>
        <w:autoSpaceDE w:val="0"/>
        <w:autoSpaceDN w:val="0"/>
        <w:adjustRightInd w:val="0"/>
        <w:snapToGrid w:val="0"/>
        <w:spacing w:line="336" w:lineRule="auto"/>
        <w:ind w:firstLine="420" w:firstLineChars="200"/>
        <w:jc w:val="left"/>
        <w:rPr>
          <w:rFonts w:ascii="宋体" w:hAnsi="宋体" w:eastAsia="宋体" w:cs="宋体"/>
          <w:bCs/>
          <w:color w:val="auto"/>
          <w:kern w:val="0"/>
          <w:sz w:val="21"/>
          <w:szCs w:val="21"/>
        </w:rPr>
      </w:pPr>
      <w:r>
        <w:rPr>
          <w:rFonts w:hint="eastAsia" w:ascii="宋体" w:hAnsi="宋体" w:eastAsia="宋体" w:cs="宋体"/>
          <w:bCs/>
          <w:color w:val="auto"/>
          <w:kern w:val="0"/>
          <w:sz w:val="21"/>
          <w:szCs w:val="21"/>
        </w:rPr>
        <w:t>（2）</w:t>
      </w:r>
      <w:r>
        <w:rPr>
          <w:rFonts w:hint="eastAsia" w:ascii="宋体" w:hAnsi="宋体" w:eastAsia="宋体" w:cs="宋体"/>
          <w:bCs/>
          <w:color w:val="auto"/>
          <w:kern w:val="0"/>
          <w:sz w:val="21"/>
          <w:szCs w:val="21"/>
          <w:u w:val="single"/>
        </w:rPr>
        <w:t xml:space="preserve">                                 </w:t>
      </w:r>
      <w:r>
        <w:rPr>
          <w:rFonts w:hint="eastAsia" w:ascii="宋体" w:hAnsi="宋体" w:eastAsia="宋体" w:cs="宋体"/>
          <w:bCs/>
          <w:color w:val="auto"/>
          <w:sz w:val="21"/>
          <w:szCs w:val="21"/>
        </w:rPr>
        <w:t>；</w:t>
      </w:r>
    </w:p>
    <w:p>
      <w:pPr>
        <w:autoSpaceDE w:val="0"/>
        <w:autoSpaceDN w:val="0"/>
        <w:adjustRightInd w:val="0"/>
        <w:snapToGrid w:val="0"/>
        <w:spacing w:line="336" w:lineRule="auto"/>
        <w:ind w:firstLine="420" w:firstLineChars="200"/>
        <w:jc w:val="left"/>
        <w:rPr>
          <w:rFonts w:ascii="宋体" w:hAnsi="宋体" w:eastAsia="宋体" w:cs="宋体"/>
          <w:bCs/>
          <w:color w:val="auto"/>
          <w:kern w:val="0"/>
          <w:sz w:val="21"/>
          <w:szCs w:val="21"/>
        </w:rPr>
      </w:pPr>
      <w:r>
        <w:rPr>
          <w:rFonts w:hint="eastAsia" w:ascii="宋体" w:hAnsi="宋体" w:eastAsia="宋体" w:cs="宋体"/>
          <w:bCs/>
          <w:color w:val="auto"/>
          <w:kern w:val="0"/>
          <w:sz w:val="21"/>
          <w:szCs w:val="21"/>
        </w:rPr>
        <w:t>（3）</w:t>
      </w:r>
      <w:r>
        <w:rPr>
          <w:rFonts w:hint="eastAsia" w:ascii="宋体" w:hAnsi="宋体" w:eastAsia="宋体" w:cs="宋体"/>
          <w:bCs/>
          <w:color w:val="auto"/>
          <w:kern w:val="0"/>
          <w:sz w:val="21"/>
          <w:szCs w:val="21"/>
          <w:u w:val="single"/>
        </w:rPr>
        <w:t xml:space="preserve">                                    </w:t>
      </w:r>
      <w:r>
        <w:rPr>
          <w:rFonts w:hint="eastAsia" w:ascii="宋体" w:hAnsi="宋体" w:eastAsia="宋体" w:cs="宋体"/>
          <w:bCs/>
          <w:color w:val="auto"/>
          <w:sz w:val="21"/>
          <w:szCs w:val="21"/>
        </w:rPr>
        <w:t>。</w:t>
      </w:r>
    </w:p>
    <w:p>
      <w:pPr>
        <w:adjustRightInd w:val="0"/>
        <w:snapToGrid w:val="0"/>
        <w:spacing w:line="336" w:lineRule="auto"/>
        <w:rPr>
          <w:rFonts w:ascii="宋体" w:hAnsi="宋体" w:eastAsia="宋体" w:cs="宋体"/>
          <w:bCs/>
          <w:color w:val="auto"/>
          <w:sz w:val="21"/>
          <w:szCs w:val="21"/>
        </w:rPr>
      </w:pPr>
      <w:bookmarkStart w:id="177" w:name="_Toc351203637"/>
      <w:r>
        <w:rPr>
          <w:rFonts w:hint="eastAsia" w:ascii="宋体" w:hAnsi="宋体" w:eastAsia="宋体" w:cs="宋体"/>
          <w:bCs/>
          <w:color w:val="auto"/>
          <w:sz w:val="21"/>
          <w:szCs w:val="21"/>
        </w:rPr>
        <w:t>5</w:t>
      </w:r>
      <w:bookmarkEnd w:id="176"/>
      <w:bookmarkStart w:id="178" w:name="_Toc292559367"/>
      <w:bookmarkStart w:id="179" w:name="_Toc296346664"/>
      <w:bookmarkStart w:id="180" w:name="_Toc296503163"/>
      <w:bookmarkStart w:id="181" w:name="_Toc297120463"/>
      <w:bookmarkStart w:id="182" w:name="_Toc296890991"/>
      <w:bookmarkStart w:id="183" w:name="_Toc292559872"/>
      <w:bookmarkStart w:id="184" w:name="_Toc297048349"/>
      <w:bookmarkStart w:id="185" w:name="_Toc296347162"/>
      <w:bookmarkStart w:id="186" w:name="_Toc296891203"/>
      <w:bookmarkStart w:id="187" w:name="_Toc296944502"/>
      <w:r>
        <w:rPr>
          <w:rFonts w:hint="eastAsia" w:ascii="宋体" w:hAnsi="宋体" w:eastAsia="宋体" w:cs="宋体"/>
          <w:bCs/>
          <w:color w:val="auto"/>
          <w:sz w:val="21"/>
          <w:szCs w:val="21"/>
        </w:rPr>
        <w:t>. 工程质量</w:t>
      </w:r>
      <w:bookmarkEnd w:id="177"/>
    </w:p>
    <w:p>
      <w:pPr>
        <w:adjustRightInd w:val="0"/>
        <w:snapToGrid w:val="0"/>
        <w:spacing w:line="336" w:lineRule="auto"/>
        <w:ind w:firstLine="420" w:firstLineChars="200"/>
        <w:outlineLvl w:val="0"/>
        <w:rPr>
          <w:rFonts w:ascii="宋体" w:hAnsi="宋体" w:eastAsia="宋体" w:cs="宋体"/>
          <w:bCs/>
          <w:color w:val="auto"/>
          <w:sz w:val="21"/>
          <w:szCs w:val="21"/>
        </w:rPr>
      </w:pPr>
      <w:r>
        <w:rPr>
          <w:rFonts w:hint="eastAsia" w:ascii="宋体" w:hAnsi="宋体" w:eastAsia="宋体" w:cs="宋体"/>
          <w:bCs/>
          <w:color w:val="auto"/>
          <w:sz w:val="21"/>
          <w:szCs w:val="21"/>
        </w:rPr>
        <w:t>5.1 质量要求</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5</w:t>
      </w:r>
      <w:bookmarkStart w:id="188" w:name="_Toc303539106"/>
      <w:bookmarkStart w:id="189" w:name="_Toc297216155"/>
      <w:bookmarkStart w:id="190" w:name="_Toc297123496"/>
      <w:bookmarkStart w:id="191" w:name="_Toc312677997"/>
      <w:bookmarkStart w:id="192" w:name="_Toc300934949"/>
      <w:bookmarkStart w:id="193" w:name="_Toc318581164"/>
      <w:bookmarkStart w:id="194" w:name="_Toc304295527"/>
      <w:r>
        <w:rPr>
          <w:rFonts w:hint="eastAsia" w:ascii="宋体" w:hAnsi="宋体" w:eastAsia="宋体" w:cs="宋体"/>
          <w:bCs/>
          <w:color w:val="auto"/>
          <w:sz w:val="21"/>
          <w:szCs w:val="21"/>
        </w:rPr>
        <w:t>.1.1 特殊质量标准和要求：</w:t>
      </w:r>
      <w:r>
        <w:rPr>
          <w:rFonts w:hint="eastAsia" w:ascii="宋体" w:hAnsi="宋体" w:eastAsia="宋体" w:cs="宋体"/>
          <w:bCs/>
          <w:color w:val="auto"/>
          <w:sz w:val="21"/>
          <w:szCs w:val="21"/>
          <w:u w:val="single"/>
        </w:rPr>
        <w:t xml:space="preserve">       /      </w:t>
      </w:r>
      <w:r>
        <w:rPr>
          <w:rFonts w:hint="eastAsia" w:ascii="宋体" w:hAnsi="宋体" w:eastAsia="宋体" w:cs="宋体"/>
          <w:bCs/>
          <w:color w:val="auto"/>
          <w:sz w:val="21"/>
          <w:szCs w:val="21"/>
        </w:rPr>
        <w:t>。</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关于工程奖项的约定：</w:t>
      </w:r>
      <w:r>
        <w:rPr>
          <w:rFonts w:hint="eastAsia" w:ascii="宋体" w:hAnsi="宋体" w:eastAsia="宋体" w:cs="宋体"/>
          <w:bCs/>
          <w:color w:val="auto"/>
          <w:sz w:val="21"/>
          <w:szCs w:val="21"/>
          <w:u w:val="single"/>
        </w:rPr>
        <w:t xml:space="preserve">       /          </w:t>
      </w:r>
      <w:r>
        <w:rPr>
          <w:rFonts w:hint="eastAsia" w:ascii="宋体" w:hAnsi="宋体" w:eastAsia="宋体" w:cs="宋体"/>
          <w:bCs/>
          <w:color w:val="auto"/>
          <w:sz w:val="21"/>
          <w:szCs w:val="21"/>
        </w:rPr>
        <w:t>。</w:t>
      </w:r>
    </w:p>
    <w:p>
      <w:pPr>
        <w:adjustRightInd w:val="0"/>
        <w:snapToGrid w:val="0"/>
        <w:spacing w:line="336" w:lineRule="auto"/>
        <w:ind w:firstLine="420" w:firstLineChars="200"/>
        <w:outlineLvl w:val="0"/>
        <w:rPr>
          <w:rFonts w:ascii="宋体" w:hAnsi="宋体" w:eastAsia="宋体" w:cs="宋体"/>
          <w:bCs/>
          <w:color w:val="auto"/>
          <w:sz w:val="21"/>
          <w:szCs w:val="21"/>
        </w:rPr>
      </w:pPr>
      <w:r>
        <w:rPr>
          <w:rFonts w:hint="eastAsia" w:ascii="宋体" w:hAnsi="宋体" w:eastAsia="宋体" w:cs="宋体"/>
          <w:bCs/>
          <w:color w:val="auto"/>
          <w:sz w:val="21"/>
          <w:szCs w:val="21"/>
        </w:rPr>
        <w:t>5.3 隐蔽工程检查</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5.3.2承包人提前通知监理人隐蔽工程检查的期限的约定：</w:t>
      </w:r>
      <w:r>
        <w:rPr>
          <w:rFonts w:hint="eastAsia" w:ascii="宋体" w:hAnsi="宋体" w:eastAsia="宋体" w:cs="宋体"/>
          <w:color w:val="auto"/>
          <w:sz w:val="21"/>
          <w:szCs w:val="21"/>
          <w:u w:val="single"/>
        </w:rPr>
        <w:t>按合同通用条款执行</w:t>
      </w:r>
      <w:r>
        <w:rPr>
          <w:rFonts w:hint="eastAsia" w:ascii="宋体" w:hAnsi="宋体" w:eastAsia="宋体" w:cs="宋体"/>
          <w:bCs/>
          <w:color w:val="auto"/>
          <w:sz w:val="21"/>
          <w:szCs w:val="21"/>
        </w:rPr>
        <w:t>。</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监理人不能按时进行检查时，应提前</w:t>
      </w:r>
      <w:r>
        <w:rPr>
          <w:rFonts w:hint="eastAsia" w:ascii="宋体" w:hAnsi="宋体" w:eastAsia="宋体" w:cs="宋体"/>
          <w:bCs/>
          <w:color w:val="auto"/>
          <w:sz w:val="21"/>
          <w:szCs w:val="21"/>
          <w:u w:val="single"/>
        </w:rPr>
        <w:t>24</w:t>
      </w:r>
      <w:r>
        <w:rPr>
          <w:rFonts w:hint="eastAsia" w:ascii="宋体" w:hAnsi="宋体" w:eastAsia="宋体" w:cs="宋体"/>
          <w:bCs/>
          <w:color w:val="auto"/>
          <w:sz w:val="21"/>
          <w:szCs w:val="21"/>
        </w:rPr>
        <w:t>小时提交书面延期要求。</w:t>
      </w:r>
    </w:p>
    <w:p>
      <w:pPr>
        <w:adjustRightInd w:val="0"/>
        <w:snapToGrid w:val="0"/>
        <w:spacing w:line="336" w:lineRule="auto"/>
        <w:ind w:firstLine="420" w:firstLineChars="200"/>
        <w:jc w:val="left"/>
        <w:rPr>
          <w:rFonts w:ascii="宋体" w:hAnsi="宋体" w:eastAsia="宋体" w:cs="宋体"/>
          <w:color w:val="auto"/>
          <w:sz w:val="21"/>
          <w:szCs w:val="21"/>
        </w:rPr>
      </w:pPr>
      <w:r>
        <w:rPr>
          <w:rFonts w:hint="eastAsia" w:ascii="宋体" w:hAnsi="宋体" w:eastAsia="宋体" w:cs="宋体"/>
          <w:bCs/>
          <w:color w:val="auto"/>
          <w:sz w:val="21"/>
          <w:szCs w:val="21"/>
        </w:rPr>
        <w:t>关于延期最长不得超过：</w:t>
      </w:r>
      <w:r>
        <w:rPr>
          <w:rFonts w:hint="eastAsia" w:ascii="宋体" w:hAnsi="宋体" w:eastAsia="宋体" w:cs="宋体"/>
          <w:bCs/>
          <w:color w:val="auto"/>
          <w:sz w:val="21"/>
          <w:szCs w:val="21"/>
          <w:u w:val="single"/>
        </w:rPr>
        <w:t>24</w:t>
      </w:r>
      <w:r>
        <w:rPr>
          <w:rFonts w:hint="eastAsia" w:ascii="宋体" w:hAnsi="宋体" w:eastAsia="宋体" w:cs="宋体"/>
          <w:bCs/>
          <w:color w:val="auto"/>
          <w:sz w:val="21"/>
          <w:szCs w:val="21"/>
        </w:rPr>
        <w:t>小时。</w:t>
      </w:r>
      <w:r>
        <w:rPr>
          <w:rFonts w:hint="eastAsia" w:ascii="宋体" w:hAnsi="宋体" w:eastAsia="宋体" w:cs="宋体"/>
          <w:color w:val="auto"/>
          <w:sz w:val="21"/>
          <w:szCs w:val="21"/>
        </w:rPr>
        <w:t>由此导致工期延误的，工期予以顺延。</w:t>
      </w:r>
    </w:p>
    <w:p>
      <w:pPr>
        <w:adjustRightInd w:val="0"/>
        <w:snapToGrid w:val="0"/>
        <w:spacing w:line="336"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u w:val="single"/>
        </w:rPr>
        <w:t>隐蔽工程验收过程、验收部位除办理纸质验收记录，还应留置验收部位、验收过程、主要验收人员相片、影像等资料。</w:t>
      </w:r>
    </w:p>
    <w:p>
      <w:pPr>
        <w:adjustRightInd w:val="0"/>
        <w:snapToGrid w:val="0"/>
        <w:spacing w:line="336" w:lineRule="auto"/>
        <w:rPr>
          <w:rFonts w:ascii="宋体" w:hAnsi="宋体" w:eastAsia="宋体" w:cs="宋体"/>
          <w:bCs/>
          <w:color w:val="auto"/>
          <w:sz w:val="21"/>
          <w:szCs w:val="21"/>
        </w:rPr>
      </w:pPr>
      <w:bookmarkStart w:id="195" w:name="_Toc351203638"/>
      <w:r>
        <w:rPr>
          <w:rFonts w:hint="eastAsia" w:ascii="宋体" w:hAnsi="宋体" w:eastAsia="宋体" w:cs="宋体"/>
          <w:bCs/>
          <w:color w:val="auto"/>
          <w:sz w:val="21"/>
          <w:szCs w:val="21"/>
        </w:rPr>
        <w:t>6. 安全文明施工与环境保护</w:t>
      </w:r>
      <w:bookmarkEnd w:id="195"/>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6.1安全文明施工</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6.1.1 项目安全生产的达标目标及相应事项的约定：</w:t>
      </w:r>
      <w:r>
        <w:rPr>
          <w:rFonts w:hint="eastAsia" w:ascii="宋体" w:hAnsi="宋体" w:eastAsia="宋体" w:cs="宋体"/>
          <w:bCs/>
          <w:color w:val="auto"/>
          <w:sz w:val="21"/>
          <w:szCs w:val="21"/>
          <w:u w:val="single"/>
        </w:rPr>
        <w:t>按通用合同条款规定执行</w:t>
      </w:r>
      <w:r>
        <w:rPr>
          <w:rFonts w:hint="eastAsia" w:ascii="宋体" w:hAnsi="宋体" w:eastAsia="宋体" w:cs="宋体"/>
          <w:bCs/>
          <w:color w:val="auto"/>
          <w:sz w:val="21"/>
          <w:szCs w:val="21"/>
        </w:rPr>
        <w:t>。</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6.1.4 关于治安保卫的特别约定：</w:t>
      </w:r>
      <w:r>
        <w:rPr>
          <w:rFonts w:hint="eastAsia" w:ascii="宋体" w:hAnsi="宋体" w:eastAsia="宋体" w:cs="宋体"/>
          <w:bCs/>
          <w:color w:val="auto"/>
          <w:sz w:val="21"/>
          <w:szCs w:val="21"/>
          <w:u w:val="single"/>
        </w:rPr>
        <w:t>按通用合同条款规定执行</w:t>
      </w:r>
      <w:r>
        <w:rPr>
          <w:rFonts w:hint="eastAsia" w:ascii="宋体" w:hAnsi="宋体" w:eastAsia="宋体" w:cs="宋体"/>
          <w:bCs/>
          <w:color w:val="auto"/>
          <w:sz w:val="21"/>
          <w:szCs w:val="21"/>
        </w:rPr>
        <w:t>。</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关于编制施工场地治安管理计划的约定：</w:t>
      </w:r>
      <w:r>
        <w:rPr>
          <w:rFonts w:hint="eastAsia" w:ascii="宋体" w:hAnsi="宋体" w:eastAsia="宋体" w:cs="宋体"/>
          <w:bCs/>
          <w:color w:val="auto"/>
          <w:sz w:val="21"/>
          <w:szCs w:val="21"/>
          <w:u w:val="single"/>
        </w:rPr>
        <w:t>按通用合同条款规定执行</w:t>
      </w:r>
      <w:r>
        <w:rPr>
          <w:rFonts w:hint="eastAsia" w:ascii="宋体" w:hAnsi="宋体" w:eastAsia="宋体" w:cs="宋体"/>
          <w:bCs/>
          <w:color w:val="auto"/>
          <w:sz w:val="21"/>
          <w:szCs w:val="21"/>
        </w:rPr>
        <w:t>。</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6.1.5 文明施工</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合同当事人对文明施工的要求：</w:t>
      </w:r>
      <w:r>
        <w:rPr>
          <w:rFonts w:hint="eastAsia" w:ascii="宋体" w:hAnsi="宋体" w:eastAsia="宋体" w:cs="宋体"/>
          <w:color w:val="auto"/>
          <w:sz w:val="21"/>
          <w:szCs w:val="21"/>
          <w:u w:val="single"/>
        </w:rPr>
        <w:t>按省、市发有关文明施工管理规定执行</w:t>
      </w:r>
      <w:r>
        <w:rPr>
          <w:rFonts w:hint="eastAsia" w:ascii="宋体" w:hAnsi="宋体" w:eastAsia="宋体" w:cs="宋体"/>
          <w:bCs/>
          <w:color w:val="auto"/>
          <w:sz w:val="21"/>
          <w:szCs w:val="21"/>
          <w:u w:val="single"/>
        </w:rPr>
        <w:t>。</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6.1.6 关于安全文明施工费支付比例和支付期限的约定：</w:t>
      </w:r>
      <w:r>
        <w:rPr>
          <w:rFonts w:hint="eastAsia" w:ascii="宋体" w:hAnsi="宋体" w:eastAsia="宋体" w:cs="宋体"/>
          <w:bCs/>
          <w:color w:val="auto"/>
          <w:sz w:val="21"/>
          <w:szCs w:val="21"/>
          <w:u w:val="single"/>
        </w:rPr>
        <w:t>按通用合同条款规定执行</w:t>
      </w:r>
      <w:r>
        <w:rPr>
          <w:rFonts w:hint="eastAsia" w:ascii="宋体" w:hAnsi="宋体" w:eastAsia="宋体" w:cs="宋体"/>
          <w:bCs/>
          <w:color w:val="auto"/>
          <w:sz w:val="21"/>
          <w:szCs w:val="21"/>
        </w:rPr>
        <w:t>。</w:t>
      </w:r>
    </w:p>
    <w:bookmarkEnd w:id="188"/>
    <w:bookmarkEnd w:id="189"/>
    <w:bookmarkEnd w:id="190"/>
    <w:bookmarkEnd w:id="191"/>
    <w:bookmarkEnd w:id="192"/>
    <w:bookmarkEnd w:id="193"/>
    <w:bookmarkEnd w:id="194"/>
    <w:p>
      <w:pPr>
        <w:adjustRightInd w:val="0"/>
        <w:snapToGrid w:val="0"/>
        <w:spacing w:line="336" w:lineRule="auto"/>
        <w:rPr>
          <w:rFonts w:ascii="宋体" w:hAnsi="宋体" w:eastAsia="宋体" w:cs="宋体"/>
          <w:bCs/>
          <w:color w:val="auto"/>
          <w:sz w:val="21"/>
          <w:szCs w:val="21"/>
        </w:rPr>
      </w:pPr>
      <w:bookmarkStart w:id="196" w:name="_Toc351203639"/>
      <w:r>
        <w:rPr>
          <w:rFonts w:hint="eastAsia" w:ascii="宋体" w:hAnsi="宋体" w:eastAsia="宋体" w:cs="宋体"/>
          <w:bCs/>
          <w:color w:val="auto"/>
          <w:sz w:val="21"/>
          <w:szCs w:val="21"/>
        </w:rPr>
        <w:t>7. 工期和进度</w:t>
      </w:r>
      <w:bookmarkEnd w:id="196"/>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7.1 施工组织设计</w:t>
      </w:r>
    </w:p>
    <w:p>
      <w:pPr>
        <w:autoSpaceDE w:val="0"/>
        <w:autoSpaceDN w:val="0"/>
        <w:adjustRightInd w:val="0"/>
        <w:snapToGrid w:val="0"/>
        <w:spacing w:line="336" w:lineRule="auto"/>
        <w:ind w:firstLine="420" w:firstLineChars="200"/>
        <w:jc w:val="left"/>
        <w:rPr>
          <w:rFonts w:ascii="宋体" w:hAnsi="宋体" w:eastAsia="宋体" w:cs="宋体"/>
          <w:bCs/>
          <w:color w:val="auto"/>
          <w:kern w:val="0"/>
          <w:sz w:val="21"/>
          <w:szCs w:val="21"/>
        </w:rPr>
      </w:pPr>
      <w:r>
        <w:rPr>
          <w:rFonts w:hint="eastAsia" w:ascii="宋体" w:hAnsi="宋体" w:eastAsia="宋体" w:cs="宋体"/>
          <w:bCs/>
          <w:color w:val="auto"/>
          <w:sz w:val="21"/>
          <w:szCs w:val="21"/>
        </w:rPr>
        <w:t>7.1.1 合</w:t>
      </w:r>
      <w:r>
        <w:rPr>
          <w:rFonts w:hint="eastAsia" w:ascii="宋体" w:hAnsi="宋体" w:eastAsia="宋体" w:cs="宋体"/>
          <w:bCs/>
          <w:color w:val="auto"/>
          <w:kern w:val="0"/>
          <w:sz w:val="21"/>
          <w:szCs w:val="21"/>
        </w:rPr>
        <w:t>同当事人约定的施工组织设计应包括的其他内容：</w:t>
      </w:r>
      <w:r>
        <w:rPr>
          <w:rFonts w:hint="eastAsia" w:ascii="宋体" w:hAnsi="宋体" w:eastAsia="宋体" w:cs="宋体"/>
          <w:bCs/>
          <w:color w:val="auto"/>
          <w:sz w:val="21"/>
          <w:szCs w:val="21"/>
          <w:u w:val="single"/>
        </w:rPr>
        <w:t xml:space="preserve"> /  </w:t>
      </w:r>
      <w:r>
        <w:rPr>
          <w:rFonts w:hint="eastAsia" w:ascii="宋体" w:hAnsi="宋体" w:eastAsia="宋体" w:cs="宋体"/>
          <w:bCs/>
          <w:color w:val="auto"/>
          <w:sz w:val="21"/>
          <w:szCs w:val="21"/>
        </w:rPr>
        <w:t>。</w:t>
      </w:r>
    </w:p>
    <w:p>
      <w:pPr>
        <w:autoSpaceDE w:val="0"/>
        <w:autoSpaceDN w:val="0"/>
        <w:adjustRightInd w:val="0"/>
        <w:snapToGrid w:val="0"/>
        <w:spacing w:line="336" w:lineRule="auto"/>
        <w:ind w:firstLine="420" w:firstLineChars="200"/>
        <w:jc w:val="left"/>
        <w:rPr>
          <w:rFonts w:ascii="宋体" w:hAnsi="宋体" w:eastAsia="宋体" w:cs="宋体"/>
          <w:bCs/>
          <w:color w:val="auto"/>
          <w:kern w:val="0"/>
          <w:sz w:val="21"/>
          <w:szCs w:val="21"/>
        </w:rPr>
      </w:pPr>
      <w:r>
        <w:rPr>
          <w:rFonts w:hint="eastAsia" w:ascii="宋体" w:hAnsi="宋体" w:eastAsia="宋体" w:cs="宋体"/>
          <w:bCs/>
          <w:color w:val="auto"/>
          <w:sz w:val="21"/>
          <w:szCs w:val="21"/>
        </w:rPr>
        <w:t xml:space="preserve">7.1.2 </w:t>
      </w:r>
      <w:r>
        <w:rPr>
          <w:rFonts w:hint="eastAsia" w:ascii="宋体" w:hAnsi="宋体" w:eastAsia="宋体" w:cs="宋体"/>
          <w:bCs/>
          <w:color w:val="auto"/>
          <w:kern w:val="0"/>
          <w:sz w:val="21"/>
          <w:szCs w:val="21"/>
        </w:rPr>
        <w:t>施工组织设计的提交和修改</w:t>
      </w:r>
    </w:p>
    <w:p>
      <w:pPr>
        <w:autoSpaceDE w:val="0"/>
        <w:autoSpaceDN w:val="0"/>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kern w:val="0"/>
          <w:sz w:val="21"/>
          <w:szCs w:val="21"/>
        </w:rPr>
        <w:t>承包人提交详细施工组织设计的期限的约定：</w:t>
      </w:r>
      <w:r>
        <w:rPr>
          <w:rFonts w:hint="eastAsia" w:ascii="宋体" w:hAnsi="宋体" w:eastAsia="宋体" w:cs="宋体"/>
          <w:color w:val="auto"/>
          <w:sz w:val="21"/>
          <w:szCs w:val="21"/>
          <w:u w:val="single"/>
        </w:rPr>
        <w:t xml:space="preserve">     /            </w:t>
      </w:r>
      <w:r>
        <w:rPr>
          <w:rFonts w:hint="eastAsia" w:ascii="宋体" w:hAnsi="宋体" w:eastAsia="宋体" w:cs="宋体"/>
          <w:bCs/>
          <w:color w:val="auto"/>
          <w:sz w:val="21"/>
          <w:szCs w:val="21"/>
        </w:rPr>
        <w:t>。</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发包人和监理人在收到详细的施工组织设计后确认或提出修改意见的期限：</w:t>
      </w:r>
      <w:r>
        <w:rPr>
          <w:rFonts w:hint="eastAsia" w:ascii="宋体" w:hAnsi="宋体" w:eastAsia="宋体" w:cs="宋体"/>
          <w:color w:val="auto"/>
          <w:sz w:val="21"/>
          <w:szCs w:val="21"/>
          <w:u w:val="single"/>
        </w:rPr>
        <w:t xml:space="preserve"> /            </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7</w:t>
      </w:r>
      <w:bookmarkStart w:id="197" w:name="_Toc312677479"/>
      <w:bookmarkStart w:id="198" w:name="_Toc297123514"/>
      <w:bookmarkStart w:id="199" w:name="_Toc304295541"/>
      <w:bookmarkStart w:id="200" w:name="_Toc303539123"/>
      <w:bookmarkStart w:id="201" w:name="_Toc297216173"/>
      <w:bookmarkStart w:id="202" w:name="_Toc300934966"/>
      <w:bookmarkStart w:id="203" w:name="_Toc312678005"/>
      <w:r>
        <w:rPr>
          <w:rFonts w:hint="eastAsia" w:ascii="宋体" w:hAnsi="宋体" w:eastAsia="宋体" w:cs="宋体"/>
          <w:bCs/>
          <w:color w:val="auto"/>
          <w:sz w:val="21"/>
          <w:szCs w:val="21"/>
        </w:rPr>
        <w:t>.2 施工进度计划</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7.2.2 施工进度计划的修订</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发包人和监理人在收到修订的施工进度计划后确认或提出修改意见的期限：</w:t>
      </w:r>
      <w:r>
        <w:rPr>
          <w:rFonts w:hint="eastAsia" w:ascii="宋体" w:hAnsi="宋体" w:eastAsia="宋体" w:cs="宋体"/>
          <w:bCs/>
          <w:color w:val="auto"/>
          <w:sz w:val="21"/>
          <w:szCs w:val="21"/>
          <w:u w:val="single"/>
        </w:rPr>
        <w:t>接到报告后7天内予以批复</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7.3 开工</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7.3.1 开工准备</w:t>
      </w:r>
    </w:p>
    <w:p>
      <w:pPr>
        <w:adjustRightInd w:val="0"/>
        <w:snapToGrid w:val="0"/>
        <w:spacing w:line="336" w:lineRule="auto"/>
        <w:ind w:firstLine="420"/>
        <w:jc w:val="left"/>
        <w:rPr>
          <w:rFonts w:ascii="宋体" w:hAnsi="宋体" w:eastAsia="宋体" w:cs="宋体"/>
          <w:bCs/>
          <w:color w:val="auto"/>
          <w:sz w:val="21"/>
          <w:szCs w:val="21"/>
          <w:u w:val="single"/>
        </w:rPr>
      </w:pPr>
      <w:r>
        <w:rPr>
          <w:rFonts w:hint="eastAsia" w:ascii="宋体" w:hAnsi="宋体" w:eastAsia="宋体" w:cs="宋体"/>
          <w:bCs/>
          <w:color w:val="auto"/>
          <w:sz w:val="21"/>
          <w:szCs w:val="21"/>
        </w:rPr>
        <w:t>关于承包人提交</w:t>
      </w:r>
      <w:r>
        <w:rPr>
          <w:rFonts w:hint="eastAsia" w:ascii="宋体" w:hAnsi="宋体" w:eastAsia="宋体" w:cs="宋体"/>
          <w:bCs/>
          <w:color w:val="auto"/>
          <w:kern w:val="0"/>
          <w:sz w:val="21"/>
          <w:szCs w:val="21"/>
        </w:rPr>
        <w:t>工程开工报审表的期限：</w:t>
      </w:r>
      <w:r>
        <w:rPr>
          <w:rFonts w:hint="eastAsia" w:ascii="宋体" w:hAnsi="宋体" w:eastAsia="宋体" w:cs="宋体"/>
          <w:bCs/>
          <w:color w:val="auto"/>
          <w:sz w:val="21"/>
          <w:szCs w:val="21"/>
          <w:u w:val="single"/>
        </w:rPr>
        <w:t>开工前七天</w:t>
      </w:r>
      <w:r>
        <w:rPr>
          <w:rFonts w:hint="eastAsia" w:ascii="宋体" w:hAnsi="宋体" w:eastAsia="宋体" w:cs="宋体"/>
          <w:bCs/>
          <w:color w:val="auto"/>
          <w:sz w:val="21"/>
          <w:szCs w:val="21"/>
        </w:rPr>
        <w:t>。</w:t>
      </w:r>
    </w:p>
    <w:p>
      <w:pPr>
        <w:adjustRightInd w:val="0"/>
        <w:snapToGrid w:val="0"/>
        <w:spacing w:line="336" w:lineRule="auto"/>
        <w:ind w:firstLine="420"/>
        <w:jc w:val="left"/>
        <w:rPr>
          <w:rFonts w:ascii="宋体" w:hAnsi="宋体" w:eastAsia="宋体" w:cs="宋体"/>
          <w:bCs/>
          <w:color w:val="auto"/>
          <w:sz w:val="21"/>
          <w:szCs w:val="21"/>
        </w:rPr>
      </w:pPr>
      <w:r>
        <w:rPr>
          <w:rFonts w:hint="eastAsia" w:ascii="宋体" w:hAnsi="宋体" w:eastAsia="宋体" w:cs="宋体"/>
          <w:bCs/>
          <w:color w:val="auto"/>
          <w:sz w:val="21"/>
          <w:szCs w:val="21"/>
        </w:rPr>
        <w:t>关于发包人应完成的其他开工准备工作及期限：</w:t>
      </w:r>
      <w:r>
        <w:rPr>
          <w:rFonts w:hint="eastAsia" w:ascii="宋体" w:hAnsi="宋体" w:eastAsia="宋体" w:cs="宋体"/>
          <w:bCs/>
          <w:color w:val="auto"/>
          <w:sz w:val="21"/>
          <w:szCs w:val="21"/>
          <w:u w:val="single"/>
        </w:rPr>
        <w:t>开工前七天</w:t>
      </w:r>
      <w:r>
        <w:rPr>
          <w:rFonts w:hint="eastAsia" w:ascii="宋体" w:hAnsi="宋体" w:eastAsia="宋体" w:cs="宋体"/>
          <w:bCs/>
          <w:color w:val="auto"/>
          <w:sz w:val="21"/>
          <w:szCs w:val="21"/>
        </w:rPr>
        <w:t>。</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关于承包人应完成的其他开工准备工作及期限：</w:t>
      </w:r>
      <w:r>
        <w:rPr>
          <w:rFonts w:hint="eastAsia" w:ascii="宋体" w:hAnsi="宋体" w:eastAsia="宋体" w:cs="宋体"/>
          <w:bCs/>
          <w:color w:val="auto"/>
          <w:sz w:val="21"/>
          <w:szCs w:val="21"/>
          <w:u w:val="single"/>
        </w:rPr>
        <w:t>开工前七天</w:t>
      </w:r>
      <w:r>
        <w:rPr>
          <w:rFonts w:hint="eastAsia" w:ascii="宋体" w:hAnsi="宋体" w:eastAsia="宋体" w:cs="宋体"/>
          <w:bCs/>
          <w:color w:val="auto"/>
          <w:sz w:val="21"/>
          <w:szCs w:val="21"/>
        </w:rPr>
        <w:t>。</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7.3.2开工通知</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因发包人原因造成监理人未能在计划开工日期之日起</w:t>
      </w:r>
      <w:r>
        <w:rPr>
          <w:rFonts w:hint="eastAsia" w:ascii="宋体" w:hAnsi="宋体" w:eastAsia="宋体" w:cs="宋体"/>
          <w:bCs/>
          <w:color w:val="auto"/>
          <w:sz w:val="21"/>
          <w:szCs w:val="21"/>
          <w:u w:val="single"/>
        </w:rPr>
        <w:t xml:space="preserve"> 60 </w:t>
      </w:r>
      <w:r>
        <w:rPr>
          <w:rFonts w:hint="eastAsia" w:ascii="宋体" w:hAnsi="宋体" w:eastAsia="宋体" w:cs="宋体"/>
          <w:bCs/>
          <w:color w:val="auto"/>
          <w:sz w:val="21"/>
          <w:szCs w:val="21"/>
        </w:rPr>
        <w:t>天内发出开工通知的，承包人有权提出价格调整要求，或者解除合同。</w:t>
      </w:r>
    </w:p>
    <w:bookmarkEnd w:id="197"/>
    <w:bookmarkEnd w:id="198"/>
    <w:bookmarkEnd w:id="199"/>
    <w:bookmarkEnd w:id="200"/>
    <w:bookmarkEnd w:id="201"/>
    <w:bookmarkEnd w:id="202"/>
    <w:bookmarkEnd w:id="203"/>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7.4 测量放线</w:t>
      </w:r>
    </w:p>
    <w:p>
      <w:pPr>
        <w:adjustRightInd w:val="0"/>
        <w:snapToGrid w:val="0"/>
        <w:spacing w:line="336" w:lineRule="auto"/>
        <w:ind w:firstLine="420" w:firstLineChars="200"/>
        <w:jc w:val="left"/>
        <w:rPr>
          <w:rFonts w:ascii="宋体" w:hAnsi="宋体" w:eastAsia="宋体" w:cs="宋体"/>
          <w:bCs/>
          <w:color w:val="auto"/>
          <w:sz w:val="21"/>
          <w:szCs w:val="21"/>
          <w:u w:val="single"/>
        </w:rPr>
      </w:pPr>
      <w:r>
        <w:rPr>
          <w:rFonts w:hint="eastAsia" w:ascii="宋体" w:hAnsi="宋体" w:eastAsia="宋体" w:cs="宋体"/>
          <w:bCs/>
          <w:color w:val="auto"/>
          <w:sz w:val="21"/>
          <w:szCs w:val="21"/>
        </w:rPr>
        <w:t>7.4.1发包人通过监理人向承包人提供测量基准点、基准线和水准点及其书面资料的期限：</w:t>
      </w:r>
      <w:r>
        <w:rPr>
          <w:rFonts w:hint="eastAsia" w:ascii="宋体" w:hAnsi="宋体" w:eastAsia="宋体" w:cs="宋体"/>
          <w:color w:val="auto"/>
          <w:sz w:val="21"/>
          <w:szCs w:val="21"/>
          <w:u w:val="single"/>
        </w:rPr>
        <w:t>按合同通用条款执行</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7</w:t>
      </w:r>
      <w:bookmarkStart w:id="204" w:name="_Toc312677484"/>
      <w:bookmarkStart w:id="205" w:name="_Toc303539125"/>
      <w:bookmarkStart w:id="206" w:name="_Toc300934968"/>
      <w:bookmarkStart w:id="207" w:name="_Toc297216175"/>
      <w:bookmarkStart w:id="208" w:name="_Toc297123516"/>
      <w:bookmarkStart w:id="209" w:name="_Toc304295546"/>
      <w:bookmarkStart w:id="210" w:name="_Toc312678010"/>
      <w:r>
        <w:rPr>
          <w:rFonts w:hint="eastAsia" w:ascii="宋体" w:hAnsi="宋体" w:eastAsia="宋体" w:cs="宋体"/>
          <w:bCs/>
          <w:color w:val="auto"/>
          <w:sz w:val="21"/>
          <w:szCs w:val="21"/>
        </w:rPr>
        <w:t>.5 工期延误</w:t>
      </w:r>
    </w:p>
    <w:bookmarkEnd w:id="204"/>
    <w:bookmarkEnd w:id="205"/>
    <w:bookmarkEnd w:id="206"/>
    <w:bookmarkEnd w:id="207"/>
    <w:bookmarkEnd w:id="208"/>
    <w:bookmarkEnd w:id="209"/>
    <w:bookmarkEnd w:id="210"/>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7.5.1 因发包人原因导致工期延误</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（7）因发包人原因导致工期延误的其他情形：</w:t>
      </w:r>
      <w:r>
        <w:rPr>
          <w:rFonts w:hint="eastAsia" w:ascii="宋体" w:hAnsi="宋体" w:eastAsia="宋体" w:cs="宋体"/>
          <w:bCs/>
          <w:color w:val="auto"/>
          <w:sz w:val="21"/>
          <w:szCs w:val="21"/>
          <w:u w:val="single"/>
        </w:rPr>
        <w:t xml:space="preserve"> </w:t>
      </w:r>
      <w:r>
        <w:rPr>
          <w:rFonts w:hint="eastAsia" w:ascii="宋体" w:hAnsi="宋体" w:eastAsia="宋体" w:cs="宋体"/>
          <w:iCs/>
          <w:color w:val="auto"/>
          <w:sz w:val="21"/>
          <w:szCs w:val="21"/>
          <w:u w:val="single"/>
        </w:rPr>
        <w:t>①重大设计变更；②因政策处理不完善导致无法施工</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u w:val="single"/>
        </w:rPr>
      </w:pPr>
      <w:r>
        <w:rPr>
          <w:rFonts w:hint="eastAsia" w:ascii="宋体" w:hAnsi="宋体" w:eastAsia="宋体" w:cs="宋体"/>
          <w:bCs/>
          <w:color w:val="auto"/>
          <w:sz w:val="21"/>
          <w:szCs w:val="21"/>
        </w:rPr>
        <w:t>（8）双方约定工期顺延的其他情况：</w:t>
      </w:r>
      <w:r>
        <w:rPr>
          <w:rFonts w:hint="eastAsia" w:ascii="宋体" w:hAnsi="宋体" w:eastAsia="宋体" w:cs="宋体"/>
          <w:bCs/>
          <w:color w:val="auto"/>
          <w:sz w:val="21"/>
          <w:szCs w:val="21"/>
          <w:u w:val="single"/>
        </w:rPr>
        <w:t>承包人按协议条款约定的开工日期开始施工，具体开、停和复工的时间以发包人（或监理单位）的签证为准，如工程前期滞后、重大设计变更而影响施工关键线路进度，工期顺延由承包人申请监理审核后报发包人签证为准。除经监理和发包人联系单签证同意外，工期一律不得顺延。承包人在磋商响应时已充分考虑各项因素（包括但不限于周边环境、停电停水、物价波动、气候因素等）影响，保证工程连续施工，以上费用已含在承包人合同价款中。凡由于承包人造成的工期延误，则工期不能顺延，由此引起的赶工措施等费用增加均由承包人自行承担。因非承包人原因导致的工期延误，经工程师确认，工期相应顺延，但费用不予补偿。</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（9）工程延期的审批：</w:t>
      </w:r>
      <w:r>
        <w:rPr>
          <w:rFonts w:hint="eastAsia" w:ascii="宋体" w:hAnsi="宋体" w:eastAsia="宋体" w:cs="宋体"/>
          <w:bCs/>
          <w:color w:val="auto"/>
          <w:sz w:val="21"/>
          <w:szCs w:val="21"/>
          <w:u w:val="single"/>
        </w:rPr>
        <w:t>必须是非承包人自身的原因造成的工期延误，发包人才可以考虑是否受理承包人的延期申请；若只是局部工程受到影响，承包人应采取措施并合理安排施工方案予以弥补，而不能影响工程的总工期。</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7</w:t>
      </w:r>
      <w:bookmarkStart w:id="211" w:name="_Toc312678012"/>
      <w:bookmarkStart w:id="212" w:name="_Toc318581169"/>
      <w:bookmarkStart w:id="213" w:name="_Toc312677486"/>
      <w:bookmarkStart w:id="214" w:name="_Toc303539127"/>
      <w:bookmarkStart w:id="215" w:name="_Toc297216177"/>
      <w:bookmarkStart w:id="216" w:name="_Toc304295548"/>
      <w:bookmarkStart w:id="217" w:name="_Toc300934970"/>
      <w:bookmarkStart w:id="218" w:name="_Toc297123518"/>
      <w:r>
        <w:rPr>
          <w:rFonts w:hint="eastAsia" w:ascii="宋体" w:hAnsi="宋体" w:eastAsia="宋体" w:cs="宋体"/>
          <w:bCs/>
          <w:color w:val="auto"/>
          <w:sz w:val="21"/>
          <w:szCs w:val="21"/>
        </w:rPr>
        <w:t>.5.2 因承包人原因导致工期延误</w:t>
      </w:r>
    </w:p>
    <w:bookmarkEnd w:id="211"/>
    <w:bookmarkEnd w:id="212"/>
    <w:bookmarkEnd w:id="213"/>
    <w:p>
      <w:pPr>
        <w:adjustRightInd w:val="0"/>
        <w:snapToGrid w:val="0"/>
        <w:spacing w:line="336" w:lineRule="auto"/>
        <w:ind w:firstLine="420" w:firstLineChars="200"/>
        <w:jc w:val="left"/>
        <w:rPr>
          <w:rFonts w:ascii="宋体" w:hAnsi="宋体" w:eastAsia="宋体" w:cs="宋体"/>
          <w:bCs/>
          <w:color w:val="auto"/>
          <w:sz w:val="21"/>
          <w:szCs w:val="21"/>
          <w:u w:val="single"/>
        </w:rPr>
      </w:pPr>
      <w:r>
        <w:rPr>
          <w:rFonts w:hint="eastAsia" w:ascii="宋体" w:hAnsi="宋体" w:eastAsia="宋体" w:cs="宋体"/>
          <w:bCs/>
          <w:color w:val="auto"/>
          <w:sz w:val="21"/>
          <w:szCs w:val="21"/>
        </w:rPr>
        <w:t>因</w:t>
      </w:r>
      <w:bookmarkStart w:id="219" w:name="_Toc318581170"/>
      <w:bookmarkStart w:id="220" w:name="_Toc312678013"/>
      <w:bookmarkStart w:id="221" w:name="_Toc312677487"/>
      <w:r>
        <w:rPr>
          <w:rFonts w:hint="eastAsia" w:ascii="宋体" w:hAnsi="宋体" w:eastAsia="宋体" w:cs="宋体"/>
          <w:bCs/>
          <w:color w:val="auto"/>
          <w:sz w:val="21"/>
          <w:szCs w:val="21"/>
        </w:rPr>
        <w:t>承包人原因造成工期延误，逾期竣工违约金的计算方法为：</w:t>
      </w:r>
    </w:p>
    <w:p>
      <w:pPr>
        <w:adjustRightInd w:val="0"/>
        <w:snapToGrid w:val="0"/>
        <w:spacing w:line="336" w:lineRule="auto"/>
        <w:ind w:firstLine="420" w:firstLineChars="200"/>
        <w:jc w:val="left"/>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因承包人原因工程不能按合同约定工期竣工，每延误一天，承包人应按人民币2000元向发包人支付违约金。该违约金发包人有权在承包人的履约保证金中扣除。</w:t>
      </w:r>
    </w:p>
    <w:bookmarkEnd w:id="214"/>
    <w:bookmarkEnd w:id="215"/>
    <w:bookmarkEnd w:id="216"/>
    <w:bookmarkEnd w:id="217"/>
    <w:bookmarkEnd w:id="218"/>
    <w:bookmarkEnd w:id="219"/>
    <w:bookmarkEnd w:id="220"/>
    <w:bookmarkEnd w:id="221"/>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因承包人原因造成工期延误，逾</w:t>
      </w:r>
      <w:bookmarkStart w:id="222" w:name="_Toc312678014"/>
      <w:bookmarkStart w:id="223" w:name="_Toc318581171"/>
      <w:r>
        <w:rPr>
          <w:rFonts w:hint="eastAsia" w:ascii="宋体" w:hAnsi="宋体" w:eastAsia="宋体" w:cs="宋体"/>
          <w:bCs/>
          <w:color w:val="auto"/>
          <w:sz w:val="21"/>
          <w:szCs w:val="21"/>
        </w:rPr>
        <w:t>期竣工违约金的上限：</w:t>
      </w:r>
      <w:r>
        <w:rPr>
          <w:rFonts w:hint="eastAsia" w:ascii="宋体" w:hAnsi="宋体" w:eastAsia="宋体" w:cs="宋体"/>
          <w:bCs/>
          <w:color w:val="auto"/>
          <w:sz w:val="21"/>
          <w:szCs w:val="21"/>
          <w:u w:val="single"/>
        </w:rPr>
        <w:t>累计最高不超过履约保证金</w:t>
      </w:r>
      <w:r>
        <w:rPr>
          <w:rFonts w:hint="eastAsia" w:ascii="宋体" w:hAnsi="宋体" w:eastAsia="宋体" w:cs="宋体"/>
          <w:bCs/>
          <w:color w:val="auto"/>
          <w:sz w:val="21"/>
          <w:szCs w:val="21"/>
        </w:rPr>
        <w:t>。</w:t>
      </w:r>
    </w:p>
    <w:bookmarkEnd w:id="222"/>
    <w:bookmarkEnd w:id="223"/>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7</w:t>
      </w:r>
      <w:bookmarkStart w:id="224" w:name="_Toc300934971"/>
      <w:bookmarkStart w:id="225" w:name="_Toc297216178"/>
      <w:bookmarkStart w:id="226" w:name="_Toc304295549"/>
      <w:bookmarkStart w:id="227" w:name="_Toc297123519"/>
      <w:bookmarkStart w:id="228" w:name="_Toc303539128"/>
      <w:bookmarkStart w:id="229" w:name="_Toc312678015"/>
      <w:r>
        <w:rPr>
          <w:rFonts w:hint="eastAsia" w:ascii="宋体" w:hAnsi="宋体" w:eastAsia="宋体" w:cs="宋体"/>
          <w:bCs/>
          <w:color w:val="auto"/>
          <w:sz w:val="21"/>
          <w:szCs w:val="21"/>
        </w:rPr>
        <w:t>.6 不</w:t>
      </w:r>
      <w:bookmarkEnd w:id="224"/>
      <w:bookmarkEnd w:id="225"/>
      <w:bookmarkEnd w:id="226"/>
      <w:bookmarkEnd w:id="227"/>
      <w:bookmarkEnd w:id="228"/>
      <w:bookmarkEnd w:id="229"/>
      <w:r>
        <w:rPr>
          <w:rFonts w:hint="eastAsia" w:ascii="宋体" w:hAnsi="宋体" w:eastAsia="宋体" w:cs="宋体"/>
          <w:bCs/>
          <w:color w:val="auto"/>
          <w:sz w:val="21"/>
          <w:szCs w:val="21"/>
        </w:rPr>
        <w:t>利物质条件</w:t>
      </w:r>
    </w:p>
    <w:p>
      <w:pPr>
        <w:adjustRightInd w:val="0"/>
        <w:snapToGrid w:val="0"/>
        <w:spacing w:line="336" w:lineRule="auto"/>
        <w:ind w:firstLine="420" w:firstLineChars="200"/>
        <w:rPr>
          <w:rFonts w:ascii="宋体" w:hAnsi="宋体" w:eastAsia="宋体" w:cs="宋体"/>
          <w:bCs/>
          <w:color w:val="auto"/>
          <w:sz w:val="21"/>
          <w:szCs w:val="21"/>
        </w:rPr>
      </w:pPr>
      <w:bookmarkStart w:id="230" w:name="_Toc303539129"/>
      <w:bookmarkStart w:id="231" w:name="_Toc304295550"/>
      <w:bookmarkStart w:id="232" w:name="_Toc297216179"/>
      <w:bookmarkStart w:id="233" w:name="_Toc318581172"/>
      <w:bookmarkStart w:id="234" w:name="_Toc300934972"/>
      <w:bookmarkStart w:id="235" w:name="_Toc312678016"/>
      <w:bookmarkStart w:id="236" w:name="_Toc297123520"/>
      <w:r>
        <w:rPr>
          <w:rFonts w:hint="eastAsia" w:ascii="宋体" w:hAnsi="宋体" w:eastAsia="宋体" w:cs="宋体"/>
          <w:bCs/>
          <w:color w:val="auto"/>
          <w:sz w:val="21"/>
          <w:szCs w:val="21"/>
        </w:rPr>
        <w:t>不利物质条件的其他情形和有关约定：</w:t>
      </w:r>
    </w:p>
    <w:p>
      <w:pPr>
        <w:adjustRightInd w:val="0"/>
        <w:snapToGrid w:val="0"/>
        <w:spacing w:line="336" w:lineRule="auto"/>
        <w:ind w:firstLine="420" w:firstLineChars="200"/>
        <w:rPr>
          <w:rFonts w:ascii="宋体" w:hAnsi="宋体" w:eastAsia="宋体" w:cs="宋体"/>
          <w:color w:val="auto"/>
          <w:sz w:val="21"/>
          <w:szCs w:val="21"/>
          <w:u w:val="single"/>
        </w:rPr>
      </w:pPr>
      <w:r>
        <w:rPr>
          <w:rFonts w:hint="eastAsia" w:ascii="宋体" w:hAnsi="宋体" w:eastAsia="宋体" w:cs="宋体"/>
          <w:color w:val="auto"/>
          <w:sz w:val="21"/>
          <w:szCs w:val="21"/>
        </w:rPr>
        <w:t>（1）</w:t>
      </w:r>
      <w:r>
        <w:rPr>
          <w:rFonts w:hint="eastAsia" w:ascii="宋体" w:hAnsi="宋体" w:eastAsia="宋体" w:cs="宋体"/>
          <w:color w:val="auto"/>
          <w:sz w:val="21"/>
          <w:szCs w:val="21"/>
          <w:u w:val="single"/>
        </w:rPr>
        <w:t>每天连续停水、停电超过8小时以上。</w:t>
      </w:r>
    </w:p>
    <w:p>
      <w:pPr>
        <w:adjustRightInd w:val="0"/>
        <w:snapToGrid w:val="0"/>
        <w:spacing w:line="336" w:lineRule="auto"/>
        <w:ind w:firstLine="420" w:firstLineChars="200"/>
        <w:rPr>
          <w:rFonts w:ascii="宋体" w:hAnsi="宋体" w:eastAsia="宋体" w:cs="宋体"/>
          <w:color w:val="auto"/>
          <w:sz w:val="21"/>
          <w:szCs w:val="21"/>
          <w:u w:val="single"/>
        </w:rPr>
      </w:pPr>
      <w:r>
        <w:rPr>
          <w:rFonts w:hint="eastAsia" w:ascii="宋体" w:hAnsi="宋体" w:eastAsia="宋体" w:cs="宋体"/>
          <w:color w:val="auto"/>
          <w:sz w:val="21"/>
          <w:szCs w:val="21"/>
        </w:rPr>
        <w:t>（2）</w:t>
      </w:r>
      <w:r>
        <w:rPr>
          <w:rFonts w:hint="eastAsia" w:ascii="宋体" w:hAnsi="宋体" w:eastAsia="宋体" w:cs="宋体"/>
          <w:color w:val="auto"/>
          <w:sz w:val="21"/>
          <w:szCs w:val="21"/>
          <w:u w:val="single"/>
        </w:rPr>
        <w:t>因政府行政命令（因承包人原因的除外）。</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color w:val="auto"/>
          <w:sz w:val="21"/>
          <w:szCs w:val="21"/>
        </w:rPr>
        <w:t>（3）</w:t>
      </w:r>
      <w:r>
        <w:rPr>
          <w:rFonts w:hint="eastAsia" w:ascii="宋体" w:hAnsi="宋体" w:eastAsia="宋体" w:cs="宋体"/>
          <w:color w:val="auto"/>
          <w:sz w:val="21"/>
          <w:szCs w:val="21"/>
          <w:u w:val="single"/>
        </w:rPr>
        <w:t>非因双方原因而无法控制的爆炸、火灾等事件。</w:t>
      </w:r>
    </w:p>
    <w:bookmarkEnd w:id="230"/>
    <w:bookmarkEnd w:id="231"/>
    <w:bookmarkEnd w:id="232"/>
    <w:bookmarkEnd w:id="233"/>
    <w:bookmarkEnd w:id="234"/>
    <w:bookmarkEnd w:id="235"/>
    <w:bookmarkEnd w:id="236"/>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7</w:t>
      </w:r>
      <w:bookmarkStart w:id="237" w:name="_Toc297216180"/>
      <w:bookmarkStart w:id="238" w:name="_Toc303539130"/>
      <w:bookmarkStart w:id="239" w:name="_Toc312678017"/>
      <w:bookmarkStart w:id="240" w:name="_Toc304295551"/>
      <w:bookmarkStart w:id="241" w:name="_Toc300934973"/>
      <w:bookmarkStart w:id="242" w:name="_Toc297123521"/>
      <w:r>
        <w:rPr>
          <w:rFonts w:hint="eastAsia" w:ascii="宋体" w:hAnsi="宋体" w:eastAsia="宋体" w:cs="宋体"/>
          <w:bCs/>
          <w:color w:val="auto"/>
          <w:sz w:val="21"/>
          <w:szCs w:val="21"/>
        </w:rPr>
        <w:t>.7异常恶劣的气候条件</w:t>
      </w:r>
    </w:p>
    <w:bookmarkEnd w:id="237"/>
    <w:bookmarkEnd w:id="238"/>
    <w:bookmarkEnd w:id="239"/>
    <w:bookmarkEnd w:id="240"/>
    <w:bookmarkEnd w:id="241"/>
    <w:bookmarkEnd w:id="242"/>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发包人和承包人同意以下情形视为异常恶劣的气候条件：</w:t>
      </w:r>
    </w:p>
    <w:p>
      <w:pPr>
        <w:adjustRightInd w:val="0"/>
        <w:snapToGrid w:val="0"/>
        <w:spacing w:line="336" w:lineRule="auto"/>
        <w:ind w:firstLine="420" w:firstLineChars="200"/>
        <w:rPr>
          <w:rFonts w:ascii="宋体" w:hAnsi="宋体" w:eastAsia="宋体" w:cs="宋体"/>
          <w:color w:val="auto"/>
          <w:sz w:val="21"/>
          <w:szCs w:val="21"/>
          <w:u w:val="single"/>
        </w:rPr>
      </w:pPr>
      <w:r>
        <w:rPr>
          <w:rFonts w:hint="eastAsia" w:ascii="宋体" w:hAnsi="宋体" w:eastAsia="宋体" w:cs="宋体"/>
          <w:color w:val="auto"/>
          <w:sz w:val="21"/>
          <w:szCs w:val="21"/>
        </w:rPr>
        <w:t>（1）</w:t>
      </w:r>
      <w:r>
        <w:rPr>
          <w:rFonts w:hint="eastAsia" w:ascii="宋体" w:hAnsi="宋体" w:eastAsia="宋体" w:cs="宋体"/>
          <w:color w:val="auto"/>
          <w:sz w:val="21"/>
          <w:szCs w:val="21"/>
          <w:u w:val="single"/>
        </w:rPr>
        <w:t>8级以上持续24小时的大风（台风） ；</w:t>
      </w:r>
    </w:p>
    <w:p>
      <w:pPr>
        <w:adjustRightInd w:val="0"/>
        <w:snapToGrid w:val="0"/>
        <w:spacing w:line="336" w:lineRule="auto"/>
        <w:ind w:firstLine="420" w:firstLineChars="200"/>
        <w:rPr>
          <w:rFonts w:ascii="宋体" w:hAnsi="宋体" w:eastAsia="宋体" w:cs="宋体"/>
          <w:color w:val="auto"/>
          <w:sz w:val="21"/>
          <w:szCs w:val="21"/>
          <w:u w:val="single"/>
        </w:rPr>
      </w:pPr>
      <w:r>
        <w:rPr>
          <w:rFonts w:hint="eastAsia" w:ascii="宋体" w:hAnsi="宋体" w:eastAsia="宋体" w:cs="宋体"/>
          <w:color w:val="auto"/>
          <w:sz w:val="21"/>
          <w:szCs w:val="21"/>
        </w:rPr>
        <w:t>（2）</w:t>
      </w:r>
      <w:r>
        <w:rPr>
          <w:rFonts w:hint="eastAsia" w:ascii="宋体" w:hAnsi="宋体" w:eastAsia="宋体" w:cs="宋体"/>
          <w:color w:val="auto"/>
          <w:sz w:val="21"/>
          <w:szCs w:val="21"/>
          <w:u w:val="single"/>
        </w:rPr>
        <w:t>24小时内持续降雨且降水量为200mm以上；</w:t>
      </w:r>
    </w:p>
    <w:p>
      <w:pPr>
        <w:adjustRightInd w:val="0"/>
        <w:snapToGrid w:val="0"/>
        <w:spacing w:line="336" w:lineRule="auto"/>
        <w:ind w:firstLine="420" w:firstLineChars="200"/>
        <w:rPr>
          <w:rFonts w:ascii="宋体" w:hAnsi="宋体" w:eastAsia="宋体" w:cs="宋体"/>
          <w:color w:val="auto"/>
          <w:sz w:val="21"/>
          <w:szCs w:val="21"/>
          <w:u w:val="single"/>
        </w:rPr>
      </w:pPr>
      <w:r>
        <w:rPr>
          <w:rFonts w:hint="eastAsia" w:ascii="宋体" w:hAnsi="宋体" w:eastAsia="宋体" w:cs="宋体"/>
          <w:color w:val="auto"/>
          <w:sz w:val="21"/>
          <w:szCs w:val="21"/>
        </w:rPr>
        <w:t>（3）</w:t>
      </w:r>
      <w:r>
        <w:rPr>
          <w:rFonts w:hint="eastAsia" w:ascii="宋体" w:hAnsi="宋体" w:eastAsia="宋体" w:cs="宋体"/>
          <w:color w:val="auto"/>
          <w:sz w:val="21"/>
          <w:szCs w:val="21"/>
          <w:u w:val="single"/>
        </w:rPr>
        <w:t>40摄氏度及以上且持续2天以上以上的高温天气。</w:t>
      </w:r>
    </w:p>
    <w:p>
      <w:pPr>
        <w:adjustRightInd w:val="0"/>
        <w:snapToGrid w:val="0"/>
        <w:spacing w:line="336" w:lineRule="auto"/>
        <w:ind w:firstLine="420" w:firstLineChars="200"/>
        <w:outlineLvl w:val="0"/>
        <w:rPr>
          <w:rFonts w:ascii="宋体" w:hAnsi="宋体" w:eastAsia="宋体" w:cs="宋体"/>
          <w:bCs/>
          <w:color w:val="auto"/>
          <w:sz w:val="21"/>
          <w:szCs w:val="21"/>
        </w:rPr>
      </w:pPr>
      <w:r>
        <w:rPr>
          <w:rFonts w:hint="eastAsia" w:ascii="宋体" w:hAnsi="宋体" w:eastAsia="宋体" w:cs="宋体"/>
          <w:bCs/>
          <w:color w:val="auto"/>
          <w:sz w:val="21"/>
          <w:szCs w:val="21"/>
        </w:rPr>
        <w:t>7.9 提前竣工的奖励</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7.9.2提前竣工的奖励：</w:t>
      </w:r>
      <w:r>
        <w:rPr>
          <w:rFonts w:hint="eastAsia" w:ascii="宋体" w:hAnsi="宋体" w:eastAsia="宋体" w:cs="宋体"/>
          <w:bCs/>
          <w:color w:val="auto"/>
          <w:sz w:val="21"/>
          <w:szCs w:val="21"/>
          <w:u w:val="single"/>
        </w:rPr>
        <w:t xml:space="preserve">      /       </w:t>
      </w:r>
      <w:r>
        <w:rPr>
          <w:rFonts w:hint="eastAsia" w:ascii="宋体" w:hAnsi="宋体" w:eastAsia="宋体" w:cs="宋体"/>
          <w:bCs/>
          <w:color w:val="auto"/>
          <w:sz w:val="21"/>
          <w:szCs w:val="21"/>
        </w:rPr>
        <w:t>。</w:t>
      </w:r>
    </w:p>
    <w:p>
      <w:pPr>
        <w:adjustRightInd w:val="0"/>
        <w:snapToGrid w:val="0"/>
        <w:spacing w:line="336" w:lineRule="auto"/>
        <w:rPr>
          <w:rFonts w:ascii="宋体" w:hAnsi="宋体" w:eastAsia="宋体" w:cs="宋体"/>
          <w:bCs/>
          <w:color w:val="auto"/>
          <w:sz w:val="21"/>
          <w:szCs w:val="21"/>
        </w:rPr>
      </w:pPr>
      <w:bookmarkStart w:id="243" w:name="_Toc351203640"/>
      <w:r>
        <w:rPr>
          <w:rFonts w:hint="eastAsia" w:ascii="宋体" w:hAnsi="宋体" w:eastAsia="宋体" w:cs="宋体"/>
          <w:bCs/>
          <w:color w:val="auto"/>
          <w:sz w:val="21"/>
          <w:szCs w:val="21"/>
        </w:rPr>
        <w:t>8. 材料与设备</w:t>
      </w:r>
      <w:bookmarkEnd w:id="243"/>
    </w:p>
    <w:bookmarkEnd w:id="178"/>
    <w:bookmarkEnd w:id="179"/>
    <w:bookmarkEnd w:id="180"/>
    <w:bookmarkEnd w:id="181"/>
    <w:bookmarkEnd w:id="182"/>
    <w:bookmarkEnd w:id="183"/>
    <w:bookmarkEnd w:id="184"/>
    <w:bookmarkEnd w:id="185"/>
    <w:bookmarkEnd w:id="186"/>
    <w:bookmarkEnd w:id="187"/>
    <w:p>
      <w:pPr>
        <w:adjustRightInd w:val="0"/>
        <w:snapToGrid w:val="0"/>
        <w:spacing w:line="336" w:lineRule="auto"/>
        <w:ind w:firstLine="420" w:firstLineChars="200"/>
        <w:rPr>
          <w:rFonts w:ascii="宋体" w:hAnsi="宋体" w:eastAsia="宋体" w:cs="宋体"/>
          <w:color w:val="auto"/>
          <w:sz w:val="21"/>
          <w:szCs w:val="21"/>
        </w:rPr>
      </w:pPr>
      <w:r>
        <w:rPr>
          <w:rFonts w:hint="eastAsia" w:ascii="宋体" w:hAnsi="宋体" w:eastAsia="宋体" w:cs="宋体"/>
          <w:bCs/>
          <w:color w:val="auto"/>
          <w:sz w:val="21"/>
          <w:szCs w:val="21"/>
        </w:rPr>
        <w:t>8.2 承包人</w:t>
      </w:r>
      <w:r>
        <w:rPr>
          <w:rFonts w:hint="eastAsia" w:ascii="宋体" w:hAnsi="宋体" w:eastAsia="宋体" w:cs="宋体"/>
          <w:color w:val="auto"/>
          <w:sz w:val="21"/>
          <w:szCs w:val="21"/>
        </w:rPr>
        <w:t>采购材料与工程设备</w:t>
      </w:r>
    </w:p>
    <w:p>
      <w:pPr>
        <w:autoSpaceDE w:val="0"/>
        <w:autoSpaceDN w:val="0"/>
        <w:adjustRightInd w:val="0"/>
        <w:snapToGrid w:val="0"/>
        <w:spacing w:line="336" w:lineRule="auto"/>
        <w:ind w:left="360"/>
        <w:rPr>
          <w:rFonts w:ascii="宋体" w:hAnsi="宋体" w:eastAsia="宋体" w:cs="宋体"/>
          <w:color w:val="auto"/>
          <w:sz w:val="21"/>
          <w:szCs w:val="21"/>
          <w:u w:val="single"/>
        </w:rPr>
      </w:pPr>
      <w:r>
        <w:rPr>
          <w:rFonts w:hint="eastAsia" w:ascii="宋体" w:hAnsi="宋体" w:eastAsia="宋体" w:cs="宋体"/>
          <w:color w:val="auto"/>
          <w:sz w:val="21"/>
          <w:szCs w:val="21"/>
          <w:u w:val="single"/>
        </w:rPr>
        <w:t>（1）材料品牌、规格和使用要求：按磋商文件（相应）技术标准和要求执行。</w:t>
      </w:r>
    </w:p>
    <w:p>
      <w:pPr>
        <w:autoSpaceDE w:val="0"/>
        <w:autoSpaceDN w:val="0"/>
        <w:snapToGrid w:val="0"/>
        <w:spacing w:line="336" w:lineRule="auto"/>
        <w:ind w:firstLine="420" w:firstLineChars="200"/>
        <w:rPr>
          <w:rFonts w:ascii="宋体" w:hAnsi="宋体" w:eastAsia="宋体" w:cs="宋体"/>
          <w:color w:val="auto"/>
          <w:sz w:val="21"/>
          <w:szCs w:val="21"/>
          <w:u w:val="single"/>
        </w:rPr>
      </w:pPr>
      <w:r>
        <w:rPr>
          <w:rFonts w:hint="eastAsia" w:ascii="宋体" w:hAnsi="宋体" w:eastAsia="宋体" w:cs="宋体"/>
          <w:color w:val="auto"/>
          <w:sz w:val="21"/>
          <w:szCs w:val="21"/>
          <w:u w:val="single"/>
        </w:rPr>
        <w:t>（2）本工程已确定承包价的建筑材料均由承包人自行询价、采购、运输和保管。散装水泥及新型墙体材料的使用须符合相关规定，否则相关押金由承包人承担。</w:t>
      </w:r>
    </w:p>
    <w:p>
      <w:pPr>
        <w:snapToGrid w:val="0"/>
        <w:spacing w:line="336" w:lineRule="auto"/>
        <w:ind w:firstLine="420" w:firstLineChars="200"/>
        <w:rPr>
          <w:rFonts w:ascii="宋体" w:hAnsi="宋体" w:eastAsia="宋体" w:cs="宋体"/>
          <w:color w:val="auto"/>
          <w:sz w:val="21"/>
          <w:szCs w:val="21"/>
          <w:u w:val="single"/>
        </w:rPr>
      </w:pPr>
      <w:r>
        <w:rPr>
          <w:rFonts w:hint="eastAsia" w:ascii="宋体" w:hAnsi="宋体" w:eastAsia="宋体" w:cs="宋体"/>
          <w:color w:val="auto"/>
          <w:sz w:val="21"/>
          <w:szCs w:val="21"/>
          <w:u w:val="single"/>
        </w:rPr>
        <w:t>（3）所有材料必须有质保书或合格证，符合施工图纸和规范要求，且品牌、产地需报发包人备案，否则，因此产生的后果均由承包人负责。</w:t>
      </w:r>
    </w:p>
    <w:p>
      <w:pPr>
        <w:snapToGrid w:val="0"/>
        <w:spacing w:line="336" w:lineRule="auto"/>
        <w:ind w:firstLine="420" w:firstLineChars="200"/>
        <w:rPr>
          <w:rFonts w:ascii="宋体" w:hAnsi="宋体" w:eastAsia="宋体" w:cs="宋体"/>
          <w:color w:val="auto"/>
          <w:sz w:val="21"/>
          <w:szCs w:val="21"/>
          <w:u w:val="single"/>
        </w:rPr>
      </w:pPr>
      <w:r>
        <w:rPr>
          <w:rFonts w:hint="eastAsia" w:ascii="宋体" w:hAnsi="宋体" w:eastAsia="宋体" w:cs="宋体"/>
          <w:color w:val="auto"/>
          <w:sz w:val="21"/>
          <w:szCs w:val="21"/>
          <w:u w:val="single"/>
        </w:rPr>
        <w:t>（4）凡是磋商文件注明规格、型号或相当于的厂家（品牌、产地）的材料，承包人必须按照磋商文件要求采购和施工，优先使用相当于的厂家（品牌、产地），如需调整，必须经得发包人认可，否则由此引起的后果由承包人承担。</w:t>
      </w:r>
    </w:p>
    <w:p>
      <w:pPr>
        <w:snapToGrid w:val="0"/>
        <w:spacing w:line="336" w:lineRule="auto"/>
        <w:ind w:firstLine="420" w:firstLineChars="200"/>
        <w:rPr>
          <w:rFonts w:ascii="宋体" w:hAnsi="宋体" w:eastAsia="宋体" w:cs="宋体"/>
          <w:color w:val="auto"/>
          <w:sz w:val="21"/>
          <w:szCs w:val="21"/>
          <w:u w:val="single"/>
        </w:rPr>
      </w:pPr>
      <w:r>
        <w:rPr>
          <w:rFonts w:hint="eastAsia" w:ascii="宋体" w:hAnsi="宋体" w:eastAsia="宋体" w:cs="宋体"/>
          <w:color w:val="auto"/>
          <w:sz w:val="21"/>
          <w:szCs w:val="21"/>
          <w:u w:val="single"/>
        </w:rPr>
        <w:t>（5）所有设备、材料和预制构件等均需有产品合格证和质保书、试验（试车）报告等必要资料，符合国家规定的技术标准和设计图纸要求的标准，并且须经发包人及监理单位验收合格后方可使用。</w:t>
      </w:r>
    </w:p>
    <w:p>
      <w:pPr>
        <w:snapToGrid w:val="0"/>
        <w:spacing w:line="336" w:lineRule="auto"/>
        <w:ind w:firstLine="420" w:firstLineChars="200"/>
        <w:rPr>
          <w:rFonts w:ascii="宋体" w:hAnsi="宋体" w:eastAsia="宋体" w:cs="宋体"/>
          <w:color w:val="auto"/>
          <w:sz w:val="21"/>
          <w:szCs w:val="21"/>
          <w:u w:val="single"/>
        </w:rPr>
      </w:pPr>
      <w:r>
        <w:rPr>
          <w:rFonts w:hint="eastAsia" w:ascii="宋体" w:hAnsi="宋体" w:eastAsia="宋体" w:cs="宋体"/>
          <w:color w:val="auto"/>
          <w:sz w:val="21"/>
          <w:szCs w:val="21"/>
          <w:u w:val="single"/>
        </w:rPr>
        <w:t>（6）根据工程需要，发包人有权对承包人投标时确认的品牌进行更换，更换后的材料价格由发包人签证进行结算。</w:t>
      </w:r>
    </w:p>
    <w:p>
      <w:pPr>
        <w:adjustRightInd w:val="0"/>
        <w:snapToGrid w:val="0"/>
        <w:spacing w:line="336" w:lineRule="auto"/>
        <w:ind w:firstLine="420" w:firstLineChars="200"/>
        <w:rPr>
          <w:rFonts w:ascii="宋体" w:hAnsi="宋体" w:eastAsia="宋体" w:cs="宋体"/>
          <w:color w:val="auto"/>
          <w:sz w:val="21"/>
          <w:szCs w:val="21"/>
          <w:u w:val="single"/>
        </w:rPr>
      </w:pPr>
      <w:r>
        <w:rPr>
          <w:rFonts w:hint="eastAsia" w:ascii="宋体" w:hAnsi="宋体" w:eastAsia="宋体" w:cs="宋体"/>
          <w:color w:val="auto"/>
          <w:sz w:val="21"/>
          <w:szCs w:val="21"/>
          <w:u w:val="single"/>
        </w:rPr>
        <w:t>（7）合同中原暂定价材料或由工程变更产生的无价材料（按有关规定可不组织招标采购的）由承包人采购时，应由发包人签证确定价格后采购，发包人收到承包人价格确定申请后，7日内审批完毕。</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8</w:t>
      </w:r>
      <w:bookmarkStart w:id="244" w:name="_Toc303539136"/>
      <w:bookmarkStart w:id="245" w:name="_Toc292559877"/>
      <w:bookmarkStart w:id="246" w:name="_Toc297123527"/>
      <w:bookmarkStart w:id="247" w:name="_Toc296346668"/>
      <w:bookmarkStart w:id="248" w:name="_Toc296503167"/>
      <w:bookmarkStart w:id="249" w:name="_Toc296890995"/>
      <w:bookmarkStart w:id="250" w:name="_Toc292559372"/>
      <w:bookmarkStart w:id="251" w:name="_Toc312678019"/>
      <w:bookmarkStart w:id="252" w:name="_Toc304295556"/>
      <w:bookmarkStart w:id="253" w:name="_Toc297120467"/>
      <w:bookmarkStart w:id="254" w:name="_Toc280868654"/>
      <w:bookmarkStart w:id="255" w:name="_Toc296944506"/>
      <w:bookmarkStart w:id="256" w:name="_Toc300934979"/>
      <w:bookmarkStart w:id="257" w:name="_Toc312677493"/>
      <w:bookmarkStart w:id="258" w:name="_Toc296891207"/>
      <w:bookmarkStart w:id="259" w:name="_Toc297048353"/>
      <w:bookmarkStart w:id="260" w:name="_Toc297216186"/>
      <w:bookmarkStart w:id="261" w:name="_Toc296347166"/>
      <w:bookmarkStart w:id="262" w:name="_Toc280868656"/>
      <w:bookmarkStart w:id="263" w:name="_Toc267251424"/>
      <w:bookmarkStart w:id="264" w:name="_Toc280868655"/>
      <w:r>
        <w:rPr>
          <w:rFonts w:hint="eastAsia" w:ascii="宋体" w:hAnsi="宋体" w:eastAsia="宋体" w:cs="宋体"/>
          <w:bCs/>
          <w:color w:val="auto"/>
          <w:sz w:val="21"/>
          <w:szCs w:val="21"/>
        </w:rPr>
        <w:t>.4材料与工程设备的保管与使用</w:t>
      </w:r>
    </w:p>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8</w:t>
      </w:r>
      <w:bookmarkStart w:id="265" w:name="_Toc292559373"/>
      <w:bookmarkStart w:id="266" w:name="_Toc292559878"/>
      <w:bookmarkStart w:id="267" w:name="_Toc296346669"/>
      <w:bookmarkStart w:id="268" w:name="_Toc297048354"/>
      <w:bookmarkStart w:id="269" w:name="_Toc297123528"/>
      <w:bookmarkStart w:id="270" w:name="_Toc296890996"/>
      <w:bookmarkStart w:id="271" w:name="_Toc296891208"/>
      <w:bookmarkStart w:id="272" w:name="_Toc296944507"/>
      <w:bookmarkStart w:id="273" w:name="_Toc296347167"/>
      <w:bookmarkStart w:id="274" w:name="_Toc318581173"/>
      <w:bookmarkStart w:id="275" w:name="_Toc297120468"/>
      <w:bookmarkStart w:id="276" w:name="_Toc296503168"/>
      <w:bookmarkStart w:id="277" w:name="_Toc312677494"/>
      <w:bookmarkStart w:id="278" w:name="_Toc312678020"/>
      <w:bookmarkStart w:id="279" w:name="_Toc303539137"/>
      <w:bookmarkStart w:id="280" w:name="_Toc304295557"/>
      <w:bookmarkStart w:id="281" w:name="_Toc297216187"/>
      <w:bookmarkStart w:id="282" w:name="_Toc300934980"/>
      <w:r>
        <w:rPr>
          <w:rFonts w:hint="eastAsia" w:ascii="宋体" w:hAnsi="宋体" w:eastAsia="宋体" w:cs="宋体"/>
          <w:bCs/>
          <w:color w:val="auto"/>
          <w:sz w:val="21"/>
          <w:szCs w:val="21"/>
        </w:rPr>
        <w:t>.4.1发包人供应的材料设备的保管费用的承担：</w:t>
      </w:r>
    </w:p>
    <w:p>
      <w:pPr>
        <w:adjustRightInd w:val="0"/>
        <w:snapToGrid w:val="0"/>
        <w:spacing w:line="336" w:lineRule="auto"/>
        <w:ind w:firstLine="420" w:firstLineChars="200"/>
        <w:jc w:val="left"/>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（1）采购时已明确由发包人供应的材料设备保管费用、安装过程中的二次搬运和设备就位费、检验试验费由承包人磋商响应时报价包干；</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u w:val="single"/>
        </w:rPr>
        <w:t>（2）因承包人原因发生材料丢失损坏，由承包人负责赔偿。</w:t>
      </w:r>
      <w:bookmarkEnd w:id="265"/>
      <w:bookmarkEnd w:id="266"/>
    </w:p>
    <w:p>
      <w:pPr>
        <w:adjustRightInd w:val="0"/>
        <w:snapToGrid w:val="0"/>
        <w:spacing w:line="336" w:lineRule="auto"/>
        <w:ind w:firstLine="420" w:firstLineChars="200"/>
        <w:outlineLvl w:val="0"/>
        <w:rPr>
          <w:rFonts w:ascii="宋体" w:hAnsi="宋体" w:eastAsia="宋体" w:cs="宋体"/>
          <w:bCs/>
          <w:color w:val="auto"/>
          <w:sz w:val="21"/>
          <w:szCs w:val="21"/>
        </w:rPr>
      </w:pPr>
      <w:r>
        <w:rPr>
          <w:rFonts w:hint="eastAsia" w:ascii="宋体" w:hAnsi="宋体" w:eastAsia="宋体" w:cs="宋体"/>
          <w:bCs/>
          <w:color w:val="auto"/>
          <w:sz w:val="21"/>
          <w:szCs w:val="21"/>
        </w:rPr>
        <w:t>8.6 样品</w:t>
      </w:r>
    </w:p>
    <w:p>
      <w:pPr>
        <w:autoSpaceDE w:val="0"/>
        <w:autoSpaceDN w:val="0"/>
        <w:adjustRightInd w:val="0"/>
        <w:snapToGrid w:val="0"/>
        <w:spacing w:line="336" w:lineRule="auto"/>
        <w:ind w:firstLine="420" w:firstLineChars="200"/>
        <w:jc w:val="left"/>
        <w:rPr>
          <w:rFonts w:ascii="宋体" w:hAnsi="宋体" w:eastAsia="宋体" w:cs="宋体"/>
          <w:bCs/>
          <w:color w:val="auto"/>
          <w:kern w:val="0"/>
          <w:sz w:val="21"/>
          <w:szCs w:val="21"/>
        </w:rPr>
      </w:pPr>
      <w:r>
        <w:rPr>
          <w:rFonts w:hint="eastAsia" w:ascii="宋体" w:hAnsi="宋体" w:eastAsia="宋体" w:cs="宋体"/>
          <w:bCs/>
          <w:color w:val="auto"/>
          <w:kern w:val="0"/>
          <w:sz w:val="21"/>
          <w:szCs w:val="21"/>
        </w:rPr>
        <w:t>8.6.1</w:t>
      </w:r>
      <w:r>
        <w:rPr>
          <w:rFonts w:hint="eastAsia" w:ascii="宋体" w:hAnsi="宋体" w:eastAsia="宋体" w:cs="宋体"/>
          <w:bCs/>
          <w:color w:val="auto"/>
          <w:kern w:val="0"/>
          <w:sz w:val="21"/>
          <w:szCs w:val="21"/>
        </w:rPr>
        <w:tab/>
      </w:r>
      <w:r>
        <w:rPr>
          <w:rFonts w:hint="eastAsia" w:ascii="宋体" w:hAnsi="宋体" w:eastAsia="宋体" w:cs="宋体"/>
          <w:bCs/>
          <w:color w:val="auto"/>
          <w:kern w:val="0"/>
          <w:sz w:val="21"/>
          <w:szCs w:val="21"/>
        </w:rPr>
        <w:t>样品的报送与封存</w:t>
      </w:r>
    </w:p>
    <w:p>
      <w:pPr>
        <w:autoSpaceDE w:val="0"/>
        <w:autoSpaceDN w:val="0"/>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kern w:val="0"/>
          <w:sz w:val="21"/>
          <w:szCs w:val="21"/>
        </w:rPr>
        <w:t>需要承包人报送样品的材料或工程设备，样品的种类、名称、规格、数量要求：</w:t>
      </w:r>
      <w:r>
        <w:rPr>
          <w:rFonts w:hint="eastAsia" w:ascii="宋体" w:hAnsi="宋体" w:eastAsia="宋体" w:cs="宋体"/>
          <w:bCs/>
          <w:color w:val="auto"/>
          <w:kern w:val="0"/>
          <w:sz w:val="21"/>
          <w:szCs w:val="21"/>
          <w:u w:val="single"/>
        </w:rPr>
        <w:t xml:space="preserve">       </w:t>
      </w:r>
      <w:r>
        <w:rPr>
          <w:rFonts w:hint="eastAsia" w:ascii="宋体" w:hAnsi="宋体" w:eastAsia="宋体" w:cs="宋体"/>
          <w:bCs/>
          <w:color w:val="auto"/>
          <w:sz w:val="21"/>
          <w:szCs w:val="21"/>
        </w:rPr>
        <w:t>。</w:t>
      </w:r>
    </w:p>
    <w:p>
      <w:pPr>
        <w:adjustRightInd w:val="0"/>
        <w:snapToGrid w:val="0"/>
        <w:spacing w:line="336" w:lineRule="auto"/>
        <w:ind w:firstLine="420" w:firstLineChars="200"/>
        <w:outlineLvl w:val="0"/>
        <w:rPr>
          <w:rFonts w:ascii="宋体" w:hAnsi="宋体" w:eastAsia="宋体" w:cs="宋体"/>
          <w:bCs/>
          <w:color w:val="auto"/>
          <w:sz w:val="21"/>
          <w:szCs w:val="21"/>
        </w:rPr>
      </w:pPr>
      <w:r>
        <w:rPr>
          <w:rFonts w:hint="eastAsia" w:ascii="宋体" w:hAnsi="宋体" w:eastAsia="宋体" w:cs="宋体"/>
          <w:bCs/>
          <w:color w:val="auto"/>
          <w:sz w:val="21"/>
          <w:szCs w:val="21"/>
        </w:rPr>
        <w:t>8.8 施工设备和临时设施</w:t>
      </w:r>
    </w:p>
    <w:p>
      <w:pPr>
        <w:autoSpaceDE w:val="0"/>
        <w:autoSpaceDN w:val="0"/>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8.8.1 承包人提供的施工设备和临时设施</w:t>
      </w:r>
    </w:p>
    <w:p>
      <w:pPr>
        <w:autoSpaceDE w:val="0"/>
        <w:autoSpaceDN w:val="0"/>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关于修建临时设施费用承担的约定：</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w:t>
      </w:r>
    </w:p>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Pr>
        <w:adjustRightInd w:val="0"/>
        <w:snapToGrid w:val="0"/>
        <w:spacing w:line="336" w:lineRule="auto"/>
        <w:rPr>
          <w:rFonts w:ascii="宋体" w:hAnsi="宋体" w:eastAsia="宋体" w:cs="宋体"/>
          <w:bCs/>
          <w:color w:val="auto"/>
          <w:sz w:val="21"/>
          <w:szCs w:val="21"/>
        </w:rPr>
      </w:pPr>
      <w:bookmarkStart w:id="283" w:name="_Toc351203641"/>
      <w:r>
        <w:rPr>
          <w:rFonts w:hint="eastAsia" w:ascii="宋体" w:hAnsi="宋体" w:eastAsia="宋体" w:cs="宋体"/>
          <w:bCs/>
          <w:color w:val="auto"/>
          <w:sz w:val="21"/>
          <w:szCs w:val="21"/>
        </w:rPr>
        <w:t>9</w:t>
      </w:r>
      <w:bookmarkEnd w:id="262"/>
      <w:bookmarkEnd w:id="263"/>
      <w:bookmarkEnd w:id="264"/>
      <w:bookmarkStart w:id="284" w:name="_Toc297216192"/>
      <w:bookmarkStart w:id="285" w:name="_Toc312678021"/>
      <w:bookmarkStart w:id="286" w:name="_Toc300934982"/>
      <w:bookmarkStart w:id="287" w:name="_Toc304295559"/>
      <w:bookmarkStart w:id="288" w:name="_Toc303539139"/>
      <w:bookmarkStart w:id="289" w:name="_Toc312677495"/>
      <w:bookmarkStart w:id="290" w:name="_Toc297123533"/>
      <w:bookmarkStart w:id="291" w:name="_Toc292559883"/>
      <w:bookmarkStart w:id="292" w:name="_Toc267251427"/>
      <w:bookmarkStart w:id="293" w:name="_Toc296347172"/>
      <w:bookmarkStart w:id="294" w:name="_Toc296346674"/>
      <w:bookmarkStart w:id="295" w:name="_Toc296503173"/>
      <w:bookmarkStart w:id="296" w:name="_Toc296891001"/>
      <w:bookmarkStart w:id="297" w:name="_Toc292559378"/>
      <w:bookmarkStart w:id="298" w:name="_Toc297120473"/>
      <w:bookmarkStart w:id="299" w:name="_Toc296891213"/>
      <w:bookmarkStart w:id="300" w:name="_Toc267251428"/>
      <w:bookmarkStart w:id="301" w:name="_Toc296944512"/>
      <w:bookmarkStart w:id="302" w:name="_Toc297048359"/>
      <w:r>
        <w:rPr>
          <w:rFonts w:hint="eastAsia" w:ascii="宋体" w:hAnsi="宋体" w:eastAsia="宋体" w:cs="宋体"/>
          <w:bCs/>
          <w:color w:val="auto"/>
          <w:sz w:val="21"/>
          <w:szCs w:val="21"/>
        </w:rPr>
        <w:t>. 试验与检验</w:t>
      </w:r>
      <w:bookmarkEnd w:id="283"/>
    </w:p>
    <w:bookmarkEnd w:id="284"/>
    <w:bookmarkEnd w:id="285"/>
    <w:bookmarkEnd w:id="286"/>
    <w:bookmarkEnd w:id="287"/>
    <w:bookmarkEnd w:id="288"/>
    <w:bookmarkEnd w:id="289"/>
    <w:bookmarkEnd w:id="290"/>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9</w:t>
      </w:r>
      <w:bookmarkStart w:id="303" w:name="_Toc297123534"/>
      <w:bookmarkStart w:id="304" w:name="_Toc312677496"/>
      <w:bookmarkStart w:id="305" w:name="_Toc297216193"/>
      <w:bookmarkStart w:id="306" w:name="_Toc303539140"/>
      <w:bookmarkStart w:id="307" w:name="_Toc312678022"/>
      <w:bookmarkStart w:id="308" w:name="_Toc300934983"/>
      <w:bookmarkStart w:id="309" w:name="_Toc304295560"/>
      <w:r>
        <w:rPr>
          <w:rFonts w:hint="eastAsia" w:ascii="宋体" w:hAnsi="宋体" w:eastAsia="宋体" w:cs="宋体"/>
          <w:bCs/>
          <w:color w:val="auto"/>
          <w:sz w:val="21"/>
          <w:szCs w:val="21"/>
        </w:rPr>
        <w:t>.1试验设备与试验人员</w:t>
      </w:r>
    </w:p>
    <w:bookmarkEnd w:id="303"/>
    <w:bookmarkEnd w:id="304"/>
    <w:bookmarkEnd w:id="305"/>
    <w:bookmarkEnd w:id="306"/>
    <w:bookmarkEnd w:id="307"/>
    <w:bookmarkEnd w:id="308"/>
    <w:bookmarkEnd w:id="309"/>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9</w:t>
      </w:r>
      <w:bookmarkStart w:id="310" w:name="_Toc312678023"/>
      <w:bookmarkStart w:id="311" w:name="_Toc297123535"/>
      <w:bookmarkStart w:id="312" w:name="_Toc303539141"/>
      <w:bookmarkStart w:id="313" w:name="_Toc297216194"/>
      <w:bookmarkStart w:id="314" w:name="_Toc312677497"/>
      <w:bookmarkStart w:id="315" w:name="_Toc304295561"/>
      <w:bookmarkStart w:id="316" w:name="_Toc300934984"/>
      <w:bookmarkStart w:id="317" w:name="_Toc318581174"/>
      <w:r>
        <w:rPr>
          <w:rFonts w:hint="eastAsia" w:ascii="宋体" w:hAnsi="宋体" w:eastAsia="宋体" w:cs="宋体"/>
          <w:bCs/>
          <w:color w:val="auto"/>
          <w:sz w:val="21"/>
          <w:szCs w:val="21"/>
        </w:rPr>
        <w:t>.1.2 试验设备</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施工现场需要配置的试验场所：</w:t>
      </w:r>
      <w:bookmarkEnd w:id="310"/>
      <w:bookmarkEnd w:id="311"/>
      <w:bookmarkEnd w:id="312"/>
      <w:bookmarkEnd w:id="313"/>
      <w:bookmarkEnd w:id="314"/>
      <w:bookmarkEnd w:id="315"/>
      <w:bookmarkEnd w:id="316"/>
      <w:bookmarkStart w:id="318" w:name="_Toc297123536"/>
      <w:bookmarkStart w:id="319" w:name="_Toc304295562"/>
      <w:bookmarkStart w:id="320" w:name="_Toc303539142"/>
      <w:bookmarkStart w:id="321" w:name="_Toc297216195"/>
      <w:bookmarkStart w:id="322" w:name="_Toc312677498"/>
      <w:bookmarkStart w:id="323" w:name="_Toc312678024"/>
      <w:bookmarkStart w:id="324" w:name="_Toc300934985"/>
      <w:r>
        <w:rPr>
          <w:rFonts w:hint="eastAsia" w:ascii="宋体" w:hAnsi="宋体" w:eastAsia="宋体" w:cs="宋体"/>
          <w:bCs/>
          <w:color w:val="auto"/>
          <w:sz w:val="21"/>
          <w:szCs w:val="21"/>
          <w:u w:val="single"/>
        </w:rPr>
        <w:t xml:space="preserve">    /    </w:t>
      </w:r>
      <w:r>
        <w:rPr>
          <w:rFonts w:hint="eastAsia" w:ascii="宋体" w:hAnsi="宋体" w:eastAsia="宋体" w:cs="宋体"/>
          <w:bCs/>
          <w:color w:val="auto"/>
          <w:sz w:val="21"/>
          <w:szCs w:val="21"/>
        </w:rPr>
        <w:t xml:space="preserve">。 </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施工现场需要配备的试验设备：</w:t>
      </w:r>
      <w:r>
        <w:rPr>
          <w:rFonts w:hint="eastAsia" w:ascii="宋体" w:hAnsi="宋体" w:eastAsia="宋体" w:cs="宋体"/>
          <w:bCs/>
          <w:color w:val="auto"/>
          <w:sz w:val="21"/>
          <w:szCs w:val="21"/>
          <w:u w:val="single"/>
        </w:rPr>
        <w:t xml:space="preserve">    /    </w:t>
      </w:r>
      <w:r>
        <w:rPr>
          <w:rFonts w:hint="eastAsia" w:ascii="宋体" w:hAnsi="宋体" w:eastAsia="宋体" w:cs="宋体"/>
          <w:bCs/>
          <w:color w:val="auto"/>
          <w:sz w:val="21"/>
          <w:szCs w:val="21"/>
        </w:rPr>
        <w:t>。</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施工现场需要具备的其他试验条件：</w:t>
      </w:r>
      <w:r>
        <w:rPr>
          <w:rFonts w:hint="eastAsia" w:ascii="宋体" w:hAnsi="宋体" w:eastAsia="宋体" w:cs="宋体"/>
          <w:bCs/>
          <w:color w:val="auto"/>
          <w:sz w:val="21"/>
          <w:szCs w:val="21"/>
          <w:u w:val="single"/>
        </w:rPr>
        <w:t>所有试车费用承包人已在磋商响应报价中包干</w:t>
      </w:r>
      <w:r>
        <w:rPr>
          <w:rFonts w:hint="eastAsia" w:ascii="宋体" w:hAnsi="宋体" w:eastAsia="宋体" w:cs="宋体"/>
          <w:bCs/>
          <w:color w:val="auto"/>
          <w:sz w:val="21"/>
          <w:szCs w:val="21"/>
        </w:rPr>
        <w:t>。</w:t>
      </w:r>
    </w:p>
    <w:p>
      <w:pPr>
        <w:adjustRightInd w:val="0"/>
        <w:snapToGrid w:val="0"/>
        <w:spacing w:line="336" w:lineRule="auto"/>
        <w:ind w:firstLine="420" w:firstLineChars="200"/>
        <w:outlineLvl w:val="0"/>
        <w:rPr>
          <w:rFonts w:ascii="宋体" w:hAnsi="宋体" w:eastAsia="宋体" w:cs="宋体"/>
          <w:bCs/>
          <w:color w:val="auto"/>
          <w:sz w:val="21"/>
          <w:szCs w:val="21"/>
        </w:rPr>
      </w:pPr>
      <w:r>
        <w:rPr>
          <w:rFonts w:hint="eastAsia" w:ascii="宋体" w:hAnsi="宋体" w:eastAsia="宋体" w:cs="宋体"/>
          <w:bCs/>
          <w:color w:val="auto"/>
          <w:sz w:val="21"/>
          <w:szCs w:val="21"/>
        </w:rPr>
        <w:t xml:space="preserve">9.4 现场工艺试验 </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现场工艺试验的有关约定：</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w:t>
      </w:r>
    </w:p>
    <w:bookmarkEnd w:id="317"/>
    <w:bookmarkEnd w:id="318"/>
    <w:bookmarkEnd w:id="319"/>
    <w:bookmarkEnd w:id="320"/>
    <w:bookmarkEnd w:id="321"/>
    <w:bookmarkEnd w:id="322"/>
    <w:bookmarkEnd w:id="323"/>
    <w:bookmarkEnd w:id="324"/>
    <w:p>
      <w:pPr>
        <w:adjustRightInd w:val="0"/>
        <w:snapToGrid w:val="0"/>
        <w:spacing w:line="336" w:lineRule="auto"/>
        <w:rPr>
          <w:rFonts w:ascii="宋体" w:hAnsi="宋体" w:eastAsia="宋体" w:cs="宋体"/>
          <w:bCs/>
          <w:color w:val="auto"/>
          <w:sz w:val="21"/>
          <w:szCs w:val="21"/>
        </w:rPr>
      </w:pPr>
      <w:bookmarkStart w:id="325" w:name="_Toc351203642"/>
      <w:r>
        <w:rPr>
          <w:rFonts w:hint="eastAsia" w:ascii="宋体" w:hAnsi="宋体" w:eastAsia="宋体" w:cs="宋体"/>
          <w:bCs/>
          <w:color w:val="auto"/>
          <w:sz w:val="21"/>
          <w:szCs w:val="21"/>
        </w:rPr>
        <w:t>1</w:t>
      </w:r>
      <w:bookmarkEnd w:id="291"/>
      <w:bookmarkEnd w:id="292"/>
      <w:bookmarkEnd w:id="293"/>
      <w:bookmarkEnd w:id="294"/>
      <w:bookmarkEnd w:id="295"/>
      <w:bookmarkEnd w:id="296"/>
      <w:bookmarkEnd w:id="297"/>
      <w:bookmarkEnd w:id="298"/>
      <w:bookmarkEnd w:id="299"/>
      <w:bookmarkEnd w:id="300"/>
      <w:bookmarkEnd w:id="301"/>
      <w:bookmarkEnd w:id="302"/>
      <w:bookmarkStart w:id="326" w:name="_Toc300934989"/>
      <w:bookmarkStart w:id="327" w:name="_Toc296944532"/>
      <w:bookmarkStart w:id="328" w:name="_Toc304295566"/>
      <w:bookmarkStart w:id="329" w:name="_Toc297216199"/>
      <w:bookmarkStart w:id="330" w:name="_Toc296891021"/>
      <w:bookmarkStart w:id="331" w:name="_Toc292559398"/>
      <w:bookmarkStart w:id="332" w:name="_Toc303539146"/>
      <w:bookmarkStart w:id="333" w:name="_Toc297120493"/>
      <w:bookmarkStart w:id="334" w:name="_Toc297048379"/>
      <w:bookmarkStart w:id="335" w:name="_Toc297123540"/>
      <w:bookmarkStart w:id="336" w:name="_Toc296503193"/>
      <w:bookmarkStart w:id="337" w:name="_Toc296891233"/>
      <w:bookmarkStart w:id="338" w:name="_Toc296347192"/>
      <w:bookmarkStart w:id="339" w:name="_Toc292559903"/>
      <w:bookmarkStart w:id="340" w:name="_Toc296346694"/>
      <w:bookmarkStart w:id="341" w:name="_Toc312678025"/>
      <w:bookmarkStart w:id="342" w:name="_Toc312677499"/>
      <w:bookmarkStart w:id="343" w:name="_Toc267251433"/>
      <w:bookmarkStart w:id="344" w:name="_Toc267251439"/>
      <w:bookmarkStart w:id="345" w:name="_Toc267251435"/>
      <w:bookmarkStart w:id="346" w:name="_Toc267251437"/>
      <w:bookmarkStart w:id="347" w:name="_Toc267251441"/>
      <w:bookmarkStart w:id="348" w:name="_Toc267251440"/>
      <w:bookmarkStart w:id="349" w:name="_Toc267251442"/>
      <w:r>
        <w:rPr>
          <w:rFonts w:hint="eastAsia" w:ascii="宋体" w:hAnsi="宋体" w:eastAsia="宋体" w:cs="宋体"/>
          <w:bCs/>
          <w:color w:val="auto"/>
          <w:sz w:val="21"/>
          <w:szCs w:val="21"/>
        </w:rPr>
        <w:t>0. 变更</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bookmarkEnd w:id="341"/>
    <w:bookmarkEnd w:id="342"/>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1</w:t>
      </w:r>
      <w:bookmarkStart w:id="350" w:name="_Toc292559904"/>
      <w:bookmarkStart w:id="351" w:name="_Toc296891234"/>
      <w:bookmarkStart w:id="352" w:name="_Toc296503194"/>
      <w:bookmarkStart w:id="353" w:name="_Toc292559399"/>
      <w:bookmarkStart w:id="354" w:name="_Toc297216200"/>
      <w:bookmarkStart w:id="355" w:name="_Toc296346695"/>
      <w:bookmarkStart w:id="356" w:name="_Toc304295567"/>
      <w:bookmarkStart w:id="357" w:name="_Toc312677500"/>
      <w:bookmarkStart w:id="358" w:name="_Toc296891022"/>
      <w:bookmarkStart w:id="359" w:name="_Toc303539147"/>
      <w:bookmarkStart w:id="360" w:name="_Toc296347193"/>
      <w:bookmarkStart w:id="361" w:name="_Toc300934990"/>
      <w:bookmarkStart w:id="362" w:name="_Toc312678026"/>
      <w:bookmarkStart w:id="363" w:name="_Toc296944533"/>
      <w:bookmarkStart w:id="364" w:name="_Toc297048380"/>
      <w:bookmarkStart w:id="365" w:name="_Toc297120494"/>
      <w:bookmarkStart w:id="366" w:name="_Toc297123541"/>
      <w:r>
        <w:rPr>
          <w:rFonts w:hint="eastAsia" w:ascii="宋体" w:hAnsi="宋体" w:eastAsia="宋体" w:cs="宋体"/>
          <w:bCs/>
          <w:color w:val="auto"/>
          <w:sz w:val="21"/>
          <w:szCs w:val="21"/>
        </w:rPr>
        <w:t>0.1变更的范围</w:t>
      </w:r>
    </w:p>
    <w:p>
      <w:pPr>
        <w:adjustRightInd w:val="0"/>
        <w:snapToGrid w:val="0"/>
        <w:spacing w:line="336" w:lineRule="auto"/>
        <w:ind w:firstLine="600"/>
        <w:jc w:val="left"/>
        <w:rPr>
          <w:rFonts w:ascii="宋体" w:hAnsi="宋体" w:eastAsia="宋体" w:cs="宋体"/>
          <w:bCs/>
          <w:color w:val="auto"/>
          <w:sz w:val="21"/>
          <w:szCs w:val="21"/>
          <w:u w:val="single"/>
        </w:rPr>
      </w:pPr>
      <w:r>
        <w:rPr>
          <w:rFonts w:hint="eastAsia" w:ascii="宋体" w:hAnsi="宋体" w:eastAsia="宋体" w:cs="宋体"/>
          <w:bCs/>
          <w:color w:val="auto"/>
          <w:sz w:val="21"/>
          <w:szCs w:val="21"/>
        </w:rPr>
        <w:t>关于变更的范围的约定：</w:t>
      </w:r>
    </w:p>
    <w:p>
      <w:pPr>
        <w:adjustRightInd w:val="0"/>
        <w:snapToGrid w:val="0"/>
        <w:spacing w:line="336" w:lineRule="auto"/>
        <w:ind w:firstLine="600"/>
        <w:jc w:val="left"/>
        <w:rPr>
          <w:rFonts w:ascii="宋体" w:hAnsi="宋体" w:eastAsia="宋体" w:cs="宋体"/>
          <w:bCs/>
          <w:color w:val="auto"/>
          <w:sz w:val="21"/>
          <w:szCs w:val="21"/>
          <w:u w:val="single"/>
        </w:rPr>
      </w:pPr>
      <w:r>
        <w:rPr>
          <w:rFonts w:hint="eastAsia" w:ascii="宋体" w:hAnsi="宋体" w:eastAsia="宋体" w:cs="宋体"/>
          <w:color w:val="auto"/>
          <w:sz w:val="21"/>
          <w:szCs w:val="21"/>
          <w:u w:val="single"/>
        </w:rPr>
        <w:t>按合同通用条款。工程变更引起工程量的减少或增加，承包人不得因此拒绝施工</w:t>
      </w:r>
      <w:r>
        <w:rPr>
          <w:rFonts w:hint="eastAsia" w:ascii="宋体" w:hAnsi="宋体" w:eastAsia="宋体" w:cs="宋体"/>
          <w:bCs/>
          <w:color w:val="auto"/>
          <w:sz w:val="21"/>
          <w:szCs w:val="21"/>
          <w:u w:val="single"/>
        </w:rPr>
        <w:t>。</w:t>
      </w:r>
    </w:p>
    <w:p>
      <w:pPr>
        <w:adjustRightInd w:val="0"/>
        <w:snapToGrid w:val="0"/>
        <w:spacing w:line="336" w:lineRule="auto"/>
        <w:ind w:firstLine="600"/>
        <w:jc w:val="left"/>
        <w:rPr>
          <w:rFonts w:ascii="宋体" w:hAnsi="宋体" w:eastAsia="宋体" w:cs="宋体"/>
          <w:bCs/>
          <w:color w:val="auto"/>
          <w:sz w:val="21"/>
          <w:szCs w:val="21"/>
        </w:rPr>
      </w:pPr>
      <w:r>
        <w:rPr>
          <w:rFonts w:hint="eastAsia" w:ascii="宋体" w:hAnsi="宋体" w:eastAsia="宋体" w:cs="宋体"/>
          <w:b/>
          <w:bCs/>
          <w:color w:val="auto"/>
          <w:sz w:val="21"/>
          <w:szCs w:val="21"/>
          <w:u w:val="single"/>
        </w:rPr>
        <w:t>当事人符合浙财采监[2017]11号《浙江省财政厅关于印发浙江省政府采购合同暂行办法的通知》第二十条规定的，经协商一致后可变更合同，并签书面补充协议报政府采购监督管理部门备案，方可作为主合同不可分割的一部分。</w:t>
      </w:r>
    </w:p>
    <w:p>
      <w:pPr>
        <w:adjustRightInd w:val="0"/>
        <w:snapToGrid w:val="0"/>
        <w:spacing w:line="336" w:lineRule="auto"/>
        <w:ind w:firstLine="420" w:firstLineChars="200"/>
        <w:outlineLvl w:val="0"/>
        <w:rPr>
          <w:rFonts w:ascii="宋体" w:hAnsi="宋体" w:eastAsia="宋体" w:cs="宋体"/>
          <w:bCs/>
          <w:color w:val="auto"/>
          <w:sz w:val="21"/>
          <w:szCs w:val="21"/>
        </w:rPr>
      </w:pPr>
      <w:r>
        <w:rPr>
          <w:rFonts w:hint="eastAsia" w:ascii="宋体" w:hAnsi="宋体" w:eastAsia="宋体" w:cs="宋体"/>
          <w:bCs/>
          <w:color w:val="auto"/>
          <w:sz w:val="21"/>
          <w:szCs w:val="21"/>
        </w:rPr>
        <w:t>10.4 变更估价</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10.4.1 变更估价原则</w:t>
      </w:r>
    </w:p>
    <w:p>
      <w:pPr>
        <w:adjustRightInd w:val="0"/>
        <w:snapToGrid w:val="0"/>
        <w:spacing w:line="336" w:lineRule="auto"/>
        <w:ind w:firstLine="420" w:firstLineChars="200"/>
        <w:jc w:val="left"/>
        <w:rPr>
          <w:rFonts w:ascii="宋体" w:hAnsi="宋体" w:eastAsia="宋体" w:cs="宋体"/>
          <w:bCs/>
          <w:color w:val="auto"/>
          <w:sz w:val="21"/>
          <w:szCs w:val="21"/>
          <w:u w:val="single"/>
        </w:rPr>
      </w:pPr>
      <w:r>
        <w:rPr>
          <w:rFonts w:hint="eastAsia" w:ascii="宋体" w:hAnsi="宋体" w:eastAsia="宋体" w:cs="宋体"/>
          <w:bCs/>
          <w:color w:val="auto"/>
          <w:sz w:val="21"/>
          <w:szCs w:val="21"/>
        </w:rPr>
        <w:t>关于变更估价的约定:</w:t>
      </w:r>
      <w:r>
        <w:rPr>
          <w:rFonts w:hint="eastAsia" w:ascii="宋体" w:hAnsi="宋体" w:eastAsia="宋体" w:cs="宋体"/>
          <w:bCs/>
          <w:color w:val="auto"/>
          <w:sz w:val="21"/>
          <w:szCs w:val="21"/>
          <w:u w:val="single"/>
        </w:rPr>
        <w:t xml:space="preserve">政府采购合同履行中，采购人需要追加与合同标的相同的货物、工程或者服务的，在不改变合同其他条款的前提下，可以与中标、成交供应商协商签订补充合同，但所有补充合同的采购金额不得超过原合同采购金额的10%。 </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1</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Start w:id="367" w:name="_Toc296347196"/>
      <w:bookmarkStart w:id="368" w:name="_Toc297048383"/>
      <w:bookmarkStart w:id="369" w:name="_Toc303539150"/>
      <w:bookmarkStart w:id="370" w:name="_Toc296503197"/>
      <w:bookmarkStart w:id="371" w:name="_Toc297123544"/>
      <w:bookmarkStart w:id="372" w:name="_Toc297120497"/>
      <w:bookmarkStart w:id="373" w:name="_Toc292559402"/>
      <w:bookmarkStart w:id="374" w:name="_Toc296346698"/>
      <w:bookmarkStart w:id="375" w:name="_Toc300934993"/>
      <w:bookmarkStart w:id="376" w:name="_Toc296891237"/>
      <w:bookmarkStart w:id="377" w:name="_Toc296944536"/>
      <w:bookmarkStart w:id="378" w:name="_Toc292559907"/>
      <w:bookmarkStart w:id="379" w:name="_Toc296891025"/>
      <w:bookmarkStart w:id="380" w:name="_Toc297216203"/>
      <w:bookmarkStart w:id="381" w:name="_Toc304295570"/>
      <w:bookmarkStart w:id="382" w:name="_Toc312678029"/>
      <w:bookmarkStart w:id="383" w:name="_Toc312677503"/>
      <w:r>
        <w:rPr>
          <w:rFonts w:hint="eastAsia" w:ascii="宋体" w:hAnsi="宋体" w:eastAsia="宋体" w:cs="宋体"/>
          <w:bCs/>
          <w:color w:val="auto"/>
          <w:sz w:val="21"/>
          <w:szCs w:val="21"/>
        </w:rPr>
        <w:t>0.5承</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Start w:id="384" w:name="_Toc303539151"/>
      <w:bookmarkStart w:id="385" w:name="_Toc300934994"/>
      <w:bookmarkStart w:id="386" w:name="_Toc296944542"/>
      <w:bookmarkStart w:id="387" w:name="_Toc296347202"/>
      <w:bookmarkStart w:id="388" w:name="_Toc296891243"/>
      <w:bookmarkStart w:id="389" w:name="_Toc296503203"/>
      <w:bookmarkStart w:id="390" w:name="_Toc292559408"/>
      <w:bookmarkStart w:id="391" w:name="_Toc296346704"/>
      <w:bookmarkStart w:id="392" w:name="_Toc297048389"/>
      <w:bookmarkStart w:id="393" w:name="_Toc297123545"/>
      <w:bookmarkStart w:id="394" w:name="_Toc297120503"/>
      <w:bookmarkStart w:id="395" w:name="_Toc296891031"/>
      <w:bookmarkStart w:id="396" w:name="_Toc292559913"/>
      <w:bookmarkStart w:id="397" w:name="_Toc297216204"/>
      <w:r>
        <w:rPr>
          <w:rFonts w:hint="eastAsia" w:ascii="宋体" w:hAnsi="宋体" w:eastAsia="宋体" w:cs="宋体"/>
          <w:bCs/>
          <w:color w:val="auto"/>
          <w:sz w:val="21"/>
          <w:szCs w:val="21"/>
        </w:rPr>
        <w:t>包人的合理化建议</w:t>
      </w:r>
    </w:p>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监理人审查承包人合理化建议的期限：</w:t>
      </w:r>
      <w:r>
        <w:rPr>
          <w:rFonts w:hint="eastAsia" w:ascii="宋体" w:hAnsi="宋体" w:eastAsia="宋体" w:cs="宋体"/>
          <w:bCs/>
          <w:color w:val="auto"/>
          <w:sz w:val="21"/>
          <w:szCs w:val="21"/>
          <w:u w:val="single"/>
        </w:rPr>
        <w:t xml:space="preserve"> </w:t>
      </w:r>
      <w:r>
        <w:rPr>
          <w:rFonts w:hint="eastAsia" w:ascii="宋体" w:hAnsi="宋体" w:eastAsia="宋体" w:cs="宋体"/>
          <w:color w:val="auto"/>
          <w:sz w:val="21"/>
          <w:szCs w:val="21"/>
          <w:u w:val="single"/>
        </w:rPr>
        <w:t>按通用条款执行</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发包人审批承包人合理化建议的期限：</w:t>
      </w:r>
      <w:r>
        <w:rPr>
          <w:rFonts w:hint="eastAsia" w:ascii="宋体" w:hAnsi="宋体" w:eastAsia="宋体" w:cs="宋体"/>
          <w:bCs/>
          <w:color w:val="auto"/>
          <w:sz w:val="21"/>
          <w:szCs w:val="21"/>
          <w:u w:val="single"/>
        </w:rPr>
        <w:t xml:space="preserve">  </w:t>
      </w:r>
      <w:r>
        <w:rPr>
          <w:rFonts w:hint="eastAsia" w:ascii="宋体" w:hAnsi="宋体" w:eastAsia="宋体" w:cs="宋体"/>
          <w:color w:val="auto"/>
          <w:sz w:val="21"/>
          <w:szCs w:val="21"/>
          <w:u w:val="single"/>
        </w:rPr>
        <w:t>按通用条款执行</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w:t>
      </w:r>
    </w:p>
    <w:p>
      <w:pPr>
        <w:adjustRightInd w:val="0"/>
        <w:snapToGrid w:val="0"/>
        <w:spacing w:line="336" w:lineRule="auto"/>
        <w:ind w:firstLine="420" w:firstLineChars="200"/>
        <w:jc w:val="left"/>
        <w:rPr>
          <w:rFonts w:ascii="宋体" w:hAnsi="宋体" w:eastAsia="宋体" w:cs="宋体"/>
          <w:bCs/>
          <w:color w:val="auto"/>
          <w:sz w:val="21"/>
          <w:szCs w:val="21"/>
          <w:u w:val="single"/>
        </w:rPr>
      </w:pPr>
      <w:r>
        <w:rPr>
          <w:rFonts w:hint="eastAsia" w:ascii="宋体" w:hAnsi="宋体" w:eastAsia="宋体" w:cs="宋体"/>
          <w:bCs/>
          <w:color w:val="auto"/>
          <w:sz w:val="21"/>
          <w:szCs w:val="21"/>
        </w:rPr>
        <w:t>承</w:t>
      </w:r>
      <w:bookmarkStart w:id="398" w:name="_Toc297048390"/>
      <w:bookmarkStart w:id="399" w:name="_Toc303539152"/>
      <w:bookmarkStart w:id="400" w:name="_Toc292559409"/>
      <w:bookmarkStart w:id="401" w:name="_Toc296891032"/>
      <w:bookmarkStart w:id="402" w:name="_Toc304295571"/>
      <w:bookmarkStart w:id="403" w:name="_Toc297123546"/>
      <w:bookmarkStart w:id="404" w:name="_Toc296891244"/>
      <w:bookmarkStart w:id="405" w:name="_Toc318581175"/>
      <w:bookmarkStart w:id="406" w:name="_Toc312678030"/>
      <w:bookmarkStart w:id="407" w:name="_Toc296347203"/>
      <w:bookmarkStart w:id="408" w:name="_Toc312677504"/>
      <w:bookmarkStart w:id="409" w:name="_Toc297216205"/>
      <w:bookmarkStart w:id="410" w:name="_Toc296346705"/>
      <w:bookmarkStart w:id="411" w:name="_Toc297120504"/>
      <w:bookmarkStart w:id="412" w:name="_Toc292559914"/>
      <w:bookmarkStart w:id="413" w:name="_Toc296503204"/>
      <w:bookmarkStart w:id="414" w:name="_Toc300934995"/>
      <w:bookmarkStart w:id="415" w:name="_Toc296944543"/>
      <w:r>
        <w:rPr>
          <w:rFonts w:hint="eastAsia" w:ascii="宋体" w:hAnsi="宋体" w:eastAsia="宋体" w:cs="宋体"/>
          <w:bCs/>
          <w:color w:val="auto"/>
          <w:sz w:val="21"/>
          <w:szCs w:val="21"/>
        </w:rPr>
        <w:t>包人提出的合理化建议降低了合同价格或者提高了工程经济效益的奖励的方法和金额为：</w:t>
      </w:r>
      <w:r>
        <w:rPr>
          <w:rFonts w:hint="eastAsia" w:ascii="宋体" w:hAnsi="宋体" w:eastAsia="宋体" w:cs="宋体"/>
          <w:bCs/>
          <w:color w:val="auto"/>
          <w:sz w:val="21"/>
          <w:szCs w:val="21"/>
          <w:u w:val="single"/>
        </w:rPr>
        <w:t xml:space="preserve">    /    </w:t>
      </w:r>
      <w:r>
        <w:rPr>
          <w:rFonts w:hint="eastAsia" w:ascii="宋体" w:hAnsi="宋体" w:eastAsia="宋体" w:cs="宋体"/>
          <w:bCs/>
          <w:color w:val="auto"/>
          <w:sz w:val="21"/>
          <w:szCs w:val="21"/>
        </w:rPr>
        <w:t>。</w:t>
      </w:r>
    </w:p>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Pr>
        <w:adjustRightInd w:val="0"/>
        <w:snapToGrid w:val="0"/>
        <w:spacing w:line="336" w:lineRule="auto"/>
        <w:ind w:firstLine="420" w:firstLineChars="200"/>
        <w:outlineLvl w:val="0"/>
        <w:rPr>
          <w:rFonts w:ascii="宋体" w:hAnsi="宋体" w:eastAsia="宋体" w:cs="宋体"/>
          <w:bCs/>
          <w:color w:val="auto"/>
          <w:sz w:val="21"/>
          <w:szCs w:val="21"/>
        </w:rPr>
      </w:pPr>
      <w:r>
        <w:rPr>
          <w:rFonts w:hint="eastAsia" w:ascii="宋体" w:hAnsi="宋体" w:eastAsia="宋体" w:cs="宋体"/>
          <w:bCs/>
          <w:color w:val="auto"/>
          <w:sz w:val="21"/>
          <w:szCs w:val="21"/>
        </w:rPr>
        <w:t>1</w:t>
      </w:r>
      <w:bookmarkStart w:id="416" w:name="_Toc297048385"/>
      <w:bookmarkStart w:id="417" w:name="_Toc297216207"/>
      <w:bookmarkStart w:id="418" w:name="_Toc292559404"/>
      <w:bookmarkStart w:id="419" w:name="_Toc296891027"/>
      <w:bookmarkStart w:id="420" w:name="_Toc296944538"/>
      <w:bookmarkStart w:id="421" w:name="_Toc312678033"/>
      <w:bookmarkStart w:id="422" w:name="_Toc296891239"/>
      <w:bookmarkStart w:id="423" w:name="_Toc292559909"/>
      <w:bookmarkStart w:id="424" w:name="_Toc297120499"/>
      <w:bookmarkStart w:id="425" w:name="_Toc297123548"/>
      <w:bookmarkStart w:id="426" w:name="_Toc304295574"/>
      <w:bookmarkStart w:id="427" w:name="_Toc312677507"/>
      <w:bookmarkStart w:id="428" w:name="_Toc300934997"/>
      <w:bookmarkStart w:id="429" w:name="_Toc296503199"/>
      <w:bookmarkStart w:id="430" w:name="_Toc296346700"/>
      <w:bookmarkStart w:id="431" w:name="_Toc296347198"/>
      <w:bookmarkStart w:id="432" w:name="_Toc303539154"/>
      <w:r>
        <w:rPr>
          <w:rFonts w:hint="eastAsia" w:ascii="宋体" w:hAnsi="宋体" w:eastAsia="宋体" w:cs="宋体"/>
          <w:bCs/>
          <w:color w:val="auto"/>
          <w:sz w:val="21"/>
          <w:szCs w:val="21"/>
        </w:rPr>
        <w:t>0.7 暂估价</w:t>
      </w:r>
    </w:p>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1</w:t>
      </w:r>
      <w:bookmarkStart w:id="433" w:name="_Toc312677509"/>
      <w:bookmarkStart w:id="434" w:name="_Toc312678035"/>
      <w:bookmarkStart w:id="435" w:name="_Toc318581177"/>
      <w:r>
        <w:rPr>
          <w:rFonts w:hint="eastAsia" w:ascii="宋体" w:hAnsi="宋体" w:eastAsia="宋体" w:cs="宋体"/>
          <w:bCs/>
          <w:color w:val="auto"/>
          <w:sz w:val="21"/>
          <w:szCs w:val="21"/>
        </w:rPr>
        <w:t>0.7.1 依法必须采购的暂估价项目</w:t>
      </w:r>
    </w:p>
    <w:bookmarkEnd w:id="433"/>
    <w:bookmarkEnd w:id="434"/>
    <w:bookmarkEnd w:id="435"/>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对于依法必须采购的暂估价项目的确认和批准采取第</w:t>
      </w:r>
      <w:r>
        <w:rPr>
          <w:rFonts w:hint="eastAsia" w:ascii="宋体" w:hAnsi="宋体" w:eastAsia="宋体" w:cs="宋体"/>
          <w:bCs/>
          <w:color w:val="auto"/>
          <w:sz w:val="21"/>
          <w:szCs w:val="21"/>
          <w:u w:val="single"/>
        </w:rPr>
        <w:t xml:space="preserve">  /  </w:t>
      </w:r>
      <w:r>
        <w:rPr>
          <w:rFonts w:hint="eastAsia" w:ascii="宋体" w:hAnsi="宋体" w:eastAsia="宋体" w:cs="宋体"/>
          <w:bCs/>
          <w:color w:val="auto"/>
          <w:sz w:val="21"/>
          <w:szCs w:val="21"/>
        </w:rPr>
        <w:t>种方式确定。</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10.7.2 不属于依法必须采购的暂估价项目</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对于不属于依法必须采购的暂估价项目的确认和批准采取第</w:t>
      </w:r>
      <w:r>
        <w:rPr>
          <w:rFonts w:hint="eastAsia" w:ascii="宋体" w:hAnsi="宋体" w:eastAsia="宋体" w:cs="宋体"/>
          <w:bCs/>
          <w:color w:val="auto"/>
          <w:sz w:val="21"/>
          <w:szCs w:val="21"/>
          <w:u w:val="single"/>
        </w:rPr>
        <w:t xml:space="preserve">  / </w:t>
      </w:r>
      <w:r>
        <w:rPr>
          <w:rFonts w:hint="eastAsia" w:ascii="宋体" w:hAnsi="宋体" w:eastAsia="宋体" w:cs="宋体"/>
          <w:bCs/>
          <w:color w:val="auto"/>
          <w:sz w:val="21"/>
          <w:szCs w:val="21"/>
        </w:rPr>
        <w:t xml:space="preserve"> 种方式确定。</w:t>
      </w:r>
    </w:p>
    <w:p>
      <w:pPr>
        <w:adjustRightInd w:val="0"/>
        <w:snapToGrid w:val="0"/>
        <w:spacing w:line="336" w:lineRule="auto"/>
        <w:ind w:firstLine="420" w:firstLineChars="200"/>
        <w:jc w:val="left"/>
        <w:rPr>
          <w:rFonts w:ascii="宋体" w:hAnsi="宋体" w:eastAsia="宋体" w:cs="宋体"/>
          <w:bCs/>
          <w:color w:val="auto"/>
          <w:kern w:val="0"/>
          <w:sz w:val="21"/>
          <w:szCs w:val="21"/>
        </w:rPr>
      </w:pPr>
      <w:r>
        <w:rPr>
          <w:rFonts w:hint="eastAsia" w:ascii="宋体" w:hAnsi="宋体" w:eastAsia="宋体" w:cs="宋体"/>
          <w:bCs/>
          <w:color w:val="auto"/>
          <w:sz w:val="21"/>
          <w:szCs w:val="21"/>
        </w:rPr>
        <w:t>第3种方式：</w:t>
      </w:r>
      <w:r>
        <w:rPr>
          <w:rFonts w:hint="eastAsia" w:ascii="宋体" w:hAnsi="宋体" w:eastAsia="宋体" w:cs="宋体"/>
          <w:bCs/>
          <w:color w:val="auto"/>
          <w:kern w:val="0"/>
          <w:sz w:val="21"/>
          <w:szCs w:val="21"/>
        </w:rPr>
        <w:t>承包人直接实施的暂估价项目</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承包人直接实施的暂估价项目的约定：</w:t>
      </w:r>
      <w:r>
        <w:rPr>
          <w:rFonts w:hint="eastAsia" w:ascii="宋体" w:hAnsi="宋体" w:eastAsia="宋体" w:cs="宋体"/>
          <w:bCs/>
          <w:color w:val="auto"/>
          <w:sz w:val="21"/>
          <w:szCs w:val="21"/>
          <w:u w:val="single"/>
        </w:rPr>
        <w:t xml:space="preserve">    /    </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10.8 暂列金额</w:t>
      </w:r>
    </w:p>
    <w:p>
      <w:pPr>
        <w:autoSpaceDE w:val="0"/>
        <w:autoSpaceDN w:val="0"/>
        <w:adjustRightInd w:val="0"/>
        <w:snapToGrid w:val="0"/>
        <w:spacing w:line="336" w:lineRule="auto"/>
        <w:ind w:firstLine="420" w:firstLineChars="200"/>
        <w:jc w:val="left"/>
        <w:rPr>
          <w:rFonts w:ascii="宋体" w:hAnsi="宋体" w:eastAsia="宋体" w:cs="宋体"/>
          <w:bCs/>
          <w:color w:val="auto"/>
          <w:kern w:val="0"/>
          <w:sz w:val="21"/>
          <w:szCs w:val="21"/>
        </w:rPr>
      </w:pPr>
      <w:r>
        <w:rPr>
          <w:rFonts w:hint="eastAsia" w:ascii="宋体" w:hAnsi="宋体" w:eastAsia="宋体" w:cs="宋体"/>
          <w:bCs/>
          <w:color w:val="auto"/>
          <w:kern w:val="0"/>
          <w:sz w:val="21"/>
          <w:szCs w:val="21"/>
        </w:rPr>
        <w:t>合同当事人关于暂列金额使用的约定：</w:t>
      </w:r>
      <w:r>
        <w:rPr>
          <w:rFonts w:hint="eastAsia" w:ascii="宋体" w:hAnsi="宋体" w:eastAsia="宋体" w:cs="宋体"/>
          <w:bCs/>
          <w:color w:val="auto"/>
          <w:sz w:val="21"/>
          <w:szCs w:val="21"/>
          <w:u w:val="single"/>
        </w:rPr>
        <w:t xml:space="preserve">   /    </w:t>
      </w:r>
      <w:r>
        <w:rPr>
          <w:rFonts w:hint="eastAsia" w:ascii="宋体" w:hAnsi="宋体" w:eastAsia="宋体" w:cs="宋体"/>
          <w:bCs/>
          <w:color w:val="auto"/>
          <w:kern w:val="0"/>
          <w:sz w:val="21"/>
          <w:szCs w:val="21"/>
        </w:rPr>
        <w:t>。</w:t>
      </w:r>
    </w:p>
    <w:p>
      <w:pPr>
        <w:adjustRightInd w:val="0"/>
        <w:snapToGrid w:val="0"/>
        <w:spacing w:line="336" w:lineRule="auto"/>
        <w:rPr>
          <w:rFonts w:ascii="宋体" w:hAnsi="宋体" w:eastAsia="宋体" w:cs="宋体"/>
          <w:bCs/>
          <w:color w:val="auto"/>
          <w:sz w:val="21"/>
          <w:szCs w:val="21"/>
        </w:rPr>
      </w:pPr>
      <w:bookmarkStart w:id="436" w:name="_Toc351203643"/>
      <w:r>
        <w:rPr>
          <w:rFonts w:hint="eastAsia" w:ascii="宋体" w:hAnsi="宋体" w:eastAsia="宋体" w:cs="宋体"/>
          <w:bCs/>
          <w:color w:val="auto"/>
          <w:sz w:val="21"/>
          <w:szCs w:val="21"/>
        </w:rPr>
        <w:t>11. 价格调整</w:t>
      </w:r>
      <w:bookmarkEnd w:id="436"/>
    </w:p>
    <w:bookmarkEnd w:id="343"/>
    <w:bookmarkEnd w:id="344"/>
    <w:bookmarkEnd w:id="345"/>
    <w:bookmarkEnd w:id="346"/>
    <w:bookmarkEnd w:id="347"/>
    <w:bookmarkEnd w:id="348"/>
    <w:p>
      <w:pPr>
        <w:adjustRightInd w:val="0"/>
        <w:snapToGrid w:val="0"/>
        <w:spacing w:line="336" w:lineRule="auto"/>
        <w:ind w:firstLine="420" w:firstLineChars="200"/>
        <w:rPr>
          <w:rFonts w:ascii="宋体" w:hAnsi="宋体" w:eastAsia="宋体" w:cs="宋体"/>
          <w:color w:val="auto"/>
          <w:sz w:val="21"/>
          <w:szCs w:val="21"/>
        </w:rPr>
      </w:pPr>
      <w:bookmarkStart w:id="437" w:name="_Toc303539157"/>
      <w:bookmarkStart w:id="438" w:name="_Toc312678039"/>
      <w:bookmarkStart w:id="439" w:name="_Toc296891029"/>
      <w:bookmarkStart w:id="440" w:name="_Toc300935000"/>
      <w:bookmarkStart w:id="441" w:name="_Toc296503201"/>
      <w:bookmarkStart w:id="442" w:name="_Toc304295577"/>
      <w:bookmarkStart w:id="443" w:name="_Toc297120501"/>
      <w:bookmarkStart w:id="444" w:name="_Toc297048387"/>
      <w:bookmarkStart w:id="445" w:name="_Toc296891241"/>
      <w:bookmarkStart w:id="446" w:name="_Toc297123550"/>
      <w:bookmarkStart w:id="447" w:name="_Toc292559911"/>
      <w:bookmarkStart w:id="448" w:name="_Toc296347200"/>
      <w:bookmarkStart w:id="449" w:name="_Toc297216209"/>
      <w:bookmarkStart w:id="450" w:name="_Toc296944540"/>
      <w:bookmarkStart w:id="451" w:name="_Toc292559406"/>
      <w:bookmarkStart w:id="452" w:name="_Toc296346702"/>
      <w:bookmarkStart w:id="453" w:name="_Toc296347204"/>
      <w:bookmarkStart w:id="454" w:name="_Toc292559410"/>
      <w:bookmarkStart w:id="455" w:name="_Toc297120505"/>
      <w:bookmarkStart w:id="456" w:name="_Toc296944544"/>
      <w:bookmarkStart w:id="457" w:name="_Toc296891245"/>
      <w:bookmarkStart w:id="458" w:name="_Toc296891033"/>
      <w:bookmarkStart w:id="459" w:name="_Toc297048391"/>
      <w:bookmarkStart w:id="460" w:name="_Toc296346706"/>
      <w:bookmarkStart w:id="461" w:name="_Toc296503205"/>
      <w:bookmarkStart w:id="462" w:name="_Toc292559915"/>
      <w:bookmarkStart w:id="463" w:name="_Toc351203644"/>
      <w:bookmarkStart w:id="464" w:name="_Toc304295579"/>
      <w:bookmarkStart w:id="465" w:name="_Toc297123552"/>
      <w:bookmarkStart w:id="466" w:name="_Toc312678040"/>
      <w:bookmarkStart w:id="467" w:name="_Toc297216211"/>
      <w:bookmarkStart w:id="468" w:name="_Toc303539159"/>
      <w:bookmarkStart w:id="469" w:name="_Toc300935002"/>
      <w:r>
        <w:rPr>
          <w:rFonts w:hint="eastAsia" w:ascii="宋体" w:hAnsi="宋体" w:eastAsia="宋体" w:cs="宋体"/>
          <w:bCs/>
          <w:color w:val="auto"/>
          <w:kern w:val="0"/>
          <w:sz w:val="21"/>
          <w:szCs w:val="21"/>
        </w:rPr>
        <w:t>11.1 市场价格</w:t>
      </w:r>
      <w:r>
        <w:rPr>
          <w:rFonts w:hint="eastAsia" w:ascii="宋体" w:hAnsi="宋体" w:eastAsia="宋体" w:cs="宋体"/>
          <w:color w:val="auto"/>
          <w:sz w:val="21"/>
          <w:szCs w:val="21"/>
        </w:rPr>
        <w:t>波动引起的调整</w:t>
      </w:r>
    </w:p>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Pr>
        <w:adjustRightInd w:val="0"/>
        <w:snapToGrid w:val="0"/>
        <w:spacing w:line="336" w:lineRule="auto"/>
        <w:ind w:firstLine="420" w:firstLineChars="200"/>
        <w:rPr>
          <w:rFonts w:ascii="宋体" w:hAnsi="宋体" w:eastAsia="宋体" w:cs="宋体"/>
          <w:i/>
          <w:color w:val="auto"/>
          <w:sz w:val="21"/>
          <w:szCs w:val="21"/>
          <w:u w:val="single"/>
        </w:rPr>
      </w:pPr>
      <w:r>
        <w:rPr>
          <w:rFonts w:hint="eastAsia" w:ascii="宋体" w:hAnsi="宋体" w:eastAsia="宋体" w:cs="宋体"/>
          <w:color w:val="auto"/>
          <w:sz w:val="21"/>
          <w:szCs w:val="21"/>
        </w:rPr>
        <w:t>市场价格波动是否调整合同价格的约定：</w:t>
      </w:r>
      <w:r>
        <w:rPr>
          <w:rFonts w:hint="eastAsia" w:ascii="宋体" w:hAnsi="宋体" w:eastAsia="宋体" w:cs="宋体"/>
          <w:iCs/>
          <w:color w:val="auto"/>
          <w:sz w:val="21"/>
          <w:szCs w:val="21"/>
          <w:u w:val="single"/>
        </w:rPr>
        <w:t>不作调整。</w:t>
      </w:r>
    </w:p>
    <w:p>
      <w:pPr>
        <w:adjustRightInd w:val="0"/>
        <w:snapToGrid w:val="0"/>
        <w:spacing w:line="336"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因市场价格波动调整合同价格，采用以下第</w:t>
      </w:r>
      <w:r>
        <w:rPr>
          <w:rFonts w:hint="eastAsia" w:ascii="宋体" w:hAnsi="宋体" w:eastAsia="宋体" w:cs="宋体"/>
          <w:color w:val="auto"/>
          <w:sz w:val="21"/>
          <w:szCs w:val="21"/>
          <w:u w:val="single"/>
        </w:rPr>
        <w:t xml:space="preserve">  3　 </w:t>
      </w:r>
      <w:r>
        <w:rPr>
          <w:rFonts w:hint="eastAsia" w:ascii="宋体" w:hAnsi="宋体" w:eastAsia="宋体" w:cs="宋体"/>
          <w:color w:val="auto"/>
          <w:sz w:val="21"/>
          <w:szCs w:val="21"/>
        </w:rPr>
        <w:t>种方式对合同价格进行调整：</w:t>
      </w:r>
    </w:p>
    <w:p>
      <w:pPr>
        <w:snapToGrid w:val="0"/>
        <w:spacing w:line="336" w:lineRule="auto"/>
        <w:ind w:firstLine="420" w:firstLineChars="200"/>
        <w:rPr>
          <w:rFonts w:ascii="宋体" w:hAnsi="宋体" w:eastAsia="宋体" w:cs="宋体"/>
          <w:color w:val="auto"/>
          <w:sz w:val="21"/>
          <w:szCs w:val="21"/>
        </w:rPr>
      </w:pPr>
      <w:r>
        <w:rPr>
          <w:rFonts w:hint="eastAsia" w:ascii="宋体" w:hAnsi="宋体" w:eastAsia="宋体" w:cs="宋体"/>
          <w:bCs/>
          <w:color w:val="auto"/>
          <w:kern w:val="0"/>
          <w:sz w:val="21"/>
          <w:szCs w:val="21"/>
        </w:rPr>
        <w:t>第1种方式：采用价</w:t>
      </w:r>
      <w:r>
        <w:rPr>
          <w:rFonts w:hint="eastAsia" w:ascii="宋体" w:hAnsi="宋体" w:eastAsia="宋体" w:cs="宋体"/>
          <w:color w:val="auto"/>
          <w:sz w:val="21"/>
          <w:szCs w:val="21"/>
        </w:rPr>
        <w:t>格指数进行价格调整。</w:t>
      </w:r>
    </w:p>
    <w:p>
      <w:pPr>
        <w:snapToGrid w:val="0"/>
        <w:spacing w:line="336" w:lineRule="auto"/>
        <w:ind w:firstLine="420" w:firstLineChars="200"/>
        <w:rPr>
          <w:rFonts w:ascii="宋体" w:hAnsi="宋体" w:eastAsia="宋体" w:cs="宋体"/>
          <w:color w:val="auto"/>
          <w:sz w:val="21"/>
          <w:szCs w:val="21"/>
          <w:u w:val="single"/>
        </w:rPr>
      </w:pPr>
      <w:r>
        <w:rPr>
          <w:rFonts w:hint="eastAsia" w:ascii="宋体" w:hAnsi="宋体" w:eastAsia="宋体" w:cs="宋体"/>
          <w:color w:val="auto"/>
          <w:sz w:val="21"/>
          <w:szCs w:val="21"/>
        </w:rPr>
        <w:t>关于各可调因子、定值和变值权重，以及基本价格指数及其来源的约定：</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 xml:space="preserve">；  </w:t>
      </w:r>
    </w:p>
    <w:p>
      <w:pPr>
        <w:snapToGrid w:val="0"/>
        <w:spacing w:line="336" w:lineRule="auto"/>
        <w:ind w:firstLine="420" w:firstLineChars="200"/>
        <w:rPr>
          <w:rFonts w:ascii="宋体" w:hAnsi="宋体" w:eastAsia="宋体" w:cs="宋体"/>
          <w:color w:val="auto"/>
          <w:sz w:val="21"/>
          <w:szCs w:val="21"/>
        </w:rPr>
      </w:pPr>
      <w:r>
        <w:rPr>
          <w:rFonts w:hint="eastAsia" w:ascii="宋体" w:hAnsi="宋体" w:eastAsia="宋体" w:cs="宋体"/>
          <w:bCs/>
          <w:color w:val="auto"/>
          <w:kern w:val="0"/>
          <w:sz w:val="21"/>
          <w:szCs w:val="21"/>
        </w:rPr>
        <w:t>第2种方式：采用造价信息</w:t>
      </w:r>
      <w:r>
        <w:rPr>
          <w:rFonts w:hint="eastAsia" w:ascii="宋体" w:hAnsi="宋体" w:eastAsia="宋体" w:cs="宋体"/>
          <w:color w:val="auto"/>
          <w:sz w:val="21"/>
          <w:szCs w:val="21"/>
        </w:rPr>
        <w:t>进行价格调整。</w:t>
      </w:r>
    </w:p>
    <w:p>
      <w:pPr>
        <w:snapToGrid w:val="0"/>
        <w:spacing w:line="336" w:lineRule="auto"/>
        <w:ind w:firstLine="447" w:firstLineChars="213"/>
        <w:rPr>
          <w:rFonts w:ascii="宋体" w:hAnsi="宋体" w:eastAsia="宋体" w:cs="宋体"/>
          <w:color w:val="auto"/>
          <w:sz w:val="21"/>
          <w:szCs w:val="21"/>
        </w:rPr>
      </w:pPr>
      <w:r>
        <w:rPr>
          <w:rFonts w:hint="eastAsia" w:ascii="宋体" w:hAnsi="宋体" w:eastAsia="宋体" w:cs="宋体"/>
          <w:bCs/>
          <w:color w:val="auto"/>
          <w:kern w:val="0"/>
          <w:sz w:val="21"/>
          <w:szCs w:val="21"/>
        </w:rPr>
        <w:t>（1）关于基</w:t>
      </w:r>
      <w:r>
        <w:rPr>
          <w:rFonts w:hint="eastAsia" w:ascii="宋体" w:hAnsi="宋体" w:eastAsia="宋体" w:cs="宋体"/>
          <w:color w:val="auto"/>
          <w:sz w:val="21"/>
          <w:szCs w:val="21"/>
        </w:rPr>
        <w:t>准价格的约定：</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w:t>
      </w:r>
    </w:p>
    <w:p>
      <w:pPr>
        <w:snapToGrid w:val="0"/>
        <w:spacing w:line="336" w:lineRule="auto"/>
        <w:ind w:firstLine="420" w:firstLineChars="200"/>
        <w:rPr>
          <w:rFonts w:ascii="宋体" w:hAnsi="宋体" w:eastAsia="宋体" w:cs="宋体"/>
          <w:color w:val="auto"/>
          <w:sz w:val="21"/>
          <w:szCs w:val="21"/>
        </w:rPr>
      </w:pPr>
      <w:r>
        <w:rPr>
          <w:rFonts w:hint="eastAsia" w:ascii="宋体" w:hAnsi="宋体" w:eastAsia="宋体" w:cs="宋体"/>
          <w:bCs/>
          <w:color w:val="auto"/>
          <w:kern w:val="0"/>
          <w:sz w:val="21"/>
          <w:szCs w:val="21"/>
        </w:rPr>
        <w:t>（2）市场</w:t>
      </w:r>
      <w:r>
        <w:rPr>
          <w:rFonts w:hint="eastAsia" w:ascii="宋体" w:hAnsi="宋体" w:eastAsia="宋体" w:cs="宋体"/>
          <w:color w:val="auto"/>
          <w:sz w:val="21"/>
          <w:szCs w:val="21"/>
        </w:rPr>
        <w:t>价格约定：</w:t>
      </w:r>
      <w:r>
        <w:rPr>
          <w:rFonts w:hint="eastAsia" w:ascii="宋体" w:hAnsi="宋体" w:eastAsia="宋体" w:cs="宋体"/>
          <w:color w:val="auto"/>
          <w:sz w:val="21"/>
          <w:szCs w:val="21"/>
          <w:u w:val="single"/>
        </w:rPr>
        <w:t xml:space="preserve">               </w:t>
      </w:r>
    </w:p>
    <w:p>
      <w:pPr>
        <w:snapToGrid w:val="0"/>
        <w:spacing w:line="336" w:lineRule="auto"/>
        <w:ind w:firstLine="420" w:firstLineChars="200"/>
        <w:rPr>
          <w:rFonts w:ascii="宋体" w:hAnsi="宋体" w:eastAsia="宋体" w:cs="宋体"/>
          <w:color w:val="auto"/>
          <w:sz w:val="21"/>
          <w:szCs w:val="21"/>
          <w:u w:val="single"/>
        </w:rPr>
      </w:pPr>
      <w:r>
        <w:rPr>
          <w:rFonts w:hint="eastAsia" w:ascii="宋体" w:hAnsi="宋体" w:eastAsia="宋体" w:cs="宋体"/>
          <w:bCs/>
          <w:color w:val="auto"/>
          <w:kern w:val="0"/>
          <w:sz w:val="21"/>
          <w:szCs w:val="21"/>
        </w:rPr>
        <w:t>（3）调整</w:t>
      </w:r>
      <w:r>
        <w:rPr>
          <w:rFonts w:hint="eastAsia" w:ascii="宋体" w:hAnsi="宋体" w:eastAsia="宋体" w:cs="宋体"/>
          <w:color w:val="auto"/>
          <w:sz w:val="21"/>
          <w:szCs w:val="21"/>
        </w:rPr>
        <w:t>方法：</w:t>
      </w:r>
      <w:r>
        <w:rPr>
          <w:rFonts w:hint="eastAsia" w:ascii="宋体" w:hAnsi="宋体" w:eastAsia="宋体" w:cs="宋体"/>
          <w:color w:val="auto"/>
          <w:sz w:val="21"/>
          <w:szCs w:val="21"/>
          <w:u w:val="single"/>
        </w:rPr>
        <w:t xml:space="preserve">                           </w:t>
      </w:r>
    </w:p>
    <w:p>
      <w:pPr>
        <w:snapToGrid w:val="0"/>
        <w:spacing w:line="336" w:lineRule="auto"/>
        <w:ind w:firstLine="420" w:firstLineChars="200"/>
        <w:rPr>
          <w:rFonts w:ascii="宋体" w:hAnsi="宋体" w:eastAsia="宋体" w:cs="宋体"/>
          <w:color w:val="auto"/>
          <w:sz w:val="21"/>
          <w:szCs w:val="21"/>
        </w:rPr>
      </w:pPr>
      <w:r>
        <w:rPr>
          <w:rFonts w:hint="eastAsia" w:ascii="宋体" w:hAnsi="宋体" w:eastAsia="宋体" w:cs="宋体"/>
          <w:bCs/>
          <w:color w:val="auto"/>
          <w:kern w:val="0"/>
          <w:sz w:val="21"/>
          <w:szCs w:val="21"/>
        </w:rPr>
        <w:t>第3种方式：其他价</w:t>
      </w:r>
      <w:r>
        <w:rPr>
          <w:rFonts w:hint="eastAsia" w:ascii="宋体" w:hAnsi="宋体" w:eastAsia="宋体" w:cs="宋体"/>
          <w:color w:val="auto"/>
          <w:sz w:val="21"/>
          <w:szCs w:val="21"/>
        </w:rPr>
        <w:t>格调整方式：</w:t>
      </w:r>
      <w:r>
        <w:rPr>
          <w:rFonts w:hint="eastAsia" w:ascii="宋体" w:hAnsi="宋体" w:eastAsia="宋体" w:cs="宋体"/>
          <w:color w:val="auto"/>
          <w:sz w:val="21"/>
          <w:szCs w:val="21"/>
          <w:u w:val="single"/>
        </w:rPr>
        <w:t xml:space="preserve">   </w:t>
      </w:r>
      <w:r>
        <w:rPr>
          <w:rFonts w:hint="eastAsia" w:ascii="宋体" w:hAnsi="宋体" w:eastAsia="宋体" w:cs="宋体"/>
          <w:iCs/>
          <w:color w:val="auto"/>
          <w:sz w:val="21"/>
          <w:szCs w:val="21"/>
          <w:u w:val="single"/>
        </w:rPr>
        <w:t xml:space="preserve">不作调整    </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w:t>
      </w:r>
    </w:p>
    <w:p>
      <w:pPr>
        <w:adjustRightInd w:val="0"/>
        <w:snapToGrid w:val="0"/>
        <w:spacing w:line="336" w:lineRule="auto"/>
        <w:ind w:firstLine="420" w:firstLineChars="200"/>
        <w:rPr>
          <w:rFonts w:ascii="宋体" w:hAnsi="宋体" w:eastAsia="宋体" w:cs="宋体"/>
          <w:color w:val="auto"/>
          <w:sz w:val="21"/>
          <w:szCs w:val="21"/>
        </w:rPr>
      </w:pPr>
      <w:r>
        <w:rPr>
          <w:rFonts w:hint="eastAsia" w:ascii="宋体" w:hAnsi="宋体" w:eastAsia="宋体" w:cs="宋体"/>
          <w:bCs/>
          <w:color w:val="auto"/>
          <w:kern w:val="0"/>
          <w:sz w:val="21"/>
          <w:szCs w:val="21"/>
        </w:rPr>
        <w:t>11.2  法律变</w:t>
      </w:r>
      <w:r>
        <w:rPr>
          <w:rFonts w:hint="eastAsia" w:ascii="宋体" w:hAnsi="宋体" w:eastAsia="宋体" w:cs="宋体"/>
          <w:color w:val="auto"/>
          <w:sz w:val="21"/>
          <w:szCs w:val="21"/>
        </w:rPr>
        <w:t>化引起的调整 ：</w:t>
      </w:r>
      <w:r>
        <w:rPr>
          <w:rFonts w:hint="eastAsia" w:ascii="宋体" w:hAnsi="宋体" w:eastAsia="宋体" w:cs="宋体"/>
          <w:color w:val="auto"/>
          <w:sz w:val="21"/>
          <w:szCs w:val="21"/>
          <w:u w:val="single"/>
        </w:rPr>
        <w:t xml:space="preserve">    /    。</w:t>
      </w:r>
    </w:p>
    <w:p>
      <w:pPr>
        <w:adjustRightInd w:val="0"/>
        <w:snapToGrid w:val="0"/>
        <w:spacing w:line="336" w:lineRule="auto"/>
        <w:rPr>
          <w:rFonts w:ascii="宋体" w:hAnsi="宋体" w:eastAsia="宋体" w:cs="宋体"/>
          <w:bCs/>
          <w:color w:val="auto"/>
          <w:sz w:val="21"/>
          <w:szCs w:val="21"/>
        </w:rPr>
      </w:pPr>
      <w:r>
        <w:rPr>
          <w:rFonts w:hint="eastAsia" w:ascii="宋体" w:hAnsi="宋体" w:eastAsia="宋体" w:cs="宋体"/>
          <w:bCs/>
          <w:color w:val="auto"/>
          <w:sz w:val="21"/>
          <w:szCs w:val="21"/>
        </w:rPr>
        <w:t xml:space="preserve">12. </w:t>
      </w:r>
      <w:bookmarkEnd w:id="453"/>
      <w:bookmarkEnd w:id="454"/>
      <w:bookmarkEnd w:id="455"/>
      <w:bookmarkEnd w:id="456"/>
      <w:bookmarkEnd w:id="457"/>
      <w:bookmarkEnd w:id="458"/>
      <w:bookmarkEnd w:id="459"/>
      <w:bookmarkEnd w:id="460"/>
      <w:bookmarkEnd w:id="461"/>
      <w:bookmarkEnd w:id="462"/>
      <w:r>
        <w:rPr>
          <w:rFonts w:hint="eastAsia" w:ascii="宋体" w:hAnsi="宋体" w:eastAsia="宋体" w:cs="宋体"/>
          <w:bCs/>
          <w:color w:val="auto"/>
          <w:sz w:val="21"/>
          <w:szCs w:val="21"/>
        </w:rPr>
        <w:t>合同价格、计量与支付</w:t>
      </w:r>
      <w:bookmarkEnd w:id="463"/>
    </w:p>
    <w:bookmarkEnd w:id="464"/>
    <w:bookmarkEnd w:id="465"/>
    <w:bookmarkEnd w:id="466"/>
    <w:bookmarkEnd w:id="467"/>
    <w:bookmarkEnd w:id="468"/>
    <w:bookmarkEnd w:id="469"/>
    <w:p>
      <w:pPr>
        <w:adjustRightInd w:val="0"/>
        <w:snapToGrid w:val="0"/>
        <w:spacing w:line="336" w:lineRule="auto"/>
        <w:ind w:firstLine="420" w:firstLineChars="200"/>
        <w:rPr>
          <w:rFonts w:ascii="宋体" w:hAnsi="宋体" w:eastAsia="宋体" w:cs="宋体"/>
          <w:bCs/>
          <w:color w:val="auto"/>
          <w:sz w:val="21"/>
          <w:szCs w:val="21"/>
        </w:rPr>
      </w:pPr>
      <w:bookmarkStart w:id="470" w:name="_Toc267251461"/>
      <w:bookmarkStart w:id="471" w:name="_Toc292559411"/>
      <w:bookmarkStart w:id="472" w:name="_Toc292559916"/>
      <w:bookmarkStart w:id="473" w:name="_Toc296346707"/>
      <w:bookmarkStart w:id="474" w:name="_Toc296503206"/>
      <w:bookmarkStart w:id="475" w:name="_Toc297048392"/>
      <w:bookmarkStart w:id="476" w:name="_Toc296944545"/>
      <w:bookmarkStart w:id="477" w:name="_Toc296891246"/>
      <w:bookmarkStart w:id="478" w:name="_Toc296347205"/>
      <w:bookmarkStart w:id="479" w:name="_Toc296891034"/>
      <w:bookmarkStart w:id="480" w:name="_Toc297120506"/>
      <w:bookmarkStart w:id="481" w:name="_Toc297123553"/>
      <w:bookmarkStart w:id="482" w:name="_Toc297216212"/>
      <w:bookmarkStart w:id="483" w:name="_Toc312678041"/>
      <w:bookmarkStart w:id="484" w:name="_Toc303539160"/>
      <w:bookmarkStart w:id="485" w:name="_Toc300935003"/>
      <w:bookmarkStart w:id="486" w:name="_Toc304295580"/>
      <w:r>
        <w:rPr>
          <w:rFonts w:hint="eastAsia" w:ascii="宋体" w:hAnsi="宋体" w:eastAsia="宋体" w:cs="宋体"/>
          <w:bCs/>
          <w:color w:val="auto"/>
          <w:sz w:val="21"/>
          <w:szCs w:val="21"/>
        </w:rPr>
        <w:t>12.1 合</w:t>
      </w:r>
      <w:bookmarkEnd w:id="470"/>
      <w:bookmarkEnd w:id="471"/>
      <w:bookmarkEnd w:id="472"/>
      <w:r>
        <w:rPr>
          <w:rFonts w:hint="eastAsia" w:ascii="宋体" w:hAnsi="宋体" w:eastAsia="宋体" w:cs="宋体"/>
          <w:bCs/>
          <w:color w:val="auto"/>
          <w:sz w:val="21"/>
          <w:szCs w:val="21"/>
        </w:rPr>
        <w:t>同价</w:t>
      </w:r>
      <w:bookmarkEnd w:id="473"/>
      <w:bookmarkEnd w:id="474"/>
      <w:bookmarkEnd w:id="475"/>
      <w:bookmarkEnd w:id="476"/>
      <w:bookmarkEnd w:id="477"/>
      <w:bookmarkEnd w:id="478"/>
      <w:bookmarkEnd w:id="479"/>
      <w:bookmarkEnd w:id="480"/>
      <w:r>
        <w:rPr>
          <w:rFonts w:hint="eastAsia" w:ascii="宋体" w:hAnsi="宋体" w:eastAsia="宋体" w:cs="宋体"/>
          <w:bCs/>
          <w:color w:val="auto"/>
          <w:sz w:val="21"/>
          <w:szCs w:val="21"/>
        </w:rPr>
        <w:t>格形式</w:t>
      </w:r>
    </w:p>
    <w:bookmarkEnd w:id="481"/>
    <w:bookmarkEnd w:id="482"/>
    <w:bookmarkEnd w:id="483"/>
    <w:bookmarkEnd w:id="484"/>
    <w:bookmarkEnd w:id="485"/>
    <w:bookmarkEnd w:id="486"/>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1、本合同为</w:t>
      </w:r>
      <w:r>
        <w:rPr>
          <w:rFonts w:hint="eastAsia" w:ascii="宋体" w:hAnsi="宋体" w:eastAsia="宋体" w:cs="宋体"/>
          <w:bCs/>
          <w:color w:val="auto"/>
          <w:sz w:val="21"/>
          <w:szCs w:val="21"/>
          <w:u w:val="single"/>
        </w:rPr>
        <w:t>固定综合单价合同</w:t>
      </w:r>
      <w:r>
        <w:rPr>
          <w:rFonts w:hint="eastAsia" w:ascii="宋体" w:hAnsi="宋体" w:eastAsia="宋体" w:cs="宋体"/>
          <w:bCs/>
          <w:color w:val="auto"/>
          <w:sz w:val="21"/>
          <w:szCs w:val="21"/>
        </w:rPr>
        <w:t>。</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综合单价包含的风险范围：</w:t>
      </w:r>
    </w:p>
    <w:p>
      <w:pPr>
        <w:adjustRightInd w:val="0"/>
        <w:snapToGrid w:val="0"/>
        <w:spacing w:line="336" w:lineRule="auto"/>
        <w:ind w:firstLine="594" w:firstLineChars="283"/>
        <w:jc w:val="left"/>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a、除不可抗力外的各种自然灾害；</w:t>
      </w:r>
    </w:p>
    <w:p>
      <w:pPr>
        <w:adjustRightInd w:val="0"/>
        <w:snapToGrid w:val="0"/>
        <w:spacing w:line="336" w:lineRule="auto"/>
        <w:ind w:firstLine="594" w:firstLineChars="283"/>
        <w:jc w:val="left"/>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b、安全生产文明施工不当引起的责任；</w:t>
      </w:r>
    </w:p>
    <w:p>
      <w:pPr>
        <w:adjustRightInd w:val="0"/>
        <w:snapToGrid w:val="0"/>
        <w:spacing w:line="336" w:lineRule="auto"/>
        <w:ind w:firstLine="594" w:firstLineChars="283"/>
        <w:jc w:val="left"/>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c、所有磋商文件或工程量清单明示要求报价的内容而承包人未予报价的，将被认为包含在合同总价中，结算时合同价款不再增加；</w:t>
      </w:r>
    </w:p>
    <w:p>
      <w:pPr>
        <w:adjustRightInd w:val="0"/>
        <w:snapToGrid w:val="0"/>
        <w:spacing w:line="336" w:lineRule="auto"/>
        <w:ind w:firstLine="594" w:firstLineChars="283"/>
        <w:jc w:val="left"/>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d、工程要素（含人工、材料（设备）、机械台班）价格的涨跌风险；</w:t>
      </w:r>
    </w:p>
    <w:p>
      <w:pPr>
        <w:adjustRightInd w:val="0"/>
        <w:snapToGrid w:val="0"/>
        <w:spacing w:line="336" w:lineRule="auto"/>
        <w:ind w:firstLine="594" w:firstLineChars="283"/>
        <w:jc w:val="left"/>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e、承包人对工程现场环境以及发包人提供的磋商文件、图纸等资料作出错误的推论、理解而导致的报价失误；</w:t>
      </w:r>
    </w:p>
    <w:p>
      <w:pPr>
        <w:adjustRightInd w:val="0"/>
        <w:snapToGrid w:val="0"/>
        <w:spacing w:line="336" w:lineRule="auto"/>
        <w:ind w:firstLine="594" w:firstLineChars="283"/>
        <w:jc w:val="left"/>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f、磋商文件约定的工程量清单数量误差引起的综合单价成本差异（风险范围及范围外调整方法见本条款第2）条的规定）；</w:t>
      </w:r>
    </w:p>
    <w:p>
      <w:pPr>
        <w:adjustRightInd w:val="0"/>
        <w:snapToGrid w:val="0"/>
        <w:spacing w:line="336" w:lineRule="auto"/>
        <w:ind w:firstLine="594" w:firstLineChars="283"/>
        <w:jc w:val="left"/>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g、施工组织措施费和技术措施费在成交以后，在合同施工范围内，无论现场施工条件如何变化、设计如何变更、也无论工程量增减的幅度如何，均不再调整；</w:t>
      </w:r>
    </w:p>
    <w:p>
      <w:pPr>
        <w:adjustRightInd w:val="0"/>
        <w:snapToGrid w:val="0"/>
        <w:spacing w:line="336" w:lineRule="auto"/>
        <w:ind w:firstLine="594" w:firstLineChars="283"/>
        <w:jc w:val="left"/>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h、施工期间停水、停电引起的费用增加；</w:t>
      </w:r>
    </w:p>
    <w:p>
      <w:pPr>
        <w:adjustRightInd w:val="0"/>
        <w:snapToGrid w:val="0"/>
        <w:spacing w:line="336" w:lineRule="auto"/>
        <w:ind w:firstLine="594" w:firstLineChars="283"/>
        <w:jc w:val="left"/>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i、清单描述中有按图集或规范施工的，综合单价必须满足规范和图集要求，综合单价不作调整；</w:t>
      </w:r>
    </w:p>
    <w:p>
      <w:pPr>
        <w:adjustRightInd w:val="0"/>
        <w:snapToGrid w:val="0"/>
        <w:spacing w:line="336" w:lineRule="auto"/>
        <w:ind w:firstLine="594" w:firstLineChars="283"/>
        <w:jc w:val="left"/>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j、本工程拆除和垃圾外运费用一次性包干，包括所有垃圾清理、搬运、外运与消纳所产生的费用，施工过程及结算时不予增加。</w:t>
      </w:r>
    </w:p>
    <w:p>
      <w:pPr>
        <w:adjustRightInd w:val="0"/>
        <w:snapToGrid w:val="0"/>
        <w:spacing w:line="336" w:lineRule="auto"/>
        <w:ind w:firstLine="594" w:firstLineChars="283"/>
        <w:jc w:val="left"/>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k、所有磋商文件或工程量清单明示要求报价包干或费率包干（指规费、税金、意外伤害保险费、总承包服务费）的内容；</w:t>
      </w:r>
    </w:p>
    <w:p>
      <w:pPr>
        <w:adjustRightInd w:val="0"/>
        <w:snapToGrid w:val="0"/>
        <w:spacing w:line="336" w:lineRule="auto"/>
        <w:ind w:firstLine="594" w:firstLineChars="283"/>
        <w:jc w:val="left"/>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l、除本条明确允许调整内容以外的其他风险因素；</w:t>
      </w:r>
    </w:p>
    <w:p>
      <w:pPr>
        <w:adjustRightInd w:val="0"/>
        <w:snapToGrid w:val="0"/>
        <w:spacing w:line="336" w:lineRule="auto"/>
        <w:ind w:firstLine="594" w:firstLineChars="283"/>
        <w:jc w:val="left"/>
        <w:rPr>
          <w:rFonts w:ascii="宋体" w:hAnsi="宋体" w:eastAsia="宋体" w:cs="宋体"/>
          <w:bCs/>
          <w:color w:val="auto"/>
          <w:sz w:val="21"/>
          <w:szCs w:val="21"/>
        </w:rPr>
      </w:pPr>
      <w:r>
        <w:rPr>
          <w:rFonts w:hint="eastAsia" w:ascii="宋体" w:hAnsi="宋体" w:eastAsia="宋体" w:cs="宋体"/>
          <w:bCs/>
          <w:color w:val="auto"/>
          <w:sz w:val="21"/>
          <w:szCs w:val="21"/>
          <w:u w:val="single"/>
        </w:rPr>
        <w:t>m、若同一工程中出现清单项目相同而报价或取费不一致者，按最低者执行。</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风险费用的计算方法：</w:t>
      </w:r>
      <w:r>
        <w:rPr>
          <w:rFonts w:hint="eastAsia" w:ascii="宋体" w:hAnsi="宋体" w:eastAsia="宋体" w:cs="宋体"/>
          <w:bCs/>
          <w:color w:val="auto"/>
          <w:sz w:val="21"/>
          <w:szCs w:val="21"/>
          <w:u w:val="single"/>
        </w:rPr>
        <w:t>风险因素范围内的费用由承包人自行考虑计列，不再另行计列、调整</w:t>
      </w:r>
      <w:r>
        <w:rPr>
          <w:rFonts w:hint="eastAsia" w:ascii="宋体" w:hAnsi="宋体" w:eastAsia="宋体" w:cs="宋体"/>
          <w:bCs/>
          <w:color w:val="auto"/>
          <w:sz w:val="21"/>
          <w:szCs w:val="21"/>
        </w:rPr>
        <w:t>。</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风险范围以外合同价格的调整方法：</w:t>
      </w:r>
    </w:p>
    <w:p>
      <w:pPr>
        <w:adjustRightInd w:val="0"/>
        <w:snapToGrid w:val="0"/>
        <w:spacing w:line="336" w:lineRule="auto"/>
        <w:ind w:firstLine="420" w:firstLineChars="200"/>
        <w:jc w:val="left"/>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1）综合单价确定方式：</w:t>
      </w:r>
    </w:p>
    <w:p>
      <w:pPr>
        <w:adjustRightInd w:val="0"/>
        <w:snapToGrid w:val="0"/>
        <w:spacing w:line="336" w:lineRule="auto"/>
        <w:ind w:firstLine="420" w:firstLineChars="200"/>
        <w:jc w:val="left"/>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①合同中已有适用的综合单价的，按合同中已有的综合单价确定；</w:t>
      </w:r>
    </w:p>
    <w:p>
      <w:pPr>
        <w:adjustRightInd w:val="0"/>
        <w:snapToGrid w:val="0"/>
        <w:spacing w:line="336" w:lineRule="auto"/>
        <w:ind w:firstLine="420" w:firstLineChars="200"/>
        <w:jc w:val="left"/>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②合同中有类似工程项目单价的，可以参照合同中类似项目的单价计算确定；</w:t>
      </w:r>
    </w:p>
    <w:p>
      <w:pPr>
        <w:adjustRightInd w:val="0"/>
        <w:snapToGrid w:val="0"/>
        <w:spacing w:line="336" w:lineRule="auto"/>
        <w:ind w:firstLine="420" w:firstLineChars="200"/>
        <w:jc w:val="left"/>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③合同中没有类似工程项目单价的，按以下口径重新组价并下浮后的综合单价确定【下浮率=(1-（成交价-暂列金额）/（预算价-暂列金额））*100%】：套用浙江省建设工程预算定额（2018版）及计价规则；按主要材料单价和人工单价依次按施工期间台州市建设工程信息、浙江造价信息（合同工期内各期材料信息价格的平均值，先参照台州市信息价，如没有则参照浙江省信息价，以上信息价均为正刊）计算；信息刊物上都没有的主要材料由监理确认材料具体规格型号后，交审计组价后发包人签证确认；综合费用（包干部分除外）按磋商响应价口径计取。</w:t>
      </w:r>
    </w:p>
    <w:p>
      <w:pPr>
        <w:numPr>
          <w:ilvl w:val="0"/>
          <w:numId w:val="7"/>
        </w:num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u w:val="single"/>
        </w:rPr>
        <w:t>工程结算时当单项清单工程数量的变化幅度在10%以外，且其影响分部分项工程费用总额超过1%时，其增加的工程量和减少后剩余的工程量的综合单价按以下口径的综合单价确定【投标人最终报价（综合单价）】：套用浙江省建设工程预算定额（2018版）及计价规则；主要材料单价和人工单价依次按施工期间台州市建设工程信息、浙江造价信息（合同工期内各期材料信息价格的平均值，先参照台州市信息价，如没有则参照浙江省信息价，以上信息价均为正刊）计算；信息刊物上都没有的主要材料由监理确认材料具体规格型号后，交审计组价后发包人签证确认；综合费用（包干部分除外）按磋商响应价口径计取</w:t>
      </w:r>
      <w:r>
        <w:rPr>
          <w:rFonts w:hint="eastAsia" w:ascii="宋体" w:hAnsi="宋体" w:eastAsia="宋体" w:cs="宋体"/>
          <w:bCs/>
          <w:color w:val="auto"/>
          <w:sz w:val="21"/>
          <w:szCs w:val="21"/>
        </w:rPr>
        <w:t>。</w:t>
      </w:r>
    </w:p>
    <w:p>
      <w:pPr>
        <w:numPr>
          <w:ilvl w:val="0"/>
          <w:numId w:val="7"/>
        </w:num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各项结算综合单价：</w:t>
      </w:r>
    </w:p>
    <w:p>
      <w:pPr>
        <w:snapToGrid w:val="0"/>
        <w:spacing w:line="336" w:lineRule="auto"/>
        <w:ind w:firstLine="630" w:firstLineChars="300"/>
        <w:rPr>
          <w:rFonts w:ascii="宋体" w:hAnsi="宋体" w:eastAsia="宋体" w:cs="宋体"/>
          <w:bCs/>
          <w:color w:val="auto"/>
          <w:sz w:val="21"/>
          <w:szCs w:val="21"/>
        </w:rPr>
      </w:pPr>
      <w:r>
        <w:rPr>
          <w:rFonts w:hint="eastAsia" w:ascii="宋体" w:hAnsi="宋体" w:eastAsia="宋体" w:cs="宋体"/>
          <w:bCs/>
          <w:color w:val="auto"/>
          <w:sz w:val="21"/>
          <w:szCs w:val="21"/>
        </w:rPr>
        <w:t>各项结算综合单价=最终报价中的综合单价</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2、总价合同。</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总价包含的风险范围：</w:t>
      </w:r>
      <w:r>
        <w:rPr>
          <w:rFonts w:hint="eastAsia" w:ascii="宋体" w:hAnsi="宋体" w:eastAsia="宋体" w:cs="宋体"/>
          <w:bCs/>
          <w:color w:val="auto"/>
          <w:sz w:val="21"/>
          <w:szCs w:val="21"/>
          <w:u w:val="single"/>
        </w:rPr>
        <w:t xml:space="preserve"> / </w:t>
      </w:r>
      <w:r>
        <w:rPr>
          <w:rFonts w:hint="eastAsia" w:ascii="宋体" w:hAnsi="宋体" w:eastAsia="宋体" w:cs="宋体"/>
          <w:bCs/>
          <w:color w:val="auto"/>
          <w:sz w:val="21"/>
          <w:szCs w:val="21"/>
        </w:rPr>
        <w:t>。</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风险费用的计算方法：</w:t>
      </w:r>
      <w:r>
        <w:rPr>
          <w:rFonts w:hint="eastAsia" w:ascii="宋体" w:hAnsi="宋体" w:eastAsia="宋体" w:cs="宋体"/>
          <w:bCs/>
          <w:color w:val="auto"/>
          <w:sz w:val="21"/>
          <w:szCs w:val="21"/>
          <w:u w:val="single"/>
        </w:rPr>
        <w:t xml:space="preserve"> / </w:t>
      </w:r>
      <w:r>
        <w:rPr>
          <w:rFonts w:hint="eastAsia" w:ascii="宋体" w:hAnsi="宋体" w:eastAsia="宋体" w:cs="宋体"/>
          <w:bCs/>
          <w:color w:val="auto"/>
          <w:sz w:val="21"/>
          <w:szCs w:val="21"/>
        </w:rPr>
        <w:t>。</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风险范围以外合同价格的调整方法：</w:t>
      </w:r>
      <w:r>
        <w:rPr>
          <w:rFonts w:hint="eastAsia" w:ascii="宋体" w:hAnsi="宋体" w:eastAsia="宋体" w:cs="宋体"/>
          <w:bCs/>
          <w:color w:val="auto"/>
          <w:sz w:val="21"/>
          <w:szCs w:val="21"/>
          <w:u w:val="single"/>
        </w:rPr>
        <w:t xml:space="preserve"> / </w:t>
      </w:r>
      <w:r>
        <w:rPr>
          <w:rFonts w:hint="eastAsia" w:ascii="宋体" w:hAnsi="宋体" w:eastAsia="宋体" w:cs="宋体"/>
          <w:bCs/>
          <w:color w:val="auto"/>
          <w:sz w:val="21"/>
          <w:szCs w:val="21"/>
        </w:rPr>
        <w:t>。</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3、其他价格方式：</w:t>
      </w:r>
      <w:r>
        <w:rPr>
          <w:rFonts w:hint="eastAsia" w:ascii="宋体" w:hAnsi="宋体" w:eastAsia="宋体" w:cs="宋体"/>
          <w:bCs/>
          <w:color w:val="auto"/>
          <w:sz w:val="21"/>
          <w:szCs w:val="21"/>
          <w:u w:val="single"/>
        </w:rPr>
        <w:t xml:space="preserve"> / </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bookmarkStart w:id="487" w:name="_Toc304295581"/>
      <w:bookmarkStart w:id="488" w:name="_Toc300935004"/>
      <w:bookmarkStart w:id="489" w:name="_Toc303539161"/>
      <w:bookmarkStart w:id="490" w:name="_Toc312678042"/>
      <w:bookmarkStart w:id="491" w:name="_Toc297123554"/>
      <w:bookmarkStart w:id="492" w:name="_Toc297216213"/>
      <w:bookmarkStart w:id="493" w:name="_Toc297120507"/>
      <w:bookmarkStart w:id="494" w:name="_Toc296891247"/>
      <w:bookmarkStart w:id="495" w:name="_Toc296346708"/>
      <w:bookmarkStart w:id="496" w:name="_Toc292559412"/>
      <w:bookmarkStart w:id="497" w:name="_Toc296944546"/>
      <w:bookmarkStart w:id="498" w:name="_Toc296347206"/>
      <w:bookmarkStart w:id="499" w:name="_Toc296503207"/>
      <w:bookmarkStart w:id="500" w:name="_Toc297048393"/>
      <w:bookmarkStart w:id="501" w:name="_Toc292559917"/>
      <w:bookmarkStart w:id="502" w:name="_Toc296891035"/>
      <w:r>
        <w:rPr>
          <w:rFonts w:hint="eastAsia" w:ascii="宋体" w:hAnsi="宋体" w:eastAsia="宋体" w:cs="宋体"/>
          <w:bCs/>
          <w:color w:val="auto"/>
          <w:sz w:val="21"/>
          <w:szCs w:val="21"/>
        </w:rPr>
        <w:t>12.2 预付款</w:t>
      </w:r>
    </w:p>
    <w:bookmarkEnd w:id="487"/>
    <w:bookmarkEnd w:id="488"/>
    <w:bookmarkEnd w:id="489"/>
    <w:bookmarkEnd w:id="490"/>
    <w:bookmarkEnd w:id="491"/>
    <w:bookmarkEnd w:id="492"/>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12.2.1 预付款的支付</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预付款支付比例或金额</w:t>
      </w:r>
      <w:r>
        <w:rPr>
          <w:rFonts w:hint="eastAsia" w:ascii="宋体" w:hAnsi="宋体" w:eastAsia="宋体" w:cs="宋体"/>
          <w:bCs/>
          <w:color w:val="auto"/>
          <w:sz w:val="21"/>
          <w:szCs w:val="21"/>
          <w:u w:val="single"/>
        </w:rPr>
        <w:t>：合同总额的20%</w:t>
      </w:r>
      <w:r>
        <w:rPr>
          <w:rFonts w:hint="eastAsia" w:ascii="宋体" w:hAnsi="宋体" w:eastAsia="宋体" w:cs="宋体"/>
          <w:bCs/>
          <w:color w:val="auto"/>
          <w:sz w:val="21"/>
          <w:szCs w:val="21"/>
        </w:rPr>
        <w:t>。</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预付款支付期限：</w:t>
      </w:r>
      <w:r>
        <w:rPr>
          <w:rFonts w:hint="eastAsia" w:ascii="宋体" w:hAnsi="宋体" w:eastAsia="宋体" w:cs="宋体"/>
          <w:bCs/>
          <w:color w:val="auto"/>
          <w:sz w:val="21"/>
          <w:szCs w:val="21"/>
          <w:u w:val="single"/>
        </w:rPr>
        <w:t>合同签订、承包人递交履约保证金后，且承包人施工队伍主要管理人员、主要施工机械进场后7天内，发包人向承包人预付签约合同价的20%的工程预付款</w:t>
      </w:r>
      <w:r>
        <w:rPr>
          <w:rFonts w:hint="eastAsia" w:ascii="宋体" w:hAnsi="宋体" w:eastAsia="宋体" w:cs="宋体"/>
          <w:bCs/>
          <w:color w:val="auto"/>
          <w:sz w:val="21"/>
          <w:szCs w:val="21"/>
        </w:rPr>
        <w:t>。</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预付款扣回的方式：</w:t>
      </w:r>
      <w:r>
        <w:rPr>
          <w:rFonts w:hint="eastAsia" w:ascii="宋体" w:hAnsi="宋体" w:eastAsia="宋体" w:cs="宋体"/>
          <w:color w:val="auto"/>
          <w:sz w:val="21"/>
          <w:szCs w:val="21"/>
          <w:u w:val="single"/>
        </w:rPr>
        <w:t xml:space="preserve">不扣回，作为工程进度款 </w:t>
      </w:r>
      <w:r>
        <w:rPr>
          <w:rFonts w:hint="eastAsia" w:ascii="宋体" w:hAnsi="宋体" w:eastAsia="宋体" w:cs="宋体"/>
          <w:bCs/>
          <w:color w:val="auto"/>
          <w:sz w:val="21"/>
          <w:szCs w:val="21"/>
        </w:rPr>
        <w:t>。</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12.2.2 预付款担保</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承包人提交预付款担保的期限：</w:t>
      </w:r>
      <w:r>
        <w:rPr>
          <w:rFonts w:hint="eastAsia" w:ascii="宋体" w:hAnsi="宋体" w:eastAsia="宋体" w:cs="宋体"/>
          <w:bCs/>
          <w:color w:val="auto"/>
          <w:sz w:val="21"/>
          <w:szCs w:val="21"/>
          <w:u w:val="single"/>
        </w:rPr>
        <w:t xml:space="preserve">    /   </w:t>
      </w:r>
      <w:r>
        <w:rPr>
          <w:rFonts w:hint="eastAsia" w:ascii="宋体" w:hAnsi="宋体" w:eastAsia="宋体" w:cs="宋体"/>
          <w:bCs/>
          <w:color w:val="auto"/>
          <w:sz w:val="21"/>
          <w:szCs w:val="21"/>
        </w:rPr>
        <w:t>。</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预付款担保的形式为：</w:t>
      </w:r>
      <w:r>
        <w:rPr>
          <w:rFonts w:hint="eastAsia" w:ascii="宋体" w:hAnsi="宋体" w:eastAsia="宋体" w:cs="宋体"/>
          <w:bCs/>
          <w:color w:val="auto"/>
          <w:sz w:val="21"/>
          <w:szCs w:val="21"/>
          <w:u w:val="single"/>
        </w:rPr>
        <w:t xml:space="preserve">       /     </w:t>
      </w:r>
      <w:r>
        <w:rPr>
          <w:rFonts w:hint="eastAsia" w:ascii="宋体" w:hAnsi="宋体" w:eastAsia="宋体" w:cs="宋体"/>
          <w:bCs/>
          <w:color w:val="auto"/>
          <w:sz w:val="21"/>
          <w:szCs w:val="21"/>
        </w:rPr>
        <w:t>。</w:t>
      </w:r>
    </w:p>
    <w:bookmarkEnd w:id="493"/>
    <w:bookmarkEnd w:id="494"/>
    <w:bookmarkEnd w:id="495"/>
    <w:bookmarkEnd w:id="496"/>
    <w:bookmarkEnd w:id="497"/>
    <w:bookmarkEnd w:id="498"/>
    <w:bookmarkEnd w:id="499"/>
    <w:bookmarkEnd w:id="500"/>
    <w:bookmarkEnd w:id="501"/>
    <w:bookmarkEnd w:id="502"/>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12.3 计量</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12.3.1 计量原则</w:t>
      </w:r>
    </w:p>
    <w:p>
      <w:pPr>
        <w:adjustRightInd w:val="0"/>
        <w:snapToGrid w:val="0"/>
        <w:spacing w:line="336" w:lineRule="auto"/>
        <w:ind w:firstLine="420" w:firstLineChars="200"/>
        <w:jc w:val="left"/>
        <w:rPr>
          <w:rFonts w:ascii="宋体" w:hAnsi="宋体" w:eastAsia="宋体" w:cs="宋体"/>
          <w:bCs/>
          <w:color w:val="auto"/>
          <w:sz w:val="21"/>
          <w:szCs w:val="21"/>
          <w:u w:val="single"/>
        </w:rPr>
      </w:pPr>
      <w:r>
        <w:rPr>
          <w:rFonts w:hint="eastAsia" w:ascii="宋体" w:hAnsi="宋体" w:eastAsia="宋体" w:cs="宋体"/>
          <w:bCs/>
          <w:color w:val="auto"/>
          <w:sz w:val="21"/>
          <w:szCs w:val="21"/>
        </w:rPr>
        <w:t>工程量计算规则：</w:t>
      </w:r>
      <w:r>
        <w:rPr>
          <w:rFonts w:hint="eastAsia" w:ascii="宋体" w:hAnsi="宋体" w:eastAsia="宋体" w:cs="宋体"/>
          <w:bCs/>
          <w:color w:val="auto"/>
          <w:sz w:val="21"/>
          <w:szCs w:val="21"/>
          <w:u w:val="single"/>
        </w:rPr>
        <w:t>按施工图纸及变更联系单按实际计算，《浙江省建筑工程预算定额》（上下册）2018版；《浙江省安装工程预算定额》（各册）2018版；《浙江省市政工程预算定额》（各册）2018版；《浙江省建设工程施工费用定额》2018版；建设工程工程量清单计价规范GB50500-2013;关于调整民工工伤保险费率的通知台建〔2016〕52号; 《关于发布营改增后浙江省建设工程施工取费费率的通知》浙建站定〔2016〕23号；关于建筑业实施营改增后浙江省建设工程计价规则调整的通知建[2016]144号；调整《关于台州市“营改增”后建设工程计价的有关意见》中税率的通知台建价[2016]31号;台州信息价(正副刊仙居价)2022年【1】；委托方提供的工程设计施工图；电子文件和其它原始资料；其他有关文件、标准图、预算软件和规范。</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12.3.2 计量周期</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关于计量周期的约定：</w:t>
      </w:r>
      <w:r>
        <w:rPr>
          <w:rFonts w:hint="eastAsia" w:ascii="宋体" w:hAnsi="宋体" w:eastAsia="宋体" w:cs="宋体"/>
          <w:bCs/>
          <w:color w:val="auto"/>
          <w:sz w:val="21"/>
          <w:szCs w:val="21"/>
          <w:u w:val="single"/>
        </w:rPr>
        <w:t>/</w:t>
      </w:r>
      <w:r>
        <w:rPr>
          <w:rFonts w:hint="eastAsia" w:ascii="宋体" w:hAnsi="宋体" w:eastAsia="宋体" w:cs="宋体"/>
          <w:bCs/>
          <w:color w:val="auto"/>
          <w:sz w:val="21"/>
          <w:szCs w:val="21"/>
        </w:rPr>
        <w:t>。</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12.3.3 单价合同的计量</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关于单价合同计量的约定：</w:t>
      </w:r>
      <w:r>
        <w:rPr>
          <w:rFonts w:hint="eastAsia" w:ascii="宋体" w:hAnsi="宋体" w:eastAsia="宋体" w:cs="宋体"/>
          <w:bCs/>
          <w:color w:val="auto"/>
          <w:sz w:val="21"/>
          <w:szCs w:val="21"/>
          <w:u w:val="single"/>
        </w:rPr>
        <w:t>按通用合同条款规定执行</w:t>
      </w:r>
      <w:r>
        <w:rPr>
          <w:rFonts w:hint="eastAsia" w:ascii="宋体" w:hAnsi="宋体" w:eastAsia="宋体" w:cs="宋体"/>
          <w:bCs/>
          <w:color w:val="auto"/>
          <w:sz w:val="21"/>
          <w:szCs w:val="21"/>
        </w:rPr>
        <w:t>。</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12.3.4 总价合同的计量</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关于总价合同计量的约定：</w:t>
      </w:r>
      <w:r>
        <w:rPr>
          <w:rFonts w:hint="eastAsia" w:ascii="宋体" w:hAnsi="宋体" w:eastAsia="宋体" w:cs="宋体"/>
          <w:bCs/>
          <w:color w:val="auto"/>
          <w:sz w:val="21"/>
          <w:szCs w:val="21"/>
          <w:u w:val="single"/>
        </w:rPr>
        <w:t>/</w:t>
      </w:r>
      <w:r>
        <w:rPr>
          <w:rFonts w:hint="eastAsia" w:ascii="宋体" w:hAnsi="宋体" w:eastAsia="宋体" w:cs="宋体"/>
          <w:bCs/>
          <w:color w:val="auto"/>
          <w:sz w:val="21"/>
          <w:szCs w:val="21"/>
        </w:rPr>
        <w:t>。</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12.3.5总价合同采用支付分解表计量支付的，是否适用第</w:t>
      </w:r>
      <w:r>
        <w:rPr>
          <w:rFonts w:hint="eastAsia" w:ascii="宋体" w:hAnsi="宋体" w:eastAsia="宋体" w:cs="宋体"/>
          <w:bCs/>
          <w:color w:val="auto"/>
          <w:kern w:val="0"/>
          <w:sz w:val="21"/>
          <w:szCs w:val="21"/>
        </w:rPr>
        <w:t xml:space="preserve">12.3.4 </w:t>
      </w:r>
      <w:r>
        <w:rPr>
          <w:rFonts w:hint="eastAsia" w:ascii="宋体" w:hAnsi="宋体" w:eastAsia="宋体" w:cs="宋体"/>
          <w:bCs/>
          <w:color w:val="auto"/>
          <w:sz w:val="21"/>
          <w:szCs w:val="21"/>
        </w:rPr>
        <w:t>项</w:t>
      </w:r>
      <w:r>
        <w:rPr>
          <w:rFonts w:hint="eastAsia" w:ascii="宋体" w:hAnsi="宋体" w:eastAsia="宋体" w:cs="宋体"/>
          <w:bCs/>
          <w:color w:val="auto"/>
          <w:kern w:val="0"/>
          <w:sz w:val="21"/>
          <w:szCs w:val="21"/>
        </w:rPr>
        <w:t>〔总价合同的计量〕</w:t>
      </w:r>
      <w:r>
        <w:rPr>
          <w:rFonts w:hint="eastAsia" w:ascii="宋体" w:hAnsi="宋体" w:eastAsia="宋体" w:cs="宋体"/>
          <w:bCs/>
          <w:color w:val="auto"/>
          <w:sz w:val="21"/>
          <w:szCs w:val="21"/>
        </w:rPr>
        <w:t>约定进行计量：</w:t>
      </w:r>
      <w:r>
        <w:rPr>
          <w:rFonts w:hint="eastAsia" w:ascii="宋体" w:hAnsi="宋体" w:eastAsia="宋体" w:cs="宋体"/>
          <w:bCs/>
          <w:color w:val="auto"/>
          <w:sz w:val="21"/>
          <w:szCs w:val="21"/>
          <w:u w:val="single"/>
        </w:rPr>
        <w:t>/</w:t>
      </w:r>
      <w:r>
        <w:rPr>
          <w:rFonts w:hint="eastAsia" w:ascii="宋体" w:hAnsi="宋体" w:eastAsia="宋体" w:cs="宋体"/>
          <w:bCs/>
          <w:color w:val="auto"/>
          <w:sz w:val="21"/>
          <w:szCs w:val="21"/>
        </w:rPr>
        <w:t>。</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12.3.6 其他价格形式合同的计量</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其他价格形式的计量方式和程序：</w:t>
      </w:r>
      <w:r>
        <w:rPr>
          <w:rFonts w:hint="eastAsia" w:ascii="宋体" w:hAnsi="宋体" w:eastAsia="宋体" w:cs="宋体"/>
          <w:bCs/>
          <w:color w:val="auto"/>
          <w:sz w:val="21"/>
          <w:szCs w:val="21"/>
          <w:u w:val="single"/>
        </w:rPr>
        <w:t xml:space="preserve">    /    </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12.4 工程进度款支付</w:t>
      </w:r>
    </w:p>
    <w:p>
      <w:pPr>
        <w:adjustRightInd w:val="0"/>
        <w:snapToGrid w:val="0"/>
        <w:spacing w:line="336" w:lineRule="auto"/>
        <w:ind w:firstLine="420" w:firstLineChars="200"/>
        <w:jc w:val="left"/>
        <w:rPr>
          <w:rFonts w:ascii="宋体" w:hAnsi="宋体" w:eastAsia="宋体" w:cs="宋体"/>
          <w:bCs/>
          <w:color w:val="auto"/>
          <w:sz w:val="21"/>
          <w:szCs w:val="21"/>
        </w:rPr>
      </w:pPr>
      <w:bookmarkStart w:id="503" w:name="_Toc300935006"/>
      <w:bookmarkStart w:id="504" w:name="_Toc297048397"/>
      <w:bookmarkStart w:id="505" w:name="_Toc296891251"/>
      <w:bookmarkStart w:id="506" w:name="_Toc297216215"/>
      <w:bookmarkStart w:id="507" w:name="_Toc296346712"/>
      <w:bookmarkStart w:id="508" w:name="_Toc296347210"/>
      <w:bookmarkStart w:id="509" w:name="_Toc297123556"/>
      <w:bookmarkStart w:id="510" w:name="_Toc296891039"/>
      <w:bookmarkStart w:id="511" w:name="_Toc297120511"/>
      <w:bookmarkStart w:id="512" w:name="_Toc296944550"/>
      <w:bookmarkStart w:id="513" w:name="_Toc296503211"/>
      <w:bookmarkStart w:id="514" w:name="_Toc292559921"/>
      <w:bookmarkStart w:id="515" w:name="_Toc303539163"/>
      <w:bookmarkStart w:id="516" w:name="_Toc292559416"/>
      <w:r>
        <w:rPr>
          <w:rFonts w:hint="eastAsia" w:ascii="宋体" w:hAnsi="宋体" w:eastAsia="宋体" w:cs="宋体"/>
          <w:bCs/>
          <w:color w:val="auto"/>
          <w:sz w:val="21"/>
          <w:szCs w:val="21"/>
        </w:rPr>
        <w:t>12.4.1 付款周期</w:t>
      </w:r>
    </w:p>
    <w:p>
      <w:pPr>
        <w:adjustRightInd w:val="0"/>
        <w:snapToGrid w:val="0"/>
        <w:spacing w:line="336" w:lineRule="auto"/>
        <w:ind w:firstLine="420" w:firstLineChars="200"/>
        <w:jc w:val="left"/>
        <w:rPr>
          <w:rFonts w:ascii="宋体" w:hAnsi="宋体" w:eastAsia="宋体" w:cs="宋体"/>
          <w:bCs/>
          <w:color w:val="auto"/>
          <w:sz w:val="21"/>
          <w:szCs w:val="21"/>
          <w:u w:val="single"/>
        </w:rPr>
      </w:pPr>
      <w:r>
        <w:rPr>
          <w:rFonts w:hint="eastAsia" w:ascii="宋体" w:hAnsi="宋体" w:eastAsia="宋体" w:cs="宋体"/>
          <w:bCs/>
          <w:color w:val="auto"/>
          <w:sz w:val="21"/>
          <w:szCs w:val="21"/>
        </w:rPr>
        <w:t>关于付款周期的约定：</w:t>
      </w:r>
    </w:p>
    <w:p>
      <w:pPr>
        <w:tabs>
          <w:tab w:val="left" w:pos="567"/>
        </w:tabs>
        <w:adjustRightInd w:val="0"/>
        <w:snapToGrid w:val="0"/>
        <w:spacing w:line="336" w:lineRule="auto"/>
        <w:ind w:firstLine="420" w:firstLineChars="200"/>
        <w:jc w:val="left"/>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（1）、工程款按进度报表由监理及发包人审定后支付，待工程完工并验收合格后，付至合同总额的50%（包括预付款）；设备运行3个月后并经第三方检测合格后，付至合同总额的85%（包括预付款）；</w:t>
      </w:r>
    </w:p>
    <w:p>
      <w:pPr>
        <w:tabs>
          <w:tab w:val="left" w:pos="567"/>
        </w:tabs>
        <w:adjustRightInd w:val="0"/>
        <w:snapToGrid w:val="0"/>
        <w:spacing w:line="336" w:lineRule="auto"/>
        <w:ind w:firstLine="420" w:firstLineChars="200"/>
        <w:jc w:val="left"/>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（2）、经审计结算后，甲方支付至本项目结算审定价的98.5%（送审必须在工程验收通过后1个月内完成，乙方应按甲方要求提供全额发票）。</w:t>
      </w:r>
    </w:p>
    <w:p>
      <w:pPr>
        <w:tabs>
          <w:tab w:val="left" w:pos="567"/>
        </w:tabs>
        <w:adjustRightInd w:val="0"/>
        <w:snapToGrid w:val="0"/>
        <w:spacing w:line="336" w:lineRule="auto"/>
        <w:ind w:firstLine="420" w:firstLineChars="200"/>
        <w:jc w:val="left"/>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（3）、新增和经认定变更新增的工程量，其工程款支付方式为工程结算审计时一次性支付；</w:t>
      </w:r>
    </w:p>
    <w:p>
      <w:pPr>
        <w:tabs>
          <w:tab w:val="left" w:pos="567"/>
        </w:tabs>
        <w:adjustRightInd w:val="0"/>
        <w:snapToGrid w:val="0"/>
        <w:spacing w:line="336" w:lineRule="auto"/>
        <w:ind w:firstLine="420" w:firstLineChars="200"/>
        <w:jc w:val="left"/>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（4）、剩余1.5％（不计息）在缺陷责任期满后工程无质量问题、成交供应商无违约行为的情况下（2年后付0.5%,5年后付剩余的1%）60日内付清；</w:t>
      </w:r>
    </w:p>
    <w:p>
      <w:pPr>
        <w:tabs>
          <w:tab w:val="left" w:pos="567"/>
        </w:tabs>
        <w:adjustRightInd w:val="0"/>
        <w:snapToGrid w:val="0"/>
        <w:spacing w:line="336" w:lineRule="auto"/>
        <w:ind w:firstLine="420" w:firstLineChars="200"/>
        <w:jc w:val="left"/>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（5）、上述工程进度款支付时，应即时扣除同一时段内发生的各项应扣款项如代付费用、违约处罚等；</w:t>
      </w:r>
    </w:p>
    <w:p>
      <w:pPr>
        <w:tabs>
          <w:tab w:val="left" w:pos="567"/>
        </w:tabs>
        <w:adjustRightInd w:val="0"/>
        <w:snapToGrid w:val="0"/>
        <w:spacing w:line="336" w:lineRule="auto"/>
        <w:ind w:firstLine="420" w:firstLineChars="200"/>
        <w:jc w:val="left"/>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（6）、发包人审核的工程量仅作为进度款支付依据，不作为结算依据；</w:t>
      </w:r>
    </w:p>
    <w:p>
      <w:pPr>
        <w:tabs>
          <w:tab w:val="left" w:pos="567"/>
        </w:tabs>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u w:val="single"/>
        </w:rPr>
        <w:t>（7）、发包人拨付的工程款，必须汇入承包人指定的公司账户，户名：         ，开户银行：         ，账号：          ，不得以任何名义汇入其他账户或账号，不得以任何人名义代领，否则承包人不予认可，并由发包人承担违约责任及经济损失，承包人有权单方解除合同。</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12.4.2 进度付款申请单的编制</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关于进度付款申请单编制的约定：</w:t>
      </w:r>
      <w:r>
        <w:rPr>
          <w:rFonts w:hint="eastAsia" w:ascii="宋体" w:hAnsi="宋体" w:eastAsia="宋体" w:cs="宋体"/>
          <w:bCs/>
          <w:color w:val="auto"/>
          <w:sz w:val="21"/>
          <w:szCs w:val="21"/>
          <w:u w:val="single"/>
        </w:rPr>
        <w:t>按通用合同条款规定执行</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iCs/>
          <w:color w:val="auto"/>
          <w:sz w:val="21"/>
          <w:szCs w:val="21"/>
        </w:rPr>
        <w:t>政府性投资项目工程变更工程款支付条款：</w:t>
      </w:r>
      <w:r>
        <w:rPr>
          <w:rFonts w:hint="eastAsia" w:ascii="宋体" w:hAnsi="宋体" w:eastAsia="宋体" w:cs="宋体"/>
          <w:iCs/>
          <w:color w:val="auto"/>
          <w:sz w:val="21"/>
          <w:szCs w:val="21"/>
          <w:u w:val="single"/>
        </w:rPr>
        <w:t>政府性投资项目工程变更，应按照《仙居县政府投资项目工程变更审批暂行办法》的规定报批，经批准的变更项目，其工程款根据变更项目的工程进度，与合同工程款支付办法同期支付。</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1</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r>
        <w:rPr>
          <w:rFonts w:hint="eastAsia" w:ascii="宋体" w:hAnsi="宋体" w:eastAsia="宋体" w:cs="宋体"/>
          <w:bCs/>
          <w:color w:val="auto"/>
          <w:sz w:val="21"/>
          <w:szCs w:val="21"/>
        </w:rPr>
        <w:t>2.4.3 进度付款申请单的提交</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（1）单价合同进度付款申请单提交的约定：</w:t>
      </w:r>
      <w:r>
        <w:rPr>
          <w:rFonts w:hint="eastAsia" w:ascii="宋体" w:hAnsi="宋体" w:eastAsia="宋体" w:cs="宋体"/>
          <w:bCs/>
          <w:color w:val="auto"/>
          <w:sz w:val="21"/>
          <w:szCs w:val="21"/>
          <w:u w:val="single"/>
        </w:rPr>
        <w:t>按通用合同条款规定执行</w:t>
      </w:r>
      <w:r>
        <w:rPr>
          <w:rFonts w:hint="eastAsia" w:ascii="宋体" w:hAnsi="宋体" w:eastAsia="宋体" w:cs="宋体"/>
          <w:bCs/>
          <w:color w:val="auto"/>
          <w:sz w:val="21"/>
          <w:szCs w:val="21"/>
        </w:rPr>
        <w:t>。</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（2）总价合同进度付款申请单提交的约定：</w:t>
      </w:r>
      <w:r>
        <w:rPr>
          <w:rFonts w:hint="eastAsia" w:ascii="宋体" w:hAnsi="宋体" w:eastAsia="宋体" w:cs="宋体"/>
          <w:bCs/>
          <w:color w:val="auto"/>
          <w:sz w:val="21"/>
          <w:szCs w:val="21"/>
          <w:u w:val="single"/>
        </w:rPr>
        <w:t xml:space="preserve">    /     </w:t>
      </w:r>
      <w:r>
        <w:rPr>
          <w:rFonts w:hint="eastAsia" w:ascii="宋体" w:hAnsi="宋体" w:eastAsia="宋体" w:cs="宋体"/>
          <w:bCs/>
          <w:color w:val="auto"/>
          <w:sz w:val="21"/>
          <w:szCs w:val="21"/>
        </w:rPr>
        <w:t>。</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（3）其他价格形式合同进度付款申请单提交的约定：</w:t>
      </w:r>
      <w:r>
        <w:rPr>
          <w:rFonts w:hint="eastAsia" w:ascii="宋体" w:hAnsi="宋体" w:eastAsia="宋体" w:cs="宋体"/>
          <w:bCs/>
          <w:color w:val="auto"/>
          <w:sz w:val="21"/>
          <w:szCs w:val="21"/>
          <w:u w:val="single"/>
        </w:rPr>
        <w:t xml:space="preserve">  /  </w:t>
      </w:r>
      <w:r>
        <w:rPr>
          <w:rFonts w:hint="eastAsia" w:ascii="宋体" w:hAnsi="宋体" w:eastAsia="宋体" w:cs="宋体"/>
          <w:bCs/>
          <w:color w:val="auto"/>
          <w:sz w:val="21"/>
          <w:szCs w:val="21"/>
        </w:rPr>
        <w:t>。</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12.4.4 进度款审核和支付</w:t>
      </w:r>
    </w:p>
    <w:p>
      <w:pPr>
        <w:adjustRightInd w:val="0"/>
        <w:snapToGrid w:val="0"/>
        <w:spacing w:line="336" w:lineRule="auto"/>
        <w:ind w:firstLine="420" w:firstLineChars="200"/>
        <w:jc w:val="left"/>
        <w:rPr>
          <w:rFonts w:ascii="宋体" w:hAnsi="宋体" w:eastAsia="宋体" w:cs="宋体"/>
          <w:bCs/>
          <w:color w:val="auto"/>
          <w:sz w:val="21"/>
          <w:szCs w:val="21"/>
          <w:u w:val="single"/>
        </w:rPr>
      </w:pPr>
      <w:r>
        <w:rPr>
          <w:rFonts w:hint="eastAsia" w:ascii="宋体" w:hAnsi="宋体" w:eastAsia="宋体" w:cs="宋体"/>
          <w:bCs/>
          <w:color w:val="auto"/>
          <w:sz w:val="21"/>
          <w:szCs w:val="21"/>
        </w:rPr>
        <w:t>（1）监理人审查并报送发包人的期限：</w:t>
      </w:r>
      <w:r>
        <w:rPr>
          <w:rFonts w:hint="eastAsia" w:ascii="宋体" w:hAnsi="宋体" w:eastAsia="宋体" w:cs="宋体"/>
          <w:color w:val="auto"/>
          <w:sz w:val="21"/>
          <w:szCs w:val="21"/>
          <w:u w:val="single"/>
        </w:rPr>
        <w:t>按合同通用条款</w:t>
      </w:r>
      <w:r>
        <w:rPr>
          <w:rFonts w:hint="eastAsia" w:ascii="宋体" w:hAnsi="宋体" w:eastAsia="宋体" w:cs="宋体"/>
          <w:bCs/>
          <w:color w:val="auto"/>
          <w:sz w:val="21"/>
          <w:szCs w:val="21"/>
        </w:rPr>
        <w:t>。</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发包人完成审批并签发进度款支付证书的期限：</w:t>
      </w:r>
      <w:r>
        <w:rPr>
          <w:rFonts w:hint="eastAsia" w:ascii="宋体" w:hAnsi="宋体" w:eastAsia="宋体" w:cs="宋体"/>
          <w:color w:val="auto"/>
          <w:sz w:val="21"/>
          <w:szCs w:val="21"/>
          <w:u w:val="single"/>
        </w:rPr>
        <w:t>按合同通用条款</w:t>
      </w:r>
      <w:r>
        <w:rPr>
          <w:rFonts w:hint="eastAsia" w:ascii="宋体" w:hAnsi="宋体" w:eastAsia="宋体" w:cs="宋体"/>
          <w:bCs/>
          <w:color w:val="auto"/>
          <w:sz w:val="21"/>
          <w:szCs w:val="21"/>
        </w:rPr>
        <w:t>。</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（2）发包人支付进度款的期限：</w:t>
      </w:r>
      <w:r>
        <w:rPr>
          <w:rFonts w:hint="eastAsia" w:ascii="宋体" w:hAnsi="宋体" w:eastAsia="宋体" w:cs="宋体"/>
          <w:color w:val="auto"/>
          <w:sz w:val="21"/>
          <w:szCs w:val="21"/>
          <w:u w:val="single"/>
        </w:rPr>
        <w:t>在发包人确认计量结果后14天内完成支付</w:t>
      </w:r>
      <w:r>
        <w:rPr>
          <w:rFonts w:hint="eastAsia" w:ascii="宋体" w:hAnsi="宋体" w:eastAsia="宋体" w:cs="宋体"/>
          <w:bCs/>
          <w:color w:val="auto"/>
          <w:sz w:val="21"/>
          <w:szCs w:val="21"/>
        </w:rPr>
        <w:t>。</w:t>
      </w:r>
    </w:p>
    <w:p>
      <w:pPr>
        <w:adjustRightInd w:val="0"/>
        <w:snapToGrid w:val="0"/>
        <w:spacing w:line="336" w:lineRule="auto"/>
        <w:ind w:firstLine="525" w:firstLineChars="250"/>
        <w:jc w:val="left"/>
        <w:rPr>
          <w:rFonts w:ascii="宋体" w:hAnsi="宋体" w:eastAsia="宋体" w:cs="宋体"/>
          <w:bCs/>
          <w:color w:val="auto"/>
          <w:sz w:val="21"/>
          <w:szCs w:val="21"/>
        </w:rPr>
      </w:pPr>
      <w:r>
        <w:rPr>
          <w:rFonts w:hint="eastAsia" w:ascii="宋体" w:hAnsi="宋体" w:eastAsia="宋体" w:cs="宋体"/>
          <w:bCs/>
          <w:color w:val="auto"/>
          <w:sz w:val="21"/>
          <w:szCs w:val="21"/>
        </w:rPr>
        <w:t>发包人逾期支付进度款的违约金的计算方式：</w:t>
      </w:r>
      <w:r>
        <w:rPr>
          <w:rFonts w:hint="eastAsia" w:ascii="宋体" w:hAnsi="宋体" w:eastAsia="宋体" w:cs="宋体"/>
          <w:color w:val="auto"/>
          <w:sz w:val="21"/>
          <w:szCs w:val="21"/>
          <w:u w:val="single"/>
        </w:rPr>
        <w:t xml:space="preserve"> /  </w:t>
      </w:r>
      <w:r>
        <w:rPr>
          <w:rFonts w:hint="eastAsia" w:ascii="宋体" w:hAnsi="宋体" w:eastAsia="宋体" w:cs="宋体"/>
          <w:bCs/>
          <w:color w:val="auto"/>
          <w:sz w:val="21"/>
          <w:szCs w:val="21"/>
        </w:rPr>
        <w:t>。</w:t>
      </w:r>
    </w:p>
    <w:p>
      <w:pPr>
        <w:adjustRightInd w:val="0"/>
        <w:snapToGrid w:val="0"/>
        <w:spacing w:line="336" w:lineRule="auto"/>
        <w:ind w:firstLine="525" w:firstLineChars="250"/>
        <w:jc w:val="left"/>
        <w:rPr>
          <w:rFonts w:ascii="宋体" w:hAnsi="宋体" w:eastAsia="宋体" w:cs="宋体"/>
          <w:bCs/>
          <w:color w:val="auto"/>
          <w:sz w:val="21"/>
          <w:szCs w:val="21"/>
        </w:rPr>
      </w:pPr>
      <w:r>
        <w:rPr>
          <w:rFonts w:hint="eastAsia" w:ascii="宋体" w:hAnsi="宋体" w:eastAsia="宋体" w:cs="宋体"/>
          <w:bCs/>
          <w:color w:val="auto"/>
          <w:sz w:val="21"/>
          <w:szCs w:val="21"/>
        </w:rPr>
        <w:t>12.4.6 支付分解表的编制</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2、总价合同支付分解表的编制与审批：</w:t>
      </w:r>
      <w:r>
        <w:rPr>
          <w:rFonts w:hint="eastAsia" w:ascii="宋体" w:hAnsi="宋体" w:eastAsia="宋体" w:cs="宋体"/>
          <w:bCs/>
          <w:color w:val="auto"/>
          <w:sz w:val="21"/>
          <w:szCs w:val="21"/>
          <w:u w:val="single"/>
        </w:rPr>
        <w:t>按通用合同条款规定执行</w:t>
      </w:r>
      <w:r>
        <w:rPr>
          <w:rFonts w:hint="eastAsia" w:ascii="宋体" w:hAnsi="宋体" w:eastAsia="宋体" w:cs="宋体"/>
          <w:bCs/>
          <w:color w:val="auto"/>
          <w:sz w:val="21"/>
          <w:szCs w:val="21"/>
        </w:rPr>
        <w:t>。</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3、单价合同的总价项目支付分解表的编制与审批：</w:t>
      </w:r>
      <w:r>
        <w:rPr>
          <w:rFonts w:hint="eastAsia" w:ascii="宋体" w:hAnsi="宋体" w:eastAsia="宋体" w:cs="宋体"/>
          <w:bCs/>
          <w:color w:val="auto"/>
          <w:sz w:val="21"/>
          <w:szCs w:val="21"/>
          <w:u w:val="single"/>
        </w:rPr>
        <w:t>按通用合同条款规定执行</w:t>
      </w:r>
      <w:r>
        <w:rPr>
          <w:rFonts w:hint="eastAsia" w:ascii="宋体" w:hAnsi="宋体" w:eastAsia="宋体" w:cs="宋体"/>
          <w:bCs/>
          <w:color w:val="auto"/>
          <w:sz w:val="21"/>
          <w:szCs w:val="21"/>
        </w:rPr>
        <w:t>。</w:t>
      </w:r>
    </w:p>
    <w:bookmarkEnd w:id="349"/>
    <w:p>
      <w:pPr>
        <w:adjustRightInd w:val="0"/>
        <w:snapToGrid w:val="0"/>
        <w:spacing w:line="336" w:lineRule="auto"/>
        <w:rPr>
          <w:rFonts w:ascii="宋体" w:hAnsi="宋体" w:eastAsia="宋体" w:cs="宋体"/>
          <w:bCs/>
          <w:color w:val="auto"/>
          <w:sz w:val="21"/>
          <w:szCs w:val="21"/>
        </w:rPr>
      </w:pPr>
      <w:bookmarkStart w:id="517" w:name="_Toc351203645"/>
      <w:bookmarkStart w:id="518" w:name="_Toc303539172"/>
      <w:bookmarkStart w:id="519" w:name="_Toc300935015"/>
      <w:bookmarkStart w:id="520" w:name="_Toc297216223"/>
      <w:bookmarkStart w:id="521" w:name="_Toc312678053"/>
      <w:bookmarkStart w:id="522" w:name="_Toc296891047"/>
      <w:bookmarkStart w:id="523" w:name="_Toc296346720"/>
      <w:bookmarkStart w:id="524" w:name="_Toc297123564"/>
      <w:bookmarkStart w:id="525" w:name="_Toc297048405"/>
      <w:bookmarkStart w:id="526" w:name="_Toc296503219"/>
      <w:bookmarkStart w:id="527" w:name="_Toc296347218"/>
      <w:bookmarkStart w:id="528" w:name="_Toc296891259"/>
      <w:bookmarkStart w:id="529" w:name="_Toc292559424"/>
      <w:bookmarkStart w:id="530" w:name="_Toc292559929"/>
      <w:bookmarkStart w:id="531" w:name="_Toc297120519"/>
      <w:bookmarkStart w:id="532" w:name="_Toc304295593"/>
      <w:bookmarkStart w:id="533" w:name="_Toc296944558"/>
      <w:r>
        <w:rPr>
          <w:rFonts w:hint="eastAsia" w:ascii="宋体" w:hAnsi="宋体" w:eastAsia="宋体" w:cs="宋体"/>
          <w:bCs/>
          <w:color w:val="auto"/>
          <w:sz w:val="21"/>
          <w:szCs w:val="21"/>
        </w:rPr>
        <w:t>13. 验收和工程试车</w:t>
      </w:r>
      <w:bookmarkEnd w:id="517"/>
    </w:p>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13.1 分部分项工程验收</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13.1.2监理人不能按时进行验收时，应提前</w:t>
      </w:r>
      <w:r>
        <w:rPr>
          <w:rFonts w:hint="eastAsia" w:ascii="宋体" w:hAnsi="宋体" w:eastAsia="宋体" w:cs="宋体"/>
          <w:bCs/>
          <w:color w:val="auto"/>
          <w:sz w:val="21"/>
          <w:szCs w:val="21"/>
          <w:u w:val="single"/>
        </w:rPr>
        <w:t>24</w:t>
      </w:r>
      <w:r>
        <w:rPr>
          <w:rFonts w:hint="eastAsia" w:ascii="宋体" w:hAnsi="宋体" w:eastAsia="宋体" w:cs="宋体"/>
          <w:bCs/>
          <w:color w:val="auto"/>
          <w:sz w:val="21"/>
          <w:szCs w:val="21"/>
        </w:rPr>
        <w:t>小时提交书面延期要求。</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关于延期最长不得超过：</w:t>
      </w:r>
      <w:r>
        <w:rPr>
          <w:rFonts w:hint="eastAsia" w:ascii="宋体" w:hAnsi="宋体" w:eastAsia="宋体" w:cs="宋体"/>
          <w:bCs/>
          <w:color w:val="auto"/>
          <w:sz w:val="21"/>
          <w:szCs w:val="21"/>
          <w:u w:val="single"/>
        </w:rPr>
        <w:t>24</w:t>
      </w:r>
      <w:r>
        <w:rPr>
          <w:rFonts w:hint="eastAsia" w:ascii="宋体" w:hAnsi="宋体" w:eastAsia="宋体" w:cs="宋体"/>
          <w:bCs/>
          <w:color w:val="auto"/>
          <w:sz w:val="21"/>
          <w:szCs w:val="21"/>
        </w:rPr>
        <w:t>小时。</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color w:val="auto"/>
          <w:sz w:val="21"/>
          <w:szCs w:val="21"/>
          <w:u w:val="single"/>
        </w:rPr>
        <w:t>工程验收过程、验收部位除办理纸质验收记录，还应留置验收部位、验收过程、主要验收人员相片、影像等资料。</w:t>
      </w:r>
    </w:p>
    <w:p>
      <w:pPr>
        <w:adjustRightInd w:val="0"/>
        <w:snapToGrid w:val="0"/>
        <w:spacing w:line="336" w:lineRule="auto"/>
        <w:ind w:firstLine="420" w:firstLineChars="200"/>
        <w:rPr>
          <w:rFonts w:ascii="宋体" w:hAnsi="宋体" w:eastAsia="宋体" w:cs="宋体"/>
          <w:bCs/>
          <w:color w:val="auto"/>
          <w:sz w:val="21"/>
          <w:szCs w:val="21"/>
        </w:rPr>
      </w:pPr>
      <w:bookmarkStart w:id="534" w:name="_Toc297123565"/>
      <w:bookmarkStart w:id="535" w:name="_Toc296503223"/>
      <w:bookmarkStart w:id="536" w:name="_Toc312678056"/>
      <w:bookmarkStart w:id="537" w:name="_Toc292559428"/>
      <w:bookmarkStart w:id="538" w:name="_Toc296347222"/>
      <w:bookmarkStart w:id="539" w:name="_Toc296944562"/>
      <w:bookmarkStart w:id="540" w:name="_Toc297120523"/>
      <w:bookmarkStart w:id="541" w:name="_Toc297048409"/>
      <w:bookmarkStart w:id="542" w:name="_Toc296346724"/>
      <w:bookmarkStart w:id="543" w:name="_Toc303539173"/>
      <w:bookmarkStart w:id="544" w:name="_Toc300935016"/>
      <w:bookmarkStart w:id="545" w:name="_Toc304295596"/>
      <w:bookmarkStart w:id="546" w:name="_Toc297216224"/>
      <w:bookmarkStart w:id="547" w:name="_Toc296891051"/>
      <w:bookmarkStart w:id="548" w:name="_Toc296891263"/>
      <w:bookmarkStart w:id="549" w:name="_Toc292559933"/>
      <w:bookmarkStart w:id="550" w:name="_Toc267251470"/>
      <w:bookmarkStart w:id="551" w:name="_Toc267251474"/>
      <w:bookmarkStart w:id="552" w:name="_Toc267251471"/>
      <w:bookmarkStart w:id="553" w:name="_Toc267251472"/>
      <w:bookmarkStart w:id="554" w:name="_Toc267251475"/>
      <w:bookmarkStart w:id="555" w:name="_Toc267251473"/>
      <w:bookmarkStart w:id="556" w:name="_Toc267251476"/>
      <w:r>
        <w:rPr>
          <w:rFonts w:hint="eastAsia" w:ascii="宋体" w:hAnsi="宋体" w:eastAsia="宋体" w:cs="宋体"/>
          <w:bCs/>
          <w:color w:val="auto"/>
          <w:sz w:val="21"/>
          <w:szCs w:val="21"/>
        </w:rPr>
        <w:t>13.2 竣工验收</w:t>
      </w:r>
    </w:p>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Pr>
        <w:adjustRightInd w:val="0"/>
        <w:snapToGrid w:val="0"/>
        <w:spacing w:line="336" w:lineRule="auto"/>
        <w:ind w:firstLine="420" w:firstLineChars="200"/>
        <w:jc w:val="left"/>
        <w:rPr>
          <w:rFonts w:ascii="宋体" w:hAnsi="宋体" w:eastAsia="宋体" w:cs="宋体"/>
          <w:bCs/>
          <w:color w:val="auto"/>
          <w:sz w:val="21"/>
          <w:szCs w:val="21"/>
        </w:rPr>
      </w:pPr>
      <w:bookmarkStart w:id="557" w:name="_Toc280868704"/>
      <w:bookmarkStart w:id="558" w:name="_Toc280868705"/>
      <w:bookmarkStart w:id="559" w:name="_Toc280868706"/>
      <w:bookmarkStart w:id="560" w:name="_Toc280868707"/>
      <w:bookmarkStart w:id="561" w:name="_Toc280868708"/>
      <w:bookmarkStart w:id="562" w:name="_Toc280868709"/>
      <w:r>
        <w:rPr>
          <w:rFonts w:hint="eastAsia" w:ascii="宋体" w:hAnsi="宋体" w:eastAsia="宋体" w:cs="宋体"/>
          <w:bCs/>
          <w:color w:val="auto"/>
          <w:sz w:val="21"/>
          <w:szCs w:val="21"/>
        </w:rPr>
        <w:t>13.2.2竣工验收程序</w:t>
      </w:r>
    </w:p>
    <w:bookmarkEnd w:id="557"/>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kern w:val="0"/>
          <w:sz w:val="21"/>
          <w:szCs w:val="21"/>
        </w:rPr>
        <w:t>关于竣工验收程序的约定：</w:t>
      </w:r>
      <w:r>
        <w:rPr>
          <w:rFonts w:hint="eastAsia" w:ascii="宋体" w:hAnsi="宋体" w:eastAsia="宋体" w:cs="宋体"/>
          <w:color w:val="auto"/>
          <w:sz w:val="21"/>
          <w:szCs w:val="21"/>
          <w:u w:val="single"/>
        </w:rPr>
        <w:t>按通用合同条款规定执行。</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kern w:val="0"/>
          <w:sz w:val="21"/>
          <w:szCs w:val="21"/>
        </w:rPr>
        <w:t>发包人不按照本项约定组织竣工验收、颁发工程接收证书的违约金的计算方法：</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w:t>
      </w:r>
    </w:p>
    <w:bookmarkEnd w:id="558"/>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13.2.5移交、接收全部与部分工程</w:t>
      </w:r>
    </w:p>
    <w:bookmarkEnd w:id="559"/>
    <w:p>
      <w:pPr>
        <w:adjustRightInd w:val="0"/>
        <w:snapToGrid w:val="0"/>
        <w:spacing w:line="336" w:lineRule="auto"/>
        <w:ind w:firstLine="420" w:firstLineChars="200"/>
        <w:jc w:val="left"/>
        <w:rPr>
          <w:rFonts w:ascii="宋体" w:hAnsi="宋体" w:eastAsia="宋体" w:cs="宋体"/>
          <w:bCs/>
          <w:color w:val="auto"/>
          <w:kern w:val="0"/>
          <w:sz w:val="21"/>
          <w:szCs w:val="21"/>
        </w:rPr>
      </w:pPr>
      <w:r>
        <w:rPr>
          <w:rFonts w:hint="eastAsia" w:ascii="宋体" w:hAnsi="宋体" w:eastAsia="宋体" w:cs="宋体"/>
          <w:bCs/>
          <w:color w:val="auto"/>
          <w:kern w:val="0"/>
          <w:sz w:val="21"/>
          <w:szCs w:val="21"/>
        </w:rPr>
        <w:t>承包人向发包人移交工程的期限：</w:t>
      </w:r>
      <w:r>
        <w:rPr>
          <w:rFonts w:hint="eastAsia" w:ascii="宋体" w:hAnsi="宋体" w:eastAsia="宋体" w:cs="宋体"/>
          <w:color w:val="auto"/>
          <w:sz w:val="21"/>
          <w:szCs w:val="21"/>
          <w:u w:val="single"/>
        </w:rPr>
        <w:t>按通用条款执行</w:t>
      </w:r>
      <w:r>
        <w:rPr>
          <w:rFonts w:hint="eastAsia" w:ascii="宋体" w:hAnsi="宋体" w:eastAsia="宋体" w:cs="宋体"/>
          <w:bCs/>
          <w:color w:val="auto"/>
          <w:sz w:val="21"/>
          <w:szCs w:val="21"/>
        </w:rPr>
        <w:t>。</w:t>
      </w:r>
    </w:p>
    <w:p>
      <w:pPr>
        <w:adjustRightInd w:val="0"/>
        <w:snapToGrid w:val="0"/>
        <w:spacing w:line="336" w:lineRule="auto"/>
        <w:ind w:firstLine="420" w:firstLineChars="200"/>
        <w:jc w:val="left"/>
        <w:rPr>
          <w:rFonts w:ascii="宋体" w:hAnsi="宋体" w:eastAsia="宋体" w:cs="宋体"/>
          <w:bCs/>
          <w:color w:val="auto"/>
          <w:sz w:val="21"/>
          <w:szCs w:val="21"/>
          <w:u w:val="single"/>
        </w:rPr>
      </w:pPr>
      <w:r>
        <w:rPr>
          <w:rFonts w:hint="eastAsia" w:ascii="宋体" w:hAnsi="宋体" w:eastAsia="宋体" w:cs="宋体"/>
          <w:bCs/>
          <w:color w:val="auto"/>
          <w:kern w:val="0"/>
          <w:sz w:val="21"/>
          <w:szCs w:val="21"/>
        </w:rPr>
        <w:t>发包人未按本合同约定接收全部或部分工程的，违约金的计算方法为：</w:t>
      </w:r>
      <w:r>
        <w:rPr>
          <w:rFonts w:hint="eastAsia" w:ascii="宋体" w:hAnsi="宋体" w:eastAsia="宋体" w:cs="宋体"/>
          <w:bCs/>
          <w:color w:val="auto"/>
          <w:sz w:val="21"/>
          <w:szCs w:val="21"/>
          <w:u w:val="single"/>
        </w:rPr>
        <w:t xml:space="preserve">   /   </w:t>
      </w:r>
      <w:r>
        <w:rPr>
          <w:rFonts w:hint="eastAsia" w:ascii="宋体" w:hAnsi="宋体" w:eastAsia="宋体" w:cs="宋体"/>
          <w:bCs/>
          <w:color w:val="auto"/>
          <w:sz w:val="21"/>
          <w:szCs w:val="21"/>
        </w:rPr>
        <w:t>。</w:t>
      </w:r>
    </w:p>
    <w:bookmarkEnd w:id="560"/>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承包人未按时移交工程的，违约金的计算方法为：</w:t>
      </w:r>
      <w:r>
        <w:rPr>
          <w:rFonts w:hint="eastAsia" w:ascii="宋体" w:hAnsi="宋体" w:eastAsia="宋体" w:cs="宋体"/>
          <w:color w:val="auto"/>
          <w:sz w:val="21"/>
          <w:szCs w:val="21"/>
          <w:u w:val="single"/>
        </w:rPr>
        <w:t xml:space="preserve">   /     </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13.3 工程试车</w:t>
      </w:r>
    </w:p>
    <w:bookmarkEnd w:id="561"/>
    <w:p>
      <w:pPr>
        <w:adjustRightInd w:val="0"/>
        <w:snapToGrid w:val="0"/>
        <w:spacing w:line="336" w:lineRule="auto"/>
        <w:ind w:firstLine="420" w:firstLineChars="200"/>
        <w:jc w:val="left"/>
        <w:rPr>
          <w:rFonts w:ascii="宋体" w:hAnsi="宋体" w:eastAsia="宋体" w:cs="宋体"/>
          <w:bCs/>
          <w:color w:val="auto"/>
          <w:kern w:val="0"/>
          <w:sz w:val="21"/>
          <w:szCs w:val="21"/>
        </w:rPr>
      </w:pPr>
      <w:r>
        <w:rPr>
          <w:rFonts w:hint="eastAsia" w:ascii="宋体" w:hAnsi="宋体" w:eastAsia="宋体" w:cs="宋体"/>
          <w:bCs/>
          <w:color w:val="auto"/>
          <w:kern w:val="0"/>
          <w:sz w:val="21"/>
          <w:szCs w:val="21"/>
        </w:rPr>
        <w:t>13.3.1 试车程序</w:t>
      </w:r>
    </w:p>
    <w:p>
      <w:pPr>
        <w:adjustRightInd w:val="0"/>
        <w:snapToGrid w:val="0"/>
        <w:spacing w:line="336" w:lineRule="auto"/>
        <w:ind w:firstLine="420" w:firstLineChars="200"/>
        <w:jc w:val="left"/>
        <w:rPr>
          <w:rFonts w:ascii="宋体" w:hAnsi="宋体" w:eastAsia="宋体" w:cs="宋体"/>
          <w:bCs/>
          <w:color w:val="auto"/>
          <w:kern w:val="0"/>
          <w:sz w:val="21"/>
          <w:szCs w:val="21"/>
        </w:rPr>
      </w:pPr>
      <w:r>
        <w:rPr>
          <w:rFonts w:hint="eastAsia" w:ascii="宋体" w:hAnsi="宋体" w:eastAsia="宋体" w:cs="宋体"/>
          <w:bCs/>
          <w:color w:val="auto"/>
          <w:kern w:val="0"/>
          <w:sz w:val="21"/>
          <w:szCs w:val="21"/>
        </w:rPr>
        <w:t>工程试车内容：</w:t>
      </w:r>
      <w:r>
        <w:rPr>
          <w:rFonts w:hint="eastAsia" w:ascii="宋体" w:hAnsi="宋体" w:eastAsia="宋体" w:cs="宋体"/>
          <w:bCs/>
          <w:color w:val="auto"/>
          <w:sz w:val="21"/>
          <w:szCs w:val="21"/>
          <w:u w:val="single"/>
        </w:rPr>
        <w:t>试车内容应与承包人承包范围相一致，试车费用由承包人承担</w:t>
      </w:r>
      <w:r>
        <w:rPr>
          <w:rFonts w:hint="eastAsia" w:ascii="宋体" w:hAnsi="宋体" w:eastAsia="宋体" w:cs="宋体"/>
          <w:bCs/>
          <w:color w:val="auto"/>
          <w:sz w:val="21"/>
          <w:szCs w:val="21"/>
        </w:rPr>
        <w:t>。</w:t>
      </w:r>
    </w:p>
    <w:p>
      <w:pPr>
        <w:adjustRightInd w:val="0"/>
        <w:snapToGrid w:val="0"/>
        <w:spacing w:line="336" w:lineRule="auto"/>
        <w:ind w:firstLine="420" w:firstLineChars="200"/>
        <w:jc w:val="left"/>
        <w:rPr>
          <w:rFonts w:ascii="宋体" w:hAnsi="宋体" w:eastAsia="宋体" w:cs="宋体"/>
          <w:bCs/>
          <w:color w:val="auto"/>
          <w:kern w:val="0"/>
          <w:sz w:val="21"/>
          <w:szCs w:val="21"/>
        </w:rPr>
      </w:pPr>
      <w:r>
        <w:rPr>
          <w:rFonts w:hint="eastAsia" w:ascii="宋体" w:hAnsi="宋体" w:eastAsia="宋体" w:cs="宋体"/>
          <w:bCs/>
          <w:color w:val="auto"/>
          <w:kern w:val="0"/>
          <w:sz w:val="21"/>
          <w:szCs w:val="21"/>
        </w:rPr>
        <w:t>（1）单机无负荷试车费用由</w:t>
      </w:r>
      <w:r>
        <w:rPr>
          <w:rFonts w:hint="eastAsia" w:ascii="宋体" w:hAnsi="宋体" w:eastAsia="宋体" w:cs="宋体"/>
          <w:bCs/>
          <w:color w:val="auto"/>
          <w:sz w:val="21"/>
          <w:szCs w:val="21"/>
          <w:u w:val="single"/>
        </w:rPr>
        <w:t>承包人</w:t>
      </w:r>
      <w:r>
        <w:rPr>
          <w:rFonts w:hint="eastAsia" w:ascii="宋体" w:hAnsi="宋体" w:eastAsia="宋体" w:cs="宋体"/>
          <w:bCs/>
          <w:color w:val="auto"/>
          <w:kern w:val="0"/>
          <w:sz w:val="21"/>
          <w:szCs w:val="21"/>
        </w:rPr>
        <w:t>承担；</w:t>
      </w:r>
    </w:p>
    <w:p>
      <w:pPr>
        <w:adjustRightInd w:val="0"/>
        <w:snapToGrid w:val="0"/>
        <w:spacing w:line="336" w:lineRule="auto"/>
        <w:ind w:firstLine="420" w:firstLineChars="200"/>
        <w:jc w:val="left"/>
        <w:rPr>
          <w:rFonts w:ascii="宋体" w:hAnsi="宋体" w:eastAsia="宋体" w:cs="宋体"/>
          <w:bCs/>
          <w:color w:val="auto"/>
          <w:kern w:val="0"/>
          <w:sz w:val="21"/>
          <w:szCs w:val="21"/>
        </w:rPr>
      </w:pPr>
      <w:r>
        <w:rPr>
          <w:rFonts w:hint="eastAsia" w:ascii="宋体" w:hAnsi="宋体" w:eastAsia="宋体" w:cs="宋体"/>
          <w:bCs/>
          <w:color w:val="auto"/>
          <w:kern w:val="0"/>
          <w:sz w:val="21"/>
          <w:szCs w:val="21"/>
        </w:rPr>
        <w:t>（2）无负荷联动试车费用由</w:t>
      </w:r>
      <w:r>
        <w:rPr>
          <w:rFonts w:hint="eastAsia" w:ascii="宋体" w:hAnsi="宋体" w:eastAsia="宋体" w:cs="宋体"/>
          <w:bCs/>
          <w:color w:val="auto"/>
          <w:sz w:val="21"/>
          <w:szCs w:val="21"/>
          <w:u w:val="single"/>
        </w:rPr>
        <w:t>承包人</w:t>
      </w:r>
      <w:r>
        <w:rPr>
          <w:rFonts w:hint="eastAsia" w:ascii="宋体" w:hAnsi="宋体" w:eastAsia="宋体" w:cs="宋体"/>
          <w:bCs/>
          <w:color w:val="auto"/>
          <w:kern w:val="0"/>
          <w:sz w:val="21"/>
          <w:szCs w:val="21"/>
        </w:rPr>
        <w:t>承担。</w:t>
      </w:r>
    </w:p>
    <w:p>
      <w:pPr>
        <w:adjustRightInd w:val="0"/>
        <w:snapToGrid w:val="0"/>
        <w:spacing w:line="336" w:lineRule="auto"/>
        <w:ind w:firstLine="420" w:firstLineChars="200"/>
        <w:jc w:val="left"/>
        <w:rPr>
          <w:rFonts w:ascii="宋体" w:hAnsi="宋体" w:eastAsia="宋体" w:cs="宋体"/>
          <w:bCs/>
          <w:color w:val="auto"/>
          <w:kern w:val="0"/>
          <w:sz w:val="21"/>
          <w:szCs w:val="21"/>
        </w:rPr>
      </w:pPr>
      <w:r>
        <w:rPr>
          <w:rFonts w:hint="eastAsia" w:ascii="宋体" w:hAnsi="宋体" w:eastAsia="宋体" w:cs="宋体"/>
          <w:bCs/>
          <w:color w:val="auto"/>
          <w:kern w:val="0"/>
          <w:sz w:val="21"/>
          <w:szCs w:val="21"/>
        </w:rPr>
        <w:t>13.3.3 投料试车</w:t>
      </w:r>
    </w:p>
    <w:p>
      <w:pPr>
        <w:adjustRightInd w:val="0"/>
        <w:snapToGrid w:val="0"/>
        <w:spacing w:line="336" w:lineRule="auto"/>
        <w:ind w:firstLine="420" w:firstLineChars="200"/>
        <w:jc w:val="left"/>
        <w:rPr>
          <w:rFonts w:ascii="宋体" w:hAnsi="宋体" w:eastAsia="宋体" w:cs="宋体"/>
          <w:bCs/>
          <w:color w:val="auto"/>
          <w:kern w:val="0"/>
          <w:sz w:val="21"/>
          <w:szCs w:val="21"/>
        </w:rPr>
      </w:pPr>
      <w:r>
        <w:rPr>
          <w:rFonts w:hint="eastAsia" w:ascii="宋体" w:hAnsi="宋体" w:eastAsia="宋体" w:cs="宋体"/>
          <w:bCs/>
          <w:color w:val="auto"/>
          <w:kern w:val="0"/>
          <w:sz w:val="21"/>
          <w:szCs w:val="21"/>
        </w:rPr>
        <w:t>关于投料试车相关事项的约定：</w:t>
      </w:r>
      <w:r>
        <w:rPr>
          <w:rFonts w:hint="eastAsia" w:ascii="宋体" w:hAnsi="宋体" w:eastAsia="宋体" w:cs="宋体"/>
          <w:bCs/>
          <w:color w:val="auto"/>
          <w:sz w:val="21"/>
          <w:szCs w:val="21"/>
          <w:u w:val="single"/>
        </w:rPr>
        <w:t>按通用合同条款规定执行</w:t>
      </w:r>
      <w:r>
        <w:rPr>
          <w:rFonts w:hint="eastAsia" w:ascii="宋体" w:hAnsi="宋体" w:eastAsia="宋体" w:cs="宋体"/>
          <w:bCs/>
          <w:color w:val="auto"/>
          <w:sz w:val="21"/>
          <w:szCs w:val="21"/>
        </w:rPr>
        <w:t>。</w:t>
      </w:r>
    </w:p>
    <w:p>
      <w:pPr>
        <w:adjustRightInd w:val="0"/>
        <w:snapToGrid w:val="0"/>
        <w:spacing w:line="336" w:lineRule="auto"/>
        <w:ind w:firstLine="420" w:firstLineChars="200"/>
        <w:outlineLvl w:val="0"/>
        <w:rPr>
          <w:rFonts w:ascii="宋体" w:hAnsi="宋体" w:eastAsia="宋体" w:cs="宋体"/>
          <w:bCs/>
          <w:color w:val="auto"/>
          <w:sz w:val="21"/>
          <w:szCs w:val="21"/>
        </w:rPr>
      </w:pPr>
      <w:r>
        <w:rPr>
          <w:rFonts w:hint="eastAsia" w:ascii="宋体" w:hAnsi="宋体" w:eastAsia="宋体" w:cs="宋体"/>
          <w:bCs/>
          <w:color w:val="auto"/>
          <w:sz w:val="21"/>
          <w:szCs w:val="21"/>
        </w:rPr>
        <w:t>13.6 竣工退场</w:t>
      </w:r>
    </w:p>
    <w:p>
      <w:pPr>
        <w:adjustRightInd w:val="0"/>
        <w:snapToGrid w:val="0"/>
        <w:spacing w:line="336" w:lineRule="auto"/>
        <w:ind w:firstLine="420" w:firstLineChars="200"/>
        <w:jc w:val="left"/>
        <w:rPr>
          <w:rFonts w:ascii="宋体" w:hAnsi="宋体" w:eastAsia="宋体" w:cs="宋体"/>
          <w:bCs/>
          <w:color w:val="auto"/>
          <w:kern w:val="0"/>
          <w:sz w:val="21"/>
          <w:szCs w:val="21"/>
        </w:rPr>
      </w:pPr>
      <w:r>
        <w:rPr>
          <w:rFonts w:hint="eastAsia" w:ascii="宋体" w:hAnsi="宋体" w:eastAsia="宋体" w:cs="宋体"/>
          <w:bCs/>
          <w:color w:val="auto"/>
          <w:kern w:val="0"/>
          <w:sz w:val="21"/>
          <w:szCs w:val="21"/>
        </w:rPr>
        <w:t>13.6.1 竣工退场</w:t>
      </w:r>
    </w:p>
    <w:p>
      <w:pPr>
        <w:adjustRightInd w:val="0"/>
        <w:snapToGrid w:val="0"/>
        <w:spacing w:line="336" w:lineRule="auto"/>
        <w:ind w:firstLine="420" w:firstLineChars="200"/>
        <w:jc w:val="left"/>
        <w:rPr>
          <w:rFonts w:ascii="宋体" w:hAnsi="宋体" w:eastAsia="宋体" w:cs="宋体"/>
          <w:bCs/>
          <w:color w:val="auto"/>
          <w:kern w:val="0"/>
          <w:sz w:val="21"/>
          <w:szCs w:val="21"/>
        </w:rPr>
      </w:pPr>
      <w:r>
        <w:rPr>
          <w:rFonts w:hint="eastAsia" w:ascii="宋体" w:hAnsi="宋体" w:eastAsia="宋体" w:cs="宋体"/>
          <w:bCs/>
          <w:color w:val="auto"/>
          <w:kern w:val="0"/>
          <w:sz w:val="21"/>
          <w:szCs w:val="21"/>
        </w:rPr>
        <w:t>承包人完成竣工退场的期限：。</w:t>
      </w:r>
    </w:p>
    <w:p>
      <w:pPr>
        <w:adjustRightInd w:val="0"/>
        <w:snapToGrid w:val="0"/>
        <w:spacing w:line="336" w:lineRule="auto"/>
        <w:rPr>
          <w:rFonts w:ascii="宋体" w:hAnsi="宋体" w:eastAsia="宋体" w:cs="宋体"/>
          <w:bCs/>
          <w:color w:val="auto"/>
          <w:sz w:val="21"/>
          <w:szCs w:val="21"/>
        </w:rPr>
      </w:pPr>
      <w:bookmarkStart w:id="563" w:name="_Toc351203646"/>
      <w:r>
        <w:rPr>
          <w:rFonts w:hint="eastAsia" w:ascii="宋体" w:hAnsi="宋体" w:eastAsia="宋体" w:cs="宋体"/>
          <w:bCs/>
          <w:color w:val="auto"/>
          <w:sz w:val="21"/>
          <w:szCs w:val="21"/>
        </w:rPr>
        <w:t>14. 竣工结算</w:t>
      </w:r>
      <w:bookmarkEnd w:id="563"/>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14.1 竣工结算申请</w:t>
      </w:r>
    </w:p>
    <w:p>
      <w:pPr>
        <w:snapToGrid w:val="0"/>
        <w:spacing w:after="120"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承包人提交竣工结算申请单的期限：</w:t>
      </w:r>
      <w:r>
        <w:rPr>
          <w:rFonts w:hint="eastAsia" w:ascii="宋体" w:hAnsi="宋体" w:eastAsia="宋体" w:cs="宋体"/>
          <w:color w:val="auto"/>
          <w:sz w:val="21"/>
          <w:szCs w:val="21"/>
          <w:u w:val="single"/>
        </w:rPr>
        <w:t>承包人应在完成合同范围内施工内容，工程建设各方主体（建设、监理、施工、勘察、设计单位等）对工程验收并签署工程质量合格文件后90天内向发包人或监理人提交竣工结算申请单，并提交完整的工程结算资料一套。超过90天未提交竣工结算资料，经发包人催告后28天，承包人还不提交竣工结算资料的，发包人可根据自己资料办理竣工结算，且视为承包人认可竣工结算结果</w:t>
      </w:r>
      <w:r>
        <w:rPr>
          <w:rFonts w:hint="eastAsia" w:ascii="宋体" w:hAnsi="宋体" w:eastAsia="宋体" w:cs="宋体"/>
          <w:bCs/>
          <w:color w:val="auto"/>
          <w:sz w:val="21"/>
          <w:szCs w:val="21"/>
        </w:rPr>
        <w:t>。</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竣工结算申请单应包括的内容：</w:t>
      </w:r>
    </w:p>
    <w:p>
      <w:pPr>
        <w:adjustRightInd w:val="0"/>
        <w:snapToGrid w:val="0"/>
        <w:spacing w:line="336" w:lineRule="auto"/>
        <w:ind w:firstLine="420" w:firstLineChars="200"/>
        <w:jc w:val="left"/>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（1）竣工结算合同价格；</w:t>
      </w:r>
    </w:p>
    <w:p>
      <w:pPr>
        <w:adjustRightInd w:val="0"/>
        <w:snapToGrid w:val="0"/>
        <w:spacing w:line="336" w:lineRule="auto"/>
        <w:ind w:firstLine="420" w:firstLineChars="200"/>
        <w:jc w:val="left"/>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（2）发包人已支付承包人的款项；</w:t>
      </w:r>
    </w:p>
    <w:p>
      <w:pPr>
        <w:adjustRightInd w:val="0"/>
        <w:snapToGrid w:val="0"/>
        <w:spacing w:line="336" w:lineRule="auto"/>
        <w:ind w:firstLine="420" w:firstLineChars="200"/>
        <w:jc w:val="left"/>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 xml:space="preserve">（3）应扣留的质量保证金等； </w:t>
      </w:r>
    </w:p>
    <w:p>
      <w:pPr>
        <w:adjustRightInd w:val="0"/>
        <w:snapToGrid w:val="0"/>
        <w:spacing w:line="336" w:lineRule="auto"/>
        <w:ind w:firstLine="420" w:firstLineChars="200"/>
        <w:jc w:val="left"/>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（4）发包人应支付承包人的合同价款。</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u w:val="single"/>
        </w:rPr>
        <w:t>（5）本工程结算造价以审计部门的最终审计结果为准，发包人根据国家造价管理的有关规定以及审计部门审定的价款进行结算，与承包人办理最终价款结算手续。发包人、审计部门应在竣工验收合格、承包人提供完整结算资料以及具备其它结算条件后及时按有关规定核实承包人递交的结算报告及结算资料，但并不受通用条款所述的时间约束。结算审核费用按发包人与结算审核单位的合同约定支付，其中核增额和超过5%以外的核减额的审计费用由承包人按浙价服[2009]84号文件规定的收费标准支付。</w:t>
      </w:r>
    </w:p>
    <w:p>
      <w:pPr>
        <w:adjustRightInd w:val="0"/>
        <w:snapToGrid w:val="0"/>
        <w:spacing w:line="336" w:lineRule="auto"/>
        <w:ind w:firstLine="420" w:firstLineChars="200"/>
        <w:outlineLvl w:val="0"/>
        <w:rPr>
          <w:rFonts w:ascii="宋体" w:hAnsi="宋体" w:eastAsia="宋体" w:cs="宋体"/>
          <w:bCs/>
          <w:color w:val="auto"/>
          <w:sz w:val="21"/>
          <w:szCs w:val="21"/>
        </w:rPr>
      </w:pPr>
      <w:r>
        <w:rPr>
          <w:rFonts w:hint="eastAsia" w:ascii="宋体" w:hAnsi="宋体" w:eastAsia="宋体" w:cs="宋体"/>
          <w:bCs/>
          <w:color w:val="auto"/>
          <w:sz w:val="21"/>
          <w:szCs w:val="21"/>
        </w:rPr>
        <w:t>14.2 竣工结算审核</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发包人审批竣工付款申请单的期限：</w:t>
      </w:r>
      <w:r>
        <w:rPr>
          <w:rFonts w:hint="eastAsia" w:ascii="宋体" w:hAnsi="宋体" w:eastAsia="宋体" w:cs="宋体"/>
          <w:bCs/>
          <w:color w:val="auto"/>
          <w:sz w:val="21"/>
          <w:szCs w:val="21"/>
          <w:u w:val="single"/>
        </w:rPr>
        <w:t xml:space="preserve"> </w:t>
      </w:r>
      <w:r>
        <w:rPr>
          <w:rFonts w:hint="eastAsia" w:ascii="宋体" w:hAnsi="宋体" w:eastAsia="宋体" w:cs="宋体"/>
          <w:color w:val="auto"/>
          <w:sz w:val="21"/>
          <w:szCs w:val="21"/>
          <w:u w:val="single"/>
        </w:rPr>
        <w:t xml:space="preserve">发包人收到承包人递交的竣工结算报告及结算资料后，在3个月内审核完毕 </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发包人完成竣工付款的期限：</w:t>
      </w:r>
      <w:r>
        <w:rPr>
          <w:rFonts w:hint="eastAsia" w:ascii="宋体" w:hAnsi="宋体" w:eastAsia="宋体" w:cs="宋体"/>
          <w:bCs/>
          <w:color w:val="auto"/>
          <w:sz w:val="21"/>
          <w:szCs w:val="21"/>
          <w:u w:val="single"/>
        </w:rPr>
        <w:t xml:space="preserve">         /                </w:t>
      </w:r>
      <w:r>
        <w:rPr>
          <w:rFonts w:hint="eastAsia" w:ascii="宋体" w:hAnsi="宋体" w:eastAsia="宋体" w:cs="宋体"/>
          <w:bCs/>
          <w:color w:val="auto"/>
          <w:sz w:val="21"/>
          <w:szCs w:val="21"/>
        </w:rPr>
        <w:t>。</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关于竣工付款证书异议部分复核的方式和程序：</w:t>
      </w:r>
      <w:r>
        <w:rPr>
          <w:rFonts w:hint="eastAsia" w:ascii="宋体" w:hAnsi="宋体" w:eastAsia="宋体" w:cs="宋体"/>
          <w:bCs/>
          <w:color w:val="auto"/>
          <w:sz w:val="21"/>
          <w:szCs w:val="21"/>
          <w:u w:val="single"/>
        </w:rPr>
        <w:t>按通用合同条款规定执行</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14.4 最终结清</w:t>
      </w:r>
    </w:p>
    <w:p>
      <w:pPr>
        <w:adjustRightInd w:val="0"/>
        <w:snapToGrid w:val="0"/>
        <w:spacing w:line="336" w:lineRule="auto"/>
        <w:ind w:firstLine="420" w:firstLineChars="200"/>
        <w:jc w:val="left"/>
        <w:rPr>
          <w:rFonts w:ascii="宋体" w:hAnsi="宋体" w:eastAsia="宋体" w:cs="宋体"/>
          <w:bCs/>
          <w:color w:val="auto"/>
          <w:kern w:val="0"/>
          <w:sz w:val="21"/>
          <w:szCs w:val="21"/>
        </w:rPr>
      </w:pPr>
      <w:r>
        <w:rPr>
          <w:rFonts w:hint="eastAsia" w:ascii="宋体" w:hAnsi="宋体" w:eastAsia="宋体" w:cs="宋体"/>
          <w:bCs/>
          <w:color w:val="auto"/>
          <w:kern w:val="0"/>
          <w:sz w:val="21"/>
          <w:szCs w:val="21"/>
        </w:rPr>
        <w:t>14.4.1 最终结清申请单</w:t>
      </w:r>
    </w:p>
    <w:p>
      <w:pPr>
        <w:adjustRightInd w:val="0"/>
        <w:snapToGrid w:val="0"/>
        <w:spacing w:line="336" w:lineRule="auto"/>
        <w:ind w:firstLine="420" w:firstLineChars="200"/>
        <w:jc w:val="left"/>
        <w:rPr>
          <w:rFonts w:ascii="宋体" w:hAnsi="宋体" w:eastAsia="宋体" w:cs="宋体"/>
          <w:bCs/>
          <w:color w:val="auto"/>
          <w:kern w:val="0"/>
          <w:sz w:val="21"/>
          <w:szCs w:val="21"/>
        </w:rPr>
      </w:pPr>
      <w:r>
        <w:rPr>
          <w:rFonts w:hint="eastAsia" w:ascii="宋体" w:hAnsi="宋体" w:eastAsia="宋体" w:cs="宋体"/>
          <w:bCs/>
          <w:color w:val="auto"/>
          <w:kern w:val="0"/>
          <w:sz w:val="21"/>
          <w:szCs w:val="21"/>
        </w:rPr>
        <w:t>承包人提交最终结清申请单的份数：</w:t>
      </w:r>
      <w:r>
        <w:rPr>
          <w:rFonts w:hint="eastAsia" w:ascii="宋体" w:hAnsi="宋体" w:eastAsia="宋体" w:cs="宋体"/>
          <w:color w:val="auto"/>
          <w:sz w:val="21"/>
          <w:szCs w:val="21"/>
          <w:u w:val="single"/>
        </w:rPr>
        <w:t>满足发包人及相关部门审查要求</w:t>
      </w:r>
      <w:r>
        <w:rPr>
          <w:rFonts w:hint="eastAsia" w:ascii="宋体" w:hAnsi="宋体" w:eastAsia="宋体" w:cs="宋体"/>
          <w:bCs/>
          <w:color w:val="auto"/>
          <w:sz w:val="21"/>
          <w:szCs w:val="21"/>
        </w:rPr>
        <w:t>。</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kern w:val="0"/>
          <w:sz w:val="21"/>
          <w:szCs w:val="21"/>
        </w:rPr>
        <w:t>承包人提交最终结算申请单的期限：</w:t>
      </w:r>
      <w:r>
        <w:rPr>
          <w:rFonts w:hint="eastAsia" w:ascii="宋体" w:hAnsi="宋体" w:eastAsia="宋体" w:cs="宋体"/>
          <w:color w:val="auto"/>
          <w:sz w:val="21"/>
          <w:szCs w:val="21"/>
          <w:u w:val="single"/>
        </w:rPr>
        <w:t>发包人另行书面通知</w:t>
      </w:r>
      <w:r>
        <w:rPr>
          <w:rFonts w:hint="eastAsia" w:ascii="宋体" w:hAnsi="宋体" w:eastAsia="宋体" w:cs="宋体"/>
          <w:bCs/>
          <w:color w:val="auto"/>
          <w:sz w:val="21"/>
          <w:szCs w:val="21"/>
        </w:rPr>
        <w:t xml:space="preserve">。 </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14.4.2 最终结清证书和支付</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（1）发包人完成最终结清申请单的审批并颁发最终结清证书的期限：</w:t>
      </w:r>
      <w:r>
        <w:rPr>
          <w:rFonts w:hint="eastAsia" w:ascii="宋体" w:hAnsi="宋体" w:eastAsia="宋体" w:cs="宋体"/>
          <w:bCs/>
          <w:color w:val="auto"/>
          <w:sz w:val="21"/>
          <w:szCs w:val="21"/>
          <w:u w:val="single"/>
        </w:rPr>
        <w:t>按通用合同条款规定执行</w:t>
      </w:r>
      <w:r>
        <w:rPr>
          <w:rFonts w:hint="eastAsia" w:ascii="宋体" w:hAnsi="宋体" w:eastAsia="宋体" w:cs="宋体"/>
          <w:bCs/>
          <w:color w:val="auto"/>
          <w:sz w:val="21"/>
          <w:szCs w:val="21"/>
        </w:rPr>
        <w:t>。</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（2）发包人完成支付的期限：</w:t>
      </w:r>
      <w:r>
        <w:rPr>
          <w:rFonts w:hint="eastAsia" w:ascii="宋体" w:hAnsi="宋体" w:eastAsia="宋体" w:cs="宋体"/>
          <w:bCs/>
          <w:color w:val="auto"/>
          <w:sz w:val="21"/>
          <w:szCs w:val="21"/>
          <w:u w:val="single"/>
        </w:rPr>
        <w:t xml:space="preserve">    /    </w:t>
      </w:r>
      <w:r>
        <w:rPr>
          <w:rFonts w:hint="eastAsia" w:ascii="宋体" w:hAnsi="宋体" w:eastAsia="宋体" w:cs="宋体"/>
          <w:bCs/>
          <w:color w:val="auto"/>
          <w:sz w:val="21"/>
          <w:szCs w:val="21"/>
        </w:rPr>
        <w:t>。</w:t>
      </w:r>
    </w:p>
    <w:bookmarkEnd w:id="550"/>
    <w:bookmarkEnd w:id="551"/>
    <w:bookmarkEnd w:id="552"/>
    <w:bookmarkEnd w:id="553"/>
    <w:bookmarkEnd w:id="554"/>
    <w:bookmarkEnd w:id="555"/>
    <w:bookmarkEnd w:id="556"/>
    <w:bookmarkEnd w:id="562"/>
    <w:p>
      <w:pPr>
        <w:adjustRightInd w:val="0"/>
        <w:snapToGrid w:val="0"/>
        <w:spacing w:line="336" w:lineRule="auto"/>
        <w:rPr>
          <w:rFonts w:ascii="宋体" w:hAnsi="宋体" w:eastAsia="宋体" w:cs="宋体"/>
          <w:bCs/>
          <w:color w:val="auto"/>
          <w:sz w:val="21"/>
          <w:szCs w:val="21"/>
        </w:rPr>
      </w:pPr>
      <w:bookmarkStart w:id="564" w:name="_Toc351203647"/>
      <w:bookmarkStart w:id="565" w:name="_Toc267251483"/>
      <w:bookmarkStart w:id="566" w:name="_Toc267251482"/>
      <w:bookmarkStart w:id="567" w:name="_Toc267251484"/>
      <w:bookmarkStart w:id="568" w:name="_Toc267251485"/>
      <w:bookmarkStart w:id="569" w:name="_Toc267251489"/>
      <w:bookmarkStart w:id="570" w:name="_Toc267251486"/>
      <w:bookmarkStart w:id="571" w:name="_Toc267251490"/>
      <w:bookmarkStart w:id="572" w:name="_Toc267251488"/>
      <w:bookmarkStart w:id="573" w:name="_Toc267251491"/>
      <w:bookmarkStart w:id="574" w:name="_Toc267251495"/>
      <w:bookmarkStart w:id="575" w:name="_Toc267251492"/>
      <w:bookmarkStart w:id="576" w:name="_Toc267251497"/>
      <w:bookmarkStart w:id="577" w:name="_Toc267251498"/>
      <w:bookmarkStart w:id="578" w:name="_Toc267251501"/>
      <w:bookmarkStart w:id="579" w:name="_Toc267251499"/>
      <w:bookmarkStart w:id="580" w:name="_Toc267251493"/>
      <w:bookmarkStart w:id="581" w:name="_Toc267251496"/>
      <w:bookmarkStart w:id="582" w:name="_Toc267251494"/>
      <w:bookmarkStart w:id="583" w:name="_Toc267251502"/>
      <w:bookmarkStart w:id="584" w:name="_Toc267251503"/>
      <w:bookmarkStart w:id="585" w:name="_Toc267251504"/>
      <w:bookmarkStart w:id="586" w:name="_Toc267251506"/>
      <w:bookmarkStart w:id="587" w:name="_Toc267251507"/>
      <w:bookmarkStart w:id="588" w:name="_Toc267251508"/>
      <w:bookmarkStart w:id="589" w:name="_Toc267251509"/>
      <w:bookmarkStart w:id="590" w:name="_Toc267251514"/>
      <w:bookmarkStart w:id="591" w:name="_Toc267251510"/>
      <w:bookmarkStart w:id="592" w:name="_Toc267251515"/>
      <w:bookmarkStart w:id="593" w:name="_Toc267251511"/>
      <w:bookmarkStart w:id="594" w:name="_Toc267251513"/>
      <w:r>
        <w:rPr>
          <w:rFonts w:hint="eastAsia" w:ascii="宋体" w:hAnsi="宋体" w:eastAsia="宋体" w:cs="宋体"/>
          <w:bCs/>
          <w:color w:val="auto"/>
          <w:sz w:val="21"/>
          <w:szCs w:val="21"/>
        </w:rPr>
        <w:t>15. 缺陷责任期与保修</w:t>
      </w:r>
      <w:bookmarkEnd w:id="564"/>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15.2缺陷责任期</w:t>
      </w:r>
      <w:bookmarkEnd w:id="565"/>
    </w:p>
    <w:p>
      <w:pPr>
        <w:snapToGrid w:val="0"/>
        <w:spacing w:line="400" w:lineRule="exact"/>
        <w:ind w:firstLine="420" w:firstLineChars="200"/>
        <w:rPr>
          <w:rFonts w:ascii="宋体" w:eastAsia="宋体" w:cs="宋体"/>
          <w:color w:val="auto"/>
          <w:sz w:val="21"/>
          <w:szCs w:val="21"/>
          <w:u w:val="single"/>
        </w:rPr>
      </w:pPr>
      <w:r>
        <w:rPr>
          <w:rFonts w:hint="eastAsia" w:ascii="宋体" w:hAnsi="宋体" w:eastAsia="宋体" w:cs="宋体"/>
          <w:bCs/>
          <w:color w:val="auto"/>
          <w:sz w:val="21"/>
          <w:szCs w:val="21"/>
        </w:rPr>
        <w:t>缺陷责任期的具体期限：</w:t>
      </w:r>
      <w:r>
        <w:rPr>
          <w:rFonts w:hint="eastAsia" w:ascii="宋体" w:hAnsi="宋体" w:cs="宋体"/>
          <w:color w:val="auto"/>
          <w:sz w:val="21"/>
          <w:szCs w:val="21"/>
          <w:u w:val="single"/>
        </w:rPr>
        <w:t>工程缺陷责任期为</w:t>
      </w:r>
      <w:r>
        <w:rPr>
          <w:rFonts w:ascii="宋体" w:hAnsi="宋体" w:cs="宋体"/>
          <w:color w:val="auto"/>
          <w:sz w:val="21"/>
          <w:szCs w:val="21"/>
          <w:u w:val="single"/>
        </w:rPr>
        <w:t xml:space="preserve">  </w:t>
      </w:r>
      <w:r>
        <w:rPr>
          <w:rFonts w:hint="eastAsia" w:ascii="宋体" w:hAnsi="宋体" w:eastAsia="宋体" w:cs="宋体"/>
          <w:color w:val="auto"/>
          <w:sz w:val="21"/>
          <w:szCs w:val="21"/>
          <w:u w:val="single"/>
        </w:rPr>
        <w:t>2</w:t>
      </w:r>
      <w:r>
        <w:rPr>
          <w:rFonts w:ascii="宋体" w:hAnsi="宋体" w:cs="宋体"/>
          <w:color w:val="auto"/>
          <w:sz w:val="21"/>
          <w:szCs w:val="21"/>
          <w:u w:val="single"/>
        </w:rPr>
        <w:t xml:space="preserve">  </w:t>
      </w:r>
      <w:r>
        <w:rPr>
          <w:rFonts w:hint="eastAsia" w:ascii="宋体" w:hAnsi="宋体" w:cs="宋体"/>
          <w:color w:val="auto"/>
          <w:sz w:val="21"/>
          <w:szCs w:val="21"/>
          <w:u w:val="single"/>
        </w:rPr>
        <w:t>年。</w:t>
      </w:r>
      <w:r>
        <w:rPr>
          <w:rFonts w:hint="eastAsia" w:ascii="宋体" w:hAnsi="宋体" w:eastAsia="宋体" w:cs="宋体"/>
          <w:color w:val="auto"/>
          <w:sz w:val="21"/>
          <w:szCs w:val="21"/>
          <w:u w:val="single"/>
        </w:rPr>
        <w:t>其中设备缺陷责任期为  5  年。</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u w:val="single"/>
        </w:rPr>
        <w:t>自工程竣工验收合格（指验收时发现的所有质量缺陷均整改完毕并经验收合格）之日起计算</w:t>
      </w:r>
      <w:r>
        <w:rPr>
          <w:rFonts w:hint="eastAsia" w:ascii="宋体" w:hAnsi="宋体" w:eastAsia="宋体" w:cs="宋体"/>
          <w:bCs/>
          <w:color w:val="auto"/>
          <w:sz w:val="21"/>
          <w:szCs w:val="21"/>
        </w:rPr>
        <w:t>。</w:t>
      </w:r>
    </w:p>
    <w:p>
      <w:pPr>
        <w:adjustRightInd w:val="0"/>
        <w:snapToGrid w:val="0"/>
        <w:spacing w:line="336" w:lineRule="auto"/>
        <w:ind w:firstLine="420" w:firstLineChars="200"/>
        <w:outlineLvl w:val="0"/>
        <w:rPr>
          <w:rFonts w:ascii="宋体" w:hAnsi="宋体" w:eastAsia="宋体" w:cs="宋体"/>
          <w:bCs/>
          <w:color w:val="auto"/>
          <w:sz w:val="21"/>
          <w:szCs w:val="21"/>
        </w:rPr>
      </w:pPr>
      <w:r>
        <w:rPr>
          <w:rFonts w:hint="eastAsia" w:ascii="宋体" w:hAnsi="宋体" w:eastAsia="宋体" w:cs="宋体"/>
          <w:bCs/>
          <w:color w:val="auto"/>
          <w:sz w:val="21"/>
          <w:szCs w:val="21"/>
        </w:rPr>
        <w:t>15.3 质量保证金</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关于是否扣留质量保证金的约定：</w:t>
      </w:r>
      <w:r>
        <w:rPr>
          <w:rFonts w:hint="eastAsia" w:ascii="宋体" w:hAnsi="宋体" w:eastAsia="宋体" w:cs="宋体"/>
          <w:bCs/>
          <w:color w:val="auto"/>
          <w:sz w:val="21"/>
          <w:szCs w:val="21"/>
          <w:u w:val="single"/>
        </w:rPr>
        <w:t xml:space="preserve">   是  </w:t>
      </w:r>
      <w:r>
        <w:rPr>
          <w:rFonts w:hint="eastAsia" w:ascii="宋体" w:hAnsi="宋体" w:eastAsia="宋体" w:cs="宋体"/>
          <w:bCs/>
          <w:color w:val="auto"/>
          <w:sz w:val="21"/>
          <w:szCs w:val="21"/>
        </w:rPr>
        <w:t>。在工程项目竣工前，承包人按专用合同条款第3.7条提供履约担保的，发包人不得同时预留工程质量保证金。</w:t>
      </w:r>
    </w:p>
    <w:p>
      <w:pPr>
        <w:adjustRightInd w:val="0"/>
        <w:snapToGrid w:val="0"/>
        <w:spacing w:line="336" w:lineRule="auto"/>
        <w:ind w:firstLine="420" w:firstLineChars="200"/>
        <w:jc w:val="left"/>
        <w:outlineLvl w:val="0"/>
        <w:rPr>
          <w:rFonts w:ascii="宋体" w:hAnsi="宋体" w:eastAsia="宋体" w:cs="宋体"/>
          <w:bCs/>
          <w:color w:val="auto"/>
          <w:sz w:val="21"/>
          <w:szCs w:val="21"/>
        </w:rPr>
      </w:pPr>
      <w:r>
        <w:rPr>
          <w:rFonts w:hint="eastAsia" w:ascii="宋体" w:hAnsi="宋体" w:eastAsia="宋体" w:cs="宋体"/>
          <w:bCs/>
          <w:color w:val="auto"/>
          <w:sz w:val="21"/>
          <w:szCs w:val="21"/>
        </w:rPr>
        <w:t>15.3.1 承包人提供质量保证金的方式</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质量保证金采用以下第</w:t>
      </w:r>
      <w:r>
        <w:rPr>
          <w:rFonts w:hint="eastAsia" w:ascii="宋体" w:hAnsi="宋体" w:eastAsia="宋体" w:cs="宋体"/>
          <w:bCs/>
          <w:color w:val="auto"/>
          <w:sz w:val="21"/>
          <w:szCs w:val="21"/>
          <w:u w:val="single"/>
        </w:rPr>
        <w:t xml:space="preserve">  （2）  </w:t>
      </w:r>
      <w:r>
        <w:rPr>
          <w:rFonts w:hint="eastAsia" w:ascii="宋体" w:hAnsi="宋体" w:eastAsia="宋体" w:cs="宋体"/>
          <w:bCs/>
          <w:color w:val="auto"/>
          <w:sz w:val="21"/>
          <w:szCs w:val="21"/>
        </w:rPr>
        <w:t>种方式：</w:t>
      </w:r>
    </w:p>
    <w:p>
      <w:pPr>
        <w:autoSpaceDE w:val="0"/>
        <w:autoSpaceDN w:val="0"/>
        <w:adjustRightInd w:val="0"/>
        <w:snapToGrid w:val="0"/>
        <w:spacing w:line="336" w:lineRule="auto"/>
        <w:ind w:firstLine="420" w:firstLineChars="200"/>
        <w:jc w:val="left"/>
        <w:rPr>
          <w:rFonts w:ascii="宋体" w:hAnsi="宋体" w:eastAsia="宋体" w:cs="宋体"/>
          <w:bCs/>
          <w:color w:val="auto"/>
          <w:kern w:val="0"/>
          <w:sz w:val="21"/>
          <w:szCs w:val="21"/>
        </w:rPr>
      </w:pPr>
      <w:r>
        <w:rPr>
          <w:rFonts w:hint="eastAsia" w:ascii="宋体" w:hAnsi="宋体" w:eastAsia="宋体" w:cs="宋体"/>
          <w:bCs/>
          <w:color w:val="auto"/>
          <w:kern w:val="0"/>
          <w:sz w:val="21"/>
          <w:szCs w:val="21"/>
        </w:rPr>
        <w:t>（1）质量保证金保函，保证金额为：</w:t>
      </w:r>
      <w:r>
        <w:rPr>
          <w:rFonts w:hint="eastAsia" w:ascii="宋体" w:hAnsi="宋体" w:eastAsia="宋体" w:cs="宋体"/>
          <w:bCs/>
          <w:color w:val="auto"/>
          <w:kern w:val="0"/>
          <w:sz w:val="21"/>
          <w:szCs w:val="21"/>
          <w:u w:val="single"/>
        </w:rPr>
        <w:t xml:space="preserve">  保函形式为银行保函〔保险保函〕，金额为1.5 %的工程结算价款 </w:t>
      </w:r>
      <w:r>
        <w:rPr>
          <w:rFonts w:hint="eastAsia" w:ascii="宋体" w:hAnsi="宋体" w:eastAsia="宋体" w:cs="宋体"/>
          <w:bCs/>
          <w:color w:val="auto"/>
          <w:kern w:val="0"/>
          <w:sz w:val="21"/>
          <w:szCs w:val="21"/>
        </w:rPr>
        <w:t xml:space="preserve">； </w:t>
      </w:r>
    </w:p>
    <w:p>
      <w:pPr>
        <w:autoSpaceDE w:val="0"/>
        <w:autoSpaceDN w:val="0"/>
        <w:adjustRightInd w:val="0"/>
        <w:snapToGrid w:val="0"/>
        <w:spacing w:line="336" w:lineRule="auto"/>
        <w:ind w:firstLine="420" w:firstLineChars="200"/>
        <w:jc w:val="left"/>
        <w:rPr>
          <w:rFonts w:ascii="宋体" w:hAnsi="宋体" w:eastAsia="宋体" w:cs="宋体"/>
          <w:bCs/>
          <w:color w:val="auto"/>
          <w:kern w:val="0"/>
          <w:sz w:val="21"/>
          <w:szCs w:val="21"/>
        </w:rPr>
      </w:pPr>
      <w:r>
        <w:rPr>
          <w:rFonts w:hint="eastAsia" w:ascii="宋体" w:hAnsi="宋体" w:eastAsia="宋体" w:cs="宋体"/>
          <w:bCs/>
          <w:color w:val="auto"/>
          <w:kern w:val="0"/>
          <w:sz w:val="21"/>
          <w:szCs w:val="21"/>
        </w:rPr>
        <w:t>（2）</w:t>
      </w:r>
      <w:r>
        <w:rPr>
          <w:rFonts w:hint="eastAsia" w:ascii="宋体" w:hAnsi="宋体" w:eastAsia="宋体" w:cs="宋体"/>
          <w:bCs/>
          <w:color w:val="auto"/>
          <w:kern w:val="0"/>
          <w:sz w:val="21"/>
          <w:szCs w:val="21"/>
          <w:u w:val="single"/>
        </w:rPr>
        <w:t xml:space="preserve">  1.5 </w:t>
      </w:r>
      <w:r>
        <w:rPr>
          <w:rFonts w:hint="eastAsia" w:ascii="宋体" w:hAnsi="宋体" w:eastAsia="宋体" w:cs="宋体"/>
          <w:bCs/>
          <w:color w:val="auto"/>
          <w:kern w:val="0"/>
          <w:sz w:val="21"/>
          <w:szCs w:val="21"/>
        </w:rPr>
        <w:t>%的工程款；</w:t>
      </w:r>
    </w:p>
    <w:p>
      <w:pPr>
        <w:autoSpaceDE w:val="0"/>
        <w:autoSpaceDN w:val="0"/>
        <w:adjustRightInd w:val="0"/>
        <w:snapToGrid w:val="0"/>
        <w:spacing w:line="336" w:lineRule="auto"/>
        <w:ind w:firstLine="420" w:firstLineChars="200"/>
        <w:jc w:val="left"/>
        <w:rPr>
          <w:rFonts w:ascii="宋体" w:hAnsi="宋体" w:eastAsia="宋体" w:cs="宋体"/>
          <w:bCs/>
          <w:color w:val="auto"/>
          <w:kern w:val="0"/>
          <w:sz w:val="21"/>
          <w:szCs w:val="21"/>
        </w:rPr>
      </w:pPr>
      <w:r>
        <w:rPr>
          <w:rFonts w:hint="eastAsia" w:ascii="宋体" w:hAnsi="宋体" w:eastAsia="宋体" w:cs="宋体"/>
          <w:bCs/>
          <w:color w:val="auto"/>
          <w:kern w:val="0"/>
          <w:sz w:val="21"/>
          <w:szCs w:val="21"/>
        </w:rPr>
        <w:t>（3）其他方式:</w:t>
      </w:r>
      <w:r>
        <w:rPr>
          <w:rFonts w:hint="eastAsia" w:ascii="宋体" w:hAnsi="宋体" w:eastAsia="宋体" w:cs="宋体"/>
          <w:bCs/>
          <w:color w:val="auto"/>
          <w:kern w:val="0"/>
          <w:sz w:val="21"/>
          <w:szCs w:val="21"/>
          <w:u w:val="single"/>
        </w:rPr>
        <w:t xml:space="preserve">      /     </w:t>
      </w:r>
      <w:r>
        <w:rPr>
          <w:rFonts w:hint="eastAsia" w:ascii="宋体" w:hAnsi="宋体" w:eastAsia="宋体" w:cs="宋体"/>
          <w:bCs/>
          <w:color w:val="auto"/>
          <w:kern w:val="0"/>
          <w:sz w:val="21"/>
          <w:szCs w:val="21"/>
        </w:rPr>
        <w:t>。</w:t>
      </w:r>
    </w:p>
    <w:p>
      <w:pPr>
        <w:adjustRightInd w:val="0"/>
        <w:snapToGrid w:val="0"/>
        <w:spacing w:line="336" w:lineRule="auto"/>
        <w:ind w:firstLine="420" w:firstLineChars="200"/>
        <w:jc w:val="left"/>
        <w:outlineLvl w:val="0"/>
        <w:rPr>
          <w:rFonts w:ascii="宋体" w:hAnsi="宋体" w:eastAsia="宋体" w:cs="宋体"/>
          <w:bCs/>
          <w:color w:val="auto"/>
          <w:sz w:val="21"/>
          <w:szCs w:val="21"/>
        </w:rPr>
      </w:pPr>
      <w:r>
        <w:rPr>
          <w:rFonts w:hint="eastAsia" w:ascii="宋体" w:hAnsi="宋体" w:eastAsia="宋体" w:cs="宋体"/>
          <w:bCs/>
          <w:color w:val="auto"/>
          <w:sz w:val="21"/>
          <w:szCs w:val="21"/>
        </w:rPr>
        <w:t xml:space="preserve">15.3.2 质量保证金的扣留 </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质量保证金的扣留采取以下第</w:t>
      </w:r>
      <w:r>
        <w:rPr>
          <w:rFonts w:hint="eastAsia" w:ascii="宋体" w:hAnsi="宋体" w:eastAsia="宋体" w:cs="宋体"/>
          <w:bCs/>
          <w:color w:val="auto"/>
          <w:sz w:val="21"/>
          <w:szCs w:val="21"/>
          <w:u w:val="single"/>
        </w:rPr>
        <w:t xml:space="preserve">  （3）  </w:t>
      </w:r>
      <w:r>
        <w:rPr>
          <w:rFonts w:hint="eastAsia" w:ascii="宋体" w:hAnsi="宋体" w:eastAsia="宋体" w:cs="宋体"/>
          <w:bCs/>
          <w:color w:val="auto"/>
          <w:sz w:val="21"/>
          <w:szCs w:val="21"/>
        </w:rPr>
        <w:t>种方式：</w:t>
      </w:r>
    </w:p>
    <w:p>
      <w:pPr>
        <w:autoSpaceDE w:val="0"/>
        <w:autoSpaceDN w:val="0"/>
        <w:adjustRightInd w:val="0"/>
        <w:snapToGrid w:val="0"/>
        <w:spacing w:line="336" w:lineRule="auto"/>
        <w:ind w:firstLine="420" w:firstLineChars="200"/>
        <w:jc w:val="left"/>
        <w:rPr>
          <w:rFonts w:ascii="宋体" w:hAnsi="宋体" w:eastAsia="宋体" w:cs="宋体"/>
          <w:bCs/>
          <w:color w:val="auto"/>
          <w:kern w:val="0"/>
          <w:sz w:val="21"/>
          <w:szCs w:val="21"/>
        </w:rPr>
      </w:pPr>
      <w:r>
        <w:rPr>
          <w:rFonts w:hint="eastAsia" w:ascii="宋体" w:hAnsi="宋体" w:eastAsia="宋体" w:cs="宋体"/>
          <w:bCs/>
          <w:color w:val="auto"/>
          <w:kern w:val="0"/>
          <w:sz w:val="21"/>
          <w:szCs w:val="21"/>
        </w:rPr>
        <w:t>（1）在支付工程进度款时逐次扣留，在此情形下，质量保证金的计算基数不包括预付款的支付、扣回以及价格调整的金额；</w:t>
      </w:r>
    </w:p>
    <w:p>
      <w:pPr>
        <w:autoSpaceDE w:val="0"/>
        <w:autoSpaceDN w:val="0"/>
        <w:adjustRightInd w:val="0"/>
        <w:snapToGrid w:val="0"/>
        <w:spacing w:line="336" w:lineRule="auto"/>
        <w:ind w:firstLine="420" w:firstLineChars="200"/>
        <w:jc w:val="left"/>
        <w:outlineLvl w:val="0"/>
        <w:rPr>
          <w:rFonts w:ascii="宋体" w:hAnsi="宋体" w:eastAsia="宋体" w:cs="宋体"/>
          <w:bCs/>
          <w:color w:val="auto"/>
          <w:kern w:val="0"/>
          <w:sz w:val="21"/>
          <w:szCs w:val="21"/>
        </w:rPr>
      </w:pPr>
      <w:r>
        <w:rPr>
          <w:rFonts w:hint="eastAsia" w:ascii="宋体" w:hAnsi="宋体" w:eastAsia="宋体" w:cs="宋体"/>
          <w:bCs/>
          <w:color w:val="auto"/>
          <w:kern w:val="0"/>
          <w:sz w:val="21"/>
          <w:szCs w:val="21"/>
        </w:rPr>
        <w:t>（2）工程竣工结算时一次性扣留质量保证金；</w:t>
      </w:r>
    </w:p>
    <w:p>
      <w:pPr>
        <w:autoSpaceDE w:val="0"/>
        <w:autoSpaceDN w:val="0"/>
        <w:adjustRightInd w:val="0"/>
        <w:snapToGrid w:val="0"/>
        <w:spacing w:line="336" w:lineRule="auto"/>
        <w:ind w:firstLine="420" w:firstLineChars="200"/>
        <w:jc w:val="left"/>
        <w:rPr>
          <w:rFonts w:ascii="宋体" w:hAnsi="宋体" w:eastAsia="宋体" w:cs="宋体"/>
          <w:bCs/>
          <w:color w:val="auto"/>
          <w:kern w:val="0"/>
          <w:sz w:val="21"/>
          <w:szCs w:val="21"/>
        </w:rPr>
      </w:pPr>
      <w:r>
        <w:rPr>
          <w:rFonts w:hint="eastAsia" w:ascii="宋体" w:hAnsi="宋体" w:eastAsia="宋体" w:cs="宋体"/>
          <w:bCs/>
          <w:color w:val="auto"/>
          <w:kern w:val="0"/>
          <w:sz w:val="21"/>
          <w:szCs w:val="21"/>
        </w:rPr>
        <w:t>（3）其他扣留方式:</w:t>
      </w:r>
      <w:r>
        <w:rPr>
          <w:rFonts w:hint="eastAsia" w:ascii="宋体" w:hAnsi="宋体" w:eastAsia="宋体" w:cs="宋体"/>
          <w:bCs/>
          <w:color w:val="auto"/>
          <w:kern w:val="0"/>
          <w:sz w:val="21"/>
          <w:szCs w:val="21"/>
          <w:u w:val="single"/>
        </w:rPr>
        <w:t xml:space="preserve"> </w:t>
      </w:r>
      <w:r>
        <w:rPr>
          <w:rFonts w:hint="eastAsia" w:ascii="Times New Roman" w:hAnsi="Times New Roman" w:eastAsia="宋体"/>
          <w:color w:val="auto"/>
          <w:sz w:val="21"/>
          <w:u w:val="single"/>
        </w:rPr>
        <w:t>发包人支付完成最后工程结算付款前，承包人提供质量保证金保函（银行保函）或通过转账方式将1.5%质量保证转至发包人账户，发包人一次性支付结算款的100%</w:t>
      </w:r>
      <w:r>
        <w:rPr>
          <w:rFonts w:hint="eastAsia" w:ascii="宋体" w:hAnsi="宋体" w:eastAsia="宋体" w:cs="宋体"/>
          <w:bCs/>
          <w:color w:val="auto"/>
          <w:kern w:val="0"/>
          <w:sz w:val="21"/>
          <w:szCs w:val="21"/>
          <w:u w:val="single"/>
        </w:rPr>
        <w:t xml:space="preserve"> </w:t>
      </w:r>
      <w:r>
        <w:rPr>
          <w:rFonts w:hint="eastAsia" w:ascii="宋体" w:hAnsi="宋体" w:eastAsia="宋体" w:cs="宋体"/>
          <w:bCs/>
          <w:color w:val="auto"/>
          <w:kern w:val="0"/>
          <w:sz w:val="21"/>
          <w:szCs w:val="21"/>
        </w:rPr>
        <w:t>。</w:t>
      </w:r>
    </w:p>
    <w:p>
      <w:pPr>
        <w:adjustRightInd w:val="0"/>
        <w:snapToGrid w:val="0"/>
        <w:spacing w:line="336" w:lineRule="auto"/>
        <w:ind w:firstLine="420" w:firstLineChars="200"/>
        <w:jc w:val="left"/>
        <w:rPr>
          <w:rFonts w:ascii="宋体" w:hAnsi="宋体" w:eastAsia="宋体" w:cs="宋体"/>
          <w:bCs/>
          <w:color w:val="auto"/>
          <w:sz w:val="21"/>
          <w:szCs w:val="21"/>
          <w:u w:val="single"/>
        </w:rPr>
      </w:pPr>
      <w:r>
        <w:rPr>
          <w:rFonts w:hint="eastAsia" w:ascii="宋体" w:hAnsi="宋体" w:eastAsia="宋体" w:cs="宋体"/>
          <w:bCs/>
          <w:color w:val="auto"/>
          <w:sz w:val="21"/>
          <w:szCs w:val="21"/>
        </w:rPr>
        <w:t>关于质量保证金的补充约定：</w:t>
      </w:r>
      <w:r>
        <w:rPr>
          <w:rFonts w:hint="eastAsia" w:ascii="宋体" w:hAnsi="宋体" w:eastAsia="宋体" w:cs="宋体"/>
          <w:bCs/>
          <w:color w:val="auto"/>
          <w:sz w:val="21"/>
          <w:szCs w:val="21"/>
          <w:u w:val="single"/>
        </w:rPr>
        <w:t>剩余1.5％（不计息）在缺陷责任期满后工程无质量问题、成交供应商无违约行为的情况下（2年后付0.5%,5年后付剩余的1%）60日内付清</w:t>
      </w:r>
      <w:r>
        <w:rPr>
          <w:rFonts w:hint="eastAsia" w:ascii="宋体" w:hAnsi="宋体" w:eastAsia="宋体" w:cs="宋体"/>
          <w:bCs/>
          <w:color w:val="auto"/>
          <w:kern w:val="0"/>
          <w:sz w:val="21"/>
          <w:szCs w:val="21"/>
          <w:u w:val="single"/>
        </w:rPr>
        <w:t>。</w:t>
      </w:r>
    </w:p>
    <w:bookmarkEnd w:id="566"/>
    <w:bookmarkEnd w:id="567"/>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15.4保修</w:t>
      </w:r>
    </w:p>
    <w:bookmarkEnd w:id="568"/>
    <w:p>
      <w:pPr>
        <w:adjustRightInd w:val="0"/>
        <w:snapToGrid w:val="0"/>
        <w:spacing w:line="336" w:lineRule="auto"/>
        <w:ind w:firstLine="409" w:firstLineChars="195"/>
        <w:jc w:val="left"/>
        <w:rPr>
          <w:rFonts w:ascii="宋体" w:hAnsi="宋体" w:eastAsia="宋体" w:cs="宋体"/>
          <w:bCs/>
          <w:color w:val="auto"/>
          <w:sz w:val="21"/>
          <w:szCs w:val="21"/>
        </w:rPr>
      </w:pPr>
      <w:r>
        <w:rPr>
          <w:rFonts w:hint="eastAsia" w:ascii="宋体" w:hAnsi="宋体" w:eastAsia="宋体" w:cs="宋体"/>
          <w:bCs/>
          <w:color w:val="auto"/>
          <w:sz w:val="21"/>
          <w:szCs w:val="21"/>
        </w:rPr>
        <w:t>15.4.1 保修责任</w:t>
      </w:r>
    </w:p>
    <w:p>
      <w:pPr>
        <w:adjustRightInd w:val="0"/>
        <w:snapToGrid w:val="0"/>
        <w:spacing w:line="336" w:lineRule="auto"/>
        <w:ind w:firstLine="409" w:firstLineChars="195"/>
        <w:jc w:val="left"/>
        <w:rPr>
          <w:rFonts w:ascii="宋体" w:hAnsi="宋体" w:eastAsia="宋体" w:cs="宋体"/>
          <w:bCs/>
          <w:color w:val="auto"/>
          <w:kern w:val="0"/>
          <w:sz w:val="21"/>
          <w:szCs w:val="21"/>
        </w:rPr>
      </w:pPr>
      <w:r>
        <w:rPr>
          <w:rFonts w:hint="eastAsia" w:ascii="宋体" w:hAnsi="宋体" w:eastAsia="宋体" w:cs="宋体"/>
          <w:bCs/>
          <w:color w:val="auto"/>
          <w:sz w:val="21"/>
          <w:szCs w:val="21"/>
        </w:rPr>
        <w:t>工程保修期为：</w:t>
      </w:r>
      <w:r>
        <w:rPr>
          <w:rFonts w:hint="eastAsia" w:ascii="宋体" w:hAnsi="宋体" w:eastAsia="宋体" w:cs="宋体"/>
          <w:bCs/>
          <w:color w:val="auto"/>
          <w:kern w:val="0"/>
          <w:sz w:val="21"/>
          <w:szCs w:val="21"/>
          <w:u w:val="single"/>
        </w:rPr>
        <w:t>按工程质量保修书规定执行</w:t>
      </w:r>
      <w:r>
        <w:rPr>
          <w:rFonts w:hint="eastAsia" w:ascii="宋体" w:hAnsi="宋体" w:eastAsia="宋体" w:cs="宋体"/>
          <w:bCs/>
          <w:color w:val="auto"/>
          <w:kern w:val="0"/>
          <w:sz w:val="21"/>
          <w:szCs w:val="21"/>
        </w:rPr>
        <w:t>。</w:t>
      </w:r>
    </w:p>
    <w:p>
      <w:pPr>
        <w:adjustRightInd w:val="0"/>
        <w:snapToGrid w:val="0"/>
        <w:spacing w:line="336" w:lineRule="auto"/>
        <w:ind w:firstLine="409" w:firstLineChars="195"/>
        <w:jc w:val="left"/>
        <w:rPr>
          <w:rFonts w:ascii="宋体" w:hAnsi="宋体" w:eastAsia="宋体" w:cs="宋体"/>
          <w:bCs/>
          <w:color w:val="auto"/>
          <w:sz w:val="21"/>
          <w:szCs w:val="21"/>
        </w:rPr>
      </w:pPr>
      <w:r>
        <w:rPr>
          <w:rFonts w:hint="eastAsia" w:ascii="宋体" w:hAnsi="宋体" w:eastAsia="宋体" w:cs="宋体"/>
          <w:bCs/>
          <w:color w:val="auto"/>
          <w:sz w:val="21"/>
          <w:szCs w:val="21"/>
        </w:rPr>
        <w:t>15.4.3 修复通知</w:t>
      </w:r>
    </w:p>
    <w:p>
      <w:pPr>
        <w:adjustRightInd w:val="0"/>
        <w:snapToGrid w:val="0"/>
        <w:spacing w:line="336" w:lineRule="auto"/>
        <w:ind w:firstLine="409" w:firstLineChars="195"/>
        <w:jc w:val="left"/>
        <w:rPr>
          <w:rFonts w:ascii="宋体" w:hAnsi="宋体" w:eastAsia="宋体" w:cs="宋体"/>
          <w:bCs/>
          <w:color w:val="auto"/>
          <w:kern w:val="0"/>
          <w:sz w:val="21"/>
          <w:szCs w:val="21"/>
        </w:rPr>
      </w:pPr>
      <w:r>
        <w:rPr>
          <w:rFonts w:hint="eastAsia" w:ascii="宋体" w:hAnsi="宋体" w:eastAsia="宋体" w:cs="宋体"/>
          <w:bCs/>
          <w:color w:val="auto"/>
          <w:kern w:val="0"/>
          <w:sz w:val="21"/>
          <w:szCs w:val="21"/>
        </w:rPr>
        <w:t>承包人收到保修通知并到达工程现场的合理时间：</w:t>
      </w:r>
      <w:r>
        <w:rPr>
          <w:rFonts w:hint="eastAsia" w:ascii="宋体" w:hAnsi="宋体" w:eastAsia="宋体" w:cs="宋体"/>
          <w:bCs/>
          <w:color w:val="auto"/>
          <w:kern w:val="0"/>
          <w:sz w:val="21"/>
          <w:szCs w:val="21"/>
          <w:u w:val="single"/>
        </w:rPr>
        <w:t>3日内</w:t>
      </w:r>
      <w:r>
        <w:rPr>
          <w:rFonts w:hint="eastAsia" w:ascii="宋体" w:hAnsi="宋体" w:eastAsia="宋体" w:cs="宋体"/>
          <w:bCs/>
          <w:color w:val="auto"/>
          <w:kern w:val="0"/>
          <w:sz w:val="21"/>
          <w:szCs w:val="21"/>
        </w:rPr>
        <w:t>。</w:t>
      </w:r>
    </w:p>
    <w:bookmarkEnd w:id="569"/>
    <w:bookmarkEnd w:id="570"/>
    <w:bookmarkEnd w:id="571"/>
    <w:bookmarkEnd w:id="572"/>
    <w:p>
      <w:pPr>
        <w:adjustRightInd w:val="0"/>
        <w:snapToGrid w:val="0"/>
        <w:spacing w:line="336" w:lineRule="auto"/>
        <w:rPr>
          <w:rFonts w:ascii="宋体" w:hAnsi="宋体" w:eastAsia="宋体" w:cs="宋体"/>
          <w:bCs/>
          <w:color w:val="auto"/>
          <w:sz w:val="21"/>
          <w:szCs w:val="21"/>
        </w:rPr>
      </w:pPr>
      <w:bookmarkStart w:id="595" w:name="_Toc351203648"/>
      <w:bookmarkStart w:id="596" w:name="_Toc280868717"/>
      <w:bookmarkStart w:id="597" w:name="_Toc280868718"/>
      <w:r>
        <w:rPr>
          <w:rFonts w:hint="eastAsia" w:ascii="宋体" w:hAnsi="宋体" w:eastAsia="宋体" w:cs="宋体"/>
          <w:bCs/>
          <w:color w:val="auto"/>
          <w:sz w:val="21"/>
          <w:szCs w:val="21"/>
        </w:rPr>
        <w:t>16. 违约</w:t>
      </w:r>
      <w:bookmarkEnd w:id="595"/>
    </w:p>
    <w:p>
      <w:pPr>
        <w:adjustRightInd w:val="0"/>
        <w:snapToGrid w:val="0"/>
        <w:spacing w:line="336" w:lineRule="auto"/>
        <w:ind w:firstLine="420" w:firstLineChars="200"/>
        <w:outlineLvl w:val="0"/>
        <w:rPr>
          <w:rFonts w:ascii="宋体" w:hAnsi="宋体" w:eastAsia="宋体" w:cs="宋体"/>
          <w:bCs/>
          <w:color w:val="auto"/>
          <w:sz w:val="21"/>
          <w:szCs w:val="21"/>
        </w:rPr>
      </w:pPr>
      <w:r>
        <w:rPr>
          <w:rFonts w:hint="eastAsia" w:ascii="宋体" w:hAnsi="宋体" w:eastAsia="宋体" w:cs="宋体"/>
          <w:bCs/>
          <w:color w:val="auto"/>
          <w:sz w:val="21"/>
          <w:szCs w:val="21"/>
        </w:rPr>
        <w:t>16.1 发包人违约</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16.1.1发包人违约的情形</w:t>
      </w:r>
    </w:p>
    <w:p>
      <w:pPr>
        <w:adjustRightInd w:val="0"/>
        <w:snapToGrid w:val="0"/>
        <w:spacing w:line="336" w:lineRule="auto"/>
        <w:ind w:firstLine="420" w:firstLineChars="200"/>
        <w:jc w:val="left"/>
        <w:rPr>
          <w:rFonts w:ascii="宋体" w:hAnsi="宋体" w:eastAsia="宋体" w:cs="宋体"/>
          <w:bCs/>
          <w:color w:val="auto"/>
          <w:kern w:val="0"/>
          <w:sz w:val="21"/>
          <w:szCs w:val="21"/>
        </w:rPr>
      </w:pPr>
      <w:r>
        <w:rPr>
          <w:rFonts w:hint="eastAsia" w:ascii="宋体" w:hAnsi="宋体" w:eastAsia="宋体" w:cs="宋体"/>
          <w:bCs/>
          <w:color w:val="auto"/>
          <w:kern w:val="0"/>
          <w:sz w:val="21"/>
          <w:szCs w:val="21"/>
        </w:rPr>
        <w:t>发包人违约的其他情形：</w:t>
      </w:r>
      <w:r>
        <w:rPr>
          <w:rFonts w:hint="eastAsia" w:ascii="宋体" w:hAnsi="宋体" w:eastAsia="宋体" w:cs="宋体"/>
          <w:bCs/>
          <w:color w:val="auto"/>
          <w:kern w:val="0"/>
          <w:sz w:val="21"/>
          <w:szCs w:val="21"/>
          <w:u w:val="single"/>
        </w:rPr>
        <w:t>按通用合同条款规定执行</w:t>
      </w:r>
      <w:r>
        <w:rPr>
          <w:rFonts w:hint="eastAsia" w:ascii="宋体" w:hAnsi="宋体" w:eastAsia="宋体" w:cs="宋体"/>
          <w:bCs/>
          <w:color w:val="auto"/>
          <w:kern w:val="0"/>
          <w:sz w:val="21"/>
          <w:szCs w:val="21"/>
        </w:rPr>
        <w:t>。</w:t>
      </w:r>
    </w:p>
    <w:p>
      <w:pPr>
        <w:adjustRightInd w:val="0"/>
        <w:snapToGrid w:val="0"/>
        <w:spacing w:line="336" w:lineRule="auto"/>
        <w:ind w:left="1050" w:hanging="1050" w:hangingChars="500"/>
        <w:jc w:val="left"/>
        <w:rPr>
          <w:rFonts w:ascii="宋体" w:hAnsi="宋体" w:eastAsia="宋体" w:cs="宋体"/>
          <w:bCs/>
          <w:color w:val="auto"/>
          <w:kern w:val="0"/>
          <w:sz w:val="21"/>
          <w:szCs w:val="21"/>
        </w:rPr>
      </w:pPr>
      <w:r>
        <w:rPr>
          <w:rFonts w:hint="eastAsia" w:ascii="宋体" w:hAnsi="宋体" w:eastAsia="宋体" w:cs="宋体"/>
          <w:bCs/>
          <w:color w:val="auto"/>
          <w:kern w:val="0"/>
          <w:sz w:val="21"/>
          <w:szCs w:val="21"/>
        </w:rPr>
        <w:t xml:space="preserve">    16.1.2 发包人违约的责任</w:t>
      </w:r>
    </w:p>
    <w:p>
      <w:pPr>
        <w:adjustRightInd w:val="0"/>
        <w:snapToGrid w:val="0"/>
        <w:spacing w:line="336" w:lineRule="auto"/>
        <w:ind w:firstLine="420" w:firstLineChars="200"/>
        <w:jc w:val="left"/>
        <w:rPr>
          <w:rFonts w:ascii="宋体" w:hAnsi="宋体" w:eastAsia="宋体" w:cs="宋体"/>
          <w:bCs/>
          <w:color w:val="auto"/>
          <w:kern w:val="0"/>
          <w:sz w:val="21"/>
          <w:szCs w:val="21"/>
        </w:rPr>
      </w:pPr>
      <w:r>
        <w:rPr>
          <w:rFonts w:hint="eastAsia" w:ascii="宋体" w:hAnsi="宋体" w:eastAsia="宋体" w:cs="宋体"/>
          <w:bCs/>
          <w:color w:val="auto"/>
          <w:kern w:val="0"/>
          <w:sz w:val="21"/>
          <w:szCs w:val="21"/>
        </w:rPr>
        <w:t>发包人违约责任的承担方式和计算方法：</w:t>
      </w:r>
    </w:p>
    <w:p>
      <w:pPr>
        <w:adjustRightInd w:val="0"/>
        <w:snapToGrid w:val="0"/>
        <w:spacing w:line="336" w:lineRule="auto"/>
        <w:ind w:firstLine="420" w:firstLineChars="200"/>
        <w:jc w:val="left"/>
        <w:rPr>
          <w:rFonts w:ascii="宋体" w:hAnsi="宋体" w:eastAsia="宋体" w:cs="宋体"/>
          <w:bCs/>
          <w:color w:val="auto"/>
          <w:kern w:val="0"/>
          <w:sz w:val="21"/>
          <w:szCs w:val="21"/>
          <w:u w:val="single"/>
        </w:rPr>
      </w:pPr>
      <w:r>
        <w:rPr>
          <w:rFonts w:hint="eastAsia" w:ascii="宋体" w:hAnsi="宋体" w:eastAsia="宋体" w:cs="宋体"/>
          <w:bCs/>
          <w:color w:val="auto"/>
          <w:kern w:val="0"/>
          <w:sz w:val="21"/>
          <w:szCs w:val="21"/>
        </w:rPr>
        <w:t>（1）因发包人原因未能在计划开工日期前7天内下达开工通知的违约责任：</w:t>
      </w:r>
      <w:r>
        <w:rPr>
          <w:rFonts w:hint="eastAsia" w:ascii="宋体" w:hAnsi="宋体" w:eastAsia="宋体" w:cs="宋体"/>
          <w:bCs/>
          <w:color w:val="auto"/>
          <w:kern w:val="0"/>
          <w:sz w:val="21"/>
          <w:szCs w:val="21"/>
          <w:u w:val="single"/>
        </w:rPr>
        <w:t xml:space="preserve">    /   </w:t>
      </w:r>
      <w:r>
        <w:rPr>
          <w:rFonts w:hint="eastAsia" w:ascii="宋体" w:hAnsi="宋体" w:eastAsia="宋体" w:cs="宋体"/>
          <w:bCs/>
          <w:color w:val="auto"/>
          <w:kern w:val="0"/>
          <w:sz w:val="21"/>
          <w:szCs w:val="21"/>
        </w:rPr>
        <w:t>。</w:t>
      </w:r>
    </w:p>
    <w:p>
      <w:pPr>
        <w:adjustRightInd w:val="0"/>
        <w:snapToGrid w:val="0"/>
        <w:spacing w:line="336" w:lineRule="auto"/>
        <w:ind w:firstLine="420" w:firstLineChars="200"/>
        <w:jc w:val="left"/>
        <w:rPr>
          <w:rFonts w:ascii="宋体" w:hAnsi="宋体" w:eastAsia="宋体" w:cs="宋体"/>
          <w:bCs/>
          <w:color w:val="auto"/>
          <w:kern w:val="0"/>
          <w:sz w:val="21"/>
          <w:szCs w:val="21"/>
        </w:rPr>
      </w:pPr>
      <w:r>
        <w:rPr>
          <w:rFonts w:hint="eastAsia" w:ascii="宋体" w:hAnsi="宋体" w:eastAsia="宋体" w:cs="宋体"/>
          <w:bCs/>
          <w:color w:val="auto"/>
          <w:kern w:val="0"/>
          <w:sz w:val="21"/>
          <w:szCs w:val="21"/>
        </w:rPr>
        <w:t>（2）因发包人原因未能按合同约定支付合同价款的违约责任：</w:t>
      </w:r>
      <w:r>
        <w:rPr>
          <w:rFonts w:hint="eastAsia" w:ascii="宋体" w:hAnsi="宋体" w:eastAsia="宋体" w:cs="宋体"/>
          <w:bCs/>
          <w:color w:val="auto"/>
          <w:kern w:val="0"/>
          <w:sz w:val="21"/>
          <w:szCs w:val="21"/>
          <w:u w:val="single"/>
        </w:rPr>
        <w:t xml:space="preserve">     /  </w:t>
      </w:r>
      <w:r>
        <w:rPr>
          <w:rFonts w:hint="eastAsia" w:ascii="宋体" w:hAnsi="宋体" w:eastAsia="宋体" w:cs="宋体"/>
          <w:bCs/>
          <w:color w:val="auto"/>
          <w:kern w:val="0"/>
          <w:sz w:val="21"/>
          <w:szCs w:val="21"/>
        </w:rPr>
        <w:t>。</w:t>
      </w:r>
    </w:p>
    <w:p>
      <w:pPr>
        <w:adjustRightInd w:val="0"/>
        <w:snapToGrid w:val="0"/>
        <w:spacing w:line="336" w:lineRule="auto"/>
        <w:ind w:firstLine="420" w:firstLineChars="200"/>
        <w:jc w:val="left"/>
        <w:rPr>
          <w:rFonts w:ascii="宋体" w:hAnsi="宋体" w:eastAsia="宋体" w:cs="宋体"/>
          <w:bCs/>
          <w:color w:val="auto"/>
          <w:kern w:val="0"/>
          <w:sz w:val="21"/>
          <w:szCs w:val="21"/>
        </w:rPr>
      </w:pPr>
      <w:r>
        <w:rPr>
          <w:rFonts w:hint="eastAsia" w:ascii="宋体" w:hAnsi="宋体" w:eastAsia="宋体" w:cs="宋体"/>
          <w:bCs/>
          <w:color w:val="auto"/>
          <w:kern w:val="0"/>
          <w:sz w:val="21"/>
          <w:szCs w:val="21"/>
        </w:rPr>
        <w:t>（3）发包人违反第10.1款〔变更的范围〕第（2）项约定，自行实施被取消的工作或转由他人实施的违约责任：</w:t>
      </w:r>
      <w:r>
        <w:rPr>
          <w:rFonts w:hint="eastAsia" w:ascii="宋体" w:hAnsi="宋体" w:eastAsia="宋体" w:cs="宋体"/>
          <w:bCs/>
          <w:color w:val="auto"/>
          <w:kern w:val="0"/>
          <w:sz w:val="21"/>
          <w:szCs w:val="21"/>
          <w:u w:val="single"/>
        </w:rPr>
        <w:t xml:space="preserve">   /    </w:t>
      </w:r>
      <w:r>
        <w:rPr>
          <w:rFonts w:hint="eastAsia" w:ascii="宋体" w:hAnsi="宋体" w:eastAsia="宋体" w:cs="宋体"/>
          <w:bCs/>
          <w:color w:val="auto"/>
          <w:kern w:val="0"/>
          <w:sz w:val="21"/>
          <w:szCs w:val="21"/>
        </w:rPr>
        <w:t>。</w:t>
      </w:r>
    </w:p>
    <w:p>
      <w:pPr>
        <w:adjustRightInd w:val="0"/>
        <w:snapToGrid w:val="0"/>
        <w:spacing w:line="336" w:lineRule="auto"/>
        <w:ind w:firstLine="420" w:firstLineChars="200"/>
        <w:jc w:val="left"/>
        <w:rPr>
          <w:rFonts w:ascii="宋体" w:hAnsi="宋体" w:eastAsia="宋体" w:cs="宋体"/>
          <w:bCs/>
          <w:color w:val="auto"/>
          <w:kern w:val="0"/>
          <w:sz w:val="21"/>
          <w:szCs w:val="21"/>
        </w:rPr>
      </w:pPr>
      <w:r>
        <w:rPr>
          <w:rFonts w:hint="eastAsia" w:ascii="宋体" w:hAnsi="宋体" w:eastAsia="宋体" w:cs="宋体"/>
          <w:bCs/>
          <w:color w:val="auto"/>
          <w:kern w:val="0"/>
          <w:sz w:val="21"/>
          <w:szCs w:val="21"/>
        </w:rPr>
        <w:t>（4）发包人提供的材料、工程设备的规格、数量或质量不符合合同约定，或因发包人原因导致交货日期延误或交货地点变更等情况的违约责任：</w:t>
      </w:r>
      <w:r>
        <w:rPr>
          <w:rFonts w:hint="eastAsia" w:ascii="宋体" w:hAnsi="宋体" w:eastAsia="宋体" w:cs="宋体"/>
          <w:bCs/>
          <w:color w:val="auto"/>
          <w:kern w:val="0"/>
          <w:sz w:val="21"/>
          <w:szCs w:val="21"/>
          <w:u w:val="single"/>
        </w:rPr>
        <w:t xml:space="preserve">     /   </w:t>
      </w:r>
      <w:r>
        <w:rPr>
          <w:rFonts w:hint="eastAsia" w:ascii="宋体" w:hAnsi="宋体" w:eastAsia="宋体" w:cs="宋体"/>
          <w:bCs/>
          <w:color w:val="auto"/>
          <w:kern w:val="0"/>
          <w:sz w:val="21"/>
          <w:szCs w:val="21"/>
        </w:rPr>
        <w:t>。</w:t>
      </w:r>
    </w:p>
    <w:p>
      <w:pPr>
        <w:adjustRightInd w:val="0"/>
        <w:snapToGrid w:val="0"/>
        <w:spacing w:line="336" w:lineRule="auto"/>
        <w:ind w:firstLine="420" w:firstLineChars="200"/>
        <w:jc w:val="left"/>
        <w:rPr>
          <w:rFonts w:ascii="宋体" w:hAnsi="宋体" w:eastAsia="宋体" w:cs="宋体"/>
          <w:bCs/>
          <w:color w:val="auto"/>
          <w:kern w:val="0"/>
          <w:sz w:val="21"/>
          <w:szCs w:val="21"/>
        </w:rPr>
      </w:pPr>
      <w:r>
        <w:rPr>
          <w:rFonts w:hint="eastAsia" w:ascii="宋体" w:hAnsi="宋体" w:eastAsia="宋体" w:cs="宋体"/>
          <w:bCs/>
          <w:color w:val="auto"/>
          <w:kern w:val="0"/>
          <w:sz w:val="21"/>
          <w:szCs w:val="21"/>
        </w:rPr>
        <w:t>（5）因发包人违反合同约定造成暂停施工的违约责任：</w:t>
      </w:r>
      <w:r>
        <w:rPr>
          <w:rFonts w:hint="eastAsia" w:ascii="宋体" w:hAnsi="宋体" w:eastAsia="宋体" w:cs="宋体"/>
          <w:bCs/>
          <w:color w:val="auto"/>
          <w:kern w:val="0"/>
          <w:sz w:val="21"/>
          <w:szCs w:val="21"/>
          <w:u w:val="single"/>
        </w:rPr>
        <w:t xml:space="preserve">  /  </w:t>
      </w:r>
      <w:r>
        <w:rPr>
          <w:rFonts w:hint="eastAsia" w:ascii="宋体" w:hAnsi="宋体" w:eastAsia="宋体" w:cs="宋体"/>
          <w:bCs/>
          <w:color w:val="auto"/>
          <w:kern w:val="0"/>
          <w:sz w:val="21"/>
          <w:szCs w:val="21"/>
        </w:rPr>
        <w:t>。</w:t>
      </w:r>
    </w:p>
    <w:p>
      <w:pPr>
        <w:adjustRightInd w:val="0"/>
        <w:snapToGrid w:val="0"/>
        <w:spacing w:line="336" w:lineRule="auto"/>
        <w:ind w:firstLine="420" w:firstLineChars="200"/>
        <w:jc w:val="left"/>
        <w:rPr>
          <w:rFonts w:ascii="宋体" w:hAnsi="宋体" w:eastAsia="宋体" w:cs="宋体"/>
          <w:bCs/>
          <w:color w:val="auto"/>
          <w:kern w:val="0"/>
          <w:sz w:val="21"/>
          <w:szCs w:val="21"/>
        </w:rPr>
      </w:pPr>
      <w:r>
        <w:rPr>
          <w:rFonts w:hint="eastAsia" w:ascii="宋体" w:hAnsi="宋体" w:eastAsia="宋体" w:cs="宋体"/>
          <w:bCs/>
          <w:color w:val="auto"/>
          <w:kern w:val="0"/>
          <w:sz w:val="21"/>
          <w:szCs w:val="21"/>
        </w:rPr>
        <w:t>（6）发包人无正当理由没有在约定期限内发出复工指示，导致承包人无法复工的违约责任：</w:t>
      </w:r>
      <w:r>
        <w:rPr>
          <w:rFonts w:hint="eastAsia" w:ascii="宋体" w:hAnsi="宋体" w:eastAsia="宋体" w:cs="宋体"/>
          <w:bCs/>
          <w:color w:val="auto"/>
          <w:kern w:val="0"/>
          <w:sz w:val="21"/>
          <w:szCs w:val="21"/>
          <w:u w:val="single"/>
        </w:rPr>
        <w:t xml:space="preserve">     /    </w:t>
      </w:r>
      <w:r>
        <w:rPr>
          <w:rFonts w:hint="eastAsia" w:ascii="宋体" w:hAnsi="宋体" w:eastAsia="宋体" w:cs="宋体"/>
          <w:bCs/>
          <w:color w:val="auto"/>
          <w:kern w:val="0"/>
          <w:sz w:val="21"/>
          <w:szCs w:val="21"/>
        </w:rPr>
        <w:t>。</w:t>
      </w:r>
    </w:p>
    <w:p>
      <w:pPr>
        <w:adjustRightInd w:val="0"/>
        <w:snapToGrid w:val="0"/>
        <w:spacing w:line="336" w:lineRule="auto"/>
        <w:ind w:firstLine="420" w:firstLineChars="200"/>
        <w:jc w:val="left"/>
        <w:rPr>
          <w:rFonts w:ascii="宋体" w:hAnsi="宋体" w:eastAsia="宋体" w:cs="宋体"/>
          <w:bCs/>
          <w:color w:val="auto"/>
          <w:kern w:val="0"/>
          <w:sz w:val="21"/>
          <w:szCs w:val="21"/>
        </w:rPr>
      </w:pPr>
      <w:r>
        <w:rPr>
          <w:rFonts w:hint="eastAsia" w:ascii="宋体" w:hAnsi="宋体" w:eastAsia="宋体" w:cs="宋体"/>
          <w:bCs/>
          <w:color w:val="auto"/>
          <w:kern w:val="0"/>
          <w:sz w:val="21"/>
          <w:szCs w:val="21"/>
        </w:rPr>
        <w:t>（7）其他：</w:t>
      </w:r>
      <w:r>
        <w:rPr>
          <w:rFonts w:hint="eastAsia" w:ascii="宋体" w:hAnsi="宋体" w:eastAsia="宋体" w:cs="宋体"/>
          <w:bCs/>
          <w:color w:val="auto"/>
          <w:kern w:val="0"/>
          <w:sz w:val="21"/>
          <w:szCs w:val="21"/>
          <w:u w:val="single"/>
        </w:rPr>
        <w:t xml:space="preserve">     /   </w:t>
      </w:r>
      <w:r>
        <w:rPr>
          <w:rFonts w:hint="eastAsia" w:ascii="宋体" w:hAnsi="宋体" w:eastAsia="宋体" w:cs="宋体"/>
          <w:bCs/>
          <w:color w:val="auto"/>
          <w:kern w:val="0"/>
          <w:sz w:val="21"/>
          <w:szCs w:val="21"/>
        </w:rPr>
        <w:t>。</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16.1.3 因发包人违约解除合同</w:t>
      </w:r>
    </w:p>
    <w:p>
      <w:pPr>
        <w:autoSpaceDE w:val="0"/>
        <w:autoSpaceDN w:val="0"/>
        <w:adjustRightInd w:val="0"/>
        <w:snapToGrid w:val="0"/>
        <w:spacing w:line="336" w:lineRule="auto"/>
        <w:ind w:firstLine="420" w:firstLineChars="200"/>
        <w:jc w:val="left"/>
        <w:rPr>
          <w:rFonts w:ascii="宋体" w:hAnsi="宋体" w:eastAsia="宋体" w:cs="宋体"/>
          <w:bCs/>
          <w:color w:val="auto"/>
          <w:kern w:val="0"/>
          <w:sz w:val="21"/>
          <w:szCs w:val="21"/>
        </w:rPr>
      </w:pPr>
      <w:r>
        <w:rPr>
          <w:rFonts w:hint="eastAsia" w:ascii="宋体" w:hAnsi="宋体" w:eastAsia="宋体" w:cs="宋体"/>
          <w:bCs/>
          <w:color w:val="auto"/>
          <w:kern w:val="0"/>
          <w:sz w:val="21"/>
          <w:szCs w:val="21"/>
        </w:rPr>
        <w:t>承包人按16.1.1项〔发包人违约的情形〕约定暂停施工满天后发包人仍不纠正其违约行为并致使合同目的不能实现的，承包人有权解除合同。</w:t>
      </w:r>
    </w:p>
    <w:p>
      <w:pPr>
        <w:adjustRightInd w:val="0"/>
        <w:snapToGrid w:val="0"/>
        <w:spacing w:line="336" w:lineRule="auto"/>
        <w:ind w:firstLine="420" w:firstLineChars="200"/>
        <w:outlineLvl w:val="0"/>
        <w:rPr>
          <w:rFonts w:ascii="宋体" w:hAnsi="宋体" w:eastAsia="宋体" w:cs="宋体"/>
          <w:bCs/>
          <w:color w:val="auto"/>
          <w:sz w:val="21"/>
          <w:szCs w:val="21"/>
        </w:rPr>
      </w:pPr>
      <w:r>
        <w:rPr>
          <w:rFonts w:hint="eastAsia" w:ascii="宋体" w:hAnsi="宋体" w:eastAsia="宋体" w:cs="宋体"/>
          <w:bCs/>
          <w:color w:val="auto"/>
          <w:sz w:val="21"/>
          <w:szCs w:val="21"/>
        </w:rPr>
        <w:t>16.2 承包人违约</w:t>
      </w:r>
    </w:p>
    <w:p>
      <w:pPr>
        <w:adjustRightInd w:val="0"/>
        <w:snapToGrid w:val="0"/>
        <w:spacing w:line="336" w:lineRule="auto"/>
        <w:ind w:firstLine="420" w:firstLineChars="200"/>
        <w:jc w:val="left"/>
        <w:rPr>
          <w:rFonts w:ascii="宋体" w:hAnsi="宋体" w:eastAsia="宋体" w:cs="宋体"/>
          <w:bCs/>
          <w:color w:val="auto"/>
          <w:kern w:val="0"/>
          <w:sz w:val="21"/>
          <w:szCs w:val="21"/>
        </w:rPr>
      </w:pPr>
      <w:r>
        <w:rPr>
          <w:rFonts w:hint="eastAsia" w:ascii="宋体" w:hAnsi="宋体" w:eastAsia="宋体" w:cs="宋体"/>
          <w:bCs/>
          <w:color w:val="auto"/>
          <w:kern w:val="0"/>
          <w:sz w:val="21"/>
          <w:szCs w:val="21"/>
        </w:rPr>
        <w:t>16.2.1 承包人违约的情形</w:t>
      </w:r>
    </w:p>
    <w:p>
      <w:pPr>
        <w:adjustRightInd w:val="0"/>
        <w:snapToGrid w:val="0"/>
        <w:spacing w:line="336" w:lineRule="auto"/>
        <w:ind w:firstLine="420" w:firstLineChars="200"/>
        <w:rPr>
          <w:rFonts w:ascii="宋体" w:hAnsi="宋体" w:eastAsia="宋体" w:cs="宋体"/>
          <w:bCs/>
          <w:color w:val="auto"/>
          <w:kern w:val="0"/>
          <w:sz w:val="21"/>
          <w:szCs w:val="21"/>
        </w:rPr>
      </w:pPr>
      <w:r>
        <w:rPr>
          <w:rFonts w:hint="eastAsia" w:ascii="宋体" w:hAnsi="宋体" w:eastAsia="宋体" w:cs="宋体"/>
          <w:bCs/>
          <w:color w:val="auto"/>
          <w:kern w:val="0"/>
          <w:sz w:val="21"/>
          <w:szCs w:val="21"/>
        </w:rPr>
        <w:t>承包人违约的其他情形：</w:t>
      </w:r>
    </w:p>
    <w:p>
      <w:pPr>
        <w:adjustRightInd w:val="0"/>
        <w:snapToGrid w:val="0"/>
        <w:spacing w:line="336" w:lineRule="auto"/>
        <w:ind w:firstLine="420" w:firstLineChars="200"/>
        <w:rPr>
          <w:rFonts w:ascii="宋体" w:hAnsi="宋体" w:eastAsia="宋体" w:cs="宋体"/>
          <w:color w:val="auto"/>
          <w:sz w:val="21"/>
          <w:szCs w:val="21"/>
          <w:u w:val="single"/>
        </w:rPr>
      </w:pPr>
      <w:r>
        <w:rPr>
          <w:rFonts w:hint="eastAsia" w:ascii="宋体" w:hAnsi="宋体" w:eastAsia="宋体" w:cs="宋体"/>
          <w:color w:val="auto"/>
          <w:sz w:val="21"/>
          <w:szCs w:val="21"/>
          <w:u w:val="single"/>
        </w:rPr>
        <w:t>1、机械设备、施工项目班子未按投标承诺及时到位；</w:t>
      </w:r>
    </w:p>
    <w:p>
      <w:pPr>
        <w:adjustRightInd w:val="0"/>
        <w:snapToGrid w:val="0"/>
        <w:spacing w:line="336" w:lineRule="auto"/>
        <w:ind w:firstLine="420" w:firstLineChars="200"/>
        <w:rPr>
          <w:rFonts w:ascii="宋体" w:hAnsi="宋体" w:eastAsia="宋体" w:cs="宋体"/>
          <w:color w:val="auto"/>
          <w:sz w:val="21"/>
          <w:szCs w:val="21"/>
          <w:u w:val="single"/>
        </w:rPr>
      </w:pPr>
      <w:r>
        <w:rPr>
          <w:rFonts w:hint="eastAsia" w:ascii="宋体" w:hAnsi="宋体" w:eastAsia="宋体" w:cs="宋体"/>
          <w:color w:val="auto"/>
          <w:sz w:val="21"/>
          <w:szCs w:val="21"/>
          <w:u w:val="single"/>
        </w:rPr>
        <w:t>2、本工程在实施过程中，如承包人的施工队伍素质、力量、现场管理班子、现场安全文明施工不符合投标书的承诺，造成现场管理混乱、工程质量和进度达不到投标所承诺的要求；</w:t>
      </w:r>
    </w:p>
    <w:p>
      <w:pPr>
        <w:adjustRightInd w:val="0"/>
        <w:snapToGrid w:val="0"/>
        <w:spacing w:line="336" w:lineRule="auto"/>
        <w:ind w:firstLine="420" w:firstLineChars="200"/>
        <w:rPr>
          <w:rFonts w:ascii="宋体" w:hAnsi="宋体" w:eastAsia="宋体" w:cs="宋体"/>
          <w:color w:val="auto"/>
          <w:sz w:val="21"/>
          <w:szCs w:val="21"/>
          <w:u w:val="single"/>
        </w:rPr>
      </w:pPr>
      <w:r>
        <w:rPr>
          <w:rFonts w:hint="eastAsia" w:ascii="宋体" w:hAnsi="宋体" w:eastAsia="宋体" w:cs="宋体"/>
          <w:color w:val="auto"/>
          <w:sz w:val="21"/>
          <w:szCs w:val="21"/>
          <w:u w:val="single"/>
        </w:rPr>
        <w:t>3、承包人允许其他人挂靠经营、私自转包；</w:t>
      </w:r>
    </w:p>
    <w:p>
      <w:pPr>
        <w:adjustRightInd w:val="0"/>
        <w:snapToGrid w:val="0"/>
        <w:spacing w:line="336" w:lineRule="auto"/>
        <w:ind w:firstLine="420" w:firstLineChars="200"/>
        <w:rPr>
          <w:rFonts w:ascii="宋体" w:hAnsi="宋体" w:eastAsia="宋体" w:cs="宋体"/>
          <w:color w:val="auto"/>
          <w:sz w:val="21"/>
          <w:szCs w:val="21"/>
          <w:u w:val="single"/>
        </w:rPr>
      </w:pPr>
      <w:r>
        <w:rPr>
          <w:rFonts w:hint="eastAsia" w:ascii="宋体" w:hAnsi="宋体" w:eastAsia="宋体" w:cs="宋体"/>
          <w:color w:val="auto"/>
          <w:sz w:val="21"/>
          <w:szCs w:val="21"/>
          <w:u w:val="single"/>
        </w:rPr>
        <w:t>4、承包人未达到投标时所承诺的诚信与技术标准。</w:t>
      </w:r>
    </w:p>
    <w:p>
      <w:pPr>
        <w:adjustRightInd w:val="0"/>
        <w:snapToGrid w:val="0"/>
        <w:spacing w:line="336" w:lineRule="auto"/>
        <w:ind w:firstLine="420" w:firstLineChars="200"/>
        <w:jc w:val="left"/>
        <w:rPr>
          <w:rFonts w:ascii="宋体" w:hAnsi="宋体" w:eastAsia="宋体" w:cs="宋体"/>
          <w:bCs/>
          <w:color w:val="auto"/>
          <w:kern w:val="0"/>
          <w:sz w:val="21"/>
          <w:szCs w:val="21"/>
        </w:rPr>
      </w:pPr>
      <w:r>
        <w:rPr>
          <w:rFonts w:hint="eastAsia" w:ascii="宋体" w:hAnsi="宋体" w:eastAsia="宋体" w:cs="宋体"/>
          <w:bCs/>
          <w:color w:val="auto"/>
          <w:kern w:val="0"/>
          <w:sz w:val="21"/>
          <w:szCs w:val="21"/>
        </w:rPr>
        <w:t>16.2.2承包人违约的责任</w:t>
      </w:r>
    </w:p>
    <w:p>
      <w:pPr>
        <w:adjustRightInd w:val="0"/>
        <w:snapToGrid w:val="0"/>
        <w:spacing w:line="336" w:lineRule="auto"/>
        <w:ind w:firstLine="420" w:firstLineChars="200"/>
        <w:rPr>
          <w:rFonts w:ascii="宋体" w:hAnsi="宋体" w:eastAsia="宋体" w:cs="宋体"/>
          <w:bCs/>
          <w:color w:val="auto"/>
          <w:kern w:val="0"/>
          <w:sz w:val="21"/>
          <w:szCs w:val="21"/>
        </w:rPr>
      </w:pPr>
      <w:r>
        <w:rPr>
          <w:rFonts w:hint="eastAsia" w:ascii="宋体" w:hAnsi="宋体" w:eastAsia="宋体" w:cs="宋体"/>
          <w:bCs/>
          <w:color w:val="auto"/>
          <w:kern w:val="0"/>
          <w:sz w:val="21"/>
          <w:szCs w:val="21"/>
        </w:rPr>
        <w:t>承包人违约责任的承担方式和计算方法：</w:t>
      </w:r>
    </w:p>
    <w:p>
      <w:pPr>
        <w:adjustRightInd w:val="0"/>
        <w:snapToGrid w:val="0"/>
        <w:spacing w:line="336" w:lineRule="auto"/>
        <w:ind w:firstLine="420" w:firstLineChars="200"/>
        <w:rPr>
          <w:rFonts w:ascii="宋体" w:hAnsi="宋体" w:eastAsia="宋体" w:cs="宋体"/>
          <w:color w:val="auto"/>
          <w:sz w:val="21"/>
          <w:szCs w:val="21"/>
          <w:u w:val="single"/>
        </w:rPr>
      </w:pPr>
      <w:r>
        <w:rPr>
          <w:rFonts w:hint="eastAsia" w:ascii="宋体" w:hAnsi="宋体" w:eastAsia="宋体" w:cs="宋体"/>
          <w:color w:val="auto"/>
          <w:sz w:val="21"/>
          <w:szCs w:val="21"/>
          <w:u w:val="single"/>
        </w:rPr>
        <w:t>1、机械设备未按投标承诺到位，每项扣除履约担保金2%；</w:t>
      </w:r>
    </w:p>
    <w:p>
      <w:pPr>
        <w:adjustRightInd w:val="0"/>
        <w:snapToGrid w:val="0"/>
        <w:spacing w:line="336" w:lineRule="auto"/>
        <w:ind w:firstLine="420" w:firstLineChars="200"/>
        <w:rPr>
          <w:rFonts w:ascii="宋体" w:hAnsi="宋体" w:eastAsia="宋体" w:cs="宋体"/>
          <w:color w:val="auto"/>
          <w:sz w:val="21"/>
          <w:szCs w:val="21"/>
          <w:u w:val="single"/>
        </w:rPr>
      </w:pPr>
      <w:r>
        <w:rPr>
          <w:rFonts w:hint="eastAsia" w:ascii="宋体" w:hAnsi="宋体" w:eastAsia="宋体" w:cs="宋体"/>
          <w:color w:val="auto"/>
          <w:sz w:val="21"/>
          <w:szCs w:val="21"/>
          <w:u w:val="single"/>
        </w:rPr>
        <w:t>2、现场安全文明施工不符合投标书承诺，扣减相应安全文明施工费用；承包人原因造成现场管理混乱、工程质量和进度达不到投标承诺的要求，发包人有权要求承包人调整充实施工力量、更换项目班子，及至解除施工合同，所有履约担保金归发包人，并赔偿发包人损失。</w:t>
      </w:r>
    </w:p>
    <w:p>
      <w:pPr>
        <w:adjustRightInd w:val="0"/>
        <w:snapToGrid w:val="0"/>
        <w:spacing w:line="336" w:lineRule="auto"/>
        <w:ind w:firstLine="420" w:firstLineChars="200"/>
        <w:rPr>
          <w:rFonts w:ascii="宋体" w:hAnsi="宋体" w:eastAsia="宋体" w:cs="宋体"/>
          <w:color w:val="auto"/>
          <w:sz w:val="21"/>
          <w:szCs w:val="21"/>
          <w:u w:val="single"/>
        </w:rPr>
      </w:pPr>
      <w:r>
        <w:rPr>
          <w:rFonts w:hint="eastAsia" w:ascii="宋体" w:hAnsi="宋体" w:eastAsia="宋体" w:cs="宋体"/>
          <w:color w:val="auto"/>
          <w:sz w:val="21"/>
          <w:szCs w:val="21"/>
          <w:u w:val="single"/>
        </w:rPr>
        <w:t>3、发现承包人允许其他人挂靠经营、私自转包，所有履约担保归发包人，同时赔偿发包人损失，并责令退出工地。</w:t>
      </w:r>
    </w:p>
    <w:p>
      <w:pPr>
        <w:adjustRightInd w:val="0"/>
        <w:snapToGrid w:val="0"/>
        <w:spacing w:line="336" w:lineRule="auto"/>
        <w:ind w:firstLine="420" w:firstLineChars="200"/>
        <w:rPr>
          <w:rFonts w:ascii="宋体" w:hAnsi="宋体" w:eastAsia="宋体" w:cs="宋体"/>
          <w:color w:val="auto"/>
          <w:sz w:val="21"/>
          <w:szCs w:val="21"/>
          <w:u w:val="single"/>
        </w:rPr>
      </w:pPr>
      <w:r>
        <w:rPr>
          <w:rFonts w:hint="eastAsia" w:ascii="宋体" w:hAnsi="宋体" w:eastAsia="宋体" w:cs="宋体"/>
          <w:color w:val="auto"/>
          <w:sz w:val="21"/>
          <w:szCs w:val="21"/>
          <w:u w:val="single"/>
        </w:rPr>
        <w:t>4、未达到投标所承诺的诚信与技术标准，按每一项扣减履约担保金的10%。</w:t>
      </w:r>
    </w:p>
    <w:p>
      <w:pPr>
        <w:adjustRightInd w:val="0"/>
        <w:snapToGrid w:val="0"/>
        <w:spacing w:line="336" w:lineRule="auto"/>
        <w:ind w:firstLine="420" w:firstLineChars="200"/>
        <w:rPr>
          <w:rFonts w:ascii="宋体" w:hAnsi="宋体" w:eastAsia="宋体" w:cs="宋体"/>
          <w:color w:val="auto"/>
          <w:sz w:val="21"/>
          <w:szCs w:val="21"/>
          <w:u w:val="single"/>
        </w:rPr>
      </w:pPr>
      <w:r>
        <w:rPr>
          <w:rFonts w:hint="eastAsia" w:ascii="宋体" w:hAnsi="宋体" w:eastAsia="宋体" w:cs="宋体"/>
          <w:color w:val="auto"/>
          <w:sz w:val="21"/>
          <w:szCs w:val="21"/>
          <w:u w:val="single"/>
        </w:rPr>
        <w:t>5、工程延误超过了合同工期，延误责任由承包人承担。工期不予顺延，由工期延误引起人工、材料价格上涨由承包人承担，按原合同约定价格结算；价格下降归发包人受益，按下降后价格结算。当施工工期超过合同工期50%以上时，可解除施工合同，并赔偿发包人损失。</w:t>
      </w:r>
    </w:p>
    <w:p>
      <w:pPr>
        <w:adjustRightInd w:val="0"/>
        <w:snapToGrid w:val="0"/>
        <w:spacing w:line="336" w:lineRule="auto"/>
        <w:ind w:firstLine="420" w:firstLineChars="200"/>
        <w:jc w:val="left"/>
        <w:rPr>
          <w:rFonts w:ascii="宋体" w:hAnsi="宋体" w:eastAsia="宋体" w:cs="宋体"/>
          <w:bCs/>
          <w:color w:val="auto"/>
          <w:kern w:val="0"/>
          <w:sz w:val="21"/>
          <w:szCs w:val="21"/>
          <w:u w:val="single"/>
        </w:rPr>
      </w:pPr>
      <w:r>
        <w:rPr>
          <w:rFonts w:hint="eastAsia" w:ascii="宋体" w:hAnsi="宋体" w:eastAsia="宋体" w:cs="宋体"/>
          <w:color w:val="auto"/>
          <w:sz w:val="21"/>
          <w:szCs w:val="21"/>
          <w:u w:val="single"/>
        </w:rPr>
        <w:t>6、承包人无法继续履行、明确表示不履行或实质上已停止履行合同，发包人可通知承包人全部解除合同，所有履约担保归发包人，同时赔偿发包人损失。</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16.2.3 因承包人违约解除合同</w:t>
      </w:r>
    </w:p>
    <w:p>
      <w:pPr>
        <w:adjustRightInd w:val="0"/>
        <w:snapToGrid w:val="0"/>
        <w:spacing w:line="336" w:lineRule="auto"/>
        <w:ind w:firstLine="420" w:firstLineChars="200"/>
        <w:rPr>
          <w:rFonts w:ascii="宋体" w:hAnsi="宋体" w:eastAsia="宋体" w:cs="宋体"/>
          <w:bCs/>
          <w:color w:val="auto"/>
          <w:kern w:val="0"/>
          <w:sz w:val="21"/>
          <w:szCs w:val="21"/>
        </w:rPr>
      </w:pPr>
      <w:r>
        <w:rPr>
          <w:rFonts w:hint="eastAsia" w:ascii="宋体" w:hAnsi="宋体" w:eastAsia="宋体" w:cs="宋体"/>
          <w:bCs/>
          <w:color w:val="auto"/>
          <w:kern w:val="0"/>
          <w:sz w:val="21"/>
          <w:szCs w:val="21"/>
        </w:rPr>
        <w:t>关于承包人违约解除合同的特别约定：</w:t>
      </w:r>
      <w:r>
        <w:rPr>
          <w:rFonts w:hint="eastAsia" w:ascii="宋体" w:hAnsi="宋体" w:eastAsia="宋体" w:cs="宋体"/>
          <w:bCs/>
          <w:color w:val="auto"/>
          <w:kern w:val="0"/>
          <w:sz w:val="21"/>
          <w:szCs w:val="21"/>
          <w:u w:val="single"/>
        </w:rPr>
        <w:t xml:space="preserve">  </w:t>
      </w:r>
      <w:r>
        <w:rPr>
          <w:rFonts w:hint="eastAsia" w:ascii="宋体" w:hAnsi="宋体" w:eastAsia="宋体" w:cs="宋体"/>
          <w:iCs/>
          <w:color w:val="auto"/>
          <w:sz w:val="21"/>
          <w:szCs w:val="21"/>
          <w:u w:val="single"/>
        </w:rPr>
        <w:t>双方签署解除协议，现场已完成工程量和已支付工程款（含预付款）按实计算，承包人必须在 30 日历天内清场并将施工场地交还发包人待发包人审定后 30日历天内支付</w:t>
      </w:r>
      <w:r>
        <w:rPr>
          <w:rFonts w:hint="eastAsia" w:ascii="宋体" w:hAnsi="宋体" w:eastAsia="宋体" w:cs="宋体"/>
          <w:bCs/>
          <w:color w:val="auto"/>
          <w:kern w:val="0"/>
          <w:sz w:val="21"/>
          <w:szCs w:val="21"/>
          <w:u w:val="single"/>
        </w:rPr>
        <w:t xml:space="preserve"> </w:t>
      </w:r>
      <w:r>
        <w:rPr>
          <w:rFonts w:hint="eastAsia" w:ascii="宋体" w:hAnsi="宋体" w:eastAsia="宋体" w:cs="宋体"/>
          <w:bCs/>
          <w:color w:val="auto"/>
          <w:kern w:val="0"/>
          <w:sz w:val="21"/>
          <w:szCs w:val="21"/>
        </w:rPr>
        <w:t>。</w:t>
      </w:r>
    </w:p>
    <w:p>
      <w:pPr>
        <w:adjustRightInd w:val="0"/>
        <w:snapToGrid w:val="0"/>
        <w:spacing w:line="336" w:lineRule="auto"/>
        <w:ind w:firstLine="420" w:firstLineChars="200"/>
        <w:rPr>
          <w:rFonts w:ascii="宋体" w:hAnsi="宋体" w:eastAsia="宋体" w:cs="宋体"/>
          <w:bCs/>
          <w:color w:val="auto"/>
          <w:kern w:val="0"/>
          <w:sz w:val="21"/>
          <w:szCs w:val="21"/>
        </w:rPr>
      </w:pPr>
      <w:r>
        <w:rPr>
          <w:rFonts w:hint="eastAsia" w:ascii="宋体" w:hAnsi="宋体" w:eastAsia="宋体" w:cs="宋体"/>
          <w:bCs/>
          <w:color w:val="auto"/>
          <w:kern w:val="0"/>
          <w:sz w:val="21"/>
          <w:szCs w:val="21"/>
        </w:rPr>
        <w:t>发包人继续使用承包人在施工现场的材料、设备、临时工程、承包人文件和由承包人或以其名义编制的其他文件的费用承担方式：</w:t>
      </w:r>
      <w:r>
        <w:rPr>
          <w:rFonts w:hint="eastAsia" w:ascii="宋体" w:hAnsi="宋体" w:eastAsia="宋体" w:cs="宋体"/>
          <w:color w:val="auto"/>
          <w:sz w:val="21"/>
          <w:szCs w:val="21"/>
          <w:u w:val="single"/>
        </w:rPr>
        <w:t>使用施工现场的材料、设备按实结算，使用施工机械、器具按租赁费结算，临时工程折算成费用按完成造价比例计算，无偿使用承包人为本工程施工所编制的相应文件等。</w:t>
      </w:r>
    </w:p>
    <w:p>
      <w:pPr>
        <w:adjustRightInd w:val="0"/>
        <w:snapToGrid w:val="0"/>
        <w:spacing w:line="336" w:lineRule="auto"/>
        <w:rPr>
          <w:rFonts w:ascii="宋体" w:hAnsi="宋体" w:eastAsia="宋体" w:cs="宋体"/>
          <w:bCs/>
          <w:color w:val="auto"/>
          <w:sz w:val="21"/>
          <w:szCs w:val="21"/>
        </w:rPr>
      </w:pPr>
      <w:bookmarkStart w:id="598" w:name="_Toc351203649"/>
      <w:r>
        <w:rPr>
          <w:rFonts w:hint="eastAsia" w:ascii="宋体" w:hAnsi="宋体" w:eastAsia="宋体" w:cs="宋体"/>
          <w:bCs/>
          <w:color w:val="auto"/>
          <w:sz w:val="21"/>
          <w:szCs w:val="21"/>
        </w:rPr>
        <w:t>17. 不可抗力</w:t>
      </w:r>
      <w:bookmarkEnd w:id="596"/>
      <w:bookmarkEnd w:id="598"/>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17.1 不可抗力的确认</w:t>
      </w:r>
    </w:p>
    <w:p>
      <w:pPr>
        <w:adjustRightInd w:val="0"/>
        <w:snapToGrid w:val="0"/>
        <w:spacing w:line="336" w:lineRule="auto"/>
        <w:ind w:firstLine="420" w:firstLineChars="200"/>
        <w:jc w:val="left"/>
        <w:rPr>
          <w:rFonts w:ascii="宋体" w:hAnsi="宋体" w:eastAsia="宋体" w:cs="宋体"/>
          <w:bCs/>
          <w:color w:val="auto"/>
          <w:kern w:val="0"/>
          <w:sz w:val="21"/>
          <w:szCs w:val="21"/>
          <w:u w:val="single"/>
        </w:rPr>
      </w:pPr>
      <w:r>
        <w:rPr>
          <w:rFonts w:hint="eastAsia" w:ascii="宋体" w:hAnsi="宋体" w:eastAsia="宋体" w:cs="宋体"/>
          <w:bCs/>
          <w:color w:val="auto"/>
          <w:sz w:val="21"/>
          <w:szCs w:val="21"/>
        </w:rPr>
        <w:t xml:space="preserve">除通用合同条款约定的不可抗力事件之外，视为不可抗力的其他情形： </w:t>
      </w:r>
      <w:r>
        <w:rPr>
          <w:rFonts w:hint="eastAsia" w:ascii="宋体" w:hAnsi="宋体" w:eastAsia="宋体" w:cs="宋体"/>
          <w:bCs/>
          <w:color w:val="auto"/>
          <w:kern w:val="0"/>
          <w:sz w:val="21"/>
          <w:szCs w:val="21"/>
          <w:u w:val="single"/>
        </w:rPr>
        <w:t xml:space="preserve">  </w:t>
      </w:r>
      <w:r>
        <w:rPr>
          <w:rFonts w:hint="eastAsia" w:ascii="宋体" w:hAnsi="宋体" w:eastAsia="宋体" w:cs="宋体"/>
          <w:iCs/>
          <w:color w:val="auto"/>
          <w:sz w:val="21"/>
          <w:szCs w:val="21"/>
          <w:u w:val="single"/>
        </w:rPr>
        <w:t>10年一遇洪水、暴风雪、干旱，罢工、政府禁令。</w:t>
      </w:r>
      <w:r>
        <w:rPr>
          <w:rFonts w:hint="eastAsia" w:ascii="宋体" w:hAnsi="宋体" w:eastAsia="宋体" w:cs="宋体"/>
          <w:iCs/>
          <w:color w:val="auto"/>
          <w:kern w:val="0"/>
          <w:sz w:val="21"/>
          <w:szCs w:val="21"/>
          <w:u w:val="single"/>
        </w:rPr>
        <w:t>台州气象台发布的正面袭击台州的11级及以上台风、里氏6级及以上地震、经发包人及监理人认定的在工程施工过程中不可避免发生并不能克服的自然灾害和社会性突发事件。</w:t>
      </w:r>
      <w:r>
        <w:rPr>
          <w:rFonts w:hint="eastAsia" w:ascii="宋体" w:hAnsi="宋体" w:eastAsia="宋体" w:cs="宋体"/>
          <w:bCs/>
          <w:color w:val="auto"/>
          <w:kern w:val="0"/>
          <w:sz w:val="21"/>
          <w:szCs w:val="21"/>
          <w:u w:val="single"/>
        </w:rPr>
        <w:t xml:space="preserve"> </w:t>
      </w:r>
    </w:p>
    <w:p>
      <w:pPr>
        <w:adjustRightInd w:val="0"/>
        <w:snapToGrid w:val="0"/>
        <w:spacing w:line="336" w:lineRule="auto"/>
        <w:ind w:firstLine="420" w:firstLineChars="200"/>
        <w:outlineLvl w:val="0"/>
        <w:rPr>
          <w:rFonts w:ascii="宋体" w:hAnsi="宋体" w:eastAsia="宋体" w:cs="宋体"/>
          <w:bCs/>
          <w:color w:val="auto"/>
          <w:sz w:val="21"/>
          <w:szCs w:val="21"/>
        </w:rPr>
      </w:pPr>
      <w:r>
        <w:rPr>
          <w:rFonts w:hint="eastAsia" w:ascii="宋体" w:hAnsi="宋体" w:eastAsia="宋体" w:cs="宋体"/>
          <w:bCs/>
          <w:color w:val="auto"/>
          <w:sz w:val="21"/>
          <w:szCs w:val="21"/>
        </w:rPr>
        <w:t>17.4 因不可抗力解除合同</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合同解除后，发包人应在商定或确定发包人应支付款项后天</w:t>
      </w:r>
      <w:r>
        <w:rPr>
          <w:rFonts w:hint="eastAsia" w:ascii="宋体" w:hAnsi="宋体" w:eastAsia="宋体" w:cs="宋体"/>
          <w:iCs/>
          <w:color w:val="auto"/>
          <w:sz w:val="21"/>
          <w:szCs w:val="21"/>
          <w:u w:val="single"/>
        </w:rPr>
        <w:t>30</w:t>
      </w:r>
      <w:r>
        <w:rPr>
          <w:rFonts w:hint="eastAsia" w:ascii="宋体" w:hAnsi="宋体" w:eastAsia="宋体" w:cs="宋体"/>
          <w:bCs/>
          <w:color w:val="auto"/>
          <w:sz w:val="21"/>
          <w:szCs w:val="21"/>
        </w:rPr>
        <w:t>内完成款项的支付。</w:t>
      </w:r>
    </w:p>
    <w:p>
      <w:pPr>
        <w:adjustRightInd w:val="0"/>
        <w:snapToGrid w:val="0"/>
        <w:spacing w:line="336" w:lineRule="auto"/>
        <w:rPr>
          <w:rFonts w:ascii="宋体" w:hAnsi="宋体" w:eastAsia="宋体" w:cs="宋体"/>
          <w:bCs/>
          <w:color w:val="auto"/>
          <w:sz w:val="21"/>
          <w:szCs w:val="21"/>
        </w:rPr>
      </w:pPr>
      <w:bookmarkStart w:id="599" w:name="_Toc351203650"/>
      <w:r>
        <w:rPr>
          <w:rFonts w:hint="eastAsia" w:ascii="宋体" w:hAnsi="宋体" w:eastAsia="宋体" w:cs="宋体"/>
          <w:bCs/>
          <w:color w:val="auto"/>
          <w:sz w:val="21"/>
          <w:szCs w:val="21"/>
        </w:rPr>
        <w:t>18. 保险</w:t>
      </w:r>
      <w:bookmarkEnd w:id="599"/>
    </w:p>
    <w:bookmarkEnd w:id="597"/>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18.1 工程保险</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关于工程保险的特别约定：</w:t>
      </w:r>
      <w:r>
        <w:rPr>
          <w:rFonts w:hint="eastAsia" w:ascii="宋体" w:hAnsi="宋体" w:eastAsia="宋体" w:cs="宋体"/>
          <w:bCs/>
          <w:color w:val="auto"/>
          <w:kern w:val="0"/>
          <w:sz w:val="21"/>
          <w:szCs w:val="21"/>
          <w:u w:val="single"/>
        </w:rPr>
        <w:t xml:space="preserve">  </w:t>
      </w:r>
      <w:r>
        <w:rPr>
          <w:rFonts w:hint="eastAsia" w:ascii="宋体" w:hAnsi="宋体" w:eastAsia="宋体" w:cs="宋体"/>
          <w:iCs/>
          <w:color w:val="auto"/>
          <w:sz w:val="21"/>
          <w:szCs w:val="21"/>
          <w:u w:val="single"/>
        </w:rPr>
        <w:t>按通用条款执行</w:t>
      </w:r>
      <w:r>
        <w:rPr>
          <w:rFonts w:hint="eastAsia" w:ascii="宋体" w:hAnsi="宋体" w:eastAsia="宋体" w:cs="宋体"/>
          <w:bCs/>
          <w:color w:val="auto"/>
          <w:kern w:val="0"/>
          <w:sz w:val="21"/>
          <w:szCs w:val="21"/>
          <w:u w:val="single"/>
        </w:rPr>
        <w:t xml:space="preserve"> </w:t>
      </w:r>
      <w:r>
        <w:rPr>
          <w:rFonts w:hint="eastAsia" w:ascii="宋体" w:hAnsi="宋体" w:eastAsia="宋体" w:cs="宋体"/>
          <w:bCs/>
          <w:color w:val="auto"/>
          <w:kern w:val="0"/>
          <w:sz w:val="21"/>
          <w:szCs w:val="21"/>
        </w:rPr>
        <w:t>。</w:t>
      </w:r>
    </w:p>
    <w:p>
      <w:pPr>
        <w:adjustRightInd w:val="0"/>
        <w:snapToGrid w:val="0"/>
        <w:spacing w:line="336" w:lineRule="auto"/>
        <w:ind w:firstLine="420" w:firstLineChars="200"/>
        <w:outlineLvl w:val="0"/>
        <w:rPr>
          <w:rFonts w:ascii="宋体" w:hAnsi="宋体" w:eastAsia="宋体" w:cs="宋体"/>
          <w:bCs/>
          <w:color w:val="auto"/>
          <w:sz w:val="21"/>
          <w:szCs w:val="21"/>
        </w:rPr>
      </w:pPr>
      <w:r>
        <w:rPr>
          <w:rFonts w:hint="eastAsia" w:ascii="宋体" w:hAnsi="宋体" w:eastAsia="宋体" w:cs="宋体"/>
          <w:bCs/>
          <w:color w:val="auto"/>
          <w:sz w:val="21"/>
          <w:szCs w:val="21"/>
        </w:rPr>
        <w:t>18.3 其他保险</w:t>
      </w:r>
    </w:p>
    <w:p>
      <w:pPr>
        <w:adjustRightInd w:val="0"/>
        <w:snapToGrid w:val="0"/>
        <w:spacing w:line="336" w:lineRule="auto"/>
        <w:ind w:firstLine="420" w:firstLineChars="200"/>
        <w:jc w:val="left"/>
        <w:rPr>
          <w:rFonts w:ascii="宋体" w:hAnsi="宋体" w:eastAsia="宋体" w:cs="宋体"/>
          <w:bCs/>
          <w:color w:val="auto"/>
          <w:kern w:val="0"/>
          <w:sz w:val="21"/>
          <w:szCs w:val="21"/>
        </w:rPr>
      </w:pPr>
      <w:r>
        <w:rPr>
          <w:rFonts w:hint="eastAsia" w:ascii="宋体" w:hAnsi="宋体" w:eastAsia="宋体" w:cs="宋体"/>
          <w:bCs/>
          <w:color w:val="auto"/>
          <w:sz w:val="21"/>
          <w:szCs w:val="21"/>
        </w:rPr>
        <w:t>关于其他保险的约定：</w:t>
      </w:r>
      <w:r>
        <w:rPr>
          <w:rFonts w:hint="eastAsia" w:ascii="宋体" w:hAnsi="宋体" w:eastAsia="宋体" w:cs="宋体"/>
          <w:bCs/>
          <w:color w:val="auto"/>
          <w:kern w:val="0"/>
          <w:sz w:val="21"/>
          <w:szCs w:val="21"/>
          <w:u w:val="single"/>
        </w:rPr>
        <w:t>承包人投保建筑工人及管理人员意外伤害保险</w:t>
      </w:r>
      <w:r>
        <w:rPr>
          <w:rFonts w:hint="eastAsia" w:ascii="宋体" w:hAnsi="宋体" w:eastAsia="宋体" w:cs="宋体"/>
          <w:bCs/>
          <w:color w:val="auto"/>
          <w:kern w:val="0"/>
          <w:sz w:val="21"/>
          <w:szCs w:val="21"/>
        </w:rPr>
        <w:t>。</w:t>
      </w:r>
    </w:p>
    <w:p>
      <w:pPr>
        <w:adjustRightInd w:val="0"/>
        <w:snapToGrid w:val="0"/>
        <w:spacing w:line="336" w:lineRule="auto"/>
        <w:ind w:firstLine="420" w:firstLineChars="200"/>
        <w:jc w:val="left"/>
        <w:rPr>
          <w:rFonts w:ascii="宋体" w:hAnsi="宋体" w:eastAsia="宋体" w:cs="宋体"/>
          <w:bCs/>
          <w:color w:val="auto"/>
          <w:kern w:val="0"/>
          <w:sz w:val="21"/>
          <w:szCs w:val="21"/>
        </w:rPr>
      </w:pPr>
      <w:r>
        <w:rPr>
          <w:rFonts w:hint="eastAsia" w:ascii="宋体" w:hAnsi="宋体" w:eastAsia="宋体" w:cs="宋体"/>
          <w:bCs/>
          <w:color w:val="auto"/>
          <w:sz w:val="21"/>
          <w:szCs w:val="21"/>
        </w:rPr>
        <w:t>承包人是否应为其施工设备等办理财产保险：</w:t>
      </w:r>
      <w:r>
        <w:rPr>
          <w:rFonts w:hint="eastAsia" w:ascii="宋体" w:hAnsi="宋体" w:eastAsia="宋体" w:cs="宋体"/>
          <w:bCs/>
          <w:color w:val="auto"/>
          <w:sz w:val="21"/>
          <w:szCs w:val="21"/>
          <w:u w:val="single"/>
        </w:rPr>
        <w:t>按通用合同条款规定执行</w:t>
      </w:r>
      <w:r>
        <w:rPr>
          <w:rFonts w:hint="eastAsia" w:ascii="宋体" w:hAnsi="宋体" w:eastAsia="宋体" w:cs="宋体"/>
          <w:bCs/>
          <w:color w:val="auto"/>
          <w:sz w:val="21"/>
          <w:szCs w:val="21"/>
        </w:rPr>
        <w:t>。</w:t>
      </w:r>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18.7 通知义务</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kern w:val="0"/>
          <w:sz w:val="21"/>
          <w:szCs w:val="21"/>
        </w:rPr>
        <w:t>关于变更保险合同时的通知义务的约定：</w:t>
      </w:r>
      <w:r>
        <w:rPr>
          <w:rFonts w:hint="eastAsia" w:ascii="宋体" w:hAnsi="宋体" w:eastAsia="宋体" w:cs="宋体"/>
          <w:bCs/>
          <w:color w:val="auto"/>
          <w:sz w:val="21"/>
          <w:szCs w:val="21"/>
          <w:u w:val="single"/>
        </w:rPr>
        <w:t>按通用合同条款规定执行</w:t>
      </w:r>
      <w:r>
        <w:rPr>
          <w:rFonts w:hint="eastAsia" w:ascii="宋体" w:hAnsi="宋体" w:eastAsia="宋体" w:cs="宋体"/>
          <w:bCs/>
          <w:color w:val="auto"/>
          <w:sz w:val="21"/>
          <w:szCs w:val="21"/>
        </w:rPr>
        <w:t>。</w:t>
      </w:r>
    </w:p>
    <w:bookmarkEnd w:id="573"/>
    <w:bookmarkEnd w:id="574"/>
    <w:bookmarkEnd w:id="575"/>
    <w:bookmarkEnd w:id="576"/>
    <w:bookmarkEnd w:id="577"/>
    <w:bookmarkEnd w:id="578"/>
    <w:bookmarkEnd w:id="579"/>
    <w:bookmarkEnd w:id="580"/>
    <w:bookmarkEnd w:id="581"/>
    <w:bookmarkEnd w:id="582"/>
    <w:bookmarkEnd w:id="583"/>
    <w:bookmarkEnd w:id="584"/>
    <w:p>
      <w:pPr>
        <w:adjustRightInd w:val="0"/>
        <w:snapToGrid w:val="0"/>
        <w:spacing w:line="336" w:lineRule="auto"/>
        <w:rPr>
          <w:rFonts w:ascii="宋体" w:hAnsi="宋体" w:eastAsia="宋体" w:cs="宋体"/>
          <w:bCs/>
          <w:color w:val="auto"/>
          <w:sz w:val="21"/>
          <w:szCs w:val="21"/>
        </w:rPr>
      </w:pPr>
      <w:bookmarkStart w:id="600" w:name="_Toc351203651"/>
      <w:r>
        <w:rPr>
          <w:rFonts w:hint="eastAsia" w:ascii="宋体" w:hAnsi="宋体" w:eastAsia="宋体" w:cs="宋体"/>
          <w:bCs/>
          <w:color w:val="auto"/>
          <w:sz w:val="21"/>
          <w:szCs w:val="21"/>
        </w:rPr>
        <w:t>20. 争议解决</w:t>
      </w:r>
      <w:bookmarkEnd w:id="600"/>
    </w:p>
    <w:bookmarkEnd w:id="585"/>
    <w:bookmarkEnd w:id="586"/>
    <w:p>
      <w:pPr>
        <w:adjustRightInd w:val="0"/>
        <w:snapToGrid w:val="0"/>
        <w:spacing w:line="336" w:lineRule="auto"/>
        <w:ind w:firstLine="420" w:firstLineChars="200"/>
        <w:outlineLvl w:val="0"/>
        <w:rPr>
          <w:rFonts w:ascii="宋体" w:hAnsi="宋体" w:eastAsia="宋体" w:cs="宋体"/>
          <w:bCs/>
          <w:color w:val="auto"/>
          <w:sz w:val="21"/>
          <w:szCs w:val="21"/>
        </w:rPr>
      </w:pPr>
      <w:r>
        <w:rPr>
          <w:rFonts w:hint="eastAsia" w:ascii="宋体" w:hAnsi="宋体" w:eastAsia="宋体" w:cs="宋体"/>
          <w:bCs/>
          <w:color w:val="auto"/>
          <w:sz w:val="21"/>
          <w:szCs w:val="21"/>
        </w:rPr>
        <w:t>20.3 争</w:t>
      </w:r>
      <w:bookmarkEnd w:id="587"/>
      <w:r>
        <w:rPr>
          <w:rFonts w:hint="eastAsia" w:ascii="宋体" w:hAnsi="宋体" w:eastAsia="宋体" w:cs="宋体"/>
          <w:bCs/>
          <w:color w:val="auto"/>
          <w:sz w:val="21"/>
          <w:szCs w:val="21"/>
        </w:rPr>
        <w:t>议评审</w:t>
      </w:r>
    </w:p>
    <w:p>
      <w:pPr>
        <w:adjustRightInd w:val="0"/>
        <w:snapToGrid w:val="0"/>
        <w:spacing w:line="336" w:lineRule="auto"/>
        <w:ind w:left="256" w:leftChars="71" w:firstLine="315" w:firstLineChars="150"/>
        <w:jc w:val="left"/>
        <w:rPr>
          <w:rFonts w:ascii="宋体" w:hAnsi="宋体" w:eastAsia="宋体" w:cs="宋体"/>
          <w:bCs/>
          <w:color w:val="auto"/>
          <w:sz w:val="21"/>
          <w:szCs w:val="21"/>
        </w:rPr>
      </w:pPr>
      <w:r>
        <w:rPr>
          <w:rFonts w:hint="eastAsia" w:ascii="宋体" w:hAnsi="宋体" w:eastAsia="宋体" w:cs="宋体"/>
          <w:bCs/>
          <w:color w:val="auto"/>
          <w:sz w:val="21"/>
          <w:szCs w:val="21"/>
        </w:rPr>
        <w:t>合同当事人是否同意将工程争议提交争议评审小组决定：</w:t>
      </w:r>
      <w:r>
        <w:rPr>
          <w:rFonts w:hint="eastAsia" w:ascii="宋体" w:hAnsi="宋体" w:eastAsia="宋体" w:cs="宋体"/>
          <w:bCs/>
          <w:color w:val="auto"/>
          <w:sz w:val="21"/>
          <w:szCs w:val="21"/>
          <w:u w:val="single"/>
        </w:rPr>
        <w:t xml:space="preserve">  /  </w:t>
      </w:r>
      <w:r>
        <w:rPr>
          <w:rFonts w:hint="eastAsia" w:ascii="宋体" w:hAnsi="宋体" w:eastAsia="宋体" w:cs="宋体"/>
          <w:bCs/>
          <w:color w:val="auto"/>
          <w:sz w:val="21"/>
          <w:szCs w:val="21"/>
        </w:rPr>
        <w:t xml:space="preserve">。  </w:t>
      </w:r>
    </w:p>
    <w:p>
      <w:pPr>
        <w:adjustRightInd w:val="0"/>
        <w:snapToGrid w:val="0"/>
        <w:spacing w:line="336" w:lineRule="auto"/>
        <w:ind w:firstLine="420" w:firstLineChars="200"/>
        <w:jc w:val="left"/>
        <w:outlineLvl w:val="0"/>
        <w:rPr>
          <w:rFonts w:ascii="宋体" w:hAnsi="宋体" w:eastAsia="宋体" w:cs="宋体"/>
          <w:bCs/>
          <w:color w:val="auto"/>
          <w:sz w:val="21"/>
          <w:szCs w:val="21"/>
        </w:rPr>
      </w:pPr>
      <w:r>
        <w:rPr>
          <w:rFonts w:hint="eastAsia" w:ascii="宋体" w:hAnsi="宋体" w:eastAsia="宋体" w:cs="宋体"/>
          <w:bCs/>
          <w:color w:val="auto"/>
          <w:sz w:val="21"/>
          <w:szCs w:val="21"/>
        </w:rPr>
        <w:t>20.3.1 争议评审小组的确定</w:t>
      </w:r>
    </w:p>
    <w:p>
      <w:pPr>
        <w:adjustRightInd w:val="0"/>
        <w:snapToGrid w:val="0"/>
        <w:spacing w:line="336" w:lineRule="auto"/>
        <w:ind w:firstLine="420" w:firstLineChars="200"/>
        <w:jc w:val="left"/>
        <w:rPr>
          <w:rFonts w:ascii="宋体" w:hAnsi="宋体" w:eastAsia="宋体" w:cs="宋体"/>
          <w:bCs/>
          <w:color w:val="auto"/>
          <w:sz w:val="21"/>
          <w:szCs w:val="21"/>
          <w:u w:val="single"/>
        </w:rPr>
      </w:pPr>
      <w:r>
        <w:rPr>
          <w:rFonts w:hint="eastAsia" w:ascii="宋体" w:hAnsi="宋体" w:eastAsia="宋体" w:cs="宋体"/>
          <w:bCs/>
          <w:color w:val="auto"/>
          <w:sz w:val="21"/>
          <w:szCs w:val="21"/>
        </w:rPr>
        <w:t>争议评审小组成员的确定：</w:t>
      </w:r>
      <w:r>
        <w:rPr>
          <w:rFonts w:hint="eastAsia" w:ascii="宋体" w:hAnsi="宋体" w:eastAsia="宋体" w:cs="宋体"/>
          <w:bCs/>
          <w:color w:val="auto"/>
          <w:sz w:val="21"/>
          <w:szCs w:val="21"/>
          <w:u w:val="single"/>
        </w:rPr>
        <w:t xml:space="preserve">      /   </w:t>
      </w:r>
      <w:r>
        <w:rPr>
          <w:rFonts w:hint="eastAsia" w:ascii="宋体" w:hAnsi="宋体" w:eastAsia="宋体" w:cs="宋体"/>
          <w:bCs/>
          <w:color w:val="auto"/>
          <w:sz w:val="21"/>
          <w:szCs w:val="21"/>
        </w:rPr>
        <w:t>。</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选定争议评审员的期限：</w:t>
      </w:r>
      <w:r>
        <w:rPr>
          <w:rFonts w:hint="eastAsia" w:ascii="宋体" w:hAnsi="宋体" w:eastAsia="宋体" w:cs="宋体"/>
          <w:bCs/>
          <w:color w:val="auto"/>
          <w:sz w:val="21"/>
          <w:szCs w:val="21"/>
          <w:u w:val="single"/>
        </w:rPr>
        <w:t xml:space="preserve">     /   </w:t>
      </w:r>
      <w:r>
        <w:rPr>
          <w:rFonts w:hint="eastAsia" w:ascii="宋体" w:hAnsi="宋体" w:eastAsia="宋体" w:cs="宋体"/>
          <w:bCs/>
          <w:color w:val="auto"/>
          <w:sz w:val="21"/>
          <w:szCs w:val="21"/>
        </w:rPr>
        <w:t>。</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争议评审小组成员的报酬承担方式：</w:t>
      </w:r>
      <w:r>
        <w:rPr>
          <w:rFonts w:hint="eastAsia" w:ascii="宋体" w:hAnsi="宋体" w:eastAsia="宋体" w:cs="宋体"/>
          <w:bCs/>
          <w:color w:val="auto"/>
          <w:sz w:val="21"/>
          <w:szCs w:val="21"/>
          <w:u w:val="single"/>
        </w:rPr>
        <w:t xml:space="preserve">     /    </w:t>
      </w:r>
      <w:r>
        <w:rPr>
          <w:rFonts w:hint="eastAsia" w:ascii="宋体" w:hAnsi="宋体" w:eastAsia="宋体" w:cs="宋体"/>
          <w:bCs/>
          <w:color w:val="auto"/>
          <w:sz w:val="21"/>
          <w:szCs w:val="21"/>
        </w:rPr>
        <w:t>。</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其他事项的约定：</w:t>
      </w:r>
      <w:r>
        <w:rPr>
          <w:rFonts w:hint="eastAsia" w:ascii="宋体" w:hAnsi="宋体" w:eastAsia="宋体" w:cs="宋体"/>
          <w:bCs/>
          <w:color w:val="auto"/>
          <w:sz w:val="21"/>
          <w:szCs w:val="21"/>
          <w:u w:val="single"/>
        </w:rPr>
        <w:t xml:space="preserve">      /  </w:t>
      </w:r>
      <w:r>
        <w:rPr>
          <w:rFonts w:hint="eastAsia" w:ascii="宋体" w:hAnsi="宋体" w:eastAsia="宋体" w:cs="宋体"/>
          <w:bCs/>
          <w:color w:val="auto"/>
          <w:sz w:val="21"/>
          <w:szCs w:val="21"/>
        </w:rPr>
        <w:t>。</w:t>
      </w:r>
    </w:p>
    <w:p>
      <w:pPr>
        <w:autoSpaceDE w:val="0"/>
        <w:autoSpaceDN w:val="0"/>
        <w:adjustRightInd w:val="0"/>
        <w:snapToGrid w:val="0"/>
        <w:spacing w:line="336" w:lineRule="auto"/>
        <w:ind w:firstLine="420" w:firstLineChars="200"/>
        <w:jc w:val="left"/>
        <w:outlineLvl w:val="0"/>
        <w:rPr>
          <w:rFonts w:ascii="宋体" w:hAnsi="宋体" w:eastAsia="宋体" w:cs="宋体"/>
          <w:bCs/>
          <w:color w:val="auto"/>
          <w:kern w:val="0"/>
          <w:sz w:val="21"/>
          <w:szCs w:val="21"/>
        </w:rPr>
      </w:pPr>
      <w:r>
        <w:rPr>
          <w:rFonts w:hint="eastAsia" w:ascii="宋体" w:hAnsi="宋体" w:eastAsia="宋体" w:cs="宋体"/>
          <w:bCs/>
          <w:color w:val="auto"/>
          <w:kern w:val="0"/>
          <w:sz w:val="21"/>
          <w:szCs w:val="21"/>
        </w:rPr>
        <w:t>20.3.2 争议评审小组的决定</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合同当事人关于本项的约定：</w:t>
      </w:r>
      <w:r>
        <w:rPr>
          <w:rFonts w:hint="eastAsia" w:ascii="宋体" w:hAnsi="宋体" w:eastAsia="宋体" w:cs="宋体"/>
          <w:bCs/>
          <w:color w:val="auto"/>
          <w:sz w:val="21"/>
          <w:szCs w:val="21"/>
          <w:u w:val="single"/>
        </w:rPr>
        <w:t xml:space="preserve">  </w:t>
      </w:r>
      <w:r>
        <w:rPr>
          <w:rFonts w:hint="eastAsia" w:ascii="宋体" w:hAnsi="宋体" w:eastAsia="宋体" w:cs="宋体"/>
          <w:color w:val="auto"/>
          <w:sz w:val="21"/>
          <w:szCs w:val="21"/>
          <w:u w:val="single"/>
        </w:rPr>
        <w:t>按通用条款</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w:t>
      </w:r>
    </w:p>
    <w:p>
      <w:pPr>
        <w:adjustRightInd w:val="0"/>
        <w:snapToGrid w:val="0"/>
        <w:spacing w:line="336" w:lineRule="auto"/>
        <w:ind w:firstLine="420" w:firstLineChars="200"/>
        <w:outlineLvl w:val="0"/>
        <w:rPr>
          <w:rFonts w:ascii="宋体" w:hAnsi="宋体" w:eastAsia="宋体" w:cs="宋体"/>
          <w:bCs/>
          <w:color w:val="auto"/>
          <w:sz w:val="21"/>
          <w:szCs w:val="21"/>
        </w:rPr>
      </w:pPr>
      <w:r>
        <w:rPr>
          <w:rFonts w:hint="eastAsia" w:ascii="宋体" w:hAnsi="宋体" w:eastAsia="宋体" w:cs="宋体"/>
          <w:bCs/>
          <w:color w:val="auto"/>
          <w:sz w:val="21"/>
          <w:szCs w:val="21"/>
        </w:rPr>
        <w:t>20.4仲裁或诉讼</w:t>
      </w:r>
      <w:bookmarkEnd w:id="588"/>
    </w:p>
    <w:p>
      <w:pPr>
        <w:adjustRightInd w:val="0"/>
        <w:snapToGrid w:val="0"/>
        <w:spacing w:line="336"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因合同及合同有关事项发生的争议，按下列第</w:t>
      </w:r>
      <w:r>
        <w:rPr>
          <w:rFonts w:hint="eastAsia" w:ascii="宋体" w:hAnsi="宋体" w:eastAsia="宋体" w:cs="宋体"/>
          <w:bCs/>
          <w:color w:val="auto"/>
          <w:sz w:val="21"/>
          <w:szCs w:val="21"/>
          <w:u w:val="single"/>
        </w:rPr>
        <w:t xml:space="preserve">  （2） </w:t>
      </w:r>
      <w:r>
        <w:rPr>
          <w:rFonts w:hint="eastAsia" w:ascii="宋体" w:hAnsi="宋体" w:eastAsia="宋体" w:cs="宋体"/>
          <w:bCs/>
          <w:color w:val="auto"/>
          <w:sz w:val="21"/>
          <w:szCs w:val="21"/>
        </w:rPr>
        <w:t>种方式解决：</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（1）向</w:t>
      </w:r>
      <w:r>
        <w:rPr>
          <w:rFonts w:hint="eastAsia" w:ascii="宋体" w:hAnsi="宋体" w:eastAsia="宋体" w:cs="宋体"/>
          <w:bCs/>
          <w:color w:val="auto"/>
          <w:sz w:val="21"/>
          <w:szCs w:val="21"/>
          <w:u w:val="single"/>
        </w:rPr>
        <w:t xml:space="preserve">    /    </w:t>
      </w:r>
      <w:r>
        <w:rPr>
          <w:rFonts w:hint="eastAsia" w:ascii="宋体" w:hAnsi="宋体" w:eastAsia="宋体" w:cs="宋体"/>
          <w:bCs/>
          <w:color w:val="auto"/>
          <w:sz w:val="21"/>
          <w:szCs w:val="21"/>
        </w:rPr>
        <w:t>仲裁委员会申请仲裁；</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rPr>
        <w:t>（2）向</w:t>
      </w:r>
      <w:r>
        <w:rPr>
          <w:rFonts w:hint="eastAsia" w:ascii="宋体" w:hAnsi="宋体" w:eastAsia="宋体" w:cs="宋体"/>
          <w:bCs/>
          <w:color w:val="auto"/>
          <w:sz w:val="21"/>
          <w:szCs w:val="21"/>
          <w:u w:val="single"/>
        </w:rPr>
        <w:t>工程所在地</w:t>
      </w:r>
      <w:r>
        <w:rPr>
          <w:rFonts w:hint="eastAsia" w:ascii="宋体" w:hAnsi="宋体" w:eastAsia="宋体" w:cs="宋体"/>
          <w:bCs/>
          <w:color w:val="auto"/>
          <w:sz w:val="21"/>
          <w:szCs w:val="21"/>
        </w:rPr>
        <w:t>人民法院起诉。</w:t>
      </w:r>
      <w:bookmarkEnd w:id="589"/>
      <w:bookmarkEnd w:id="590"/>
      <w:bookmarkEnd w:id="591"/>
      <w:bookmarkEnd w:id="592"/>
      <w:bookmarkEnd w:id="593"/>
      <w:bookmarkEnd w:id="594"/>
    </w:p>
    <w:p>
      <w:pPr>
        <w:adjustRightInd w:val="0"/>
        <w:snapToGrid w:val="0"/>
        <w:spacing w:line="336" w:lineRule="auto"/>
        <w:rPr>
          <w:rFonts w:ascii="宋体" w:hAnsi="宋体" w:eastAsia="宋体" w:cs="宋体"/>
          <w:bCs/>
          <w:color w:val="auto"/>
          <w:sz w:val="21"/>
          <w:szCs w:val="21"/>
        </w:rPr>
      </w:pPr>
      <w:r>
        <w:rPr>
          <w:rFonts w:hint="eastAsia" w:ascii="宋体" w:hAnsi="宋体" w:eastAsia="宋体" w:cs="宋体"/>
          <w:bCs/>
          <w:color w:val="auto"/>
          <w:sz w:val="21"/>
          <w:szCs w:val="21"/>
        </w:rPr>
        <w:t>21.补充条款</w:t>
      </w:r>
    </w:p>
    <w:p>
      <w:pPr>
        <w:adjustRightInd w:val="0"/>
        <w:snapToGrid w:val="0"/>
        <w:spacing w:line="336" w:lineRule="auto"/>
        <w:ind w:firstLine="420" w:firstLineChars="200"/>
        <w:rPr>
          <w:rFonts w:ascii="宋体" w:hAnsi="宋体" w:eastAsia="宋体" w:cs="宋体"/>
          <w:bCs/>
          <w:color w:val="auto"/>
          <w:kern w:val="0"/>
          <w:sz w:val="21"/>
          <w:szCs w:val="21"/>
        </w:rPr>
      </w:pPr>
      <w:r>
        <w:rPr>
          <w:rFonts w:hint="eastAsia" w:ascii="宋体" w:hAnsi="宋体" w:eastAsia="宋体" w:cs="宋体"/>
          <w:bCs/>
          <w:color w:val="auto"/>
          <w:kern w:val="0"/>
          <w:sz w:val="21"/>
          <w:szCs w:val="21"/>
        </w:rPr>
        <w:t>21.1工程质量要求的其他约定</w:t>
      </w:r>
    </w:p>
    <w:p>
      <w:pPr>
        <w:adjustRightInd w:val="0"/>
        <w:snapToGrid w:val="0"/>
        <w:spacing w:line="336" w:lineRule="auto"/>
        <w:ind w:firstLine="420" w:firstLineChars="200"/>
        <w:rPr>
          <w:rFonts w:ascii="宋体" w:hAnsi="宋体" w:eastAsia="宋体" w:cs="宋体"/>
          <w:bCs/>
          <w:color w:val="auto"/>
          <w:sz w:val="21"/>
          <w:szCs w:val="21"/>
          <w:u w:val="single"/>
        </w:rPr>
      </w:pPr>
      <w:r>
        <w:rPr>
          <w:rFonts w:hint="eastAsia" w:ascii="宋体" w:hAnsi="宋体" w:eastAsia="宋体" w:cs="宋体"/>
          <w:bCs/>
          <w:color w:val="auto"/>
          <w:sz w:val="21"/>
          <w:szCs w:val="21"/>
        </w:rPr>
        <w:t>21.1.1</w:t>
      </w:r>
      <w:r>
        <w:rPr>
          <w:rFonts w:hint="eastAsia" w:ascii="宋体" w:hAnsi="宋体" w:eastAsia="宋体" w:cs="宋体"/>
          <w:bCs/>
          <w:color w:val="auto"/>
          <w:sz w:val="21"/>
          <w:szCs w:val="21"/>
          <w:u w:val="single"/>
        </w:rPr>
        <w:t>承包人必须严格按合同条款、施工图纸及设计说明文件、施工验收规范、国家和省市的有关质量验收标准，精心组织施工，确保工程质量达到国家合格验收标准。承包人应详细编制施工方案，详细叙述关键部位的质量保证措施，并在响应文件中对质量目标进行承诺。</w:t>
      </w:r>
    </w:p>
    <w:p>
      <w:pPr>
        <w:adjustRightInd w:val="0"/>
        <w:snapToGrid w:val="0"/>
        <w:spacing w:line="336" w:lineRule="auto"/>
        <w:ind w:firstLine="420" w:firstLineChars="200"/>
        <w:rPr>
          <w:rFonts w:ascii="宋体" w:hAnsi="宋体" w:eastAsia="宋体" w:cs="宋体"/>
          <w:bCs/>
          <w:color w:val="auto"/>
          <w:kern w:val="0"/>
          <w:sz w:val="21"/>
          <w:szCs w:val="21"/>
          <w:u w:val="single"/>
        </w:rPr>
      </w:pPr>
      <w:r>
        <w:rPr>
          <w:rFonts w:hint="eastAsia" w:ascii="宋体" w:hAnsi="宋体" w:eastAsia="宋体" w:cs="宋体"/>
          <w:bCs/>
          <w:color w:val="auto"/>
          <w:kern w:val="0"/>
          <w:sz w:val="21"/>
          <w:szCs w:val="21"/>
          <w:u w:val="single"/>
        </w:rPr>
        <w:t>工程经各方验收，质量未达到合同约定“合格”标准的，由承包人负责整改直至通过验收，承包人承担由此产生的所有费用及给发包人造成的损失，且工期不予顺延；工程经过承包人的全面整改后，经各方验收仍然未达到合同约定“合格”标准的，承包人必须按工程总造价的5%向发包人支付违约金，该违约金从工程款中扣除。若承包人不按发包人要求整改或整改后仍不合格的，发包人有权委托第三方进行整改，整改费用由承包人承担，在工程款中扣除。发包人委托第三方整改不能免除承包人根据合同约定应当承担的工程保维修责任。</w:t>
      </w:r>
    </w:p>
    <w:p>
      <w:pPr>
        <w:adjustRightInd w:val="0"/>
        <w:snapToGrid w:val="0"/>
        <w:spacing w:line="336" w:lineRule="auto"/>
        <w:ind w:firstLine="420" w:firstLineChars="200"/>
        <w:rPr>
          <w:rFonts w:ascii="宋体" w:hAnsi="宋体" w:eastAsia="宋体" w:cs="宋体"/>
          <w:bCs/>
          <w:color w:val="auto"/>
          <w:sz w:val="21"/>
          <w:szCs w:val="21"/>
          <w:u w:val="single"/>
        </w:rPr>
      </w:pPr>
      <w:r>
        <w:rPr>
          <w:rFonts w:hint="eastAsia" w:ascii="宋体" w:hAnsi="宋体" w:eastAsia="宋体" w:cs="宋体"/>
          <w:bCs/>
          <w:color w:val="auto"/>
          <w:sz w:val="21"/>
          <w:szCs w:val="21"/>
        </w:rPr>
        <w:t>21.1.2</w:t>
      </w:r>
      <w:r>
        <w:rPr>
          <w:rFonts w:hint="eastAsia" w:ascii="宋体" w:hAnsi="宋体" w:eastAsia="宋体" w:cs="宋体"/>
          <w:bCs/>
          <w:color w:val="auto"/>
          <w:sz w:val="21"/>
          <w:szCs w:val="21"/>
          <w:u w:val="single"/>
        </w:rPr>
        <w:t>因工程施工交叉进行，承包人应积极配合，并无条件服从发包人或监理工程师的合理安排。</w:t>
      </w:r>
    </w:p>
    <w:p>
      <w:pPr>
        <w:adjustRightInd w:val="0"/>
        <w:snapToGrid w:val="0"/>
        <w:spacing w:line="336" w:lineRule="auto"/>
        <w:ind w:firstLine="420" w:firstLineChars="200"/>
        <w:rPr>
          <w:rFonts w:ascii="宋体" w:hAnsi="宋体" w:eastAsia="宋体" w:cs="宋体"/>
          <w:bCs/>
          <w:color w:val="auto"/>
          <w:kern w:val="0"/>
          <w:sz w:val="21"/>
          <w:szCs w:val="21"/>
        </w:rPr>
      </w:pPr>
      <w:r>
        <w:rPr>
          <w:rFonts w:hint="eastAsia" w:ascii="宋体" w:hAnsi="宋体" w:eastAsia="宋体" w:cs="宋体"/>
          <w:bCs/>
          <w:color w:val="auto"/>
          <w:kern w:val="0"/>
          <w:sz w:val="21"/>
          <w:szCs w:val="21"/>
        </w:rPr>
        <w:t>21.2工期要求的其他约定</w:t>
      </w:r>
    </w:p>
    <w:p>
      <w:pPr>
        <w:adjustRightInd w:val="0"/>
        <w:snapToGrid w:val="0"/>
        <w:spacing w:line="336" w:lineRule="auto"/>
        <w:ind w:firstLine="420" w:firstLineChars="200"/>
        <w:rPr>
          <w:rFonts w:ascii="宋体" w:hAnsi="宋体" w:eastAsia="宋体" w:cs="宋体"/>
          <w:bCs/>
          <w:color w:val="auto"/>
          <w:kern w:val="0"/>
          <w:sz w:val="21"/>
          <w:szCs w:val="21"/>
          <w:u w:val="single"/>
        </w:rPr>
      </w:pPr>
      <w:r>
        <w:rPr>
          <w:rFonts w:hint="eastAsia" w:ascii="宋体" w:hAnsi="宋体" w:eastAsia="宋体" w:cs="宋体"/>
          <w:bCs/>
          <w:color w:val="auto"/>
          <w:kern w:val="0"/>
          <w:sz w:val="21"/>
          <w:szCs w:val="21"/>
          <w:u w:val="single"/>
        </w:rPr>
        <w:t>21.2.1承包人应详细踏勘、了解现场实际情况，在磋商中应充分考虑现场情况对施工工期的影响，该部分内容在施工工期中包干，成交后不予调整。</w:t>
      </w:r>
    </w:p>
    <w:p>
      <w:pPr>
        <w:adjustRightInd w:val="0"/>
        <w:snapToGrid w:val="0"/>
        <w:spacing w:line="336" w:lineRule="auto"/>
        <w:ind w:firstLine="420" w:firstLineChars="200"/>
        <w:rPr>
          <w:rFonts w:ascii="宋体" w:hAnsi="宋体" w:eastAsia="宋体" w:cs="宋体"/>
          <w:bCs/>
          <w:color w:val="auto"/>
          <w:kern w:val="0"/>
          <w:sz w:val="21"/>
          <w:szCs w:val="21"/>
          <w:u w:val="single"/>
        </w:rPr>
      </w:pPr>
      <w:r>
        <w:rPr>
          <w:rFonts w:hint="eastAsia" w:ascii="宋体" w:hAnsi="宋体" w:eastAsia="宋体" w:cs="宋体"/>
          <w:bCs/>
          <w:color w:val="auto"/>
          <w:kern w:val="0"/>
          <w:sz w:val="21"/>
          <w:szCs w:val="21"/>
          <w:u w:val="single"/>
        </w:rPr>
        <w:t>21.2.2合同工期为进场施工开始至竣工验收时止，承包人必须做好配合协调工作，因协调配合不当引起的工期等所有损失均由承包人承担。</w:t>
      </w:r>
    </w:p>
    <w:p>
      <w:pPr>
        <w:adjustRightInd w:val="0"/>
        <w:snapToGrid w:val="0"/>
        <w:spacing w:line="336" w:lineRule="auto"/>
        <w:ind w:firstLine="420" w:firstLineChars="200"/>
        <w:rPr>
          <w:rFonts w:ascii="宋体" w:hAnsi="宋体" w:eastAsia="宋体" w:cs="宋体"/>
          <w:bCs/>
          <w:color w:val="auto"/>
          <w:kern w:val="0"/>
          <w:sz w:val="21"/>
          <w:szCs w:val="21"/>
          <w:u w:val="single"/>
        </w:rPr>
      </w:pPr>
      <w:r>
        <w:rPr>
          <w:rFonts w:hint="eastAsia" w:ascii="宋体" w:hAnsi="宋体" w:eastAsia="宋体" w:cs="宋体"/>
          <w:bCs/>
          <w:color w:val="auto"/>
          <w:kern w:val="0"/>
          <w:sz w:val="21"/>
          <w:szCs w:val="21"/>
          <w:u w:val="single"/>
        </w:rPr>
        <w:t>21.2.3如承包人认为发生了可顺延工期情形的，承包人必须于工期延误情形发生后14天内向发包人提出顺延工期申请，经发包人签证后按发包人签证的工期顺延。承包人逾期未申请顺延工期的，工期不予以顺延。</w:t>
      </w:r>
    </w:p>
    <w:p>
      <w:pPr>
        <w:adjustRightInd w:val="0"/>
        <w:snapToGrid w:val="0"/>
        <w:spacing w:line="336" w:lineRule="auto"/>
        <w:ind w:firstLine="420" w:firstLineChars="200"/>
        <w:rPr>
          <w:rFonts w:ascii="宋体" w:hAnsi="宋体" w:eastAsia="宋体" w:cs="宋体"/>
          <w:bCs/>
          <w:color w:val="auto"/>
          <w:kern w:val="0"/>
          <w:sz w:val="21"/>
          <w:szCs w:val="21"/>
        </w:rPr>
      </w:pPr>
      <w:r>
        <w:rPr>
          <w:rFonts w:hint="eastAsia" w:ascii="宋体" w:hAnsi="宋体" w:eastAsia="宋体" w:cs="宋体"/>
          <w:bCs/>
          <w:color w:val="auto"/>
          <w:kern w:val="0"/>
          <w:sz w:val="21"/>
          <w:szCs w:val="21"/>
        </w:rPr>
        <w:t>21.3安全文明施工要求的其他约定</w:t>
      </w:r>
    </w:p>
    <w:p>
      <w:pPr>
        <w:adjustRightInd w:val="0"/>
        <w:snapToGrid w:val="0"/>
        <w:spacing w:line="336" w:lineRule="auto"/>
        <w:ind w:firstLine="420" w:firstLineChars="200"/>
        <w:rPr>
          <w:rFonts w:ascii="宋体" w:hAnsi="宋体" w:eastAsia="宋体" w:cs="宋体"/>
          <w:bCs/>
          <w:color w:val="auto"/>
          <w:kern w:val="0"/>
          <w:sz w:val="21"/>
          <w:szCs w:val="21"/>
          <w:u w:val="single"/>
        </w:rPr>
      </w:pPr>
      <w:r>
        <w:rPr>
          <w:rFonts w:hint="eastAsia" w:ascii="宋体" w:hAnsi="宋体" w:eastAsia="宋体" w:cs="宋体"/>
          <w:bCs/>
          <w:color w:val="auto"/>
          <w:kern w:val="0"/>
          <w:sz w:val="21"/>
          <w:szCs w:val="21"/>
          <w:u w:val="single"/>
        </w:rPr>
        <w:t xml:space="preserve">21.3.1承包人与发包人必须签定《安全生产责任协议书》和《文明施工责任协议书》（见附件），且必须按照浙江省及发包人安全生产、文明施工标准化工地要求，做好安全生产、文明施工。 </w:t>
      </w:r>
    </w:p>
    <w:p>
      <w:pPr>
        <w:adjustRightInd w:val="0"/>
        <w:snapToGrid w:val="0"/>
        <w:spacing w:line="336" w:lineRule="auto"/>
        <w:ind w:firstLine="420" w:firstLineChars="200"/>
        <w:rPr>
          <w:rFonts w:ascii="宋体" w:hAnsi="宋体" w:eastAsia="宋体" w:cs="宋体"/>
          <w:bCs/>
          <w:color w:val="auto"/>
          <w:kern w:val="0"/>
          <w:sz w:val="21"/>
          <w:szCs w:val="21"/>
          <w:u w:val="single"/>
        </w:rPr>
      </w:pPr>
      <w:r>
        <w:rPr>
          <w:rFonts w:hint="eastAsia" w:ascii="宋体" w:hAnsi="宋体" w:eastAsia="宋体" w:cs="宋体"/>
          <w:bCs/>
          <w:color w:val="auto"/>
          <w:kern w:val="0"/>
          <w:sz w:val="21"/>
          <w:szCs w:val="21"/>
          <w:u w:val="single"/>
        </w:rPr>
        <w:t>安全生产、文明施工相关费用在工程实施过程中必须足额投入，否则发包人有权拒绝支付该项费用。</w:t>
      </w:r>
    </w:p>
    <w:p>
      <w:pPr>
        <w:adjustRightInd w:val="0"/>
        <w:snapToGrid w:val="0"/>
        <w:spacing w:line="336" w:lineRule="auto"/>
        <w:ind w:firstLine="420" w:firstLineChars="200"/>
        <w:rPr>
          <w:rFonts w:ascii="宋体" w:hAnsi="宋体" w:eastAsia="宋体" w:cs="宋体"/>
          <w:bCs/>
          <w:color w:val="auto"/>
          <w:kern w:val="0"/>
          <w:sz w:val="21"/>
          <w:szCs w:val="21"/>
          <w:u w:val="single"/>
        </w:rPr>
      </w:pPr>
      <w:r>
        <w:rPr>
          <w:rFonts w:hint="eastAsia" w:ascii="宋体" w:hAnsi="宋体" w:eastAsia="宋体" w:cs="宋体"/>
          <w:bCs/>
          <w:color w:val="auto"/>
          <w:kern w:val="0"/>
          <w:sz w:val="21"/>
          <w:szCs w:val="21"/>
          <w:u w:val="single"/>
        </w:rPr>
        <w:t>安全生产、文明施工维护及宣传方案需征得发包人同意方可实施。</w:t>
      </w:r>
    </w:p>
    <w:p>
      <w:pPr>
        <w:adjustRightInd w:val="0"/>
        <w:snapToGrid w:val="0"/>
        <w:spacing w:line="336" w:lineRule="auto"/>
        <w:ind w:firstLine="420" w:firstLineChars="200"/>
        <w:rPr>
          <w:rFonts w:ascii="宋体" w:hAnsi="宋体" w:eastAsia="宋体" w:cs="宋体"/>
          <w:bCs/>
          <w:color w:val="auto"/>
          <w:kern w:val="0"/>
          <w:sz w:val="21"/>
          <w:szCs w:val="21"/>
        </w:rPr>
      </w:pPr>
      <w:r>
        <w:rPr>
          <w:rFonts w:hint="eastAsia" w:ascii="宋体" w:hAnsi="宋体" w:eastAsia="宋体" w:cs="宋体"/>
          <w:bCs/>
          <w:color w:val="auto"/>
          <w:kern w:val="0"/>
          <w:sz w:val="21"/>
          <w:szCs w:val="21"/>
        </w:rPr>
        <w:t>21.4人员到位要求的其他约定</w:t>
      </w:r>
    </w:p>
    <w:p>
      <w:pPr>
        <w:adjustRightInd w:val="0"/>
        <w:snapToGrid w:val="0"/>
        <w:spacing w:line="336" w:lineRule="auto"/>
        <w:ind w:firstLine="420" w:firstLineChars="200"/>
        <w:rPr>
          <w:rFonts w:ascii="宋体" w:hAnsi="宋体" w:eastAsia="宋体" w:cs="宋体"/>
          <w:bCs/>
          <w:color w:val="auto"/>
          <w:kern w:val="0"/>
          <w:sz w:val="21"/>
          <w:szCs w:val="21"/>
          <w:u w:val="single"/>
        </w:rPr>
      </w:pPr>
      <w:r>
        <w:rPr>
          <w:rFonts w:hint="eastAsia" w:ascii="宋体" w:hAnsi="宋体" w:eastAsia="宋体" w:cs="宋体"/>
          <w:bCs/>
          <w:color w:val="auto"/>
          <w:kern w:val="0"/>
          <w:sz w:val="21"/>
          <w:szCs w:val="21"/>
          <w:u w:val="single"/>
        </w:rPr>
        <w:t>21.4.1承包人在响应文件中承诺的管理人员（项目经理、技术负责人、施工员、安全员、质检员、材料员）配备数量应满足本工程管理的需要和相应规范、文件要求。</w:t>
      </w:r>
    </w:p>
    <w:p>
      <w:pPr>
        <w:adjustRightInd w:val="0"/>
        <w:snapToGrid w:val="0"/>
        <w:spacing w:line="336" w:lineRule="auto"/>
        <w:ind w:firstLine="420" w:firstLineChars="200"/>
        <w:rPr>
          <w:rFonts w:ascii="宋体" w:hAnsi="宋体" w:eastAsia="宋体" w:cs="宋体"/>
          <w:bCs/>
          <w:color w:val="auto"/>
          <w:kern w:val="0"/>
          <w:sz w:val="21"/>
          <w:szCs w:val="21"/>
          <w:u w:val="single"/>
        </w:rPr>
      </w:pPr>
      <w:r>
        <w:rPr>
          <w:rFonts w:hint="eastAsia" w:ascii="宋体" w:hAnsi="宋体" w:eastAsia="宋体" w:cs="宋体"/>
          <w:bCs/>
          <w:color w:val="auto"/>
          <w:kern w:val="0"/>
          <w:sz w:val="21"/>
          <w:szCs w:val="21"/>
          <w:u w:val="single"/>
        </w:rPr>
        <w:t>本项目采用指纹考勤，在响应文件中需对管理人员的出勤率作出承诺。若项目经理、技术负责人出勤率不足磋商响应承诺，处罚1000元人民币/天；施工员、安全员、质检员、材料员出勤率不足磋商响应承诺，处罚500元人民币/天/人（出勤率按照为每月25天，每日工作时间8小时考勤）。重要施工工序或环节时项目经理、技术负责人等必须到场，否则处罚5000元人民币/每次。</w:t>
      </w:r>
    </w:p>
    <w:p>
      <w:pPr>
        <w:adjustRightInd w:val="0"/>
        <w:snapToGrid w:val="0"/>
        <w:spacing w:line="336" w:lineRule="auto"/>
        <w:ind w:firstLine="420" w:firstLineChars="200"/>
        <w:rPr>
          <w:rFonts w:ascii="宋体" w:hAnsi="宋体" w:eastAsia="宋体" w:cs="宋体"/>
          <w:bCs/>
          <w:color w:val="auto"/>
          <w:kern w:val="0"/>
          <w:sz w:val="21"/>
          <w:szCs w:val="21"/>
        </w:rPr>
      </w:pPr>
      <w:r>
        <w:rPr>
          <w:rFonts w:hint="eastAsia" w:ascii="宋体" w:hAnsi="宋体" w:eastAsia="宋体" w:cs="宋体"/>
          <w:bCs/>
          <w:color w:val="auto"/>
          <w:kern w:val="0"/>
          <w:sz w:val="21"/>
          <w:szCs w:val="21"/>
        </w:rPr>
        <w:t>21.5合同价款的其他约定</w:t>
      </w:r>
    </w:p>
    <w:p>
      <w:pPr>
        <w:adjustRightInd w:val="0"/>
        <w:snapToGrid w:val="0"/>
        <w:spacing w:line="336" w:lineRule="auto"/>
        <w:ind w:firstLine="420" w:firstLineChars="200"/>
        <w:rPr>
          <w:rFonts w:ascii="宋体" w:hAnsi="宋体" w:eastAsia="宋体" w:cs="宋体"/>
          <w:bCs/>
          <w:color w:val="auto"/>
          <w:kern w:val="0"/>
          <w:sz w:val="21"/>
          <w:szCs w:val="21"/>
          <w:u w:val="single"/>
        </w:rPr>
      </w:pPr>
      <w:r>
        <w:rPr>
          <w:rFonts w:hint="eastAsia" w:ascii="宋体" w:hAnsi="宋体" w:eastAsia="宋体" w:cs="宋体"/>
          <w:bCs/>
          <w:color w:val="auto"/>
          <w:kern w:val="0"/>
          <w:sz w:val="21"/>
          <w:szCs w:val="21"/>
          <w:u w:val="single"/>
        </w:rPr>
        <w:t>21.5.1在工程通过竣工验收前，对已完成工程成品的保护工作由承包人负责，费用在磋商响应报价中包干。</w:t>
      </w:r>
    </w:p>
    <w:p>
      <w:pPr>
        <w:adjustRightInd w:val="0"/>
        <w:snapToGrid w:val="0"/>
        <w:spacing w:line="336" w:lineRule="auto"/>
        <w:ind w:firstLine="420" w:firstLineChars="200"/>
        <w:rPr>
          <w:rFonts w:ascii="宋体" w:hAnsi="宋体" w:eastAsia="宋体" w:cs="宋体"/>
          <w:bCs/>
          <w:color w:val="auto"/>
          <w:kern w:val="0"/>
          <w:sz w:val="21"/>
          <w:szCs w:val="21"/>
          <w:u w:val="single"/>
        </w:rPr>
      </w:pPr>
      <w:r>
        <w:rPr>
          <w:rFonts w:hint="eastAsia" w:ascii="宋体" w:hAnsi="宋体" w:eastAsia="宋体" w:cs="宋体"/>
          <w:bCs/>
          <w:color w:val="auto"/>
          <w:kern w:val="0"/>
          <w:sz w:val="21"/>
          <w:szCs w:val="21"/>
          <w:u w:val="single"/>
        </w:rPr>
        <w:t>21.5.2本工程工期较紧，相应赶工措施费用包含在磋商响应报价中。</w:t>
      </w:r>
    </w:p>
    <w:p>
      <w:pPr>
        <w:adjustRightInd w:val="0"/>
        <w:snapToGrid w:val="0"/>
        <w:spacing w:line="336" w:lineRule="auto"/>
        <w:ind w:firstLine="420" w:firstLineChars="200"/>
        <w:rPr>
          <w:rFonts w:ascii="宋体" w:hAnsi="宋体" w:eastAsia="宋体" w:cs="宋体"/>
          <w:bCs/>
          <w:color w:val="auto"/>
          <w:kern w:val="0"/>
          <w:sz w:val="21"/>
          <w:szCs w:val="21"/>
          <w:u w:val="single"/>
        </w:rPr>
      </w:pPr>
      <w:r>
        <w:rPr>
          <w:rFonts w:hint="eastAsia" w:ascii="宋体" w:hAnsi="宋体" w:eastAsia="宋体" w:cs="宋体"/>
          <w:bCs/>
          <w:color w:val="auto"/>
          <w:kern w:val="0"/>
          <w:sz w:val="21"/>
          <w:szCs w:val="21"/>
          <w:u w:val="single"/>
        </w:rPr>
        <w:t>21.5.3承包人应做好安全防护措施。如因承包人安全防护措施不当造成的人员伤害，由承包人承担全部责任。上述费用包含在报价中，成交后不予调整。</w:t>
      </w:r>
    </w:p>
    <w:p>
      <w:pPr>
        <w:adjustRightInd w:val="0"/>
        <w:snapToGrid w:val="0"/>
        <w:spacing w:line="336" w:lineRule="auto"/>
        <w:ind w:firstLine="420" w:firstLineChars="200"/>
        <w:rPr>
          <w:rFonts w:ascii="宋体" w:hAnsi="宋体" w:eastAsia="宋体" w:cs="宋体"/>
          <w:bCs/>
          <w:color w:val="auto"/>
          <w:kern w:val="0"/>
          <w:sz w:val="21"/>
          <w:szCs w:val="21"/>
          <w:u w:val="single"/>
        </w:rPr>
      </w:pPr>
      <w:r>
        <w:rPr>
          <w:rFonts w:hint="eastAsia" w:ascii="宋体" w:hAnsi="宋体" w:eastAsia="宋体" w:cs="宋体"/>
          <w:bCs/>
          <w:color w:val="auto"/>
          <w:kern w:val="0"/>
          <w:sz w:val="21"/>
          <w:szCs w:val="21"/>
          <w:u w:val="single"/>
        </w:rPr>
        <w:t>承包人所报的费用中必须包含危险作业意外伤害保险费用，否则视同承包人优惠。</w:t>
      </w:r>
    </w:p>
    <w:p>
      <w:pPr>
        <w:adjustRightInd w:val="0"/>
        <w:snapToGrid w:val="0"/>
        <w:spacing w:line="336" w:lineRule="auto"/>
        <w:ind w:firstLine="420" w:firstLineChars="200"/>
        <w:rPr>
          <w:rFonts w:ascii="宋体" w:hAnsi="宋体" w:eastAsia="宋体" w:cs="宋体"/>
          <w:bCs/>
          <w:color w:val="auto"/>
          <w:kern w:val="0"/>
          <w:sz w:val="21"/>
          <w:szCs w:val="21"/>
          <w:u w:val="single"/>
        </w:rPr>
      </w:pPr>
      <w:r>
        <w:rPr>
          <w:rFonts w:hint="eastAsia" w:ascii="宋体" w:hAnsi="宋体" w:eastAsia="宋体" w:cs="宋体"/>
          <w:bCs/>
          <w:color w:val="auto"/>
          <w:kern w:val="0"/>
          <w:sz w:val="21"/>
          <w:szCs w:val="21"/>
          <w:u w:val="single"/>
        </w:rPr>
        <w:t>21.5.4施工组织措施费和技术措施费在成交以后，在合同施工范围内，无论现场施工条件如何变化、设计如何变更、也无论工程量增减的幅度如何，均不再调整；</w:t>
      </w:r>
    </w:p>
    <w:p>
      <w:pPr>
        <w:adjustRightInd w:val="0"/>
        <w:snapToGrid w:val="0"/>
        <w:spacing w:line="336" w:lineRule="auto"/>
        <w:ind w:firstLine="420" w:firstLineChars="200"/>
        <w:rPr>
          <w:rFonts w:ascii="宋体" w:hAnsi="宋体" w:eastAsia="宋体" w:cs="宋体"/>
          <w:bCs/>
          <w:color w:val="auto"/>
          <w:kern w:val="0"/>
          <w:sz w:val="21"/>
          <w:szCs w:val="21"/>
          <w:u w:val="single"/>
        </w:rPr>
      </w:pPr>
      <w:r>
        <w:rPr>
          <w:rFonts w:hint="eastAsia" w:ascii="宋体" w:hAnsi="宋体" w:eastAsia="宋体" w:cs="宋体"/>
          <w:bCs/>
          <w:color w:val="auto"/>
          <w:kern w:val="0"/>
          <w:sz w:val="21"/>
          <w:szCs w:val="21"/>
          <w:u w:val="single"/>
        </w:rPr>
        <w:t>21.5.5磋商响应报价必须与施工组织设计相一致，对施工组织设计的内容未在磋商响应报价中体现的均视同承包人优惠。施工期间由于承包人原因造成施工方案的更改，所增加的工程费用及工期一概不予调整，属施工技术组织措施失误造成的费用及延误工期均由承包人承担。</w:t>
      </w:r>
    </w:p>
    <w:p>
      <w:pPr>
        <w:adjustRightInd w:val="0"/>
        <w:snapToGrid w:val="0"/>
        <w:spacing w:line="336" w:lineRule="auto"/>
        <w:ind w:firstLine="420" w:firstLineChars="200"/>
        <w:rPr>
          <w:rFonts w:ascii="宋体" w:hAnsi="宋体" w:eastAsia="宋体" w:cs="宋体"/>
          <w:bCs/>
          <w:color w:val="auto"/>
          <w:kern w:val="0"/>
          <w:sz w:val="21"/>
          <w:szCs w:val="21"/>
        </w:rPr>
      </w:pPr>
      <w:r>
        <w:rPr>
          <w:rFonts w:hint="eastAsia" w:ascii="宋体" w:hAnsi="宋体" w:eastAsia="宋体" w:cs="宋体"/>
          <w:bCs/>
          <w:color w:val="auto"/>
          <w:kern w:val="0"/>
          <w:sz w:val="21"/>
          <w:szCs w:val="21"/>
        </w:rPr>
        <w:t>21.6其他方面的约定</w:t>
      </w:r>
    </w:p>
    <w:p>
      <w:pPr>
        <w:adjustRightInd w:val="0"/>
        <w:snapToGrid w:val="0"/>
        <w:spacing w:line="336" w:lineRule="auto"/>
        <w:ind w:firstLine="420" w:firstLineChars="200"/>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21.6.1承包人的响应文件必须完全响应磋商文件的要求，磋商响应文件中一切有悖于磋商文件的条款均视作无效条款；承包人在响应文件中单方面设置限制发包人的条款和内容均将被视作无效内容，并且出现上述现象时，承包人应自行承担被否决风险。响应文件中所有在磋商文件约定内容之外的与费用、进度、质量、索赔等有关的制约性内容在承包人成交后，经发包人作出书面确认之前，均视作无效。</w:t>
      </w:r>
    </w:p>
    <w:p>
      <w:pPr>
        <w:adjustRightInd w:val="0"/>
        <w:snapToGrid w:val="0"/>
        <w:spacing w:line="336" w:lineRule="auto"/>
        <w:ind w:firstLine="420" w:firstLineChars="200"/>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21.6.2如承包人在磋商响应时选择的备选材料设备品牌不在发包人推荐范围内，其材料设备进场前必须报发包人、监理审核，经审核如存在材料不满足发包人要求的，则发包人有权在发包人推荐的范围内任意选择或社会上相关产品进行指定，且价格不予调整。</w:t>
      </w:r>
    </w:p>
    <w:p>
      <w:pPr>
        <w:adjustRightInd w:val="0"/>
        <w:snapToGrid w:val="0"/>
        <w:spacing w:line="336" w:lineRule="auto"/>
        <w:ind w:firstLine="411" w:firstLineChars="196"/>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21.6.3承包人应充分响应台州市委、市政府及当地政府关于工程运输车安全整治有关问题的相关意见，落实好工程安全运输责任制。</w:t>
      </w:r>
    </w:p>
    <w:p>
      <w:pPr>
        <w:adjustRightInd w:val="0"/>
        <w:snapToGrid w:val="0"/>
        <w:spacing w:line="336" w:lineRule="auto"/>
        <w:ind w:firstLine="411" w:firstLineChars="196"/>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21.6.4对于工程车出现过重大交通事故的施工单位，发包人保留处罚以及拒绝其在本单位组织的其他工程中投标的权利。</w:t>
      </w:r>
    </w:p>
    <w:p>
      <w:pPr>
        <w:adjustRightInd w:val="0"/>
        <w:snapToGrid w:val="0"/>
        <w:spacing w:line="336" w:lineRule="auto"/>
        <w:ind w:firstLine="411" w:firstLineChars="196"/>
        <w:rPr>
          <w:rFonts w:ascii="宋体" w:hAnsi="宋体" w:eastAsia="宋体" w:cs="宋体"/>
          <w:bCs/>
          <w:color w:val="auto"/>
          <w:kern w:val="0"/>
          <w:sz w:val="21"/>
          <w:szCs w:val="21"/>
          <w:u w:val="single"/>
        </w:rPr>
      </w:pPr>
      <w:r>
        <w:rPr>
          <w:rFonts w:hint="eastAsia" w:ascii="宋体" w:hAnsi="宋体" w:eastAsia="宋体" w:cs="宋体"/>
          <w:bCs/>
          <w:color w:val="auto"/>
          <w:sz w:val="21"/>
          <w:szCs w:val="21"/>
          <w:u w:val="single"/>
        </w:rPr>
        <w:t>21.6.5</w:t>
      </w:r>
      <w:r>
        <w:rPr>
          <w:rFonts w:hint="eastAsia" w:ascii="宋体" w:hAnsi="宋体" w:eastAsia="宋体" w:cs="宋体"/>
          <w:bCs/>
          <w:color w:val="auto"/>
          <w:kern w:val="0"/>
          <w:sz w:val="21"/>
          <w:szCs w:val="21"/>
          <w:u w:val="single"/>
        </w:rPr>
        <w:t>当承包人未按合同约定履行义务，造成质量低下、进度迟缓、管理混乱或将成交项目转让（转包给他人），发包方有权解除合同，没收履约担保，如给发包人造成的损失超过保证金数额的还应当对超过部份予以赔偿，并依法承担相应的法律责任；</w:t>
      </w:r>
    </w:p>
    <w:p>
      <w:pPr>
        <w:adjustRightInd w:val="0"/>
        <w:snapToGrid w:val="0"/>
        <w:spacing w:line="336" w:lineRule="auto"/>
        <w:ind w:firstLine="411" w:firstLineChars="196"/>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21.6.6</w:t>
      </w:r>
      <w:r>
        <w:rPr>
          <w:rFonts w:hint="eastAsia" w:ascii="宋体" w:hAnsi="宋体" w:eastAsia="宋体" w:cs="宋体"/>
          <w:bCs/>
          <w:color w:val="auto"/>
          <w:kern w:val="0"/>
          <w:sz w:val="21"/>
          <w:szCs w:val="21"/>
          <w:u w:val="single"/>
        </w:rPr>
        <w:t>承包人应确保民工工资的及时支付，如不及时支付，视作违约，承包人应按合同价款的1%向发包人支付违约金且由此造成的后果与损失应由承包人承担，同时，发包人有权在工程款中扣除相应费用代为支付民工工资。</w:t>
      </w:r>
    </w:p>
    <w:p>
      <w:pPr>
        <w:adjustRightInd w:val="0"/>
        <w:snapToGrid w:val="0"/>
        <w:spacing w:line="336" w:lineRule="auto"/>
        <w:ind w:firstLine="420" w:firstLineChars="200"/>
        <w:rPr>
          <w:rFonts w:ascii="宋体" w:hAnsi="宋体" w:eastAsia="宋体" w:cs="宋体"/>
          <w:bCs/>
          <w:color w:val="auto"/>
          <w:kern w:val="0"/>
          <w:sz w:val="21"/>
          <w:szCs w:val="21"/>
          <w:u w:val="single"/>
        </w:rPr>
      </w:pPr>
      <w:r>
        <w:rPr>
          <w:rFonts w:hint="eastAsia" w:ascii="宋体" w:hAnsi="宋体" w:eastAsia="宋体" w:cs="宋体"/>
          <w:bCs/>
          <w:color w:val="auto"/>
          <w:kern w:val="0"/>
          <w:sz w:val="21"/>
          <w:szCs w:val="21"/>
          <w:u w:val="single"/>
        </w:rPr>
        <w:t>21.6.7承包人需加强维修服务意识，信守维修服务承诺书中的各项承诺，维修服务承诺书作为合同附件。</w:t>
      </w:r>
    </w:p>
    <w:p>
      <w:pPr>
        <w:adjustRightInd w:val="0"/>
        <w:snapToGrid w:val="0"/>
        <w:spacing w:line="336" w:lineRule="auto"/>
        <w:ind w:firstLine="420" w:firstLineChars="200"/>
        <w:rPr>
          <w:rFonts w:ascii="宋体" w:hAnsi="宋体" w:eastAsia="宋体" w:cs="宋体"/>
          <w:bCs/>
          <w:color w:val="auto"/>
          <w:kern w:val="0"/>
          <w:sz w:val="21"/>
          <w:szCs w:val="21"/>
          <w:u w:val="single"/>
        </w:rPr>
      </w:pPr>
      <w:r>
        <w:rPr>
          <w:rFonts w:hint="eastAsia" w:ascii="宋体" w:hAnsi="宋体" w:eastAsia="宋体" w:cs="宋体"/>
          <w:bCs/>
          <w:color w:val="auto"/>
          <w:kern w:val="0"/>
          <w:sz w:val="21"/>
          <w:szCs w:val="21"/>
          <w:u w:val="single"/>
        </w:rPr>
        <w:t>21.6.8工程实施期间，承包人必须确保本工程项目进度款专款专用，发包人（或发包人委托的中介机构）随时有权到承包人处核查工程进度款使用情况，承包人须全力配合不得以任何理由拒绝。</w:t>
      </w:r>
    </w:p>
    <w:p>
      <w:pPr>
        <w:adjustRightInd w:val="0"/>
        <w:snapToGrid w:val="0"/>
        <w:spacing w:line="336" w:lineRule="auto"/>
        <w:ind w:firstLine="411" w:firstLineChars="196"/>
        <w:rPr>
          <w:rFonts w:ascii="宋体" w:hAnsi="宋体" w:eastAsia="宋体" w:cs="宋体"/>
          <w:bCs/>
          <w:color w:val="auto"/>
          <w:kern w:val="0"/>
          <w:sz w:val="21"/>
          <w:szCs w:val="21"/>
          <w:u w:val="single"/>
        </w:rPr>
      </w:pPr>
      <w:r>
        <w:rPr>
          <w:rFonts w:hint="eastAsia" w:ascii="宋体" w:hAnsi="宋体" w:eastAsia="宋体" w:cs="宋体"/>
          <w:bCs/>
          <w:color w:val="auto"/>
          <w:kern w:val="0"/>
          <w:sz w:val="21"/>
          <w:szCs w:val="21"/>
          <w:u w:val="single"/>
        </w:rPr>
        <w:t>21.6.9承包人应提供所有分部分项工程量清单和技术措施清单项目的综合单价分析表和工料机分析表（工料机分析表由承包人在收到成交通知书两天内提供（须与电子文本完全一致），但电子文本需与响应文件同时提交）。</w:t>
      </w:r>
    </w:p>
    <w:p>
      <w:pPr>
        <w:adjustRightInd w:val="0"/>
        <w:snapToGrid w:val="0"/>
        <w:spacing w:line="336" w:lineRule="auto"/>
        <w:ind w:firstLine="420" w:firstLineChars="200"/>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21.6.10承包人应在响应文件中列出所有承包人认为需提供的工日、材料（设备）、机械台班价格，若承包人未列出，在施工期间可由发包人根据招响应文件及其它的合同文件确定价格。</w:t>
      </w:r>
    </w:p>
    <w:p>
      <w:pPr>
        <w:adjustRightInd w:val="0"/>
        <w:snapToGrid w:val="0"/>
        <w:spacing w:line="336" w:lineRule="auto"/>
        <w:ind w:firstLine="420" w:firstLineChars="200"/>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21.6.11承包人应在响应文件中列出所有承包人认为需列出的材料（设备）的规格、型号、品牌、档次等，若承包人未列出，在施工期间发包人可根据工程需要提出要求，承包人必须按照发包人的要求提供材料（设备）。</w:t>
      </w:r>
    </w:p>
    <w:p>
      <w:pPr>
        <w:adjustRightInd w:val="0"/>
        <w:snapToGrid w:val="0"/>
        <w:spacing w:line="336" w:lineRule="auto"/>
        <w:ind w:firstLine="420" w:firstLineChars="200"/>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21.6.12如果承包人提供的工日、材料（设备）、机械台班价格及综合单价分析表和工料机分析表与综合单价有矛盾，结算时应以综合单价为准。</w:t>
      </w:r>
    </w:p>
    <w:p>
      <w:pPr>
        <w:adjustRightInd w:val="0"/>
        <w:snapToGrid w:val="0"/>
        <w:spacing w:line="336" w:lineRule="auto"/>
        <w:ind w:firstLine="411" w:firstLineChars="196"/>
        <w:rPr>
          <w:rFonts w:ascii="宋体" w:hAnsi="宋体" w:eastAsia="宋体" w:cs="宋体"/>
          <w:bCs/>
          <w:color w:val="auto"/>
          <w:kern w:val="0"/>
          <w:sz w:val="21"/>
          <w:szCs w:val="21"/>
          <w:u w:val="single"/>
        </w:rPr>
      </w:pPr>
      <w:r>
        <w:rPr>
          <w:rFonts w:hint="eastAsia" w:ascii="宋体" w:hAnsi="宋体" w:eastAsia="宋体" w:cs="宋体"/>
          <w:bCs/>
          <w:color w:val="auto"/>
          <w:kern w:val="0"/>
          <w:sz w:val="21"/>
          <w:szCs w:val="21"/>
          <w:u w:val="single"/>
        </w:rPr>
        <w:t>21.6.13承包人应服从发包人的协调组织安排，不得因交叉交错施工影响本工程总体进度。</w:t>
      </w:r>
    </w:p>
    <w:p>
      <w:pPr>
        <w:tabs>
          <w:tab w:val="left" w:pos="8080"/>
        </w:tabs>
        <w:adjustRightInd w:val="0"/>
        <w:snapToGrid w:val="0"/>
        <w:spacing w:line="336" w:lineRule="auto"/>
        <w:ind w:firstLine="420" w:firstLineChars="200"/>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21.6.14本工程在实施过程中，如承包人的施工队伍素质、力量、现场管理班子、施工设备、不能很好满足实际施工的需要，现场文明安全施工不符合磋商响应文件的承诺，造成现场管理混乱、工程质量和进度达不到磋商响应所承诺的要求时，发包人有权要求其调整充实施工力量，承包人必须接受，如措施不力，将视作承包人违约处理直至终止合同,并按本合同的约定追究违约责任。</w:t>
      </w:r>
    </w:p>
    <w:p>
      <w:pPr>
        <w:adjustRightInd w:val="0"/>
        <w:snapToGrid w:val="0"/>
        <w:spacing w:line="336" w:lineRule="auto"/>
        <w:ind w:firstLine="420" w:firstLineChars="200"/>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21.6.15中介机构（审计部门）对承包人提交的竣工结算报告进行审核（计）时，承包人必须根据发包人及中介机构（审计部门）的要求履行配合义务，因承包人不配合中介机构（审计部门），导致中介机构（审计部门）无法及时完成造价审核（审计）的，责任由承包人承担，承包人不得以此要求发包人承担逾期付款违约责任。</w:t>
      </w:r>
    </w:p>
    <w:p>
      <w:pPr>
        <w:adjustRightInd w:val="0"/>
        <w:snapToGrid w:val="0"/>
        <w:spacing w:line="336" w:lineRule="auto"/>
        <w:ind w:firstLine="420" w:firstLineChars="200"/>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21.6.16本合同所涉及的所有处罚违约金将以现金形式缴纳，月罚月交，如未按时递交违约金，本月工程款暂停支付。</w:t>
      </w:r>
    </w:p>
    <w:p>
      <w:pPr>
        <w:adjustRightInd w:val="0"/>
        <w:snapToGrid w:val="0"/>
        <w:spacing w:line="336" w:lineRule="auto"/>
        <w:ind w:firstLine="420" w:firstLineChars="200"/>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21.6.17本项目涉及到的检测、监测、质检费用由承包人在磋商响应报价中综合考虑。</w:t>
      </w:r>
    </w:p>
    <w:p>
      <w:pPr>
        <w:adjustRightInd w:val="0"/>
        <w:snapToGrid w:val="0"/>
        <w:spacing w:line="336" w:lineRule="auto"/>
        <w:ind w:firstLine="420" w:firstLineChars="200"/>
        <w:jc w:val="left"/>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21.6.18合同双方确认，本合同及本合同约定的其它文件组成部分中的各项约定都是通过法定采购过程形成的合法成果，不存在与磋商文件和承包人响应文件实质性内容不一致的条款。如果存在任何此类不一致的条款，也不是合同双方真实意思的表示，对合同双方不构成任何合同或法律约束力。合同双方也不存在且也不会签订任何背离本合同实质性内容的其他协议或合同。如果存在或签订背离本合同实质性内容的其他协议或合同，也不是合同双方真实意思的表示，对合同双方不构成任何合同或法律约束力。合同履行过程中，经双方协商一致变更、补充本合同内容的，不受本条款限制，补充合同或工程联系单等内容与本合同内容不一致的，以补充合同内容为准。</w:t>
      </w:r>
    </w:p>
    <w:p>
      <w:pPr>
        <w:adjustRightInd w:val="0"/>
        <w:snapToGrid w:val="0"/>
        <w:spacing w:line="336" w:lineRule="auto"/>
        <w:ind w:firstLine="420" w:firstLineChars="200"/>
        <w:jc w:val="left"/>
        <w:rPr>
          <w:rFonts w:ascii="宋体" w:hAnsi="宋体" w:eastAsia="宋体" w:cs="宋体"/>
          <w:bCs/>
          <w:color w:val="auto"/>
          <w:sz w:val="21"/>
          <w:szCs w:val="21"/>
        </w:rPr>
      </w:pPr>
      <w:r>
        <w:rPr>
          <w:rFonts w:hint="eastAsia" w:ascii="宋体" w:hAnsi="宋体" w:eastAsia="宋体" w:cs="宋体"/>
          <w:bCs/>
          <w:color w:val="auto"/>
          <w:sz w:val="21"/>
          <w:szCs w:val="21"/>
          <w:u w:val="single"/>
        </w:rPr>
        <w:t>21.6.19如遇国家政府法规调整税费，按规定调整当月工程价款相关费用（含进度款）。</w:t>
      </w:r>
    </w:p>
    <w:p>
      <w:pPr>
        <w:adjustRightInd w:val="0"/>
        <w:snapToGrid w:val="0"/>
        <w:spacing w:line="360" w:lineRule="auto"/>
        <w:jc w:val="left"/>
        <w:rPr>
          <w:rFonts w:ascii="宋体" w:hAnsi="宋体" w:eastAsia="宋体" w:cs="宋体"/>
          <w:bCs/>
          <w:color w:val="auto"/>
          <w:sz w:val="21"/>
          <w:szCs w:val="21"/>
        </w:rPr>
      </w:pPr>
    </w:p>
    <w:p>
      <w:pPr>
        <w:adjustRightInd w:val="0"/>
        <w:snapToGrid w:val="0"/>
        <w:spacing w:line="360" w:lineRule="auto"/>
        <w:jc w:val="left"/>
        <w:rPr>
          <w:rFonts w:ascii="宋体" w:hAnsi="宋体" w:cs="宋体"/>
          <w:bCs/>
          <w:color w:val="auto"/>
          <w:szCs w:val="21"/>
        </w:rPr>
        <w:sectPr>
          <w:footerReference r:id="rId6" w:type="first"/>
          <w:pgSz w:w="11906" w:h="16838"/>
          <w:pgMar w:top="1418" w:right="1555" w:bottom="1418" w:left="1531" w:header="851" w:footer="992" w:gutter="0"/>
          <w:cols w:space="720" w:num="1"/>
          <w:titlePg/>
          <w:docGrid w:type="lines" w:linePitch="312" w:charSpace="0"/>
        </w:sectPr>
      </w:pPr>
    </w:p>
    <w:p>
      <w:pPr>
        <w:spacing w:before="120" w:beforeLines="50" w:after="120" w:afterLines="50" w:line="440" w:lineRule="exact"/>
        <w:jc w:val="left"/>
        <w:rPr>
          <w:rFonts w:ascii="宋体" w:hAnsi="宋体" w:eastAsia="宋体" w:cs="宋体"/>
          <w:bCs/>
          <w:color w:val="auto"/>
          <w:sz w:val="21"/>
          <w:szCs w:val="21"/>
        </w:rPr>
      </w:pPr>
      <w:r>
        <w:rPr>
          <w:rFonts w:hint="eastAsia" w:ascii="宋体" w:hAnsi="宋体" w:eastAsia="宋体" w:cs="宋体"/>
          <w:bCs/>
          <w:color w:val="auto"/>
          <w:kern w:val="0"/>
          <w:sz w:val="21"/>
          <w:szCs w:val="21"/>
          <w:lang w:val="zh-CN"/>
        </w:rPr>
        <w:t>附件一：</w:t>
      </w:r>
    </w:p>
    <w:p>
      <w:pPr>
        <w:spacing w:before="120" w:beforeLines="50" w:after="120" w:afterLines="50" w:line="440" w:lineRule="exact"/>
        <w:jc w:val="center"/>
        <w:rPr>
          <w:rFonts w:ascii="宋体" w:hAnsi="宋体" w:eastAsia="宋体" w:cs="宋体"/>
          <w:bCs/>
          <w:color w:val="auto"/>
          <w:sz w:val="30"/>
          <w:szCs w:val="30"/>
        </w:rPr>
      </w:pPr>
      <w:r>
        <w:rPr>
          <w:rFonts w:hint="eastAsia" w:ascii="宋体" w:hAnsi="宋体" w:eastAsia="宋体" w:cs="宋体"/>
          <w:bCs/>
          <w:color w:val="auto"/>
          <w:sz w:val="30"/>
          <w:szCs w:val="30"/>
        </w:rPr>
        <w:t>工程质量保修书</w:t>
      </w:r>
    </w:p>
    <w:p>
      <w:pPr>
        <w:spacing w:after="120"/>
        <w:rPr>
          <w:rFonts w:ascii="Tahoma" w:hAnsi="Tahoma" w:eastAsia="宋体"/>
          <w:color w:val="auto"/>
          <w:kern w:val="0"/>
          <w:sz w:val="28"/>
        </w:rPr>
      </w:pPr>
    </w:p>
    <w:p>
      <w:pPr>
        <w:snapToGrid w:val="0"/>
        <w:spacing w:line="360"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发包人（全称）：</w:t>
      </w:r>
      <w:r>
        <w:rPr>
          <w:rFonts w:hint="eastAsia" w:ascii="宋体" w:hAnsi="宋体" w:eastAsia="宋体" w:cs="宋体"/>
          <w:bCs/>
          <w:color w:val="auto"/>
          <w:sz w:val="21"/>
          <w:szCs w:val="21"/>
          <w:u w:val="single"/>
        </w:rPr>
        <w:t>仙居县人民医院</w:t>
      </w:r>
    </w:p>
    <w:p>
      <w:pPr>
        <w:snapToGrid w:val="0"/>
        <w:spacing w:line="360" w:lineRule="auto"/>
        <w:rPr>
          <w:rFonts w:ascii="宋体" w:hAnsi="宋体" w:eastAsia="宋体" w:cs="宋体"/>
          <w:bCs/>
          <w:color w:val="auto"/>
          <w:sz w:val="21"/>
          <w:szCs w:val="21"/>
          <w:u w:val="single"/>
        </w:rPr>
      </w:pPr>
      <w:r>
        <w:rPr>
          <w:rFonts w:hint="eastAsia" w:ascii="宋体" w:hAnsi="宋体" w:eastAsia="宋体" w:cs="宋体"/>
          <w:bCs/>
          <w:color w:val="auto"/>
          <w:sz w:val="21"/>
          <w:szCs w:val="21"/>
        </w:rPr>
        <w:t>　　承包人（全称）：</w:t>
      </w:r>
      <w:r>
        <w:rPr>
          <w:rFonts w:hint="eastAsia" w:ascii="宋体" w:hAnsi="宋体" w:eastAsia="宋体" w:cs="宋体"/>
          <w:bCs/>
          <w:color w:val="auto"/>
          <w:sz w:val="21"/>
          <w:szCs w:val="21"/>
          <w:u w:val="single"/>
        </w:rPr>
        <w:t xml:space="preserve">                   </w:t>
      </w:r>
    </w:p>
    <w:p>
      <w:pPr>
        <w:snapToGrid w:val="0"/>
        <w:spacing w:line="360" w:lineRule="auto"/>
        <w:rPr>
          <w:rFonts w:ascii="宋体" w:hAnsi="宋体" w:eastAsia="宋体" w:cs="宋体"/>
          <w:bCs/>
          <w:color w:val="auto"/>
          <w:sz w:val="21"/>
          <w:szCs w:val="21"/>
        </w:rPr>
      </w:pPr>
      <w:r>
        <w:rPr>
          <w:rFonts w:hint="eastAsia" w:ascii="宋体" w:hAnsi="宋体" w:eastAsia="宋体" w:cs="宋体"/>
          <w:bCs/>
          <w:color w:val="auto"/>
          <w:sz w:val="21"/>
          <w:szCs w:val="21"/>
        </w:rPr>
        <w:t>　　发包人和承包人根据《中华人民共和国建筑法》和《建设工程质量管理条例》，经协商一致就（工程全称）签订工程质量保修书。</w:t>
      </w:r>
    </w:p>
    <w:p>
      <w:pPr>
        <w:snapToGrid w:val="0"/>
        <w:spacing w:line="360" w:lineRule="auto"/>
        <w:outlineLvl w:val="0"/>
        <w:rPr>
          <w:rFonts w:ascii="宋体" w:hAnsi="宋体" w:eastAsia="宋体" w:cs="宋体"/>
          <w:bCs/>
          <w:color w:val="auto"/>
          <w:sz w:val="21"/>
          <w:szCs w:val="21"/>
        </w:rPr>
      </w:pPr>
      <w:r>
        <w:rPr>
          <w:rFonts w:hint="eastAsia" w:ascii="宋体" w:hAnsi="宋体" w:eastAsia="宋体" w:cs="宋体"/>
          <w:bCs/>
          <w:color w:val="auto"/>
          <w:sz w:val="21"/>
          <w:szCs w:val="21"/>
        </w:rPr>
        <w:t>　　一、工程质量保修范围和内容</w:t>
      </w:r>
    </w:p>
    <w:p>
      <w:pPr>
        <w:snapToGrid w:val="0"/>
        <w:spacing w:line="360" w:lineRule="auto"/>
        <w:rPr>
          <w:rFonts w:ascii="宋体" w:hAnsi="宋体" w:eastAsia="宋体" w:cs="宋体"/>
          <w:bCs/>
          <w:color w:val="auto"/>
          <w:sz w:val="21"/>
          <w:szCs w:val="21"/>
        </w:rPr>
      </w:pPr>
      <w:r>
        <w:rPr>
          <w:rFonts w:hint="eastAsia" w:ascii="宋体" w:hAnsi="宋体" w:eastAsia="宋体" w:cs="宋体"/>
          <w:bCs/>
          <w:color w:val="auto"/>
          <w:sz w:val="21"/>
          <w:szCs w:val="21"/>
        </w:rPr>
        <w:t>　　承包人在质量保修期内，按照有关法律规定和合同约定，承担工程质量保修责任。</w:t>
      </w:r>
    </w:p>
    <w:p>
      <w:pPr>
        <w:snapToGrid w:val="0"/>
        <w:spacing w:line="360" w:lineRule="auto"/>
        <w:rPr>
          <w:rFonts w:ascii="宋体" w:hAnsi="宋体" w:eastAsia="宋体" w:cs="宋体"/>
          <w:bCs/>
          <w:color w:val="auto"/>
          <w:sz w:val="21"/>
          <w:szCs w:val="21"/>
        </w:rPr>
      </w:pPr>
      <w:r>
        <w:rPr>
          <w:rFonts w:hint="eastAsia" w:ascii="宋体" w:hAnsi="宋体" w:eastAsia="宋体" w:cs="宋体"/>
          <w:bCs/>
          <w:color w:val="auto"/>
          <w:sz w:val="21"/>
          <w:szCs w:val="21"/>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宋体" w:hAnsi="宋体" w:eastAsia="宋体" w:cs="宋体"/>
          <w:bCs/>
          <w:color w:val="auto"/>
          <w:sz w:val="21"/>
          <w:szCs w:val="21"/>
          <w:u w:val="single"/>
        </w:rPr>
        <w:t>本合同承包范围内的全部工程内容</w:t>
      </w:r>
      <w:r>
        <w:rPr>
          <w:rFonts w:hint="eastAsia" w:ascii="宋体" w:hAnsi="宋体" w:eastAsia="宋体" w:cs="宋体"/>
          <w:bCs/>
          <w:color w:val="auto"/>
          <w:sz w:val="21"/>
          <w:szCs w:val="21"/>
        </w:rPr>
        <w:t>。</w:t>
      </w:r>
    </w:p>
    <w:p>
      <w:pPr>
        <w:snapToGrid w:val="0"/>
        <w:spacing w:line="360" w:lineRule="auto"/>
        <w:outlineLvl w:val="0"/>
        <w:rPr>
          <w:rFonts w:ascii="宋体" w:hAnsi="宋体" w:eastAsia="宋体" w:cs="宋体"/>
          <w:bCs/>
          <w:color w:val="auto"/>
          <w:sz w:val="21"/>
          <w:szCs w:val="21"/>
        </w:rPr>
      </w:pPr>
      <w:r>
        <w:rPr>
          <w:rFonts w:hint="eastAsia" w:ascii="宋体" w:hAnsi="宋体" w:eastAsia="宋体" w:cs="宋体"/>
          <w:bCs/>
          <w:color w:val="auto"/>
          <w:sz w:val="21"/>
          <w:szCs w:val="21"/>
        </w:rPr>
        <w:t>　　二、质量保修期</w:t>
      </w:r>
    </w:p>
    <w:p>
      <w:pPr>
        <w:spacing w:line="360" w:lineRule="auto"/>
        <w:ind w:firstLine="420" w:firstLineChars="200"/>
        <w:rPr>
          <w:rFonts w:ascii="宋体" w:hAnsi="宋体" w:eastAsia="宋体"/>
          <w:bCs/>
          <w:color w:val="auto"/>
          <w:sz w:val="21"/>
          <w:szCs w:val="21"/>
        </w:rPr>
      </w:pPr>
      <w:r>
        <w:rPr>
          <w:rFonts w:ascii="宋体" w:hAnsi="宋体" w:eastAsia="宋体"/>
          <w:bCs/>
          <w:color w:val="auto"/>
          <w:sz w:val="21"/>
          <w:szCs w:val="21"/>
        </w:rPr>
        <w:t>根据《建设工程质量管理条例》及有关规定，工程的质量保修期如下：</w:t>
      </w:r>
    </w:p>
    <w:p>
      <w:pPr>
        <w:adjustRightInd w:val="0"/>
        <w:spacing w:line="360" w:lineRule="auto"/>
        <w:ind w:firstLine="462" w:firstLineChars="220"/>
        <w:rPr>
          <w:rFonts w:ascii="宋体" w:hAnsi="宋体" w:eastAsia="宋体"/>
          <w:bCs/>
          <w:color w:val="auto"/>
          <w:sz w:val="21"/>
        </w:rPr>
      </w:pPr>
      <w:r>
        <w:rPr>
          <w:rFonts w:hint="eastAsia" w:ascii="宋体" w:hAnsi="宋体" w:eastAsia="宋体"/>
          <w:bCs/>
          <w:color w:val="auto"/>
          <w:sz w:val="21"/>
        </w:rPr>
        <w:t>1．地基基础工程和主体结构工程为设计文件规定的工程合理使用年限；</w:t>
      </w:r>
    </w:p>
    <w:p>
      <w:pPr>
        <w:adjustRightInd w:val="0"/>
        <w:spacing w:line="360" w:lineRule="auto"/>
        <w:ind w:firstLine="462" w:firstLineChars="220"/>
        <w:rPr>
          <w:rFonts w:ascii="宋体" w:hAnsi="宋体" w:eastAsia="宋体"/>
          <w:bCs/>
          <w:color w:val="auto"/>
          <w:sz w:val="21"/>
        </w:rPr>
      </w:pPr>
      <w:r>
        <w:rPr>
          <w:rFonts w:hint="eastAsia" w:ascii="宋体" w:hAnsi="宋体" w:eastAsia="宋体"/>
          <w:bCs/>
          <w:color w:val="auto"/>
          <w:sz w:val="21"/>
        </w:rPr>
        <w:t>2．</w:t>
      </w:r>
      <w:r>
        <w:rPr>
          <w:rFonts w:ascii="宋体" w:hAnsi="宋体" w:eastAsia="宋体"/>
          <w:bCs/>
          <w:color w:val="auto"/>
          <w:sz w:val="21"/>
        </w:rPr>
        <w:t>屋面防水工程、有防水要求的卫生间、房间和外墙面的防渗</w:t>
      </w:r>
      <w:r>
        <w:rPr>
          <w:rFonts w:hint="eastAsia" w:ascii="宋体" w:hAnsi="宋体" w:eastAsia="宋体"/>
          <w:bCs/>
          <w:color w:val="auto"/>
          <w:sz w:val="21"/>
        </w:rPr>
        <w:t>为</w:t>
      </w:r>
      <w:r>
        <w:rPr>
          <w:rFonts w:hint="eastAsia" w:ascii="宋体" w:hAnsi="宋体" w:eastAsia="宋体"/>
          <w:bCs/>
          <w:color w:val="auto"/>
          <w:sz w:val="21"/>
          <w:u w:val="single"/>
        </w:rPr>
        <w:t xml:space="preserve">  5   </w:t>
      </w:r>
      <w:r>
        <w:rPr>
          <w:rFonts w:ascii="宋体" w:hAnsi="宋体" w:eastAsia="宋体"/>
          <w:bCs/>
          <w:color w:val="auto"/>
          <w:sz w:val="21"/>
        </w:rPr>
        <w:t>年；</w:t>
      </w:r>
    </w:p>
    <w:p>
      <w:pPr>
        <w:adjustRightInd w:val="0"/>
        <w:spacing w:line="360" w:lineRule="auto"/>
        <w:ind w:firstLine="462" w:firstLineChars="220"/>
        <w:rPr>
          <w:rFonts w:ascii="宋体" w:hAnsi="宋体" w:eastAsia="宋体"/>
          <w:bCs/>
          <w:color w:val="auto"/>
          <w:sz w:val="21"/>
        </w:rPr>
      </w:pPr>
      <w:r>
        <w:rPr>
          <w:rFonts w:hint="eastAsia" w:ascii="宋体" w:hAnsi="宋体" w:eastAsia="宋体"/>
          <w:bCs/>
          <w:color w:val="auto"/>
          <w:sz w:val="21"/>
        </w:rPr>
        <w:t>3．</w:t>
      </w:r>
      <w:r>
        <w:rPr>
          <w:rFonts w:ascii="宋体" w:hAnsi="宋体" w:eastAsia="宋体"/>
          <w:bCs/>
          <w:color w:val="auto"/>
          <w:sz w:val="21"/>
        </w:rPr>
        <w:t>装修工程为</w:t>
      </w:r>
      <w:r>
        <w:rPr>
          <w:rFonts w:ascii="宋体" w:hAnsi="宋体" w:eastAsia="宋体"/>
          <w:bCs/>
          <w:color w:val="auto"/>
          <w:sz w:val="21"/>
          <w:u w:val="single"/>
        </w:rPr>
        <w:t xml:space="preserve">   </w:t>
      </w:r>
      <w:r>
        <w:rPr>
          <w:rFonts w:hint="eastAsia" w:ascii="宋体" w:hAnsi="宋体" w:eastAsia="宋体"/>
          <w:bCs/>
          <w:color w:val="auto"/>
          <w:sz w:val="21"/>
          <w:u w:val="single"/>
        </w:rPr>
        <w:t>2</w:t>
      </w:r>
      <w:r>
        <w:rPr>
          <w:rFonts w:ascii="宋体" w:hAnsi="宋体" w:eastAsia="宋体"/>
          <w:bCs/>
          <w:color w:val="auto"/>
          <w:sz w:val="21"/>
          <w:u w:val="single"/>
        </w:rPr>
        <w:t xml:space="preserve">   </w:t>
      </w:r>
      <w:r>
        <w:rPr>
          <w:rFonts w:ascii="宋体" w:hAnsi="宋体" w:eastAsia="宋体"/>
          <w:bCs/>
          <w:color w:val="auto"/>
          <w:sz w:val="21"/>
        </w:rPr>
        <w:t>年；</w:t>
      </w:r>
    </w:p>
    <w:p>
      <w:pPr>
        <w:adjustRightInd w:val="0"/>
        <w:spacing w:line="360" w:lineRule="auto"/>
        <w:ind w:firstLine="462" w:firstLineChars="220"/>
        <w:rPr>
          <w:rFonts w:ascii="宋体" w:hAnsi="宋体" w:eastAsia="宋体"/>
          <w:bCs/>
          <w:color w:val="auto"/>
          <w:sz w:val="21"/>
        </w:rPr>
      </w:pPr>
      <w:r>
        <w:rPr>
          <w:rFonts w:hint="eastAsia" w:ascii="宋体" w:hAnsi="宋体" w:eastAsia="宋体"/>
          <w:bCs/>
          <w:color w:val="auto"/>
          <w:sz w:val="21"/>
        </w:rPr>
        <w:t>4．</w:t>
      </w:r>
      <w:r>
        <w:rPr>
          <w:rFonts w:ascii="宋体" w:hAnsi="宋体" w:eastAsia="宋体"/>
          <w:bCs/>
          <w:color w:val="auto"/>
          <w:sz w:val="21"/>
        </w:rPr>
        <w:t>电气管线、给排水管道、设备安装工程为</w:t>
      </w:r>
      <w:r>
        <w:rPr>
          <w:rFonts w:ascii="宋体" w:hAnsi="宋体" w:eastAsia="宋体"/>
          <w:bCs/>
          <w:color w:val="auto"/>
          <w:sz w:val="21"/>
          <w:u w:val="single"/>
        </w:rPr>
        <w:t xml:space="preserve">   </w:t>
      </w:r>
      <w:r>
        <w:rPr>
          <w:rFonts w:hint="eastAsia" w:ascii="宋体" w:hAnsi="宋体" w:eastAsia="宋体"/>
          <w:bCs/>
          <w:color w:val="auto"/>
          <w:sz w:val="21"/>
          <w:u w:val="single"/>
        </w:rPr>
        <w:t>2</w:t>
      </w:r>
      <w:r>
        <w:rPr>
          <w:rFonts w:ascii="宋体" w:hAnsi="宋体" w:eastAsia="宋体"/>
          <w:bCs/>
          <w:color w:val="auto"/>
          <w:sz w:val="21"/>
          <w:u w:val="single"/>
        </w:rPr>
        <w:t xml:space="preserve">   </w:t>
      </w:r>
      <w:r>
        <w:rPr>
          <w:rFonts w:ascii="宋体" w:hAnsi="宋体" w:eastAsia="宋体"/>
          <w:bCs/>
          <w:color w:val="auto"/>
          <w:sz w:val="21"/>
        </w:rPr>
        <w:t>年；</w:t>
      </w:r>
    </w:p>
    <w:p>
      <w:pPr>
        <w:adjustRightInd w:val="0"/>
        <w:spacing w:line="360" w:lineRule="auto"/>
        <w:ind w:firstLine="462" w:firstLineChars="220"/>
        <w:rPr>
          <w:rFonts w:ascii="宋体" w:hAnsi="宋体" w:eastAsia="宋体"/>
          <w:bCs/>
          <w:color w:val="auto"/>
          <w:sz w:val="21"/>
        </w:rPr>
      </w:pPr>
      <w:r>
        <w:rPr>
          <w:rFonts w:hint="eastAsia" w:ascii="宋体" w:hAnsi="宋体" w:eastAsia="宋体"/>
          <w:bCs/>
          <w:color w:val="auto"/>
          <w:sz w:val="21"/>
        </w:rPr>
        <w:t>5．</w:t>
      </w:r>
      <w:r>
        <w:rPr>
          <w:rFonts w:ascii="宋体" w:hAnsi="宋体" w:eastAsia="宋体"/>
          <w:bCs/>
          <w:color w:val="auto"/>
          <w:sz w:val="21"/>
        </w:rPr>
        <w:t>供热与供冷系统为</w:t>
      </w:r>
      <w:r>
        <w:rPr>
          <w:rFonts w:ascii="宋体" w:hAnsi="宋体" w:eastAsia="宋体"/>
          <w:bCs/>
          <w:color w:val="auto"/>
          <w:sz w:val="21"/>
          <w:u w:val="single"/>
        </w:rPr>
        <w:t xml:space="preserve">  </w:t>
      </w:r>
      <w:r>
        <w:rPr>
          <w:rFonts w:hint="eastAsia" w:ascii="宋体" w:hAnsi="宋体" w:eastAsia="宋体"/>
          <w:bCs/>
          <w:color w:val="auto"/>
          <w:sz w:val="21"/>
          <w:u w:val="single"/>
        </w:rPr>
        <w:t>2</w:t>
      </w:r>
      <w:r>
        <w:rPr>
          <w:rFonts w:ascii="宋体" w:hAnsi="宋体" w:eastAsia="宋体"/>
          <w:bCs/>
          <w:color w:val="auto"/>
          <w:sz w:val="21"/>
          <w:u w:val="single"/>
        </w:rPr>
        <w:t xml:space="preserve">   </w:t>
      </w:r>
      <w:r>
        <w:rPr>
          <w:rFonts w:ascii="宋体" w:hAnsi="宋体" w:eastAsia="宋体"/>
          <w:bCs/>
          <w:color w:val="auto"/>
          <w:sz w:val="21"/>
        </w:rPr>
        <w:t>个采暖期、供冷期；</w:t>
      </w:r>
    </w:p>
    <w:p>
      <w:pPr>
        <w:adjustRightInd w:val="0"/>
        <w:spacing w:line="360" w:lineRule="auto"/>
        <w:ind w:firstLine="462" w:firstLineChars="220"/>
        <w:rPr>
          <w:rFonts w:ascii="宋体" w:hAnsi="宋体" w:eastAsia="宋体"/>
          <w:bCs/>
          <w:color w:val="auto"/>
          <w:sz w:val="21"/>
        </w:rPr>
      </w:pPr>
      <w:r>
        <w:rPr>
          <w:rFonts w:hint="eastAsia" w:ascii="宋体" w:hAnsi="宋体" w:eastAsia="宋体"/>
          <w:bCs/>
          <w:color w:val="auto"/>
          <w:sz w:val="21"/>
        </w:rPr>
        <w:t>6．</w:t>
      </w:r>
      <w:r>
        <w:rPr>
          <w:rFonts w:ascii="宋体" w:hAnsi="宋体" w:eastAsia="宋体"/>
          <w:bCs/>
          <w:color w:val="auto"/>
          <w:sz w:val="21"/>
        </w:rPr>
        <w:t>住宅小区内的给排水设施、道路等配套工程为</w:t>
      </w:r>
      <w:r>
        <w:rPr>
          <w:rFonts w:ascii="宋体" w:hAnsi="宋体" w:eastAsia="宋体"/>
          <w:bCs/>
          <w:color w:val="auto"/>
          <w:sz w:val="21"/>
          <w:u w:val="single"/>
        </w:rPr>
        <w:t xml:space="preserve">    </w:t>
      </w:r>
      <w:r>
        <w:rPr>
          <w:rFonts w:hint="eastAsia" w:ascii="宋体" w:hAnsi="宋体" w:eastAsia="宋体"/>
          <w:bCs/>
          <w:color w:val="auto"/>
          <w:sz w:val="21"/>
          <w:u w:val="single"/>
        </w:rPr>
        <w:t>2</w:t>
      </w:r>
      <w:r>
        <w:rPr>
          <w:rFonts w:ascii="宋体" w:hAnsi="宋体" w:eastAsia="宋体"/>
          <w:bCs/>
          <w:color w:val="auto"/>
          <w:sz w:val="21"/>
          <w:u w:val="single"/>
        </w:rPr>
        <w:t xml:space="preserve">  </w:t>
      </w:r>
      <w:r>
        <w:rPr>
          <w:rFonts w:ascii="宋体" w:hAnsi="宋体" w:eastAsia="宋体"/>
          <w:bCs/>
          <w:color w:val="auto"/>
          <w:sz w:val="21"/>
        </w:rPr>
        <w:t>年；</w:t>
      </w:r>
    </w:p>
    <w:p>
      <w:pPr>
        <w:autoSpaceDE w:val="0"/>
        <w:autoSpaceDN w:val="0"/>
        <w:spacing w:line="360" w:lineRule="auto"/>
        <w:ind w:firstLine="482"/>
        <w:rPr>
          <w:rFonts w:ascii="宋体" w:hAnsi="宋体" w:eastAsia="宋体"/>
          <w:color w:val="auto"/>
          <w:sz w:val="21"/>
          <w:szCs w:val="21"/>
        </w:rPr>
      </w:pPr>
      <w:r>
        <w:rPr>
          <w:rFonts w:hint="eastAsia" w:ascii="宋体" w:hAnsi="宋体" w:eastAsia="宋体"/>
          <w:bCs/>
          <w:color w:val="auto"/>
          <w:sz w:val="21"/>
        </w:rPr>
        <w:t>7、其他项目保修期约定：</w:t>
      </w:r>
      <w:r>
        <w:rPr>
          <w:rFonts w:hint="eastAsia" w:ascii="宋体" w:hAnsi="宋体" w:eastAsia="宋体"/>
          <w:bCs/>
          <w:color w:val="auto"/>
          <w:sz w:val="21"/>
          <w:u w:val="single"/>
        </w:rPr>
        <w:t xml:space="preserve">  本工程缺陷责任期（工程质量保修期）为  2  年。其中设备质量保修期为  5  年。  </w:t>
      </w:r>
    </w:p>
    <w:p>
      <w:pPr>
        <w:adjustRightInd w:val="0"/>
        <w:spacing w:line="360" w:lineRule="auto"/>
        <w:ind w:firstLine="480"/>
        <w:rPr>
          <w:rFonts w:ascii="宋体" w:hAnsi="宋体" w:eastAsia="宋体"/>
          <w:bCs/>
          <w:color w:val="auto"/>
          <w:sz w:val="21"/>
        </w:rPr>
      </w:pPr>
      <w:r>
        <w:rPr>
          <w:rFonts w:ascii="Times New Roman" w:hAnsi="Times New Roman" w:eastAsia="宋体"/>
          <w:color w:val="auto"/>
          <w:sz w:val="21"/>
          <w:szCs w:val="21"/>
        </w:rPr>
        <w:t>质量保修期自工程竣工验收合格之日起计算。</w:t>
      </w:r>
    </w:p>
    <w:p>
      <w:pPr>
        <w:snapToGrid w:val="0"/>
        <w:spacing w:line="360" w:lineRule="auto"/>
        <w:ind w:firstLine="420" w:firstLineChars="200"/>
        <w:outlineLvl w:val="0"/>
        <w:rPr>
          <w:rFonts w:ascii="宋体" w:hAnsi="宋体" w:eastAsia="宋体" w:cs="宋体"/>
          <w:bCs/>
          <w:color w:val="auto"/>
          <w:sz w:val="21"/>
          <w:szCs w:val="21"/>
        </w:rPr>
      </w:pPr>
      <w:r>
        <w:rPr>
          <w:rFonts w:hint="eastAsia" w:ascii="宋体" w:hAnsi="宋体" w:eastAsia="宋体" w:cs="宋体"/>
          <w:bCs/>
          <w:color w:val="auto"/>
          <w:sz w:val="21"/>
          <w:szCs w:val="21"/>
        </w:rPr>
        <w:t>三、缺陷责任期</w:t>
      </w:r>
    </w:p>
    <w:p>
      <w:pPr>
        <w:snapToGrid w:val="0"/>
        <w:spacing w:line="360"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 xml:space="preserve">工程缺陷责任期（工程质量保修期）为 </w:t>
      </w:r>
      <w:r>
        <w:rPr>
          <w:rFonts w:hint="eastAsia" w:ascii="宋体" w:hAnsi="宋体" w:eastAsia="宋体" w:cs="宋体"/>
          <w:bCs/>
          <w:color w:val="auto"/>
          <w:sz w:val="21"/>
          <w:szCs w:val="21"/>
          <w:u w:val="single"/>
        </w:rPr>
        <w:t xml:space="preserve"> 2  </w:t>
      </w:r>
      <w:r>
        <w:rPr>
          <w:rFonts w:hint="eastAsia" w:ascii="宋体" w:hAnsi="宋体" w:eastAsia="宋体" w:cs="宋体"/>
          <w:bCs/>
          <w:color w:val="auto"/>
          <w:sz w:val="21"/>
          <w:szCs w:val="21"/>
        </w:rPr>
        <w:t xml:space="preserve">年。其中设备质量保修期为 </w:t>
      </w:r>
      <w:r>
        <w:rPr>
          <w:rFonts w:hint="eastAsia" w:ascii="宋体" w:hAnsi="宋体" w:eastAsia="宋体" w:cs="宋体"/>
          <w:bCs/>
          <w:color w:val="auto"/>
          <w:sz w:val="21"/>
          <w:szCs w:val="21"/>
          <w:u w:val="single"/>
        </w:rPr>
        <w:t xml:space="preserve"> 5  </w:t>
      </w:r>
      <w:r>
        <w:rPr>
          <w:rFonts w:hint="eastAsia" w:ascii="宋体" w:hAnsi="宋体" w:eastAsia="宋体" w:cs="宋体"/>
          <w:bCs/>
          <w:color w:val="auto"/>
          <w:sz w:val="21"/>
          <w:szCs w:val="21"/>
        </w:rPr>
        <w:t>年，缺陷责任期自工程通过竣工验收之日起计算。单位工程先于全部工程进行验收，单位工程缺陷责任期自单位工程验收合格之日起算。</w:t>
      </w:r>
    </w:p>
    <w:p>
      <w:pPr>
        <w:snapToGrid w:val="0"/>
        <w:spacing w:line="360"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缺陷责任期终止后，发包人应退还剩余的质量保证金。</w:t>
      </w:r>
    </w:p>
    <w:p>
      <w:pPr>
        <w:snapToGrid w:val="0"/>
        <w:spacing w:line="360" w:lineRule="auto"/>
        <w:outlineLvl w:val="0"/>
        <w:rPr>
          <w:rFonts w:ascii="宋体" w:hAnsi="宋体" w:eastAsia="宋体" w:cs="宋体"/>
          <w:bCs/>
          <w:color w:val="auto"/>
          <w:sz w:val="21"/>
          <w:szCs w:val="21"/>
        </w:rPr>
      </w:pPr>
      <w:r>
        <w:rPr>
          <w:rFonts w:hint="eastAsia" w:ascii="宋体" w:hAnsi="宋体" w:eastAsia="宋体" w:cs="宋体"/>
          <w:bCs/>
          <w:color w:val="auto"/>
          <w:sz w:val="21"/>
          <w:szCs w:val="21"/>
        </w:rPr>
        <w:t xml:space="preserve">    四、质量保修责任</w:t>
      </w:r>
    </w:p>
    <w:p>
      <w:pPr>
        <w:snapToGrid w:val="0"/>
        <w:spacing w:line="360" w:lineRule="auto"/>
        <w:ind w:left="180" w:leftChars="50" w:firstLine="430" w:firstLineChars="205"/>
        <w:rPr>
          <w:rFonts w:ascii="宋体" w:hAnsi="宋体" w:eastAsia="宋体" w:cs="宋体"/>
          <w:bCs/>
          <w:color w:val="auto"/>
          <w:sz w:val="21"/>
          <w:szCs w:val="21"/>
        </w:rPr>
      </w:pPr>
      <w:r>
        <w:rPr>
          <w:rFonts w:hint="eastAsia" w:ascii="宋体" w:hAnsi="宋体" w:eastAsia="宋体" w:cs="宋体"/>
          <w:bCs/>
          <w:color w:val="auto"/>
          <w:sz w:val="21"/>
          <w:szCs w:val="21"/>
        </w:rPr>
        <w:t>1．属于保修范围、内容的项目，承包人应当在接到保修通知之日起3天内派人保修。承包人不在约定期限内派人保修的，发包人可以委托他人修理。</w:t>
      </w:r>
    </w:p>
    <w:p>
      <w:pPr>
        <w:snapToGrid w:val="0"/>
        <w:spacing w:line="360" w:lineRule="auto"/>
        <w:ind w:left="180" w:leftChars="50" w:firstLine="430" w:firstLineChars="205"/>
        <w:rPr>
          <w:rFonts w:ascii="宋体" w:hAnsi="宋体" w:eastAsia="宋体" w:cs="宋体"/>
          <w:bCs/>
          <w:color w:val="auto"/>
          <w:sz w:val="21"/>
          <w:szCs w:val="21"/>
        </w:rPr>
      </w:pPr>
      <w:r>
        <w:rPr>
          <w:rFonts w:hint="eastAsia" w:ascii="宋体" w:hAnsi="宋体" w:eastAsia="宋体" w:cs="宋体"/>
          <w:bCs/>
          <w:color w:val="auto"/>
          <w:sz w:val="21"/>
          <w:szCs w:val="21"/>
        </w:rPr>
        <w:t>2．发生紧急事故需抢修的，承包人在接到事故通知后，应当立即到达事故现场抢修。</w:t>
      </w:r>
    </w:p>
    <w:p>
      <w:pPr>
        <w:snapToGrid w:val="0"/>
        <w:spacing w:line="360" w:lineRule="auto"/>
        <w:ind w:left="180" w:leftChars="50" w:firstLine="430" w:firstLineChars="205"/>
        <w:rPr>
          <w:rFonts w:ascii="宋体" w:hAnsi="宋体" w:eastAsia="宋体" w:cs="宋体"/>
          <w:bCs/>
          <w:color w:val="auto"/>
          <w:sz w:val="21"/>
          <w:szCs w:val="21"/>
        </w:rPr>
      </w:pPr>
      <w:r>
        <w:rPr>
          <w:rFonts w:hint="eastAsia" w:ascii="宋体" w:hAnsi="宋体" w:eastAsia="宋体" w:cs="宋体"/>
          <w:bCs/>
          <w:color w:val="auto"/>
          <w:sz w:val="21"/>
          <w:szCs w:val="21"/>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snapToGrid w:val="0"/>
        <w:spacing w:line="360" w:lineRule="auto"/>
        <w:ind w:left="720" w:leftChars="200" w:firstLine="105" w:firstLineChars="50"/>
        <w:rPr>
          <w:rFonts w:ascii="宋体" w:hAnsi="宋体" w:eastAsia="宋体" w:cs="宋体"/>
          <w:bCs/>
          <w:color w:val="auto"/>
          <w:sz w:val="21"/>
          <w:szCs w:val="21"/>
        </w:rPr>
      </w:pPr>
      <w:r>
        <w:rPr>
          <w:rFonts w:hint="eastAsia" w:ascii="宋体" w:hAnsi="宋体" w:eastAsia="宋体" w:cs="宋体"/>
          <w:bCs/>
          <w:color w:val="auto"/>
          <w:sz w:val="21"/>
          <w:szCs w:val="21"/>
        </w:rPr>
        <w:t>4．质量保修完成后，由发包人组织验收。</w:t>
      </w:r>
    </w:p>
    <w:p>
      <w:pPr>
        <w:snapToGrid w:val="0"/>
        <w:spacing w:line="360" w:lineRule="auto"/>
        <w:outlineLvl w:val="0"/>
        <w:rPr>
          <w:rFonts w:ascii="宋体" w:hAnsi="宋体" w:eastAsia="宋体" w:cs="宋体"/>
          <w:bCs/>
          <w:color w:val="auto"/>
          <w:sz w:val="21"/>
          <w:szCs w:val="21"/>
        </w:rPr>
      </w:pPr>
      <w:r>
        <w:rPr>
          <w:rFonts w:hint="eastAsia" w:ascii="宋体" w:hAnsi="宋体" w:eastAsia="宋体" w:cs="宋体"/>
          <w:bCs/>
          <w:color w:val="auto"/>
          <w:sz w:val="21"/>
          <w:szCs w:val="21"/>
        </w:rPr>
        <w:t>　　五、保修费用</w:t>
      </w:r>
    </w:p>
    <w:p>
      <w:pPr>
        <w:snapToGrid w:val="0"/>
        <w:spacing w:line="360" w:lineRule="auto"/>
        <w:rPr>
          <w:rFonts w:ascii="宋体" w:hAnsi="宋体" w:eastAsia="宋体" w:cs="宋体"/>
          <w:bCs/>
          <w:color w:val="auto"/>
          <w:sz w:val="21"/>
          <w:szCs w:val="21"/>
        </w:rPr>
      </w:pPr>
      <w:r>
        <w:rPr>
          <w:rFonts w:hint="eastAsia" w:ascii="宋体" w:hAnsi="宋体" w:eastAsia="宋体" w:cs="宋体"/>
          <w:bCs/>
          <w:color w:val="auto"/>
          <w:sz w:val="21"/>
          <w:szCs w:val="21"/>
        </w:rPr>
        <w:t>　　保修费用由造成质量缺陷的责任方承担。</w:t>
      </w:r>
    </w:p>
    <w:p>
      <w:pPr>
        <w:snapToGrid w:val="0"/>
        <w:spacing w:line="360" w:lineRule="auto"/>
        <w:ind w:firstLine="411" w:firstLineChars="196"/>
        <w:jc w:val="left"/>
        <w:outlineLvl w:val="0"/>
        <w:rPr>
          <w:rFonts w:ascii="宋体" w:hAnsi="宋体" w:eastAsia="宋体" w:cs="宋体"/>
          <w:bCs/>
          <w:color w:val="auto"/>
          <w:sz w:val="21"/>
          <w:szCs w:val="21"/>
        </w:rPr>
      </w:pPr>
      <w:r>
        <w:rPr>
          <w:rFonts w:hint="eastAsia" w:ascii="宋体" w:hAnsi="宋体" w:eastAsia="宋体" w:cs="宋体"/>
          <w:bCs/>
          <w:color w:val="auto"/>
          <w:sz w:val="21"/>
          <w:szCs w:val="21"/>
        </w:rPr>
        <w:t>六、双方约定的其他工程质量保修事项：</w:t>
      </w:r>
      <w:r>
        <w:rPr>
          <w:rFonts w:hint="eastAsia" w:ascii="宋体" w:hAnsi="宋体" w:eastAsia="宋体" w:cs="宋体"/>
          <w:bCs/>
          <w:color w:val="auto"/>
          <w:sz w:val="21"/>
          <w:szCs w:val="21"/>
          <w:u w:val="single"/>
        </w:rPr>
        <w:t xml:space="preserve">   /   </w:t>
      </w:r>
      <w:r>
        <w:rPr>
          <w:rFonts w:hint="eastAsia" w:ascii="宋体" w:hAnsi="宋体" w:eastAsia="宋体" w:cs="宋体"/>
          <w:bCs/>
          <w:color w:val="auto"/>
          <w:sz w:val="21"/>
          <w:szCs w:val="21"/>
        </w:rPr>
        <w:t>。</w:t>
      </w:r>
    </w:p>
    <w:p>
      <w:pPr>
        <w:snapToGrid w:val="0"/>
        <w:spacing w:line="360" w:lineRule="auto"/>
        <w:ind w:firstLine="399" w:firstLineChars="190"/>
        <w:rPr>
          <w:rFonts w:ascii="宋体" w:hAnsi="宋体" w:eastAsia="宋体" w:cs="宋体"/>
          <w:bCs/>
          <w:color w:val="auto"/>
          <w:sz w:val="21"/>
          <w:szCs w:val="21"/>
        </w:rPr>
      </w:pPr>
      <w:r>
        <w:rPr>
          <w:rFonts w:hint="eastAsia" w:ascii="宋体" w:hAnsi="宋体" w:eastAsia="宋体" w:cs="宋体"/>
          <w:bCs/>
          <w:color w:val="auto"/>
          <w:sz w:val="21"/>
          <w:szCs w:val="21"/>
        </w:rPr>
        <w:t>工程质量保修书由发包人、承包人在工程竣工验收前共同签署，作为施工合同附件，其有效期限至保修期满。</w:t>
      </w:r>
    </w:p>
    <w:p>
      <w:pPr>
        <w:snapToGrid w:val="0"/>
        <w:spacing w:line="360" w:lineRule="auto"/>
        <w:ind w:firstLine="420"/>
        <w:rPr>
          <w:rFonts w:ascii="宋体" w:hAnsi="宋体" w:eastAsia="宋体" w:cs="宋体"/>
          <w:bCs/>
          <w:color w:val="auto"/>
          <w:sz w:val="21"/>
          <w:szCs w:val="21"/>
        </w:rPr>
      </w:pPr>
    </w:p>
    <w:p>
      <w:pPr>
        <w:snapToGrid w:val="0"/>
        <w:spacing w:line="360" w:lineRule="auto"/>
        <w:ind w:firstLine="1050" w:firstLineChars="500"/>
        <w:rPr>
          <w:rFonts w:ascii="宋体" w:hAnsi="宋体" w:eastAsia="宋体" w:cs="宋体"/>
          <w:bCs/>
          <w:color w:val="auto"/>
          <w:sz w:val="21"/>
          <w:szCs w:val="21"/>
        </w:rPr>
      </w:pPr>
      <w:r>
        <w:rPr>
          <w:rFonts w:hint="eastAsia" w:ascii="宋体" w:hAnsi="宋体" w:eastAsia="宋体" w:cs="宋体"/>
          <w:bCs/>
          <w:color w:val="auto"/>
          <w:sz w:val="21"/>
          <w:szCs w:val="21"/>
        </w:rPr>
        <w:t>发包人(公章)：                       承包人(公章)：</w:t>
      </w:r>
    </w:p>
    <w:p>
      <w:pPr>
        <w:snapToGrid w:val="0"/>
        <w:spacing w:line="360" w:lineRule="auto"/>
        <w:ind w:firstLine="1050" w:firstLineChars="500"/>
        <w:rPr>
          <w:rFonts w:ascii="宋体" w:hAnsi="宋体" w:eastAsia="宋体" w:cs="宋体"/>
          <w:bCs/>
          <w:color w:val="auto"/>
          <w:sz w:val="21"/>
          <w:szCs w:val="21"/>
        </w:rPr>
      </w:pPr>
      <w:r>
        <w:rPr>
          <w:rFonts w:hint="eastAsia" w:ascii="宋体" w:hAnsi="宋体" w:eastAsia="宋体" w:cs="宋体"/>
          <w:bCs/>
          <w:color w:val="auto"/>
          <w:sz w:val="21"/>
          <w:szCs w:val="21"/>
        </w:rPr>
        <w:t>地  址：                             地  址：</w:t>
      </w:r>
    </w:p>
    <w:p>
      <w:pPr>
        <w:snapToGrid w:val="0"/>
        <w:spacing w:line="360" w:lineRule="auto"/>
        <w:ind w:firstLine="1050" w:firstLineChars="500"/>
        <w:rPr>
          <w:rFonts w:ascii="宋体" w:hAnsi="宋体" w:eastAsia="宋体" w:cs="宋体"/>
          <w:bCs/>
          <w:color w:val="auto"/>
          <w:sz w:val="21"/>
          <w:szCs w:val="21"/>
        </w:rPr>
      </w:pPr>
      <w:r>
        <w:rPr>
          <w:rFonts w:hint="eastAsia" w:ascii="宋体" w:hAnsi="宋体" w:eastAsia="宋体" w:cs="宋体"/>
          <w:bCs/>
          <w:color w:val="auto"/>
          <w:sz w:val="21"/>
          <w:szCs w:val="21"/>
        </w:rPr>
        <w:t>法定代表人(签字)：                   法定代表人(签字)：</w:t>
      </w:r>
    </w:p>
    <w:p>
      <w:pPr>
        <w:snapToGrid w:val="0"/>
        <w:spacing w:line="360" w:lineRule="auto"/>
        <w:ind w:firstLine="1050" w:firstLineChars="500"/>
        <w:rPr>
          <w:rFonts w:ascii="宋体" w:hAnsi="宋体" w:eastAsia="宋体" w:cs="宋体"/>
          <w:bCs/>
          <w:color w:val="auto"/>
          <w:sz w:val="21"/>
          <w:szCs w:val="21"/>
        </w:rPr>
      </w:pPr>
      <w:r>
        <w:rPr>
          <w:rFonts w:hint="eastAsia" w:ascii="宋体" w:hAnsi="宋体" w:eastAsia="宋体" w:cs="宋体"/>
          <w:bCs/>
          <w:color w:val="auto"/>
          <w:sz w:val="21"/>
          <w:szCs w:val="21"/>
        </w:rPr>
        <w:t>委托代理人(签字)：                   委托代理人(签字)：</w:t>
      </w:r>
    </w:p>
    <w:p>
      <w:pPr>
        <w:snapToGrid w:val="0"/>
        <w:spacing w:line="360" w:lineRule="auto"/>
        <w:ind w:firstLine="1050" w:firstLineChars="500"/>
        <w:rPr>
          <w:rFonts w:ascii="宋体" w:hAnsi="宋体" w:eastAsia="宋体" w:cs="宋体"/>
          <w:bCs/>
          <w:color w:val="auto"/>
          <w:sz w:val="21"/>
          <w:szCs w:val="21"/>
        </w:rPr>
      </w:pPr>
      <w:r>
        <w:rPr>
          <w:rFonts w:hint="eastAsia" w:ascii="宋体" w:hAnsi="宋体" w:eastAsia="宋体" w:cs="宋体"/>
          <w:bCs/>
          <w:color w:val="auto"/>
          <w:sz w:val="21"/>
          <w:szCs w:val="21"/>
        </w:rPr>
        <w:t>电  话：                             电  话：</w:t>
      </w:r>
    </w:p>
    <w:p>
      <w:pPr>
        <w:snapToGrid w:val="0"/>
        <w:spacing w:line="360" w:lineRule="auto"/>
        <w:ind w:firstLine="1050" w:firstLineChars="500"/>
        <w:rPr>
          <w:rFonts w:ascii="宋体" w:hAnsi="宋体" w:eastAsia="宋体" w:cs="宋体"/>
          <w:bCs/>
          <w:color w:val="auto"/>
          <w:sz w:val="21"/>
          <w:szCs w:val="21"/>
        </w:rPr>
      </w:pPr>
      <w:r>
        <w:rPr>
          <w:rFonts w:hint="eastAsia" w:ascii="宋体" w:hAnsi="宋体" w:eastAsia="宋体" w:cs="宋体"/>
          <w:bCs/>
          <w:color w:val="auto"/>
          <w:sz w:val="21"/>
          <w:szCs w:val="21"/>
        </w:rPr>
        <w:t>传  真：                             传  真：</w:t>
      </w:r>
    </w:p>
    <w:p>
      <w:pPr>
        <w:snapToGrid w:val="0"/>
        <w:spacing w:line="360" w:lineRule="auto"/>
        <w:ind w:firstLine="1050" w:firstLineChars="500"/>
        <w:rPr>
          <w:rFonts w:ascii="宋体" w:hAnsi="宋体" w:eastAsia="宋体" w:cs="宋体"/>
          <w:bCs/>
          <w:color w:val="auto"/>
          <w:sz w:val="21"/>
          <w:szCs w:val="21"/>
        </w:rPr>
      </w:pPr>
      <w:r>
        <w:rPr>
          <w:rFonts w:hint="eastAsia" w:ascii="宋体" w:hAnsi="宋体" w:eastAsia="宋体" w:cs="宋体"/>
          <w:bCs/>
          <w:color w:val="auto"/>
          <w:sz w:val="21"/>
          <w:szCs w:val="21"/>
        </w:rPr>
        <w:t>开户银行：                           开户银行：</w:t>
      </w:r>
    </w:p>
    <w:p>
      <w:pPr>
        <w:snapToGrid w:val="0"/>
        <w:spacing w:line="360" w:lineRule="auto"/>
        <w:ind w:firstLine="1050" w:firstLineChars="500"/>
        <w:rPr>
          <w:rFonts w:ascii="宋体" w:hAnsi="宋体" w:eastAsia="宋体" w:cs="宋体"/>
          <w:bCs/>
          <w:color w:val="auto"/>
          <w:sz w:val="21"/>
          <w:szCs w:val="21"/>
        </w:rPr>
      </w:pPr>
      <w:r>
        <w:rPr>
          <w:rFonts w:hint="eastAsia" w:ascii="宋体" w:hAnsi="宋体" w:eastAsia="宋体" w:cs="宋体"/>
          <w:bCs/>
          <w:color w:val="auto"/>
          <w:sz w:val="21"/>
          <w:szCs w:val="21"/>
        </w:rPr>
        <w:t>账  号：                             账  号：</w:t>
      </w:r>
    </w:p>
    <w:p>
      <w:pPr>
        <w:snapToGrid w:val="0"/>
        <w:spacing w:line="360" w:lineRule="auto"/>
        <w:ind w:firstLine="1050" w:firstLineChars="500"/>
        <w:rPr>
          <w:rFonts w:ascii="宋体" w:hAnsi="宋体" w:eastAsia="宋体" w:cs="宋体"/>
          <w:bCs/>
          <w:color w:val="auto"/>
          <w:sz w:val="21"/>
          <w:szCs w:val="21"/>
        </w:rPr>
      </w:pPr>
      <w:r>
        <w:rPr>
          <w:rFonts w:hint="eastAsia" w:ascii="宋体" w:hAnsi="宋体" w:eastAsia="宋体" w:cs="宋体"/>
          <w:bCs/>
          <w:color w:val="auto"/>
          <w:sz w:val="21"/>
          <w:szCs w:val="21"/>
        </w:rPr>
        <w:t>邮政编码：                           邮政编码：</w:t>
      </w:r>
    </w:p>
    <w:p>
      <w:pPr>
        <w:snapToGrid w:val="0"/>
        <w:spacing w:line="360" w:lineRule="auto"/>
        <w:jc w:val="left"/>
        <w:rPr>
          <w:rFonts w:ascii="宋体" w:hAnsi="宋体" w:eastAsia="宋体" w:cs="宋体"/>
          <w:bCs/>
          <w:color w:val="auto"/>
          <w:sz w:val="21"/>
          <w:szCs w:val="21"/>
        </w:rPr>
      </w:pPr>
      <w:r>
        <w:rPr>
          <w:rFonts w:hint="eastAsia" w:ascii="宋体" w:hAnsi="宋体" w:eastAsia="宋体" w:cs="宋体"/>
          <w:bCs/>
          <w:color w:val="auto"/>
          <w:sz w:val="21"/>
          <w:szCs w:val="21"/>
        </w:rPr>
        <w:br w:type="page"/>
      </w:r>
      <w:r>
        <w:rPr>
          <w:rFonts w:hint="eastAsia" w:ascii="宋体" w:hAnsi="宋体" w:eastAsia="宋体" w:cs="宋体"/>
          <w:bCs/>
          <w:color w:val="auto"/>
          <w:sz w:val="21"/>
          <w:szCs w:val="21"/>
        </w:rPr>
        <w:t>附件二：</w:t>
      </w:r>
    </w:p>
    <w:p>
      <w:pPr>
        <w:snapToGrid w:val="0"/>
        <w:spacing w:line="360" w:lineRule="auto"/>
        <w:ind w:firstLine="600" w:firstLineChars="200"/>
        <w:jc w:val="center"/>
        <w:rPr>
          <w:rFonts w:ascii="宋体" w:hAnsi="宋体" w:eastAsia="宋体" w:cs="宋体"/>
          <w:bCs/>
          <w:color w:val="auto"/>
          <w:sz w:val="21"/>
          <w:szCs w:val="21"/>
        </w:rPr>
      </w:pPr>
      <w:r>
        <w:rPr>
          <w:rFonts w:hint="eastAsia" w:ascii="宋体" w:hAnsi="宋体" w:eastAsia="宋体" w:cs="宋体"/>
          <w:bCs/>
          <w:color w:val="auto"/>
          <w:sz w:val="30"/>
          <w:szCs w:val="30"/>
        </w:rPr>
        <w:t>安全生产责任协议书</w:t>
      </w:r>
    </w:p>
    <w:p>
      <w:pPr>
        <w:snapToGrid w:val="0"/>
        <w:spacing w:line="360"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甲方（发包人）：仙居县人民医院</w:t>
      </w:r>
    </w:p>
    <w:p>
      <w:pPr>
        <w:snapToGrid w:val="0"/>
        <w:spacing w:line="360"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 xml:space="preserve">乙方（承包人）： </w:t>
      </w:r>
    </w:p>
    <w:p>
      <w:pPr>
        <w:snapToGrid w:val="0"/>
        <w:spacing w:line="360" w:lineRule="auto"/>
        <w:ind w:firstLine="420" w:firstLineChars="200"/>
        <w:rPr>
          <w:rFonts w:ascii="宋体" w:hAnsi="宋体" w:eastAsia="宋体" w:cs="宋体"/>
          <w:bCs/>
          <w:color w:val="auto"/>
          <w:kern w:val="0"/>
          <w:sz w:val="21"/>
          <w:szCs w:val="21"/>
        </w:rPr>
      </w:pPr>
      <w:r>
        <w:rPr>
          <w:rFonts w:hint="eastAsia" w:ascii="宋体" w:hAnsi="宋体" w:eastAsia="宋体" w:cs="宋体"/>
          <w:bCs/>
          <w:color w:val="auto"/>
          <w:sz w:val="21"/>
          <w:szCs w:val="21"/>
        </w:rPr>
        <w:t>工程项目名称：</w:t>
      </w:r>
    </w:p>
    <w:p>
      <w:pPr>
        <w:snapToGrid w:val="0"/>
        <w:spacing w:line="360"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为落实安全生产的管理要求，确保工程建设的顺利进行，按《浙江省建筑安全文明施工标准化工地管理办法》（浙建建[2005]41号)规定，甲乙双方共同协商，一致同意如下：</w:t>
      </w:r>
    </w:p>
    <w:p>
      <w:pPr>
        <w:snapToGrid w:val="0"/>
        <w:spacing w:line="360"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一、发包人在施工开始前向承包人提交必要的施工场地，明确承包人安全生产管理的责任区域和要求，承包人负责施工现场的安全管理工作，是施工现场的安全管理的责任单位。承包人必须建立健全安全生产保证体系，建立健全应急救援体系其相关文件报发包人备案。</w:t>
      </w:r>
    </w:p>
    <w:p>
      <w:pPr>
        <w:snapToGrid w:val="0"/>
        <w:spacing w:line="360"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二、发包人应积极组织和督促承包人开展安全达标活动，及时传达和部署上级的有关安全生产精神和要求，定期听取承包人的意见和要求。加强安全生产的指导和协调。</w:t>
      </w:r>
    </w:p>
    <w:p>
      <w:pPr>
        <w:snapToGrid w:val="0"/>
        <w:spacing w:line="360"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三、发包人负责组织对承包人安全规范作业、文明施工情况的检查，定期组织考核；对承包人及有关人员在安全生产工作中有突出贡献或成绩显著的集体、个人应给予表彰和物资奖励。对承包人及有关人员发出的违章、违法行为和存在的问题以及在安全生产、文明等创优达标活动中不积极配合的，发包人有权制止教育、责成其限期整改。</w:t>
      </w:r>
    </w:p>
    <w:p>
      <w:pPr>
        <w:snapToGrid w:val="0"/>
        <w:spacing w:line="360"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四、凡工地内发生生产事故或重大人员伤亡的，发包人派员参与劳动行政部门、司法机关调查处理。发包人可按其造成的后果及影响，对责任单位以按责任违约给予一次性经济的处理。责任违约的经济处理按约定扣除。事故造成的经济损失及因承包人责任给发包人造成的连带经济损失全部由承包人承担。</w:t>
      </w:r>
    </w:p>
    <w:p>
      <w:pPr>
        <w:snapToGrid w:val="0"/>
        <w:spacing w:line="360"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责任违约的经济处理的约定：</w:t>
      </w:r>
    </w:p>
    <w:p>
      <w:pPr>
        <w:snapToGrid w:val="0"/>
        <w:spacing w:line="360"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依据国家和地方相关法律法规、政策、规定、制度以及本工程施工合同执行。</w:t>
      </w:r>
    </w:p>
    <w:p>
      <w:pPr>
        <w:snapToGrid w:val="0"/>
        <w:spacing w:line="360"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五、承包人应严格贯彻执行国家和市颁布的有关安全生产的法律、法规，严格按照中华人民共和国建设部建标（99）79号“关于发布行业标准《建筑施工安全检查标准》的通知”（编号JGJ59—99）的要求加强内部安全管理，落实各项安全防护措施，确保工程建设中不发生人员死亡事故。</w:t>
      </w:r>
    </w:p>
    <w:p>
      <w:pPr>
        <w:snapToGrid w:val="0"/>
        <w:spacing w:line="360"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六、承包人要按照安全作业规范针对本工程项目的特点、性质、规模以及施工现场条件编制施工组织设计和施工方案，制定和组织落实各项的施工安全技术措施，并向全体施工人员进行安全技术交底。严格按照施工组织设计和有关安全要求施工。</w:t>
      </w:r>
    </w:p>
    <w:p>
      <w:pPr>
        <w:snapToGrid w:val="0"/>
        <w:spacing w:line="360"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七、承包人进入工地后应明确落实施工现场安全生产第一责任人。根据建设部办公厅2000年10号文件要求配置专职安全管理人员。即施工人员超过50人的工地必须配置专职安全管理人员；工程造价在1000万元以上的工地，必须配置2-3名管理安全生产工作人员；工程造价在5000万元以上的工地，要按专业设置专职安全员，组成安全管理组负责工地的安全生产管理工作。并将名单报发包人备案。承包人要建立健全安全生产保证体系，落实各级安全责任制，完善各项安全生产制度（包括奖惩制度）：按照”谁施工谁负责”的原则，负责单位内部和施工责任区域的安全生产管理工作。</w:t>
      </w:r>
    </w:p>
    <w:p>
      <w:pPr>
        <w:snapToGrid w:val="0"/>
        <w:spacing w:line="360"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八、承包人对各分包单位及外聘人员的安全生产工作要纳入本单位统一管理的范围，明确要求，签订管理协议；要加强对全体施工人员安全作业、文明施工和自我保护的宣传教育；做好上岗前的安全培训，特殊工种作业人员必须做到持证上岗：进入本市施工的外市特殊作业人员，还必须经本市有关特种作业考核站进审证教育，禁止实习、学习人员现场作业。严格执行各种安全操作规程，确保施工安全。</w:t>
      </w:r>
    </w:p>
    <w:p>
      <w:pPr>
        <w:snapToGrid w:val="0"/>
        <w:spacing w:line="360"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九、承包人要按照“安全自查，隐患自改、责任自负”的原则加强对施工责任区的日常安全检查。及叫制上和处理各类违章违法行为。对查获的隐患要及时落实整改措施，消除隐患。</w:t>
      </w:r>
    </w:p>
    <w:p>
      <w:pPr>
        <w:snapToGrid w:val="0"/>
        <w:spacing w:line="360"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十、承包人应主动接受发包人在安全生产工作上的业务指导，检查和督促，服从管理；对发包人的工作布置和组织的活动要积极贯彻实施和参加。对发包人给予因责任违约的经济处理如有异议可要求复核。对发包人工作人员利用职权营私舞弊、有意刁难的违法行为，有权检举揭发，要求处理。</w:t>
      </w:r>
    </w:p>
    <w:p>
      <w:pPr>
        <w:snapToGrid w:val="0"/>
        <w:spacing w:line="360"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十一、在施工现场或施工作业过程中，因承包人原因发生安全事故或造成人员伤亡的，由承包人承担处理和所有的经济赔偿责任。承包人须妥善处理事故，积极抢救受伤人员、保护现场，并按规定时限向当地安监等相关政府部门报告，并立即报告发包人，不得迟报瞒报。发包人应积极配合处理。</w:t>
      </w:r>
    </w:p>
    <w:p>
      <w:pPr>
        <w:snapToGrid w:val="0"/>
        <w:spacing w:line="360" w:lineRule="auto"/>
        <w:ind w:firstLine="420" w:firstLineChars="200"/>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十二、承包人须参加由发包人召集的每周一次的工程工作列会，对工程进度、工程质量、安全施工等情况向会议进行汇报，并接受发包人的安全检查。</w:t>
      </w:r>
    </w:p>
    <w:p>
      <w:pPr>
        <w:snapToGrid w:val="0"/>
        <w:spacing w:line="360" w:lineRule="auto"/>
        <w:ind w:firstLine="420" w:firstLineChars="200"/>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十三、承包人不准将工程项目进行整体转包。</w:t>
      </w:r>
    </w:p>
    <w:p>
      <w:pPr>
        <w:snapToGrid w:val="0"/>
        <w:spacing w:line="360" w:lineRule="auto"/>
        <w:ind w:firstLine="420" w:firstLineChars="200"/>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十四、承包人对施工现场的安全负责。在施工过程中或施工现场，因承包人原因造成的安全事故，由承包人承担处理和所有的经济赔偿责任，承包人须按规定将事故发生情况向当地政府相关部门报告，并立即报告发包人。发包人积极协助处理。</w:t>
      </w:r>
    </w:p>
    <w:p>
      <w:pPr>
        <w:snapToGrid w:val="0"/>
        <w:spacing w:line="360" w:lineRule="auto"/>
        <w:ind w:firstLine="420" w:firstLineChars="200"/>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十五、承包人须将施工作业人员名册报发包人备案，承包人的施工作业人员必须接受发包人组织的安全培训，培训合格后由发包人发给盖有发包人印章的“施工出入证”。持有“施工出入证”的人员方可进场施工作业。</w:t>
      </w:r>
    </w:p>
    <w:p>
      <w:pPr>
        <w:snapToGrid w:val="0"/>
        <w:spacing w:line="360" w:lineRule="auto"/>
        <w:ind w:firstLine="420" w:firstLineChars="200"/>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十六、承包人须为施工作业人员缴纳相关保险，并在合同签订之日起的 个工作日内将缴纳保险凭证复印件交发包人。</w:t>
      </w:r>
    </w:p>
    <w:p>
      <w:pPr>
        <w:snapToGrid w:val="0"/>
        <w:spacing w:line="360" w:lineRule="auto"/>
        <w:ind w:firstLine="420" w:firstLineChars="200"/>
        <w:rPr>
          <w:rFonts w:ascii="宋体" w:hAnsi="宋体" w:eastAsia="宋体" w:cs="宋体"/>
          <w:bCs/>
          <w:color w:val="auto"/>
          <w:sz w:val="21"/>
          <w:szCs w:val="21"/>
          <w:u w:val="single"/>
        </w:rPr>
      </w:pPr>
      <w:r>
        <w:rPr>
          <w:rFonts w:hint="eastAsia" w:ascii="宋体" w:hAnsi="宋体" w:eastAsia="宋体" w:cs="宋体"/>
          <w:bCs/>
          <w:color w:val="auto"/>
          <w:sz w:val="21"/>
          <w:szCs w:val="21"/>
          <w:u w:val="single"/>
        </w:rPr>
        <w:t>十七、承包人必须严格按医院管理规范要求进场施工：必须报医院后勤处、安保处备案，并接受医院安保处的安全教育；进场施工必须佩戴胸牌，统一着装；施工垃圾及时清运，垃圾密闭包装，不得裸露在外。</w:t>
      </w:r>
    </w:p>
    <w:p>
      <w:pPr>
        <w:snapToGrid w:val="0"/>
        <w:spacing w:line="360"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十八、本协议中木涉及的有关条款，甲乙双方可根据需要协商补充修改。</w:t>
      </w:r>
    </w:p>
    <w:p>
      <w:pPr>
        <w:snapToGrid w:val="0"/>
        <w:spacing w:line="360"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如遇有国家和本市的有关法规不符的，应按国家和本市的有关法规执行。</w:t>
      </w:r>
    </w:p>
    <w:p>
      <w:pPr>
        <w:snapToGrid w:val="0"/>
        <w:spacing w:line="360"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十九、本协议作为甲乙双方工程承包合同的附件，在工程承包合同签约后生效，与工程承包合同具有同等法律效力。工程承包合同期满，本协议终上。</w:t>
      </w:r>
    </w:p>
    <w:p>
      <w:pPr>
        <w:snapToGrid w:val="0"/>
        <w:spacing w:line="360" w:lineRule="auto"/>
        <w:ind w:firstLine="420" w:firstLineChars="200"/>
        <w:rPr>
          <w:rFonts w:ascii="宋体" w:hAnsi="宋体" w:eastAsia="宋体" w:cs="宋体"/>
          <w:bCs/>
          <w:color w:val="auto"/>
          <w:sz w:val="21"/>
          <w:szCs w:val="21"/>
        </w:rPr>
      </w:pPr>
    </w:p>
    <w:p>
      <w:pPr>
        <w:snapToGrid w:val="0"/>
        <w:spacing w:line="360" w:lineRule="auto"/>
        <w:ind w:firstLine="420" w:firstLineChars="200"/>
        <w:rPr>
          <w:rFonts w:ascii="宋体" w:hAnsi="宋体" w:eastAsia="宋体" w:cs="宋体"/>
          <w:bCs/>
          <w:color w:val="auto"/>
          <w:sz w:val="21"/>
          <w:szCs w:val="21"/>
        </w:rPr>
      </w:pPr>
    </w:p>
    <w:p>
      <w:pPr>
        <w:snapToGrid w:val="0"/>
        <w:spacing w:line="360"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发包人（公章）：                                 承包人（公章）：</w:t>
      </w:r>
    </w:p>
    <w:p>
      <w:pPr>
        <w:snapToGrid w:val="0"/>
        <w:spacing w:line="360"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法定代表人：                                    法定代表人：</w:t>
      </w:r>
    </w:p>
    <w:p>
      <w:pPr>
        <w:snapToGrid w:val="0"/>
        <w:spacing w:line="360"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或委托代理人：                                  或委托代理人：</w:t>
      </w:r>
    </w:p>
    <w:p>
      <w:pPr>
        <w:snapToGrid w:val="0"/>
        <w:spacing w:line="360" w:lineRule="auto"/>
        <w:ind w:firstLine="420" w:firstLineChars="200"/>
        <w:rPr>
          <w:rFonts w:ascii="宋体" w:hAnsi="宋体" w:eastAsia="宋体" w:cs="宋体"/>
          <w:bCs/>
          <w:color w:val="auto"/>
          <w:sz w:val="21"/>
          <w:szCs w:val="21"/>
        </w:rPr>
      </w:pPr>
      <w:r>
        <w:rPr>
          <w:rFonts w:hint="eastAsia" w:ascii="宋体" w:hAnsi="宋体" w:eastAsia="宋体" w:cs="宋体"/>
          <w:bCs/>
          <w:color w:val="auto"/>
          <w:sz w:val="21"/>
          <w:szCs w:val="21"/>
        </w:rPr>
        <w:t xml:space="preserve">      年    月    日                                  年    月    日</w:t>
      </w:r>
    </w:p>
    <w:p>
      <w:pPr>
        <w:snapToGrid w:val="0"/>
        <w:spacing w:line="360" w:lineRule="auto"/>
        <w:ind w:firstLine="420" w:firstLineChars="200"/>
        <w:rPr>
          <w:rFonts w:ascii="宋体" w:hAnsi="宋体" w:eastAsia="宋体" w:cs="宋体"/>
          <w:bCs/>
          <w:color w:val="auto"/>
          <w:sz w:val="21"/>
          <w:szCs w:val="21"/>
        </w:rPr>
      </w:pPr>
    </w:p>
    <w:p>
      <w:pPr>
        <w:snapToGrid w:val="0"/>
        <w:spacing w:line="360" w:lineRule="auto"/>
        <w:ind w:firstLine="720" w:firstLineChars="200"/>
        <w:jc w:val="center"/>
        <w:rPr>
          <w:rFonts w:ascii="宋体" w:hAnsi="宋体" w:cs="宋体"/>
          <w:bCs/>
          <w:color w:val="auto"/>
          <w:szCs w:val="21"/>
        </w:rPr>
        <w:sectPr>
          <w:footerReference r:id="rId7" w:type="default"/>
          <w:type w:val="nextColumn"/>
          <w:pgSz w:w="11906" w:h="16838"/>
          <w:pgMar w:top="1418" w:right="1588" w:bottom="1418" w:left="1588" w:header="851" w:footer="992" w:gutter="0"/>
          <w:cols w:space="720" w:num="1"/>
          <w:docGrid w:linePitch="312" w:charSpace="0"/>
        </w:sectPr>
      </w:pPr>
    </w:p>
    <w:p>
      <w:pPr>
        <w:snapToGrid w:val="0"/>
        <w:spacing w:line="360" w:lineRule="auto"/>
        <w:jc w:val="left"/>
        <w:rPr>
          <w:rFonts w:ascii="宋体" w:hAnsi="宋体" w:eastAsia="宋体" w:cs="宋体"/>
          <w:b/>
          <w:color w:val="auto"/>
          <w:sz w:val="21"/>
          <w:szCs w:val="21"/>
        </w:rPr>
      </w:pPr>
      <w:r>
        <w:rPr>
          <w:rFonts w:hint="eastAsia" w:ascii="宋体" w:hAnsi="宋体" w:eastAsia="宋体" w:cs="宋体"/>
          <w:color w:val="auto"/>
          <w:kern w:val="0"/>
          <w:sz w:val="21"/>
          <w:szCs w:val="21"/>
          <w:lang w:val="zh-CN"/>
        </w:rPr>
        <w:t xml:space="preserve">附件三 </w:t>
      </w:r>
    </w:p>
    <w:p>
      <w:pPr>
        <w:snapToGrid w:val="0"/>
        <w:spacing w:line="360" w:lineRule="auto"/>
        <w:ind w:firstLine="602" w:firstLineChars="200"/>
        <w:jc w:val="center"/>
        <w:rPr>
          <w:rFonts w:ascii="宋体" w:hAnsi="宋体" w:eastAsia="宋体" w:cs="宋体"/>
          <w:b/>
          <w:color w:val="auto"/>
          <w:sz w:val="30"/>
          <w:szCs w:val="30"/>
        </w:rPr>
      </w:pPr>
      <w:r>
        <w:rPr>
          <w:rFonts w:hint="eastAsia" w:ascii="宋体" w:hAnsi="宋体" w:eastAsia="宋体" w:cs="宋体"/>
          <w:b/>
          <w:color w:val="auto"/>
          <w:sz w:val="30"/>
          <w:szCs w:val="30"/>
        </w:rPr>
        <w:t>文明施工责任协议书</w:t>
      </w:r>
    </w:p>
    <w:p>
      <w:pPr>
        <w:snapToGrid w:val="0"/>
        <w:spacing w:line="360" w:lineRule="auto"/>
        <w:ind w:firstLine="420" w:firstLineChars="200"/>
        <w:rPr>
          <w:rFonts w:ascii="宋体" w:hAnsi="宋体" w:eastAsia="宋体" w:cs="宋体"/>
          <w:color w:val="auto"/>
          <w:sz w:val="21"/>
          <w:szCs w:val="21"/>
        </w:rPr>
      </w:pPr>
    </w:p>
    <w:p>
      <w:pPr>
        <w:snapToGrid w:val="0"/>
        <w:spacing w:line="36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甲方（发包人）：仙居县人民医院</w:t>
      </w:r>
    </w:p>
    <w:p>
      <w:pPr>
        <w:snapToGrid w:val="0"/>
        <w:spacing w:line="36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 xml:space="preserve">乙方（承包人）： </w:t>
      </w:r>
    </w:p>
    <w:p>
      <w:pPr>
        <w:snapToGrid w:val="0"/>
        <w:spacing w:line="360" w:lineRule="auto"/>
        <w:ind w:firstLine="420" w:firstLineChars="200"/>
        <w:rPr>
          <w:rFonts w:ascii="宋体" w:hAnsi="宋体" w:eastAsia="宋体" w:cs="宋体"/>
          <w:color w:val="auto"/>
          <w:kern w:val="0"/>
          <w:sz w:val="21"/>
          <w:szCs w:val="21"/>
        </w:rPr>
      </w:pPr>
      <w:r>
        <w:rPr>
          <w:rFonts w:hint="eastAsia" w:ascii="宋体" w:hAnsi="宋体" w:eastAsia="宋体" w:cs="宋体"/>
          <w:color w:val="auto"/>
          <w:sz w:val="21"/>
          <w:szCs w:val="21"/>
        </w:rPr>
        <w:t>工程项目名称：</w:t>
      </w:r>
    </w:p>
    <w:p>
      <w:pPr>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为认真做好工程建设施工区域内的文明施工，现经甲、乙双方协商同意，明确在文明施工和文明施工管理中的各自职责，并签订如下协议。</w:t>
      </w:r>
    </w:p>
    <w:p>
      <w:pPr>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 xml:space="preserve">  一、双方同意在在工程管理和工程建设中必须坚持社会效益第一，经济效益和社会效益相—致，“方便人民生活，有利于发展生产、保护生态环境”的原则，坚持便民、利民、为民服务的宗旨。搞好工程建设中的文明施工。</w:t>
      </w:r>
    </w:p>
    <w:p>
      <w:pPr>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 xml:space="preserve">  二、双方要认真贯彻”建设单位负责，施工单位实施，地方政府监督”的文明施工原则。现场由甲方代表牵头，建立参方共同参与的文明施工管理小组，负责日常管理协调工作，争创文明工地。甲方按合同有关要求，及时拨付有关费用并按市有关创建文明工地的规定，组织、指导、检查、考核、和开展选评工作，创建活动的实施由乙方负责。</w:t>
      </w:r>
    </w:p>
    <w:p>
      <w:pPr>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 xml:space="preserve">  三、乙方应遵守如下规定：</w:t>
      </w:r>
    </w:p>
    <w:p>
      <w:pPr>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1、根据工程的特点，编制文明施工实施方案，在开工前5日内，将文明施工实施方案报甲方和市安全监督部门备案。</w:t>
      </w:r>
    </w:p>
    <w:p>
      <w:pPr>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2、乙方按有关规定专项包干使用文明施工费，不得挪作他用。</w:t>
      </w:r>
    </w:p>
    <w:p>
      <w:pPr>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3、工地应设置专职文明施工安全员，做到佩证上岗、动态管理，及时收集、记录、整理、管理台帐等技术资料。</w:t>
      </w:r>
    </w:p>
    <w:p>
      <w:pPr>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4、施工现场应按文明施工安全生产的要求，设置各项临时设施，并达到下列要求：</w:t>
      </w:r>
    </w:p>
    <w:p>
      <w:pPr>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（1）施工区域与非施工区域严格分隔。</w:t>
      </w:r>
    </w:p>
    <w:p>
      <w:pPr>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（2）施工区域内应设置能保证施工安全的夜间照明和警示标志，并采取安全防护措施。</w:t>
      </w:r>
    </w:p>
    <w:p>
      <w:pPr>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（3）各类材料、机具设备按工地总平面图的布置，在固定场地整齐堆放，不得侵占场内道路及安全防护等设施。</w:t>
      </w:r>
    </w:p>
    <w:p>
      <w:pPr>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5、工地民工宿舍应符合卫生要求和居住条件，地面应用砼硬化，照明电线敷设应符合规范，不得任意拉线接电。宿舍应保持整洁有序，不得男女混杂居住及居住与施工无关的人员。</w:t>
      </w:r>
    </w:p>
    <w:p>
      <w:pPr>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6、施工现场设有食堂的，应符合台州市职工食堂管理的有关规定，并配备冷冻、冷藏设备，其位置应远离厕所、垃圾容器等污染源，炊事员应持有效健康证明及岗位培训合格证。</w:t>
      </w:r>
    </w:p>
    <w:p>
      <w:pPr>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施工现场应设置茶桶、保障茶水供应。</w:t>
      </w:r>
    </w:p>
    <w:p>
      <w:pPr>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7、建筑垃圾和其他散体物料装运应实行车辆密闭式运输，冲洗干净后出场，运输过程中严禁沿途抛、洒、滴、漏。</w:t>
      </w:r>
    </w:p>
    <w:p>
      <w:pPr>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8、乙方应当严格依照《中华人民共和国消防条例》的规定，在工地建立和执行防火管理制度，重点部位设置符合消防要求的消防设施，并保持完好的备用状态。　</w:t>
      </w:r>
    </w:p>
    <w:p>
      <w:pPr>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9、遵守建设地的现场管理要求。</w:t>
      </w:r>
    </w:p>
    <w:p>
      <w:pPr>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10、施工单位在施工中应遵守下列规定：</w:t>
      </w:r>
    </w:p>
    <w:p>
      <w:pPr>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（1）完善技术和操作管理规程，确保防汛设施和地下管线通畅、安全。</w:t>
      </w:r>
    </w:p>
    <w:p>
      <w:pPr>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（2）采取各种有效措施，控制扬尘、噪声。</w:t>
      </w:r>
    </w:p>
    <w:p>
      <w:pPr>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（3）设置各种防护设施，防止施工中废弃物、杂物影响周围环境，伤害过往行人。</w:t>
      </w:r>
    </w:p>
    <w:p>
      <w:pPr>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（4）随时清理建筑垃圾，控制工地污染。</w:t>
      </w:r>
    </w:p>
    <w:p>
      <w:pPr>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（5）控制夜间施工作业，确需夜间作业的，必须事先向环保部门申办《夜间施工许可证》。</w:t>
      </w:r>
    </w:p>
    <w:p>
      <w:pPr>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（6）运用其他有效方式，减少施工时对市容、绿化和环境的不良影响。</w:t>
      </w:r>
    </w:p>
    <w:p>
      <w:pPr>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（7）遵守交通管理规定，不得使用人力车、三轮车向场外运输建筑垃圾、废土、物料。</w:t>
      </w:r>
    </w:p>
    <w:p>
      <w:pPr>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11、施工人员在施工中应严格遵守下列规定:</w:t>
      </w:r>
    </w:p>
    <w:p>
      <w:pPr>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（1）施工中产生的各类垃圾应及时清运到市容环境卫生管理部门指定的地点，严禁随意倾倒在城市道路、河道、绿化带、空旷地带和居民生活垃圾容器内。</w:t>
      </w:r>
    </w:p>
    <w:p>
      <w:pPr>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（2）施工中不得随意丢弃废物、旧料和其他杂物。</w:t>
      </w:r>
    </w:p>
    <w:p>
      <w:pPr>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（3）施工中应注意清理施工场地，做到随做随清。</w:t>
      </w:r>
    </w:p>
    <w:p>
      <w:pPr>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（4）其他：</w:t>
      </w:r>
    </w:p>
    <w:p>
      <w:pPr>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12、乙方应确保工地出入口和道路的畅通、安全。施工中造成沿线单位、人员的出入口障碍和道路交通堵塞，应及时采取有效措施。</w:t>
      </w:r>
    </w:p>
    <w:p>
      <w:pPr>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13、施工中造成下水道和其他地下管线堵塞或损坏的，应立即疏浚或修复；对工地周围的单位及人员财产造成损失的，应承担经济赔偿责任。</w:t>
      </w:r>
    </w:p>
    <w:p>
      <w:pPr>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 xml:space="preserve"> 四、甲方对乙方开展创建文明土地的工作要经常性地给予指导，定期组织检查，对乙方存在的问题应及时通知乙方进行整改，并有权对乙方责任违约，按约定办法进行经济处理。</w:t>
      </w:r>
    </w:p>
    <w:p>
      <w:pPr>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 xml:space="preserve"> 五、因乙方违反文明施工管理要求，被地方政府有关部门查获而受到的经济处罚，以及由此而使甲方受到的经济损失，均由乙方承担。</w:t>
      </w:r>
    </w:p>
    <w:p>
      <w:pPr>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 xml:space="preserve"> 六、本协议作为甲乙双方工程合同的附件，在工程合同正式签约后有效，与工程合同具有同等法律效力。工程合同期满，本协议终止。</w:t>
      </w:r>
    </w:p>
    <w:p>
      <w:pPr>
        <w:snapToGrid w:val="0"/>
        <w:spacing w:line="360" w:lineRule="auto"/>
        <w:ind w:firstLine="420" w:firstLineChars="200"/>
        <w:rPr>
          <w:rFonts w:ascii="宋体" w:hAnsi="宋体" w:eastAsia="宋体" w:cs="宋体"/>
          <w:color w:val="auto"/>
          <w:sz w:val="21"/>
          <w:szCs w:val="21"/>
        </w:rPr>
      </w:pPr>
    </w:p>
    <w:p>
      <w:pPr>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发包人（公章）：                                   承包人（公章）：</w:t>
      </w:r>
    </w:p>
    <w:p>
      <w:pPr>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法定代表人：                                      法定代表人：</w:t>
      </w:r>
    </w:p>
    <w:p>
      <w:pPr>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或委托代理人：                                    或委托代理人：</w:t>
      </w:r>
    </w:p>
    <w:p>
      <w:pPr>
        <w:adjustRightInd w:val="0"/>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 xml:space="preserve">      年    月    日                                年    月    日</w:t>
      </w:r>
    </w:p>
    <w:p>
      <w:pPr>
        <w:adjustRightInd w:val="0"/>
        <w:snapToGrid w:val="0"/>
        <w:spacing w:line="360" w:lineRule="auto"/>
        <w:rPr>
          <w:rFonts w:ascii="宋体" w:hAnsi="宋体" w:eastAsia="宋体" w:cs="宋体"/>
          <w:color w:val="auto"/>
          <w:sz w:val="21"/>
          <w:szCs w:val="21"/>
        </w:rPr>
      </w:pPr>
      <w:r>
        <w:rPr>
          <w:rFonts w:hint="eastAsia" w:ascii="宋体" w:hAnsi="宋体" w:eastAsia="宋体" w:cs="宋体"/>
          <w:color w:val="auto"/>
          <w:kern w:val="0"/>
          <w:sz w:val="21"/>
          <w:szCs w:val="21"/>
          <w:lang w:val="zh-CN"/>
        </w:rPr>
        <w:br w:type="page"/>
      </w:r>
      <w:r>
        <w:rPr>
          <w:rFonts w:hint="eastAsia" w:ascii="宋体" w:hAnsi="宋体" w:eastAsia="宋体" w:cs="宋体"/>
          <w:color w:val="auto"/>
          <w:kern w:val="0"/>
          <w:sz w:val="21"/>
          <w:szCs w:val="21"/>
          <w:lang w:val="zh-CN"/>
        </w:rPr>
        <w:t xml:space="preserve">附件四 </w:t>
      </w:r>
    </w:p>
    <w:p>
      <w:pPr>
        <w:adjustRightInd w:val="0"/>
        <w:snapToGrid w:val="0"/>
        <w:spacing w:line="360" w:lineRule="auto"/>
        <w:ind w:firstLine="602" w:firstLineChars="200"/>
        <w:jc w:val="center"/>
        <w:rPr>
          <w:rFonts w:ascii="宋体" w:hAnsi="宋体" w:eastAsia="宋体" w:cs="宋体"/>
          <w:b/>
          <w:color w:val="auto"/>
          <w:sz w:val="30"/>
          <w:szCs w:val="30"/>
        </w:rPr>
      </w:pPr>
      <w:r>
        <w:rPr>
          <w:rFonts w:hint="eastAsia" w:ascii="宋体" w:hAnsi="宋体" w:eastAsia="宋体" w:cs="宋体"/>
          <w:b/>
          <w:color w:val="auto"/>
          <w:sz w:val="30"/>
          <w:szCs w:val="30"/>
        </w:rPr>
        <w:t>建设工程廉洁协议书</w:t>
      </w:r>
    </w:p>
    <w:p>
      <w:pPr>
        <w:adjustRightInd w:val="0"/>
        <w:snapToGrid w:val="0"/>
        <w:spacing w:line="360" w:lineRule="auto"/>
        <w:ind w:firstLine="420" w:firstLineChars="200"/>
        <w:rPr>
          <w:rFonts w:ascii="宋体" w:hAnsi="宋体" w:eastAsia="宋体" w:cs="宋体"/>
          <w:color w:val="auto"/>
          <w:sz w:val="21"/>
          <w:szCs w:val="21"/>
        </w:rPr>
      </w:pPr>
    </w:p>
    <w:p>
      <w:pPr>
        <w:adjustRightInd w:val="0"/>
        <w:snapToGrid w:val="0"/>
        <w:spacing w:line="36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甲方（发包人）：仙居县人民医院</w:t>
      </w:r>
    </w:p>
    <w:p>
      <w:pPr>
        <w:adjustRightInd w:val="0"/>
        <w:snapToGrid w:val="0"/>
        <w:spacing w:line="36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 xml:space="preserve">乙方（承包人）： </w:t>
      </w:r>
    </w:p>
    <w:p>
      <w:pPr>
        <w:adjustRightInd w:val="0"/>
        <w:snapToGrid w:val="0"/>
        <w:spacing w:line="360" w:lineRule="auto"/>
        <w:ind w:firstLine="420" w:firstLineChars="200"/>
        <w:rPr>
          <w:rFonts w:ascii="宋体" w:hAnsi="宋体" w:eastAsia="宋体" w:cs="宋体"/>
          <w:color w:val="auto"/>
          <w:kern w:val="0"/>
          <w:sz w:val="21"/>
          <w:szCs w:val="21"/>
        </w:rPr>
      </w:pPr>
      <w:r>
        <w:rPr>
          <w:rFonts w:hint="eastAsia" w:ascii="宋体" w:hAnsi="宋体" w:eastAsia="宋体" w:cs="宋体"/>
          <w:color w:val="auto"/>
          <w:sz w:val="21"/>
          <w:szCs w:val="21"/>
        </w:rPr>
        <w:t>工程项目名称：</w:t>
      </w:r>
    </w:p>
    <w:p>
      <w:pPr>
        <w:adjustRightInd w:val="0"/>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为了在工程建设中保持廉政自律的工作作风，防止各种不正当行为的发生，根据国家和省市有关建设工程承发包和廉政建设的各项规定，结合工程建设的特点，订立本协议如下：</w:t>
      </w:r>
    </w:p>
    <w:p>
      <w:pPr>
        <w:adjustRightInd w:val="0"/>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一、甲乙双方应当自觉遵守国家和市关于建设工程承发包工作规则以及有关廉政建设的各项规定。</w:t>
      </w:r>
    </w:p>
    <w:p>
      <w:pPr>
        <w:adjustRightInd w:val="0"/>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二、甲方及其工作人员不得以任何形式向乙方索要和收受回扣等好处费。</w:t>
      </w:r>
    </w:p>
    <w:p>
      <w:pPr>
        <w:adjustRightInd w:val="0"/>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三、甲方工作人员应当保持与乙方的正常业务交往，不得接受乙方的现金、有价证券和贵重物品，不得在乙方报销任何应有个人支付的费用。</w:t>
      </w:r>
    </w:p>
    <w:p>
      <w:pPr>
        <w:adjustRightInd w:val="0"/>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四、甲方工作人员不得参加可能对公正执行公务有影响的宴请和娱乐活动。</w:t>
      </w:r>
    </w:p>
    <w:p>
      <w:pPr>
        <w:adjustRightInd w:val="0"/>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五、甲方工作人员不得要求接受乙方为其住房装修、婚丧嫁娶、家属和子女的工作安排以及出国等提供方便。</w:t>
      </w:r>
    </w:p>
    <w:p>
      <w:pPr>
        <w:adjustRightInd w:val="0"/>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六、甲方工作人员不得向乙方介绍家属或者亲友从事与甲方工程有关的材料设备供应、工程分包等经济活动。</w:t>
      </w:r>
    </w:p>
    <w:p>
      <w:pPr>
        <w:adjustRightInd w:val="0"/>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七、乙方应当通过正常途径开展相对业务工作，不得为获取某些不正当利益而向甲方工作人员赠送礼金、有价证券和贵重物品等。</w:t>
      </w:r>
    </w:p>
    <w:p>
      <w:pPr>
        <w:adjustRightInd w:val="0"/>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八、乙方不得为谋取私利擅自与甲方工作人员就工程承包、工程费用、材料设备供应、工程量变动、工程验收、工程质量问题处理等进行私下商谈或者达成默契。</w:t>
      </w:r>
    </w:p>
    <w:p>
      <w:pPr>
        <w:adjustRightInd w:val="0"/>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九、乙方不得以洽谈业务、签订经济合同为借口，邀请甲方工作人员外出旅游和进入高档娱乐性场所。</w:t>
      </w:r>
    </w:p>
    <w:p>
      <w:pPr>
        <w:adjustRightInd w:val="0"/>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十、乙方不得为甲方和个人购置或者提供通讯工具、家电、高档办公用品等物品。</w:t>
      </w:r>
    </w:p>
    <w:p>
      <w:pPr>
        <w:adjustRightInd w:val="0"/>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十一、乙方如发现甲方工作人员有违反上述协议者，应向甲方领导或者甲方上级单位举报。甲方不得找任何借口对乙方进行报复。甲方对举报属实和严格遵守廉政协议的乙方，在同等条件下给予承接后续工程的优先邀请投标权。</w:t>
      </w:r>
    </w:p>
    <w:p>
      <w:pPr>
        <w:adjustRightInd w:val="0"/>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十二、甲方发现乙方有违反本协议或者采用不正当的手段行贿甲方工作人员，甲方根据具体情节和造成的后果追究乙方工程合同造价1%—5%的违约金，由此给甲方造成的损失均由乙方承担，乙方用不正当手段获取的非法所得由甲方单位予以追缴。</w:t>
      </w:r>
    </w:p>
    <w:p>
      <w:pPr>
        <w:adjustRightInd w:val="0"/>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十三、严格执行中纪委下发的中纪发【2007】7号《中共中央纪委关于严格禁止利用职务上的便利谋取不正当利益的若干规定》。</w:t>
      </w:r>
    </w:p>
    <w:p>
      <w:pPr>
        <w:adjustRightInd w:val="0"/>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十四、本廉政协议作为工程承发包合同的附件，与工程承发包合同具有同等法律效力，经协议双方签署后立即生效。</w:t>
      </w:r>
    </w:p>
    <w:p>
      <w:pPr>
        <w:adjustRightInd w:val="0"/>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十五、本协议一式三份，甲、乙双方各执一份，送交见证部门一份。</w:t>
      </w:r>
    </w:p>
    <w:p>
      <w:pPr>
        <w:adjustRightInd w:val="0"/>
        <w:snapToGrid w:val="0"/>
        <w:spacing w:line="360" w:lineRule="auto"/>
        <w:ind w:firstLine="420" w:firstLineChars="200"/>
        <w:rPr>
          <w:rFonts w:ascii="宋体" w:hAnsi="宋体" w:eastAsia="宋体" w:cs="宋体"/>
          <w:color w:val="auto"/>
          <w:sz w:val="21"/>
          <w:szCs w:val="21"/>
        </w:rPr>
      </w:pPr>
    </w:p>
    <w:p>
      <w:pPr>
        <w:adjustRightInd w:val="0"/>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发包人（公章）：                                   承包人（公章）：</w:t>
      </w:r>
    </w:p>
    <w:p>
      <w:pPr>
        <w:adjustRightInd w:val="0"/>
        <w:snapToGrid w:val="0"/>
        <w:spacing w:line="360" w:lineRule="auto"/>
        <w:ind w:firstLine="420" w:firstLineChars="200"/>
        <w:rPr>
          <w:rFonts w:ascii="宋体" w:hAnsi="宋体" w:eastAsia="宋体" w:cs="宋体"/>
          <w:color w:val="auto"/>
          <w:sz w:val="21"/>
          <w:szCs w:val="21"/>
        </w:rPr>
      </w:pPr>
    </w:p>
    <w:p>
      <w:pPr>
        <w:adjustRightInd w:val="0"/>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法定代表人：                                      法定代表人：</w:t>
      </w:r>
    </w:p>
    <w:p>
      <w:pPr>
        <w:adjustRightInd w:val="0"/>
        <w:snapToGrid w:val="0"/>
        <w:spacing w:line="360" w:lineRule="auto"/>
        <w:ind w:firstLine="420" w:firstLineChars="200"/>
        <w:rPr>
          <w:rFonts w:ascii="宋体" w:hAnsi="宋体" w:eastAsia="宋体" w:cs="宋体"/>
          <w:color w:val="auto"/>
          <w:sz w:val="21"/>
          <w:szCs w:val="21"/>
        </w:rPr>
      </w:pPr>
    </w:p>
    <w:p>
      <w:pPr>
        <w:adjustRightInd w:val="0"/>
        <w:snapToGrid w:val="0"/>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或委托代理人：                                    或委托代理人：</w:t>
      </w:r>
    </w:p>
    <w:p>
      <w:pPr>
        <w:adjustRightInd w:val="0"/>
        <w:snapToGrid w:val="0"/>
        <w:spacing w:line="360" w:lineRule="auto"/>
        <w:ind w:firstLine="420" w:firstLineChars="200"/>
        <w:rPr>
          <w:rFonts w:ascii="宋体" w:hAnsi="宋体" w:eastAsia="宋体" w:cs="宋体"/>
          <w:color w:val="auto"/>
          <w:sz w:val="21"/>
          <w:szCs w:val="21"/>
        </w:rPr>
      </w:pPr>
    </w:p>
    <w:p>
      <w:pPr>
        <w:adjustRightInd w:val="0"/>
        <w:snapToGrid w:val="0"/>
        <w:spacing w:line="360" w:lineRule="auto"/>
        <w:ind w:firstLine="945" w:firstLineChars="450"/>
        <w:rPr>
          <w:rFonts w:ascii="宋体" w:hAnsi="宋体" w:eastAsia="宋体" w:cs="宋体"/>
          <w:color w:val="auto"/>
          <w:sz w:val="21"/>
          <w:szCs w:val="21"/>
        </w:rPr>
      </w:pPr>
      <w:r>
        <w:rPr>
          <w:rFonts w:hint="eastAsia" w:ascii="宋体" w:hAnsi="宋体" w:eastAsia="宋体" w:cs="宋体"/>
          <w:color w:val="auto"/>
          <w:sz w:val="21"/>
          <w:szCs w:val="21"/>
        </w:rPr>
        <w:t>年    月   日                                     年    月   日</w:t>
      </w:r>
    </w:p>
    <w:p>
      <w:pPr>
        <w:spacing w:line="360" w:lineRule="auto"/>
        <w:rPr>
          <w:rFonts w:ascii="宋体"/>
          <w:color w:val="auto"/>
          <w:sz w:val="24"/>
          <w:lang w:val="zh-CN"/>
        </w:rPr>
        <w:sectPr>
          <w:footerReference r:id="rId8" w:type="default"/>
          <w:pgSz w:w="11906" w:h="16838"/>
          <w:pgMar w:top="1440" w:right="1440" w:bottom="1440" w:left="1440" w:header="851" w:footer="992" w:gutter="0"/>
          <w:pgNumType w:start="2"/>
          <w:cols w:space="720" w:num="1"/>
          <w:docGrid w:linePitch="312" w:charSpace="0"/>
        </w:sectPr>
      </w:pPr>
    </w:p>
    <w:p>
      <w:pPr>
        <w:keepNext/>
        <w:keepLines/>
        <w:autoSpaceDE w:val="0"/>
        <w:autoSpaceDN w:val="0"/>
        <w:adjustRightInd w:val="0"/>
        <w:spacing w:before="312" w:beforeLines="100" w:line="360" w:lineRule="auto"/>
        <w:jc w:val="left"/>
        <w:outlineLvl w:val="2"/>
        <w:rPr>
          <w:rFonts w:ascii="宋体" w:hAnsi="宋体" w:eastAsia="宋体" w:cs="宋体"/>
          <w:bCs/>
          <w:color w:val="auto"/>
          <w:kern w:val="0"/>
          <w:sz w:val="21"/>
          <w:szCs w:val="21"/>
          <w:lang w:val="zh-CN"/>
        </w:rPr>
      </w:pPr>
      <w:r>
        <w:rPr>
          <w:rFonts w:hint="eastAsia" w:ascii="宋体" w:hAnsi="宋体" w:eastAsia="宋体" w:cs="宋体"/>
          <w:bCs/>
          <w:color w:val="auto"/>
          <w:kern w:val="0"/>
          <w:sz w:val="21"/>
          <w:szCs w:val="21"/>
          <w:lang w:val="zh-CN"/>
        </w:rPr>
        <w:t xml:space="preserve">附件五 </w:t>
      </w:r>
    </w:p>
    <w:p>
      <w:pPr>
        <w:keepNext/>
        <w:keepLines/>
        <w:autoSpaceDE w:val="0"/>
        <w:autoSpaceDN w:val="0"/>
        <w:adjustRightInd w:val="0"/>
        <w:spacing w:before="312" w:beforeLines="100" w:line="360" w:lineRule="auto"/>
        <w:jc w:val="center"/>
        <w:outlineLvl w:val="2"/>
        <w:rPr>
          <w:rFonts w:ascii="Times New Roman" w:hAnsi="Times New Roman" w:eastAsia="黑体" w:cs="Arial"/>
          <w:b/>
          <w:color w:val="auto"/>
          <w:kern w:val="0"/>
          <w:sz w:val="24"/>
          <w:szCs w:val="21"/>
          <w:u w:val="single"/>
        </w:rPr>
      </w:pPr>
      <w:r>
        <w:rPr>
          <w:rFonts w:hint="eastAsia" w:ascii="Times New Roman" w:hAnsi="Times New Roman" w:eastAsia="宋体" w:cs="Arial"/>
          <w:b/>
          <w:color w:val="auto"/>
          <w:kern w:val="0"/>
          <w:sz w:val="24"/>
          <w:szCs w:val="21"/>
          <w:u w:val="single"/>
        </w:rPr>
        <w:t>推荐</w:t>
      </w:r>
      <w:r>
        <w:rPr>
          <w:rFonts w:ascii="Times New Roman" w:hAnsi="Times New Roman" w:eastAsia="宋体" w:cs="Arial"/>
          <w:b/>
          <w:color w:val="auto"/>
          <w:kern w:val="0"/>
          <w:sz w:val="24"/>
          <w:szCs w:val="21"/>
          <w:u w:val="single"/>
        </w:rPr>
        <w:t>品牌一览表</w:t>
      </w:r>
    </w:p>
    <w:tbl>
      <w:tblPr>
        <w:tblStyle w:val="24"/>
        <w:tblW w:w="95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2302"/>
        <w:gridCol w:w="4860"/>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758" w:type="dxa"/>
            <w:vAlign w:val="center"/>
          </w:tcPr>
          <w:p>
            <w:pPr>
              <w:jc w:val="center"/>
              <w:rPr>
                <w:rFonts w:ascii="Times New Roman" w:hAnsi="Times New Roman" w:eastAsia="宋体" w:cs="Arial"/>
                <w:color w:val="auto"/>
                <w:sz w:val="21"/>
                <w:szCs w:val="21"/>
              </w:rPr>
            </w:pPr>
            <w:r>
              <w:rPr>
                <w:rFonts w:ascii="Times New Roman" w:hAnsi="Times New Roman" w:eastAsia="宋体" w:cs="Arial"/>
                <w:color w:val="auto"/>
                <w:sz w:val="21"/>
                <w:szCs w:val="21"/>
              </w:rPr>
              <w:t>序号</w:t>
            </w:r>
          </w:p>
        </w:tc>
        <w:tc>
          <w:tcPr>
            <w:tcW w:w="2302" w:type="dxa"/>
            <w:vAlign w:val="center"/>
          </w:tcPr>
          <w:p>
            <w:pPr>
              <w:jc w:val="center"/>
              <w:rPr>
                <w:rFonts w:ascii="Times New Roman" w:hAnsi="Times New Roman" w:eastAsia="宋体" w:cs="Arial"/>
                <w:color w:val="auto"/>
                <w:sz w:val="21"/>
                <w:szCs w:val="21"/>
              </w:rPr>
            </w:pPr>
            <w:r>
              <w:rPr>
                <w:rFonts w:hint="eastAsia" w:ascii="Times New Roman" w:hAnsi="Times New Roman" w:eastAsia="宋体" w:cs="Arial"/>
                <w:color w:val="auto"/>
                <w:sz w:val="21"/>
                <w:szCs w:val="21"/>
              </w:rPr>
              <w:t>设备或</w:t>
            </w:r>
            <w:r>
              <w:rPr>
                <w:rFonts w:ascii="Times New Roman" w:hAnsi="Times New Roman" w:eastAsia="宋体" w:cs="Arial"/>
                <w:color w:val="auto"/>
                <w:sz w:val="21"/>
                <w:szCs w:val="21"/>
              </w:rPr>
              <w:t>材料名称</w:t>
            </w:r>
          </w:p>
        </w:tc>
        <w:tc>
          <w:tcPr>
            <w:tcW w:w="4860" w:type="dxa"/>
            <w:vAlign w:val="center"/>
          </w:tcPr>
          <w:p>
            <w:pPr>
              <w:jc w:val="center"/>
              <w:rPr>
                <w:rFonts w:ascii="Times New Roman" w:hAnsi="Times New Roman" w:eastAsia="宋体" w:cs="Arial"/>
                <w:color w:val="auto"/>
                <w:sz w:val="21"/>
                <w:szCs w:val="21"/>
              </w:rPr>
            </w:pPr>
            <w:r>
              <w:rPr>
                <w:rFonts w:ascii="Times New Roman" w:hAnsi="Times New Roman" w:eastAsia="宋体" w:cs="Arial"/>
                <w:color w:val="auto"/>
                <w:sz w:val="21"/>
                <w:szCs w:val="21"/>
              </w:rPr>
              <w:t>备选品牌或厂家</w:t>
            </w:r>
          </w:p>
        </w:tc>
        <w:tc>
          <w:tcPr>
            <w:tcW w:w="1620" w:type="dxa"/>
            <w:vAlign w:val="center"/>
          </w:tcPr>
          <w:p>
            <w:pPr>
              <w:jc w:val="center"/>
              <w:rPr>
                <w:rFonts w:ascii="Times New Roman" w:hAnsi="Times New Roman" w:eastAsia="宋体" w:cs="Arial"/>
                <w:color w:val="auto"/>
                <w:sz w:val="21"/>
                <w:szCs w:val="21"/>
              </w:rPr>
            </w:pPr>
            <w:r>
              <w:rPr>
                <w:rFonts w:ascii="Times New Roman" w:hAnsi="Times New Roman" w:eastAsia="宋体" w:cs="Arial"/>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exact"/>
        </w:trPr>
        <w:tc>
          <w:tcPr>
            <w:tcW w:w="758" w:type="dxa"/>
            <w:vAlign w:val="center"/>
          </w:tcPr>
          <w:p>
            <w:pPr>
              <w:jc w:val="center"/>
              <w:rPr>
                <w:rFonts w:ascii="宋体" w:hAnsi="宋体" w:eastAsia="宋体" w:cs="宋体"/>
                <w:color w:val="auto"/>
                <w:sz w:val="21"/>
                <w:szCs w:val="21"/>
              </w:rPr>
            </w:pPr>
            <w:r>
              <w:rPr>
                <w:rFonts w:hint="eastAsia" w:ascii="宋体" w:hAnsi="宋体" w:eastAsia="宋体" w:cs="宋体"/>
                <w:color w:val="auto"/>
                <w:sz w:val="21"/>
                <w:szCs w:val="21"/>
              </w:rPr>
              <w:t>1</w:t>
            </w:r>
          </w:p>
        </w:tc>
        <w:tc>
          <w:tcPr>
            <w:tcW w:w="2302" w:type="dxa"/>
            <w:vAlign w:val="center"/>
          </w:tcPr>
          <w:p>
            <w:pPr>
              <w:jc w:val="center"/>
              <w:rPr>
                <w:rFonts w:ascii="宋体" w:hAnsi="宋体" w:eastAsia="宋体" w:cs="Arial"/>
                <w:color w:val="auto"/>
                <w:sz w:val="21"/>
                <w:szCs w:val="21"/>
              </w:rPr>
            </w:pPr>
          </w:p>
        </w:tc>
        <w:tc>
          <w:tcPr>
            <w:tcW w:w="4860" w:type="dxa"/>
            <w:vAlign w:val="center"/>
          </w:tcPr>
          <w:p>
            <w:pPr>
              <w:jc w:val="center"/>
              <w:rPr>
                <w:rFonts w:ascii="宋体" w:hAnsi="宋体" w:eastAsia="宋体"/>
                <w:color w:val="auto"/>
                <w:sz w:val="21"/>
                <w:szCs w:val="21"/>
              </w:rPr>
            </w:pPr>
          </w:p>
        </w:tc>
        <w:tc>
          <w:tcPr>
            <w:tcW w:w="1620" w:type="dxa"/>
            <w:vAlign w:val="center"/>
          </w:tcPr>
          <w:p>
            <w:pPr>
              <w:jc w:val="center"/>
              <w:rPr>
                <w:rFonts w:ascii="宋体" w:hAnsi="宋体" w:eastAsia="宋体" w:cs="Arial"/>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trPr>
        <w:tc>
          <w:tcPr>
            <w:tcW w:w="758" w:type="dxa"/>
            <w:vAlign w:val="center"/>
          </w:tcPr>
          <w:p>
            <w:pPr>
              <w:jc w:val="center"/>
              <w:rPr>
                <w:rFonts w:ascii="宋体" w:hAnsi="宋体" w:eastAsia="宋体" w:cs="宋体"/>
                <w:color w:val="auto"/>
                <w:sz w:val="21"/>
                <w:szCs w:val="21"/>
              </w:rPr>
            </w:pPr>
            <w:r>
              <w:rPr>
                <w:rFonts w:hint="eastAsia" w:ascii="宋体" w:hAnsi="宋体" w:eastAsia="宋体" w:cs="宋体"/>
                <w:color w:val="auto"/>
                <w:sz w:val="21"/>
                <w:szCs w:val="21"/>
              </w:rPr>
              <w:t>2</w:t>
            </w:r>
          </w:p>
        </w:tc>
        <w:tc>
          <w:tcPr>
            <w:tcW w:w="2302" w:type="dxa"/>
            <w:vAlign w:val="center"/>
          </w:tcPr>
          <w:p>
            <w:pPr>
              <w:jc w:val="center"/>
              <w:rPr>
                <w:rFonts w:ascii="宋体" w:hAnsi="宋体" w:eastAsia="宋体"/>
                <w:color w:val="auto"/>
                <w:sz w:val="21"/>
                <w:szCs w:val="21"/>
              </w:rPr>
            </w:pPr>
          </w:p>
        </w:tc>
        <w:tc>
          <w:tcPr>
            <w:tcW w:w="4860" w:type="dxa"/>
            <w:vAlign w:val="center"/>
          </w:tcPr>
          <w:p>
            <w:pPr>
              <w:jc w:val="center"/>
              <w:rPr>
                <w:rFonts w:ascii="宋体" w:hAnsi="宋体" w:eastAsia="宋体"/>
                <w:color w:val="auto"/>
                <w:sz w:val="21"/>
                <w:szCs w:val="21"/>
              </w:rPr>
            </w:pPr>
          </w:p>
        </w:tc>
        <w:tc>
          <w:tcPr>
            <w:tcW w:w="1620" w:type="dxa"/>
            <w:vAlign w:val="center"/>
          </w:tcPr>
          <w:p>
            <w:pPr>
              <w:jc w:val="center"/>
              <w:rPr>
                <w:rFonts w:ascii="宋体" w:hAnsi="宋体" w:eastAsia="宋体" w:cs="Arial"/>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9" w:hRule="exact"/>
        </w:trPr>
        <w:tc>
          <w:tcPr>
            <w:tcW w:w="758" w:type="dxa"/>
            <w:vAlign w:val="center"/>
          </w:tcPr>
          <w:p>
            <w:pPr>
              <w:jc w:val="center"/>
              <w:rPr>
                <w:rFonts w:ascii="宋体" w:hAnsi="宋体" w:eastAsia="宋体"/>
                <w:color w:val="auto"/>
                <w:sz w:val="21"/>
                <w:szCs w:val="21"/>
              </w:rPr>
            </w:pPr>
            <w:r>
              <w:rPr>
                <w:rFonts w:hint="eastAsia" w:ascii="宋体" w:hAnsi="宋体" w:eastAsia="宋体"/>
                <w:color w:val="auto"/>
                <w:sz w:val="21"/>
                <w:szCs w:val="21"/>
              </w:rPr>
              <w:t>3</w:t>
            </w:r>
          </w:p>
        </w:tc>
        <w:tc>
          <w:tcPr>
            <w:tcW w:w="2302" w:type="dxa"/>
            <w:vAlign w:val="center"/>
          </w:tcPr>
          <w:p>
            <w:pPr>
              <w:widowControl/>
              <w:jc w:val="center"/>
              <w:rPr>
                <w:rFonts w:ascii="宋体" w:hAnsi="宋体" w:eastAsia="宋体"/>
                <w:color w:val="auto"/>
                <w:sz w:val="21"/>
                <w:szCs w:val="21"/>
              </w:rPr>
            </w:pPr>
          </w:p>
        </w:tc>
        <w:tc>
          <w:tcPr>
            <w:tcW w:w="4860" w:type="dxa"/>
            <w:vAlign w:val="center"/>
          </w:tcPr>
          <w:p>
            <w:pPr>
              <w:jc w:val="center"/>
              <w:rPr>
                <w:rFonts w:ascii="宋体" w:hAnsi="宋体" w:eastAsia="宋体" w:cs="宋体"/>
                <w:color w:val="auto"/>
                <w:sz w:val="21"/>
                <w:szCs w:val="21"/>
              </w:rPr>
            </w:pPr>
          </w:p>
        </w:tc>
        <w:tc>
          <w:tcPr>
            <w:tcW w:w="1620" w:type="dxa"/>
            <w:vAlign w:val="center"/>
          </w:tcPr>
          <w:p>
            <w:pPr>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4" w:hRule="exact"/>
        </w:trPr>
        <w:tc>
          <w:tcPr>
            <w:tcW w:w="758" w:type="dxa"/>
            <w:vAlign w:val="center"/>
          </w:tcPr>
          <w:p>
            <w:pPr>
              <w:jc w:val="center"/>
              <w:rPr>
                <w:rFonts w:ascii="宋体" w:hAnsi="宋体" w:eastAsia="宋体"/>
                <w:color w:val="auto"/>
                <w:sz w:val="21"/>
                <w:szCs w:val="21"/>
              </w:rPr>
            </w:pPr>
            <w:r>
              <w:rPr>
                <w:rFonts w:hint="eastAsia" w:ascii="宋体" w:hAnsi="宋体" w:eastAsia="宋体"/>
                <w:color w:val="auto"/>
                <w:sz w:val="21"/>
                <w:szCs w:val="21"/>
              </w:rPr>
              <w:t>4</w:t>
            </w:r>
          </w:p>
        </w:tc>
        <w:tc>
          <w:tcPr>
            <w:tcW w:w="2302" w:type="dxa"/>
            <w:vAlign w:val="center"/>
          </w:tcPr>
          <w:p>
            <w:pPr>
              <w:widowControl/>
              <w:jc w:val="center"/>
              <w:rPr>
                <w:rFonts w:ascii="宋体" w:hAnsi="宋体" w:eastAsia="宋体"/>
                <w:color w:val="auto"/>
                <w:sz w:val="24"/>
              </w:rPr>
            </w:pPr>
          </w:p>
        </w:tc>
        <w:tc>
          <w:tcPr>
            <w:tcW w:w="4860" w:type="dxa"/>
            <w:vAlign w:val="center"/>
          </w:tcPr>
          <w:p>
            <w:pPr>
              <w:jc w:val="center"/>
              <w:rPr>
                <w:rFonts w:ascii="宋体" w:hAnsi="宋体" w:eastAsia="宋体"/>
                <w:color w:val="auto"/>
                <w:sz w:val="24"/>
              </w:rPr>
            </w:pPr>
          </w:p>
        </w:tc>
        <w:tc>
          <w:tcPr>
            <w:tcW w:w="1620" w:type="dxa"/>
            <w:vAlign w:val="center"/>
          </w:tcPr>
          <w:p>
            <w:pPr>
              <w:jc w:val="center"/>
              <w:rPr>
                <w:rFonts w:ascii="宋体" w:hAnsi="宋体" w:eastAsia="宋体" w:cs="Arial"/>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0" w:hRule="atLeast"/>
        </w:trPr>
        <w:tc>
          <w:tcPr>
            <w:tcW w:w="758" w:type="dxa"/>
            <w:vAlign w:val="center"/>
          </w:tcPr>
          <w:p>
            <w:pPr>
              <w:jc w:val="center"/>
              <w:rPr>
                <w:rFonts w:ascii="宋体" w:hAnsi="宋体" w:eastAsia="宋体"/>
                <w:color w:val="auto"/>
                <w:sz w:val="21"/>
                <w:szCs w:val="21"/>
              </w:rPr>
            </w:pPr>
            <w:r>
              <w:rPr>
                <w:rFonts w:hint="eastAsia" w:ascii="宋体" w:hAnsi="宋体" w:eastAsia="宋体"/>
                <w:color w:val="auto"/>
                <w:sz w:val="21"/>
                <w:szCs w:val="21"/>
              </w:rPr>
              <w:t>5</w:t>
            </w:r>
          </w:p>
        </w:tc>
        <w:tc>
          <w:tcPr>
            <w:tcW w:w="2302" w:type="dxa"/>
            <w:vAlign w:val="center"/>
          </w:tcPr>
          <w:p>
            <w:pPr>
              <w:widowControl/>
              <w:jc w:val="center"/>
              <w:rPr>
                <w:rFonts w:ascii="宋体" w:hAnsi="宋体" w:eastAsia="宋体"/>
                <w:color w:val="auto"/>
                <w:sz w:val="21"/>
                <w:szCs w:val="21"/>
              </w:rPr>
            </w:pPr>
          </w:p>
        </w:tc>
        <w:tc>
          <w:tcPr>
            <w:tcW w:w="4860" w:type="dxa"/>
            <w:vAlign w:val="center"/>
          </w:tcPr>
          <w:p>
            <w:pPr>
              <w:jc w:val="center"/>
              <w:rPr>
                <w:rFonts w:ascii="宋体" w:hAnsi="宋体" w:eastAsia="宋体"/>
                <w:color w:val="auto"/>
                <w:sz w:val="21"/>
                <w:szCs w:val="21"/>
              </w:rPr>
            </w:pPr>
          </w:p>
        </w:tc>
        <w:tc>
          <w:tcPr>
            <w:tcW w:w="1620" w:type="dxa"/>
            <w:vAlign w:val="center"/>
          </w:tcPr>
          <w:p>
            <w:pPr>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6" w:hRule="exact"/>
        </w:trPr>
        <w:tc>
          <w:tcPr>
            <w:tcW w:w="758" w:type="dxa"/>
            <w:vAlign w:val="center"/>
          </w:tcPr>
          <w:p>
            <w:pPr>
              <w:jc w:val="center"/>
              <w:rPr>
                <w:rFonts w:ascii="宋体" w:hAnsi="宋体" w:eastAsia="宋体"/>
                <w:color w:val="auto"/>
                <w:sz w:val="21"/>
                <w:szCs w:val="21"/>
              </w:rPr>
            </w:pPr>
            <w:r>
              <w:rPr>
                <w:rFonts w:hint="eastAsia" w:ascii="宋体" w:hAnsi="宋体" w:eastAsia="宋体"/>
                <w:color w:val="auto"/>
                <w:sz w:val="21"/>
                <w:szCs w:val="21"/>
              </w:rPr>
              <w:t>6</w:t>
            </w:r>
          </w:p>
        </w:tc>
        <w:tc>
          <w:tcPr>
            <w:tcW w:w="2302" w:type="dxa"/>
            <w:vAlign w:val="center"/>
          </w:tcPr>
          <w:p>
            <w:pPr>
              <w:widowControl/>
              <w:jc w:val="center"/>
              <w:rPr>
                <w:rFonts w:ascii="宋体" w:hAnsi="宋体" w:eastAsia="宋体"/>
                <w:color w:val="auto"/>
                <w:sz w:val="21"/>
                <w:szCs w:val="21"/>
              </w:rPr>
            </w:pPr>
          </w:p>
        </w:tc>
        <w:tc>
          <w:tcPr>
            <w:tcW w:w="4860" w:type="dxa"/>
            <w:vAlign w:val="center"/>
          </w:tcPr>
          <w:p>
            <w:pPr>
              <w:jc w:val="center"/>
              <w:rPr>
                <w:rFonts w:ascii="宋体" w:hAnsi="宋体" w:eastAsia="宋体"/>
                <w:color w:val="auto"/>
                <w:sz w:val="21"/>
                <w:szCs w:val="21"/>
              </w:rPr>
            </w:pPr>
          </w:p>
        </w:tc>
        <w:tc>
          <w:tcPr>
            <w:tcW w:w="1620" w:type="dxa"/>
            <w:vAlign w:val="center"/>
          </w:tcPr>
          <w:p>
            <w:pPr>
              <w:jc w:val="center"/>
              <w:rPr>
                <w:rFonts w:ascii="宋体" w:hAnsi="宋体" w:eastAsia="宋体" w:cs="Arial"/>
                <w:color w:val="auto"/>
                <w:sz w:val="21"/>
                <w:szCs w:val="21"/>
              </w:rPr>
            </w:pPr>
          </w:p>
        </w:tc>
      </w:tr>
    </w:tbl>
    <w:p>
      <w:pPr>
        <w:spacing w:line="400" w:lineRule="exact"/>
        <w:ind w:firstLine="1890" w:firstLineChars="900"/>
        <w:rPr>
          <w:rFonts w:ascii="宋体" w:hAnsi="宋体" w:eastAsia="宋体" w:cs="宋体"/>
          <w:b/>
          <w:bCs/>
          <w:color w:val="auto"/>
          <w:sz w:val="30"/>
          <w:szCs w:val="30"/>
        </w:rPr>
      </w:pPr>
      <w:r>
        <w:rPr>
          <w:rFonts w:hint="eastAsia" w:ascii="宋体" w:hAnsi="宋体" w:eastAsia="宋体" w:cs="宋体"/>
          <w:bCs/>
          <w:color w:val="auto"/>
          <w:sz w:val="21"/>
          <w:szCs w:val="21"/>
        </w:rPr>
        <w:br w:type="page"/>
      </w:r>
    </w:p>
    <w:p>
      <w:pPr>
        <w:spacing w:line="400" w:lineRule="exact"/>
        <w:ind w:firstLine="2711" w:firstLineChars="900"/>
        <w:rPr>
          <w:rFonts w:ascii="宋体" w:hAnsi="宋体" w:eastAsia="宋体" w:cs="宋体"/>
          <w:b/>
          <w:bCs/>
          <w:color w:val="auto"/>
          <w:sz w:val="24"/>
        </w:rPr>
      </w:pPr>
      <w:r>
        <w:rPr>
          <w:rFonts w:hint="eastAsia" w:ascii="宋体" w:hAnsi="宋体" w:eastAsia="宋体" w:cs="宋体"/>
          <w:b/>
          <w:bCs/>
          <w:color w:val="auto"/>
          <w:sz w:val="30"/>
          <w:szCs w:val="30"/>
        </w:rPr>
        <w:t>第六部分　磋商响应文件格式</w:t>
      </w:r>
      <w:bookmarkEnd w:id="55"/>
      <w:bookmarkEnd w:id="56"/>
      <w:bookmarkStart w:id="601" w:name="_Toc295986635"/>
      <w:bookmarkStart w:id="602" w:name="_Toc199314553"/>
      <w:bookmarkStart w:id="603" w:name="_Toc194223719"/>
      <w:bookmarkStart w:id="604" w:name="_Toc205087903"/>
      <w:bookmarkStart w:id="605" w:name="_Toc240724400"/>
      <w:bookmarkStart w:id="606" w:name="_Toc199314545"/>
      <w:bookmarkStart w:id="607" w:name="_Toc205087913"/>
    </w:p>
    <w:p>
      <w:pPr>
        <w:spacing w:before="312" w:beforeLines="100" w:line="360" w:lineRule="auto"/>
        <w:ind w:right="-108"/>
        <w:jc w:val="center"/>
        <w:rPr>
          <w:rFonts w:ascii="宋体" w:hAnsi="宋体"/>
          <w:color w:val="auto"/>
          <w:szCs w:val="36"/>
        </w:rPr>
      </w:pPr>
      <w:r>
        <w:rPr>
          <w:rFonts w:hint="eastAsia" w:ascii="宋体" w:hAnsi="宋体" w:eastAsia="宋体"/>
          <w:color w:val="auto"/>
          <w:szCs w:val="36"/>
          <w:lang w:eastAsia="zh-CN"/>
        </w:rPr>
        <w:t>仙居县人民医院病理科改造项目（重新招标）</w:t>
      </w:r>
      <w:r>
        <w:rPr>
          <w:rFonts w:hint="eastAsia" w:ascii="宋体" w:hAnsi="宋体"/>
          <w:color w:val="auto"/>
          <w:szCs w:val="36"/>
        </w:rPr>
        <w:t xml:space="preserve"> </w:t>
      </w:r>
    </w:p>
    <w:p>
      <w:pPr>
        <w:spacing w:before="312" w:beforeLines="100" w:line="360" w:lineRule="auto"/>
        <w:ind w:right="-108"/>
        <w:jc w:val="center"/>
        <w:rPr>
          <w:rFonts w:hint="eastAsia" w:ascii="宋体" w:hAnsi="宋体" w:eastAsia="宋体" w:cs="Arial"/>
          <w:bCs/>
          <w:color w:val="auto"/>
          <w:sz w:val="28"/>
          <w:szCs w:val="28"/>
          <w:lang w:eastAsia="zh-CN"/>
        </w:rPr>
      </w:pPr>
      <w:r>
        <w:rPr>
          <w:rFonts w:hint="eastAsia" w:ascii="宋体" w:hAnsi="宋体"/>
          <w:color w:val="auto"/>
          <w:sz w:val="28"/>
          <w:szCs w:val="28"/>
        </w:rPr>
        <w:t>项目编号：</w:t>
      </w:r>
      <w:r>
        <w:rPr>
          <w:rFonts w:hint="eastAsia" w:ascii="宋体" w:hAnsi="宋体" w:eastAsia="宋体" w:cs="Arial"/>
          <w:bCs/>
          <w:color w:val="auto"/>
          <w:sz w:val="28"/>
          <w:szCs w:val="28"/>
          <w:lang w:eastAsia="zh-CN"/>
        </w:rPr>
        <w:t>GTXJ（采购）-22001-1</w:t>
      </w:r>
    </w:p>
    <w:p>
      <w:pPr>
        <w:spacing w:before="312" w:beforeLines="100" w:line="360" w:lineRule="auto"/>
        <w:ind w:right="-108" w:firstLine="2941" w:firstLineChars="1050"/>
        <w:rPr>
          <w:rFonts w:ascii="宋体" w:hAnsi="宋体" w:cs="Arial"/>
          <w:b/>
          <w:bCs/>
          <w:color w:val="auto"/>
          <w:sz w:val="28"/>
          <w:szCs w:val="28"/>
          <w:u w:val="single"/>
        </w:rPr>
      </w:pPr>
      <w:r>
        <w:rPr>
          <w:rFonts w:hint="eastAsia" w:ascii="宋体" w:hAnsi="宋体" w:cs="Arial"/>
          <w:b/>
          <w:bCs/>
          <w:color w:val="auto"/>
          <w:sz w:val="28"/>
          <w:szCs w:val="28"/>
        </w:rPr>
        <w:t xml:space="preserve"> </w:t>
      </w:r>
    </w:p>
    <w:p>
      <w:pPr>
        <w:pStyle w:val="13"/>
        <w:spacing w:line="360" w:lineRule="auto"/>
        <w:ind w:left="0" w:leftChars="0" w:right="280"/>
        <w:jc w:val="center"/>
        <w:rPr>
          <w:color w:val="auto"/>
        </w:rPr>
      </w:pPr>
      <w:r>
        <w:rPr>
          <w:rFonts w:hint="eastAsia"/>
          <w:b/>
          <w:color w:val="auto"/>
          <w:sz w:val="28"/>
          <w:szCs w:val="22"/>
          <w:lang w:val="zh-CN"/>
        </w:rPr>
        <w:t>“</w:t>
      </w:r>
      <w:r>
        <w:rPr>
          <w:rFonts w:hint="eastAsia"/>
          <w:b/>
          <w:color w:val="auto"/>
          <w:sz w:val="28"/>
          <w:szCs w:val="22"/>
        </w:rPr>
        <w:t>资格证明文件”或</w:t>
      </w:r>
      <w:r>
        <w:rPr>
          <w:rFonts w:hint="eastAsia"/>
          <w:b/>
          <w:color w:val="auto"/>
          <w:sz w:val="28"/>
          <w:szCs w:val="22"/>
          <w:lang w:val="zh-CN"/>
        </w:rPr>
        <w:t>“</w:t>
      </w:r>
      <w:r>
        <w:rPr>
          <w:rFonts w:hint="eastAsia"/>
          <w:b/>
          <w:color w:val="auto"/>
          <w:sz w:val="28"/>
          <w:szCs w:val="22"/>
        </w:rPr>
        <w:t>商务与技术文件”或“报价文件”</w:t>
      </w:r>
      <w:r>
        <w:rPr>
          <w:rFonts w:hint="eastAsia"/>
          <w:b/>
          <w:color w:val="auto"/>
          <w:sz w:val="28"/>
        </w:rPr>
        <w:t>（请选择）</w:t>
      </w:r>
    </w:p>
    <w:p>
      <w:pPr>
        <w:spacing w:before="312" w:beforeLines="100" w:line="240" w:lineRule="atLeast"/>
        <w:ind w:right="-108"/>
        <w:jc w:val="center"/>
        <w:rPr>
          <w:rFonts w:ascii="宋体" w:hAnsi="宋体"/>
          <w:color w:val="auto"/>
          <w:sz w:val="32"/>
          <w:szCs w:val="32"/>
        </w:rPr>
      </w:pPr>
    </w:p>
    <w:p>
      <w:pPr>
        <w:spacing w:after="100" w:afterAutospacing="1" w:line="800" w:lineRule="exact"/>
        <w:ind w:right="-108"/>
        <w:jc w:val="center"/>
        <w:rPr>
          <w:rFonts w:ascii="宋体" w:hAnsi="宋体"/>
          <w:b/>
          <w:color w:val="auto"/>
          <w:spacing w:val="40"/>
          <w:sz w:val="72"/>
          <w:szCs w:val="72"/>
        </w:rPr>
      </w:pPr>
      <w:r>
        <w:rPr>
          <w:rFonts w:hint="eastAsia" w:ascii="宋体" w:hAnsi="宋体"/>
          <w:b/>
          <w:color w:val="auto"/>
          <w:spacing w:val="40"/>
          <w:sz w:val="72"/>
          <w:szCs w:val="72"/>
        </w:rPr>
        <w:t>磋</w:t>
      </w:r>
    </w:p>
    <w:p>
      <w:pPr>
        <w:spacing w:after="100" w:afterAutospacing="1" w:line="800" w:lineRule="exact"/>
        <w:ind w:right="-108"/>
        <w:jc w:val="center"/>
        <w:rPr>
          <w:rFonts w:ascii="宋体" w:hAnsi="宋体"/>
          <w:b/>
          <w:color w:val="auto"/>
          <w:spacing w:val="40"/>
          <w:sz w:val="72"/>
          <w:szCs w:val="72"/>
        </w:rPr>
      </w:pPr>
      <w:r>
        <w:rPr>
          <w:rFonts w:hint="eastAsia" w:ascii="宋体" w:hAnsi="宋体"/>
          <w:b/>
          <w:color w:val="auto"/>
          <w:spacing w:val="40"/>
          <w:sz w:val="72"/>
          <w:szCs w:val="72"/>
        </w:rPr>
        <w:t>商</w:t>
      </w:r>
    </w:p>
    <w:p>
      <w:pPr>
        <w:spacing w:after="100" w:afterAutospacing="1" w:line="800" w:lineRule="exact"/>
        <w:ind w:right="-108"/>
        <w:jc w:val="center"/>
        <w:rPr>
          <w:rFonts w:ascii="宋体" w:hAnsi="宋体"/>
          <w:b/>
          <w:color w:val="auto"/>
          <w:spacing w:val="40"/>
          <w:sz w:val="72"/>
          <w:szCs w:val="72"/>
        </w:rPr>
      </w:pPr>
      <w:r>
        <w:rPr>
          <w:rFonts w:hint="eastAsia" w:ascii="宋体" w:hAnsi="宋体"/>
          <w:b/>
          <w:color w:val="auto"/>
          <w:spacing w:val="40"/>
          <w:sz w:val="72"/>
          <w:szCs w:val="72"/>
        </w:rPr>
        <w:t>响</w:t>
      </w:r>
    </w:p>
    <w:p>
      <w:pPr>
        <w:spacing w:after="100" w:afterAutospacing="1" w:line="800" w:lineRule="exact"/>
        <w:ind w:right="-108"/>
        <w:jc w:val="center"/>
        <w:rPr>
          <w:rFonts w:ascii="宋体" w:hAnsi="宋体"/>
          <w:b/>
          <w:color w:val="auto"/>
          <w:spacing w:val="40"/>
          <w:sz w:val="72"/>
          <w:szCs w:val="72"/>
        </w:rPr>
      </w:pPr>
      <w:r>
        <w:rPr>
          <w:rFonts w:hint="eastAsia" w:ascii="宋体" w:hAnsi="宋体"/>
          <w:b/>
          <w:color w:val="auto"/>
          <w:spacing w:val="40"/>
          <w:sz w:val="72"/>
          <w:szCs w:val="72"/>
        </w:rPr>
        <w:t>应</w:t>
      </w:r>
    </w:p>
    <w:p>
      <w:pPr>
        <w:spacing w:after="100" w:afterAutospacing="1" w:line="800" w:lineRule="exact"/>
        <w:ind w:right="-108"/>
        <w:jc w:val="center"/>
        <w:rPr>
          <w:rFonts w:ascii="宋体" w:hAnsi="宋体"/>
          <w:b/>
          <w:color w:val="auto"/>
          <w:spacing w:val="40"/>
          <w:sz w:val="72"/>
          <w:szCs w:val="72"/>
        </w:rPr>
      </w:pPr>
      <w:r>
        <w:rPr>
          <w:rFonts w:hint="eastAsia" w:ascii="宋体" w:hAnsi="宋体"/>
          <w:b/>
          <w:color w:val="auto"/>
          <w:spacing w:val="40"/>
          <w:sz w:val="72"/>
          <w:szCs w:val="72"/>
        </w:rPr>
        <w:t>文</w:t>
      </w:r>
    </w:p>
    <w:p>
      <w:pPr>
        <w:spacing w:after="100" w:afterAutospacing="1" w:line="800" w:lineRule="exact"/>
        <w:ind w:right="-108"/>
        <w:jc w:val="center"/>
        <w:rPr>
          <w:rFonts w:ascii="宋体" w:hAnsi="宋体"/>
          <w:b/>
          <w:color w:val="auto"/>
          <w:spacing w:val="40"/>
          <w:sz w:val="72"/>
          <w:szCs w:val="72"/>
        </w:rPr>
      </w:pPr>
      <w:r>
        <w:rPr>
          <w:rFonts w:hint="eastAsia" w:ascii="宋体" w:hAnsi="宋体"/>
          <w:b/>
          <w:color w:val="auto"/>
          <w:spacing w:val="40"/>
          <w:sz w:val="72"/>
          <w:szCs w:val="72"/>
        </w:rPr>
        <w:t>件</w:t>
      </w:r>
    </w:p>
    <w:p>
      <w:pPr>
        <w:spacing w:line="500" w:lineRule="exact"/>
        <w:ind w:right="532"/>
        <w:jc w:val="center"/>
        <w:rPr>
          <w:rFonts w:ascii="宋体" w:hAnsi="宋体"/>
          <w:color w:val="auto"/>
          <w:szCs w:val="36"/>
        </w:rPr>
      </w:pPr>
    </w:p>
    <w:p>
      <w:pPr>
        <w:spacing w:line="500" w:lineRule="exact"/>
        <w:ind w:right="532" w:firstLine="560" w:firstLineChars="200"/>
        <w:rPr>
          <w:rFonts w:ascii="宋体" w:hAnsi="宋体"/>
          <w:color w:val="auto"/>
          <w:sz w:val="28"/>
          <w:szCs w:val="28"/>
        </w:rPr>
      </w:pPr>
      <w:r>
        <w:rPr>
          <w:rFonts w:hint="eastAsia" w:ascii="宋体" w:hAnsi="宋体"/>
          <w:color w:val="auto"/>
          <w:sz w:val="28"/>
          <w:szCs w:val="28"/>
        </w:rPr>
        <w:t>供应商全称（公章）：</w:t>
      </w:r>
    </w:p>
    <w:p>
      <w:pPr>
        <w:wordWrap w:val="0"/>
        <w:spacing w:line="500" w:lineRule="exact"/>
        <w:ind w:right="-108" w:firstLine="560" w:firstLineChars="200"/>
        <w:rPr>
          <w:rFonts w:ascii="宋体" w:hAnsi="宋体"/>
          <w:color w:val="auto"/>
          <w:sz w:val="28"/>
          <w:szCs w:val="28"/>
        </w:rPr>
      </w:pPr>
      <w:r>
        <w:rPr>
          <w:rFonts w:hint="eastAsia" w:ascii="宋体" w:hAnsi="宋体"/>
          <w:color w:val="auto"/>
          <w:sz w:val="28"/>
          <w:szCs w:val="28"/>
        </w:rPr>
        <w:t>地    址：</w:t>
      </w:r>
    </w:p>
    <w:p>
      <w:pPr>
        <w:wordWrap w:val="0"/>
        <w:spacing w:line="500" w:lineRule="exact"/>
        <w:ind w:right="-108" w:firstLine="560" w:firstLineChars="200"/>
        <w:rPr>
          <w:rFonts w:ascii="宋体" w:hAnsi="宋体"/>
          <w:color w:val="auto"/>
          <w:sz w:val="28"/>
          <w:szCs w:val="28"/>
        </w:rPr>
      </w:pPr>
      <w:r>
        <w:rPr>
          <w:rFonts w:hint="eastAsia" w:ascii="宋体" w:hAnsi="宋体"/>
          <w:color w:val="auto"/>
          <w:sz w:val="28"/>
          <w:szCs w:val="28"/>
        </w:rPr>
        <w:t>时    间：</w:t>
      </w:r>
    </w:p>
    <w:p>
      <w:pPr>
        <w:pStyle w:val="12"/>
        <w:adjustRightInd w:val="0"/>
        <w:snapToGrid w:val="0"/>
        <w:spacing w:before="120" w:after="120"/>
        <w:rPr>
          <w:rFonts w:hAnsi="宋体" w:eastAsia="宋体" w:cs="宋体"/>
          <w:b/>
          <w:bCs/>
          <w:color w:val="auto"/>
          <w:sz w:val="24"/>
          <w:szCs w:val="24"/>
        </w:rPr>
      </w:pPr>
    </w:p>
    <w:p>
      <w:pPr>
        <w:pStyle w:val="12"/>
        <w:adjustRightInd w:val="0"/>
        <w:snapToGrid w:val="0"/>
        <w:spacing w:before="120" w:after="120"/>
        <w:rPr>
          <w:rFonts w:hAnsi="宋体" w:eastAsia="宋体" w:cs="宋体"/>
          <w:b/>
          <w:bCs/>
          <w:color w:val="auto"/>
          <w:sz w:val="24"/>
          <w:szCs w:val="24"/>
        </w:rPr>
      </w:pPr>
    </w:p>
    <w:p>
      <w:pPr>
        <w:pStyle w:val="12"/>
        <w:adjustRightInd w:val="0"/>
        <w:snapToGrid w:val="0"/>
        <w:spacing w:before="120" w:after="120"/>
        <w:rPr>
          <w:rFonts w:hAnsi="宋体" w:eastAsia="宋体" w:cs="宋体"/>
          <w:b/>
          <w:bCs/>
          <w:color w:val="auto"/>
          <w:sz w:val="24"/>
          <w:szCs w:val="24"/>
        </w:rPr>
      </w:pPr>
    </w:p>
    <w:p>
      <w:pPr>
        <w:pStyle w:val="12"/>
        <w:adjustRightInd w:val="0"/>
        <w:snapToGrid w:val="0"/>
        <w:spacing w:before="120" w:after="120"/>
        <w:rPr>
          <w:rFonts w:hAnsi="宋体" w:eastAsia="宋体" w:cs="宋体"/>
          <w:b/>
          <w:bCs/>
          <w:color w:val="auto"/>
          <w:sz w:val="24"/>
          <w:szCs w:val="24"/>
        </w:rPr>
      </w:pPr>
    </w:p>
    <w:p>
      <w:pPr>
        <w:pStyle w:val="5"/>
        <w:spacing w:before="312" w:beforeLines="100" w:after="0" w:line="360" w:lineRule="auto"/>
        <w:jc w:val="center"/>
        <w:rPr>
          <w:rFonts w:ascii="宋体" w:hAnsi="宋体" w:eastAsia="宋体"/>
          <w:bCs w:val="0"/>
          <w:color w:val="auto"/>
          <w:lang w:val="zh-CN"/>
        </w:rPr>
      </w:pPr>
      <w:bookmarkStart w:id="608" w:name="_Toc528578413"/>
      <w:bookmarkStart w:id="609" w:name="_Toc528927455"/>
      <w:r>
        <w:rPr>
          <w:rFonts w:hint="eastAsia" w:ascii="宋体" w:hAnsi="宋体" w:eastAsia="宋体"/>
          <w:bCs w:val="0"/>
          <w:color w:val="auto"/>
          <w:lang w:val="zh-CN"/>
        </w:rPr>
        <w:t>1、资格证明文件格式</w:t>
      </w:r>
      <w:bookmarkEnd w:id="608"/>
      <w:bookmarkEnd w:id="609"/>
    </w:p>
    <w:p>
      <w:pPr>
        <w:spacing w:before="100" w:beforeAutospacing="1" w:line="360" w:lineRule="auto"/>
        <w:jc w:val="center"/>
        <w:rPr>
          <w:rFonts w:ascii="宋体" w:hAnsi="宋体"/>
          <w:b/>
          <w:bCs/>
          <w:color w:val="auto"/>
          <w:sz w:val="32"/>
          <w:szCs w:val="32"/>
        </w:rPr>
      </w:pPr>
      <w:r>
        <w:rPr>
          <w:rFonts w:hint="eastAsia" w:ascii="宋体" w:hAnsi="宋体"/>
          <w:b/>
          <w:bCs/>
          <w:color w:val="auto"/>
          <w:sz w:val="32"/>
          <w:szCs w:val="32"/>
        </w:rPr>
        <w:t>目  录</w:t>
      </w:r>
    </w:p>
    <w:p>
      <w:pPr>
        <w:pStyle w:val="12"/>
        <w:adjustRightInd w:val="0"/>
        <w:snapToGrid w:val="0"/>
        <w:spacing w:before="120" w:after="120"/>
        <w:ind w:firstLine="1200" w:firstLineChars="500"/>
        <w:rPr>
          <w:rFonts w:hAnsi="宋体" w:eastAsia="宋体" w:cs="宋体"/>
          <w:b/>
          <w:bCs/>
          <w:color w:val="auto"/>
          <w:sz w:val="24"/>
          <w:szCs w:val="24"/>
        </w:rPr>
      </w:pPr>
      <w:r>
        <w:rPr>
          <w:rFonts w:hint="eastAsia" w:hAnsi="宋体"/>
          <w:color w:val="auto"/>
          <w:sz w:val="24"/>
        </w:rPr>
        <w:t>（按照“第三部分 磋商须知”有关资格证明文件组成要求编排）</w:t>
      </w:r>
    </w:p>
    <w:p>
      <w:pPr>
        <w:pStyle w:val="12"/>
        <w:adjustRightInd w:val="0"/>
        <w:snapToGrid w:val="0"/>
        <w:spacing w:before="120" w:after="120"/>
        <w:rPr>
          <w:rFonts w:hAnsi="宋体" w:eastAsia="宋体" w:cs="宋体"/>
          <w:b/>
          <w:bCs/>
          <w:color w:val="auto"/>
          <w:sz w:val="24"/>
          <w:szCs w:val="24"/>
        </w:rPr>
      </w:pPr>
    </w:p>
    <w:p>
      <w:pPr>
        <w:pStyle w:val="12"/>
        <w:adjustRightInd w:val="0"/>
        <w:snapToGrid w:val="0"/>
        <w:spacing w:before="120" w:after="120"/>
        <w:rPr>
          <w:rFonts w:hAnsi="宋体" w:eastAsia="宋体" w:cs="宋体"/>
          <w:b/>
          <w:bCs/>
          <w:color w:val="auto"/>
          <w:sz w:val="24"/>
          <w:szCs w:val="24"/>
        </w:rPr>
      </w:pPr>
    </w:p>
    <w:p>
      <w:pPr>
        <w:pStyle w:val="13"/>
        <w:ind w:left="9000"/>
        <w:rPr>
          <w:rFonts w:ascii="宋体" w:hAnsi="宋体" w:eastAsia="宋体" w:cs="宋体"/>
          <w:b/>
          <w:bCs/>
          <w:color w:val="auto"/>
          <w:sz w:val="24"/>
        </w:rPr>
      </w:pPr>
    </w:p>
    <w:p>
      <w:pPr>
        <w:rPr>
          <w:rFonts w:ascii="宋体" w:hAnsi="宋体" w:eastAsia="宋体" w:cs="宋体"/>
          <w:b/>
          <w:bCs/>
          <w:color w:val="auto"/>
          <w:sz w:val="24"/>
        </w:rPr>
      </w:pPr>
    </w:p>
    <w:p>
      <w:pPr>
        <w:pStyle w:val="22"/>
        <w:ind w:firstLine="241"/>
        <w:rPr>
          <w:rFonts w:ascii="宋体" w:hAnsi="宋体" w:eastAsia="宋体" w:cs="宋体"/>
          <w:b/>
          <w:bCs/>
          <w:color w:val="auto"/>
          <w:sz w:val="24"/>
          <w:szCs w:val="24"/>
        </w:rPr>
      </w:pPr>
    </w:p>
    <w:p>
      <w:pPr>
        <w:pStyle w:val="22"/>
        <w:ind w:firstLine="241"/>
        <w:rPr>
          <w:rFonts w:ascii="宋体" w:hAnsi="宋体" w:eastAsia="宋体" w:cs="宋体"/>
          <w:b/>
          <w:bCs/>
          <w:color w:val="auto"/>
          <w:sz w:val="24"/>
          <w:szCs w:val="24"/>
        </w:rPr>
      </w:pPr>
    </w:p>
    <w:p>
      <w:pPr>
        <w:pStyle w:val="22"/>
        <w:ind w:firstLine="241"/>
        <w:rPr>
          <w:rFonts w:ascii="宋体" w:hAnsi="宋体" w:eastAsia="宋体" w:cs="宋体"/>
          <w:b/>
          <w:bCs/>
          <w:color w:val="auto"/>
          <w:sz w:val="24"/>
          <w:szCs w:val="24"/>
        </w:rPr>
      </w:pPr>
    </w:p>
    <w:p>
      <w:pPr>
        <w:pStyle w:val="22"/>
        <w:ind w:firstLine="241"/>
        <w:rPr>
          <w:rFonts w:ascii="宋体" w:hAnsi="宋体" w:eastAsia="宋体" w:cs="宋体"/>
          <w:b/>
          <w:bCs/>
          <w:color w:val="auto"/>
          <w:sz w:val="24"/>
          <w:szCs w:val="24"/>
        </w:rPr>
      </w:pPr>
    </w:p>
    <w:p>
      <w:pPr>
        <w:pStyle w:val="22"/>
        <w:ind w:firstLine="241"/>
        <w:rPr>
          <w:rFonts w:ascii="宋体" w:hAnsi="宋体" w:eastAsia="宋体" w:cs="宋体"/>
          <w:b/>
          <w:bCs/>
          <w:color w:val="auto"/>
          <w:sz w:val="24"/>
          <w:szCs w:val="24"/>
        </w:rPr>
      </w:pPr>
    </w:p>
    <w:p>
      <w:pPr>
        <w:pStyle w:val="22"/>
        <w:ind w:firstLine="241"/>
        <w:rPr>
          <w:rFonts w:ascii="宋体" w:hAnsi="宋体" w:eastAsia="宋体" w:cs="宋体"/>
          <w:b/>
          <w:bCs/>
          <w:color w:val="auto"/>
          <w:sz w:val="24"/>
          <w:szCs w:val="24"/>
        </w:rPr>
      </w:pPr>
    </w:p>
    <w:p>
      <w:pPr>
        <w:pStyle w:val="12"/>
        <w:adjustRightInd w:val="0"/>
        <w:snapToGrid w:val="0"/>
        <w:spacing w:before="120" w:after="120"/>
        <w:rPr>
          <w:rFonts w:hAnsi="宋体" w:eastAsia="宋体" w:cs="宋体"/>
          <w:b/>
          <w:bCs/>
          <w:color w:val="auto"/>
          <w:sz w:val="24"/>
          <w:szCs w:val="24"/>
        </w:rPr>
      </w:pPr>
    </w:p>
    <w:p>
      <w:pPr>
        <w:pStyle w:val="12"/>
        <w:adjustRightInd w:val="0"/>
        <w:snapToGrid w:val="0"/>
        <w:spacing w:before="120" w:after="120"/>
        <w:rPr>
          <w:rFonts w:hAnsi="宋体" w:eastAsia="宋体" w:cs="宋体"/>
          <w:b/>
          <w:bCs/>
          <w:color w:val="auto"/>
          <w:sz w:val="24"/>
          <w:szCs w:val="24"/>
        </w:rPr>
      </w:pPr>
    </w:p>
    <w:p>
      <w:pPr>
        <w:pStyle w:val="12"/>
        <w:adjustRightInd w:val="0"/>
        <w:snapToGrid w:val="0"/>
        <w:spacing w:before="120" w:after="120"/>
        <w:rPr>
          <w:rFonts w:hAnsi="宋体" w:eastAsia="宋体" w:cs="宋体"/>
          <w:b/>
          <w:bCs/>
          <w:color w:val="auto"/>
          <w:sz w:val="24"/>
          <w:szCs w:val="24"/>
        </w:rPr>
      </w:pPr>
    </w:p>
    <w:p>
      <w:pPr>
        <w:pStyle w:val="13"/>
        <w:ind w:left="9000"/>
        <w:rPr>
          <w:color w:val="auto"/>
        </w:rPr>
      </w:pPr>
    </w:p>
    <w:p>
      <w:pPr>
        <w:pStyle w:val="12"/>
        <w:adjustRightInd w:val="0"/>
        <w:snapToGrid w:val="0"/>
        <w:spacing w:before="120" w:after="120"/>
        <w:rPr>
          <w:rFonts w:hAnsi="宋体" w:eastAsia="宋体" w:cs="宋体"/>
          <w:b/>
          <w:bCs/>
          <w:color w:val="auto"/>
          <w:sz w:val="24"/>
          <w:szCs w:val="24"/>
        </w:rPr>
      </w:pPr>
    </w:p>
    <w:p>
      <w:pPr>
        <w:pStyle w:val="12"/>
        <w:adjustRightInd w:val="0"/>
        <w:snapToGrid w:val="0"/>
        <w:spacing w:before="120" w:after="120"/>
        <w:rPr>
          <w:rFonts w:hAnsi="宋体" w:eastAsia="宋体" w:cs="宋体"/>
          <w:b/>
          <w:bCs/>
          <w:color w:val="auto"/>
          <w:sz w:val="24"/>
          <w:szCs w:val="24"/>
        </w:rPr>
      </w:pPr>
    </w:p>
    <w:p>
      <w:pPr>
        <w:pStyle w:val="13"/>
        <w:ind w:left="9000"/>
        <w:rPr>
          <w:rFonts w:ascii="宋体" w:hAnsi="宋体" w:eastAsia="宋体" w:cs="宋体"/>
          <w:b/>
          <w:bCs/>
          <w:color w:val="auto"/>
          <w:sz w:val="24"/>
        </w:rPr>
      </w:pPr>
    </w:p>
    <w:p>
      <w:pPr>
        <w:rPr>
          <w:rFonts w:ascii="宋体" w:hAnsi="宋体" w:eastAsia="宋体" w:cs="宋体"/>
          <w:b/>
          <w:bCs/>
          <w:color w:val="auto"/>
          <w:sz w:val="24"/>
        </w:rPr>
      </w:pPr>
    </w:p>
    <w:p>
      <w:pPr>
        <w:pStyle w:val="33"/>
        <w:rPr>
          <w:rFonts w:ascii="宋体" w:hAnsi="宋体" w:eastAsia="宋体" w:cs="宋体"/>
          <w:b/>
          <w:bCs/>
          <w:color w:val="auto"/>
          <w:sz w:val="24"/>
        </w:rPr>
      </w:pPr>
    </w:p>
    <w:p>
      <w:pPr>
        <w:pStyle w:val="33"/>
        <w:rPr>
          <w:rFonts w:ascii="宋体" w:hAnsi="宋体" w:eastAsia="宋体" w:cs="宋体"/>
          <w:b/>
          <w:bCs/>
          <w:color w:val="auto"/>
          <w:sz w:val="24"/>
        </w:rPr>
      </w:pPr>
    </w:p>
    <w:p>
      <w:pPr>
        <w:pStyle w:val="33"/>
        <w:rPr>
          <w:rFonts w:ascii="宋体" w:hAnsi="宋体" w:eastAsia="宋体" w:cs="宋体"/>
          <w:b/>
          <w:bCs/>
          <w:color w:val="auto"/>
          <w:sz w:val="24"/>
        </w:rPr>
      </w:pPr>
    </w:p>
    <w:p>
      <w:pPr>
        <w:pStyle w:val="33"/>
        <w:rPr>
          <w:rFonts w:ascii="宋体" w:hAnsi="宋体" w:eastAsia="宋体" w:cs="宋体"/>
          <w:b/>
          <w:bCs/>
          <w:color w:val="auto"/>
          <w:sz w:val="24"/>
        </w:rPr>
      </w:pPr>
    </w:p>
    <w:p>
      <w:pPr>
        <w:pStyle w:val="33"/>
        <w:rPr>
          <w:rFonts w:ascii="宋体" w:hAnsi="宋体" w:eastAsia="宋体" w:cs="宋体"/>
          <w:b/>
          <w:bCs/>
          <w:color w:val="auto"/>
          <w:sz w:val="24"/>
        </w:rPr>
      </w:pPr>
    </w:p>
    <w:p>
      <w:pPr>
        <w:pStyle w:val="33"/>
        <w:rPr>
          <w:rFonts w:ascii="宋体" w:hAnsi="宋体" w:eastAsia="宋体" w:cs="宋体"/>
          <w:b/>
          <w:bCs/>
          <w:color w:val="auto"/>
          <w:sz w:val="24"/>
        </w:rPr>
      </w:pPr>
    </w:p>
    <w:p>
      <w:pPr>
        <w:pStyle w:val="33"/>
        <w:rPr>
          <w:rFonts w:ascii="宋体" w:hAnsi="宋体" w:eastAsia="宋体" w:cs="宋体"/>
          <w:b/>
          <w:bCs/>
          <w:color w:val="auto"/>
          <w:sz w:val="24"/>
        </w:rPr>
      </w:pPr>
    </w:p>
    <w:p>
      <w:pPr>
        <w:pStyle w:val="12"/>
        <w:adjustRightInd w:val="0"/>
        <w:snapToGrid w:val="0"/>
        <w:spacing w:before="120" w:after="120"/>
        <w:rPr>
          <w:rFonts w:hAnsi="宋体" w:eastAsia="宋体" w:cs="宋体"/>
          <w:b/>
          <w:bCs/>
          <w:color w:val="auto"/>
          <w:sz w:val="24"/>
          <w:szCs w:val="24"/>
        </w:rPr>
      </w:pPr>
    </w:p>
    <w:p>
      <w:pPr>
        <w:pStyle w:val="12"/>
        <w:adjustRightInd w:val="0"/>
        <w:snapToGrid w:val="0"/>
        <w:spacing w:before="120" w:after="120"/>
        <w:rPr>
          <w:rFonts w:hAnsi="宋体" w:eastAsia="宋体" w:cs="宋体"/>
          <w:color w:val="auto"/>
          <w:sz w:val="24"/>
          <w:szCs w:val="24"/>
        </w:rPr>
      </w:pPr>
      <w:r>
        <w:rPr>
          <w:rFonts w:hint="eastAsia" w:hAnsi="宋体" w:eastAsia="宋体" w:cs="宋体"/>
          <w:b/>
          <w:bCs/>
          <w:color w:val="auto"/>
          <w:sz w:val="24"/>
          <w:szCs w:val="24"/>
        </w:rPr>
        <w:t>附件一：</w:t>
      </w:r>
      <w:r>
        <w:rPr>
          <w:rFonts w:hint="eastAsia" w:hAnsi="宋体" w:eastAsia="宋体" w:cs="宋体"/>
          <w:color w:val="auto"/>
          <w:sz w:val="24"/>
          <w:szCs w:val="24"/>
        </w:rPr>
        <w:t xml:space="preserve">                     </w:t>
      </w:r>
    </w:p>
    <w:p>
      <w:pPr>
        <w:pStyle w:val="12"/>
        <w:adjustRightInd w:val="0"/>
        <w:snapToGrid w:val="0"/>
        <w:spacing w:before="120" w:after="120"/>
        <w:jc w:val="center"/>
        <w:rPr>
          <w:rFonts w:hAnsi="宋体" w:eastAsia="宋体" w:cs="宋体"/>
          <w:color w:val="auto"/>
          <w:sz w:val="24"/>
          <w:szCs w:val="24"/>
        </w:rPr>
      </w:pPr>
      <w:r>
        <w:rPr>
          <w:rFonts w:hint="eastAsia" w:hAnsi="宋体" w:eastAsia="宋体" w:cs="宋体"/>
          <w:b/>
          <w:bCs/>
          <w:color w:val="auto"/>
          <w:sz w:val="24"/>
          <w:szCs w:val="24"/>
        </w:rPr>
        <w:t>磋商承诺函</w:t>
      </w:r>
    </w:p>
    <w:p>
      <w:pPr>
        <w:adjustRightInd w:val="0"/>
        <w:snapToGrid w:val="0"/>
        <w:spacing w:line="360" w:lineRule="auto"/>
        <w:ind w:firstLine="120" w:firstLineChars="50"/>
        <w:rPr>
          <w:rFonts w:ascii="宋体" w:hAnsi="宋体" w:eastAsia="宋体" w:cs="宋体"/>
          <w:color w:val="auto"/>
          <w:sz w:val="24"/>
        </w:rPr>
      </w:pPr>
      <w:r>
        <w:rPr>
          <w:rFonts w:hint="eastAsia" w:ascii="宋体" w:hAnsi="宋体" w:eastAsia="宋体" w:cs="宋体"/>
          <w:color w:val="auto"/>
          <w:sz w:val="24"/>
          <w:u w:val="single"/>
        </w:rPr>
        <w:t>仙居县人民医院</w:t>
      </w:r>
      <w:r>
        <w:rPr>
          <w:rFonts w:hint="eastAsia" w:ascii="宋体" w:hAnsi="宋体" w:eastAsia="宋体" w:cs="宋体"/>
          <w:color w:val="auto"/>
          <w:sz w:val="24"/>
        </w:rPr>
        <w:t>：</w:t>
      </w:r>
    </w:p>
    <w:p>
      <w:pPr>
        <w:pStyle w:val="12"/>
        <w:adjustRightInd w:val="0"/>
        <w:snapToGrid w:val="0"/>
        <w:spacing w:before="120" w:after="120"/>
        <w:ind w:firstLine="720"/>
        <w:rPr>
          <w:rFonts w:hAnsi="宋体" w:eastAsia="宋体" w:cs="宋体"/>
          <w:color w:val="auto"/>
          <w:sz w:val="24"/>
          <w:szCs w:val="24"/>
        </w:rPr>
      </w:pPr>
      <w:r>
        <w:rPr>
          <w:rFonts w:hint="eastAsia" w:hAnsi="宋体" w:eastAsia="宋体" w:cs="宋体"/>
          <w:color w:val="auto"/>
          <w:sz w:val="24"/>
          <w:szCs w:val="24"/>
        </w:rPr>
        <w:t>__________________________(磋商人全称)授权____________________ (全权代表姓名)____________________(职务、职称)为全权代表，参加贵方组织的______________ (采购编号、采购项目名称) 采购磋商的有关活动，并对此项目进行响应。为此：我方同意在磋商须知前列表规定的磋商日期起遵守本采购承诺函中的承诺且在磋商有效期满之前均具有约束力。</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1、我方承诺已经具备《中华人民共和国政府采购法》参加政府采购活动的供应商应当具备的条件：</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（1）具有独立承担民事责任的能力；</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（2）具有良好的商业信誉和健全的财务会计制度；</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（3）具有履行合同所必需的设备和专业技术能力；</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（4）有依法缴纳税收和社会保障资金的良好记录；</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（5）参加政府采购活动前三年内，在经营活动中没有重大违法记录；</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（6）法律、行政法规规定的其他条件。</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2、提供磋商须知规定的全部磋商响应文件，包括：</w:t>
      </w:r>
    </w:p>
    <w:p>
      <w:pPr>
        <w:pStyle w:val="11"/>
        <w:spacing w:line="360" w:lineRule="auto"/>
        <w:ind w:firstLine="480" w:firstLineChars="200"/>
        <w:rPr>
          <w:rFonts w:eastAsia="宋体"/>
          <w:color w:val="auto"/>
        </w:rPr>
      </w:pPr>
      <w:r>
        <w:rPr>
          <w:rFonts w:hint="eastAsia" w:ascii="宋体" w:hAnsi="宋体" w:eastAsia="宋体" w:cs="宋体"/>
          <w:color w:val="auto"/>
          <w:szCs w:val="24"/>
        </w:rPr>
        <w:t>资格与证明文件；</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商务与技术文件；</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报价文件；</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磋商须知前列表要求的磋商人提交的全部文件；</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3、按竞争性磋商文件要求提供的服务报价详见磋商报价一览表。</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4、保证忠实地执行双方所签订的合同，并承担合同规定的责任和义务。</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5、保证遵守竞争性磋商文件中的其他有关条款。</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6、我们完全理解贵方不一定要接受最低报价。</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7、我方愿意向贵方提供真实完整的任何与该项目有关的数据、情况和技术资料。若贵方需要，我方愿意提供我方作出的一切承诺的证明材料。</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8、我方已详细审核全部竞争性磋商文件，包括竞争性磋商的修改文件（如有的话）、参考资料及有关附件，确认无误。</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9、我方将严格遵守《中华人民共和国政府采购法》第七十七条规定：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（一）提供虚假材料谋取中标、成交的；</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（二）采取不正当手段诋毁、排挤其他供应商的；</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（三）与采购人、其他供应商或者采购代理机构恶意串通的；</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（四）向采购人、采购代理机构行贿或者提供其他不正当利益的；</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（五）拒绝有关部门监督检查或者提供虚假情况的。</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供应商有前款第（一）至（五）项情形之一的，中标、成交无效。</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10、我方的磋商响应文件在成交后天内有效。</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与本次采购有关的一切往来通讯请寄：</w:t>
      </w:r>
    </w:p>
    <w:p>
      <w:pPr>
        <w:pStyle w:val="12"/>
        <w:adjustRightInd w:val="0"/>
        <w:snapToGrid w:val="0"/>
        <w:spacing w:before="120" w:after="120"/>
        <w:ind w:firstLine="480"/>
        <w:rPr>
          <w:rFonts w:hAnsi="宋体" w:eastAsia="宋体" w:cs="宋体"/>
          <w:color w:val="auto"/>
          <w:sz w:val="24"/>
          <w:szCs w:val="24"/>
        </w:rPr>
      </w:pPr>
      <w:r>
        <w:rPr>
          <w:rFonts w:hint="eastAsia" w:hAnsi="宋体" w:eastAsia="宋体" w:cs="宋体"/>
          <w:color w:val="auto"/>
          <w:sz w:val="24"/>
          <w:szCs w:val="24"/>
        </w:rPr>
        <w:t>地址：__________________     邮编：____________　</w:t>
      </w:r>
    </w:p>
    <w:p>
      <w:pPr>
        <w:pStyle w:val="12"/>
        <w:adjustRightInd w:val="0"/>
        <w:snapToGrid w:val="0"/>
        <w:spacing w:before="120" w:after="120"/>
        <w:ind w:firstLine="480" w:firstLineChars="200"/>
        <w:rPr>
          <w:rFonts w:hAnsi="宋体" w:eastAsia="宋体" w:cs="宋体"/>
          <w:color w:val="auto"/>
          <w:sz w:val="24"/>
          <w:szCs w:val="24"/>
        </w:rPr>
      </w:pPr>
      <w:r>
        <w:rPr>
          <w:rFonts w:hint="eastAsia" w:hAnsi="宋体" w:eastAsia="宋体" w:cs="宋体"/>
          <w:color w:val="auto"/>
          <w:sz w:val="24"/>
          <w:szCs w:val="24"/>
        </w:rPr>
        <w:t>电话：__________________     传真：____________</w:t>
      </w:r>
    </w:p>
    <w:p>
      <w:pPr>
        <w:pStyle w:val="12"/>
        <w:adjustRightInd w:val="0"/>
        <w:snapToGrid w:val="0"/>
        <w:spacing w:before="120" w:after="120"/>
        <w:ind w:firstLine="480" w:firstLineChars="200"/>
        <w:rPr>
          <w:rFonts w:hAnsi="宋体" w:eastAsia="宋体" w:cs="宋体"/>
          <w:color w:val="auto"/>
          <w:sz w:val="24"/>
          <w:szCs w:val="24"/>
        </w:rPr>
      </w:pPr>
      <w:r>
        <w:rPr>
          <w:rFonts w:hint="eastAsia" w:hAnsi="宋体" w:eastAsia="宋体" w:cs="宋体"/>
          <w:color w:val="auto"/>
          <w:sz w:val="24"/>
          <w:szCs w:val="24"/>
        </w:rPr>
        <w:t xml:space="preserve"> </w:t>
      </w:r>
    </w:p>
    <w:p>
      <w:pPr>
        <w:pStyle w:val="12"/>
        <w:adjustRightInd w:val="0"/>
        <w:snapToGrid w:val="0"/>
        <w:spacing w:before="120" w:after="120"/>
        <w:ind w:firstLine="3360" w:firstLineChars="1200"/>
        <w:rPr>
          <w:rFonts w:hAnsi="宋体" w:eastAsia="宋体" w:cs="宋体"/>
          <w:color w:val="auto"/>
          <w:spacing w:val="20"/>
          <w:sz w:val="24"/>
          <w:szCs w:val="24"/>
        </w:rPr>
      </w:pPr>
      <w:r>
        <w:rPr>
          <w:rFonts w:hint="eastAsia" w:hAnsi="宋体" w:eastAsia="宋体" w:cs="宋体"/>
          <w:color w:val="auto"/>
          <w:spacing w:val="20"/>
          <w:sz w:val="24"/>
          <w:szCs w:val="24"/>
        </w:rPr>
        <w:t>法定代表人(或全权代表)签字或盖章：</w:t>
      </w:r>
    </w:p>
    <w:p>
      <w:pPr>
        <w:pStyle w:val="12"/>
        <w:adjustRightInd w:val="0"/>
        <w:snapToGrid w:val="0"/>
        <w:spacing w:before="120" w:after="120"/>
        <w:ind w:firstLine="2240" w:firstLineChars="800"/>
        <w:rPr>
          <w:rFonts w:hAnsi="宋体" w:eastAsia="宋体" w:cs="宋体"/>
          <w:color w:val="auto"/>
          <w:spacing w:val="20"/>
          <w:sz w:val="24"/>
          <w:szCs w:val="24"/>
        </w:rPr>
      </w:pPr>
    </w:p>
    <w:p>
      <w:pPr>
        <w:pStyle w:val="12"/>
        <w:adjustRightInd w:val="0"/>
        <w:snapToGrid w:val="0"/>
        <w:spacing w:before="120" w:after="120"/>
        <w:ind w:firstLine="5320" w:firstLineChars="1900"/>
        <w:rPr>
          <w:rFonts w:hAnsi="宋体" w:eastAsia="宋体" w:cs="宋体"/>
          <w:color w:val="auto"/>
          <w:spacing w:val="20"/>
          <w:sz w:val="24"/>
          <w:szCs w:val="24"/>
        </w:rPr>
      </w:pPr>
      <w:r>
        <w:rPr>
          <w:rFonts w:hint="eastAsia" w:hAnsi="宋体" w:eastAsia="宋体" w:cs="宋体"/>
          <w:bCs/>
          <w:color w:val="auto"/>
          <w:spacing w:val="20"/>
          <w:sz w:val="24"/>
          <w:szCs w:val="24"/>
        </w:rPr>
        <w:t>磋商人名称（盖单位章）</w:t>
      </w:r>
      <w:r>
        <w:rPr>
          <w:rFonts w:hint="eastAsia" w:hAnsi="宋体" w:eastAsia="宋体" w:cs="宋体"/>
          <w:color w:val="auto"/>
          <w:spacing w:val="20"/>
          <w:sz w:val="24"/>
          <w:szCs w:val="24"/>
        </w:rPr>
        <w:t>：</w:t>
      </w:r>
    </w:p>
    <w:p>
      <w:pPr>
        <w:pStyle w:val="12"/>
        <w:adjustRightInd w:val="0"/>
        <w:snapToGrid w:val="0"/>
        <w:spacing w:before="120" w:after="120"/>
        <w:ind w:firstLine="5320" w:firstLineChars="1900"/>
        <w:rPr>
          <w:rFonts w:hAnsi="宋体" w:eastAsia="宋体" w:cs="宋体"/>
          <w:bCs/>
          <w:color w:val="auto"/>
          <w:spacing w:val="20"/>
          <w:sz w:val="24"/>
          <w:szCs w:val="24"/>
        </w:rPr>
      </w:pPr>
    </w:p>
    <w:p>
      <w:pPr>
        <w:pStyle w:val="12"/>
        <w:adjustRightInd w:val="0"/>
        <w:snapToGrid w:val="0"/>
        <w:spacing w:before="120" w:after="120"/>
        <w:jc w:val="right"/>
        <w:rPr>
          <w:rFonts w:hAnsi="宋体" w:eastAsia="宋体" w:cs="宋体"/>
          <w:color w:val="auto"/>
          <w:spacing w:val="20"/>
          <w:sz w:val="24"/>
          <w:szCs w:val="24"/>
          <w:u w:val="single"/>
        </w:rPr>
      </w:pPr>
      <w:r>
        <w:rPr>
          <w:rFonts w:hint="eastAsia" w:hAnsi="宋体" w:eastAsia="宋体" w:cs="宋体"/>
          <w:color w:val="auto"/>
          <w:spacing w:val="20"/>
          <w:sz w:val="24"/>
          <w:szCs w:val="24"/>
        </w:rPr>
        <w:t>日期：   年  月  日</w:t>
      </w:r>
    </w:p>
    <w:p>
      <w:pPr>
        <w:tabs>
          <w:tab w:val="left" w:pos="3111"/>
        </w:tabs>
        <w:autoSpaceDE w:val="0"/>
        <w:autoSpaceDN w:val="0"/>
        <w:adjustRightInd w:val="0"/>
        <w:rPr>
          <w:rFonts w:ascii="宋体" w:hAnsi="宋体" w:eastAsia="宋体" w:cs="宋体"/>
          <w:color w:val="auto"/>
          <w:kern w:val="0"/>
          <w:sz w:val="24"/>
        </w:rPr>
      </w:pPr>
      <w:r>
        <w:rPr>
          <w:rFonts w:hint="eastAsia" w:ascii="宋体" w:hAnsi="宋体" w:eastAsia="宋体" w:cs="宋体"/>
          <w:color w:val="auto"/>
          <w:kern w:val="0"/>
          <w:sz w:val="24"/>
        </w:rPr>
        <w:tab/>
      </w:r>
    </w:p>
    <w:p>
      <w:pPr>
        <w:tabs>
          <w:tab w:val="left" w:pos="3111"/>
        </w:tabs>
        <w:autoSpaceDE w:val="0"/>
        <w:autoSpaceDN w:val="0"/>
        <w:adjustRightInd w:val="0"/>
        <w:rPr>
          <w:rFonts w:ascii="宋体" w:hAnsi="宋体" w:eastAsia="宋体" w:cs="宋体"/>
          <w:color w:val="auto"/>
          <w:kern w:val="0"/>
          <w:sz w:val="24"/>
        </w:rPr>
      </w:pPr>
    </w:p>
    <w:p>
      <w:pPr>
        <w:tabs>
          <w:tab w:val="left" w:pos="3111"/>
        </w:tabs>
        <w:autoSpaceDE w:val="0"/>
        <w:autoSpaceDN w:val="0"/>
        <w:adjustRightInd w:val="0"/>
        <w:rPr>
          <w:rFonts w:ascii="宋体" w:hAnsi="宋体" w:eastAsia="宋体" w:cs="宋体"/>
          <w:color w:val="auto"/>
          <w:kern w:val="0"/>
          <w:sz w:val="24"/>
        </w:rPr>
      </w:pPr>
    </w:p>
    <w:p>
      <w:pPr>
        <w:tabs>
          <w:tab w:val="left" w:pos="3111"/>
        </w:tabs>
        <w:autoSpaceDE w:val="0"/>
        <w:autoSpaceDN w:val="0"/>
        <w:adjustRightInd w:val="0"/>
        <w:rPr>
          <w:rFonts w:ascii="宋体" w:hAnsi="宋体" w:eastAsia="宋体" w:cs="宋体"/>
          <w:color w:val="auto"/>
          <w:kern w:val="0"/>
          <w:sz w:val="24"/>
        </w:rPr>
      </w:pPr>
    </w:p>
    <w:p>
      <w:pPr>
        <w:tabs>
          <w:tab w:val="left" w:pos="3111"/>
        </w:tabs>
        <w:autoSpaceDE w:val="0"/>
        <w:autoSpaceDN w:val="0"/>
        <w:adjustRightInd w:val="0"/>
        <w:rPr>
          <w:rFonts w:ascii="宋体" w:hAnsi="宋体" w:eastAsia="宋体" w:cs="宋体"/>
          <w:color w:val="auto"/>
          <w:kern w:val="0"/>
          <w:sz w:val="24"/>
        </w:rPr>
      </w:pPr>
    </w:p>
    <w:p>
      <w:pPr>
        <w:tabs>
          <w:tab w:val="left" w:pos="3111"/>
        </w:tabs>
        <w:autoSpaceDE w:val="0"/>
        <w:autoSpaceDN w:val="0"/>
        <w:adjustRightInd w:val="0"/>
        <w:rPr>
          <w:rFonts w:ascii="宋体" w:hAnsi="宋体" w:eastAsia="宋体" w:cs="宋体"/>
          <w:color w:val="auto"/>
          <w:kern w:val="0"/>
          <w:sz w:val="24"/>
        </w:rPr>
      </w:pPr>
    </w:p>
    <w:p>
      <w:pPr>
        <w:tabs>
          <w:tab w:val="left" w:pos="3111"/>
        </w:tabs>
        <w:autoSpaceDE w:val="0"/>
        <w:autoSpaceDN w:val="0"/>
        <w:adjustRightInd w:val="0"/>
        <w:rPr>
          <w:rFonts w:ascii="宋体" w:hAnsi="宋体" w:eastAsia="宋体" w:cs="宋体"/>
          <w:color w:val="auto"/>
          <w:kern w:val="0"/>
          <w:sz w:val="24"/>
        </w:rPr>
      </w:pPr>
    </w:p>
    <w:p>
      <w:pPr>
        <w:pStyle w:val="12"/>
        <w:adjustRightInd w:val="0"/>
        <w:snapToGrid w:val="0"/>
        <w:spacing w:before="120" w:after="120"/>
        <w:rPr>
          <w:rFonts w:hAnsi="宋体" w:eastAsia="宋体" w:cs="宋体"/>
          <w:b/>
          <w:bCs/>
          <w:color w:val="auto"/>
          <w:szCs w:val="21"/>
        </w:rPr>
      </w:pPr>
      <w:r>
        <w:rPr>
          <w:rFonts w:hint="eastAsia" w:hAnsi="宋体" w:eastAsia="宋体" w:cs="宋体"/>
          <w:b/>
          <w:bCs/>
          <w:color w:val="auto"/>
          <w:szCs w:val="21"/>
        </w:rPr>
        <w:t>注：未按照本磋商承诺函格式要求填报的磋商承诺函将被视为非实质性响应磋商，从而导致其被拒绝。</w:t>
      </w:r>
    </w:p>
    <w:p>
      <w:pPr>
        <w:pStyle w:val="12"/>
        <w:adjustRightInd w:val="0"/>
        <w:snapToGrid w:val="0"/>
        <w:spacing w:before="120" w:after="120"/>
        <w:jc w:val="center"/>
        <w:rPr>
          <w:rFonts w:hAnsi="宋体" w:eastAsia="宋体" w:cs="宋体"/>
          <w:b/>
          <w:bCs/>
          <w:color w:val="auto"/>
          <w:sz w:val="24"/>
          <w:szCs w:val="24"/>
          <w:lang w:val="zh-CN"/>
        </w:rPr>
      </w:pPr>
    </w:p>
    <w:p>
      <w:pPr>
        <w:pStyle w:val="12"/>
        <w:adjustRightInd w:val="0"/>
        <w:snapToGrid w:val="0"/>
        <w:spacing w:before="120" w:after="120"/>
        <w:jc w:val="center"/>
        <w:rPr>
          <w:rFonts w:hAnsi="宋体" w:eastAsia="宋体" w:cs="宋体"/>
          <w:b/>
          <w:bCs/>
          <w:color w:val="auto"/>
          <w:sz w:val="24"/>
          <w:szCs w:val="24"/>
          <w:lang w:val="zh-CN"/>
        </w:rPr>
      </w:pPr>
    </w:p>
    <w:p>
      <w:pPr>
        <w:pStyle w:val="12"/>
        <w:adjustRightInd w:val="0"/>
        <w:snapToGrid w:val="0"/>
        <w:spacing w:before="120" w:after="120"/>
        <w:jc w:val="center"/>
        <w:rPr>
          <w:rFonts w:hAnsi="宋体" w:eastAsia="宋体" w:cs="宋体"/>
          <w:b/>
          <w:bCs/>
          <w:color w:val="auto"/>
          <w:sz w:val="24"/>
          <w:szCs w:val="24"/>
          <w:lang w:val="zh-CN"/>
        </w:rPr>
      </w:pPr>
    </w:p>
    <w:p>
      <w:pPr>
        <w:pStyle w:val="12"/>
        <w:adjustRightInd w:val="0"/>
        <w:snapToGrid w:val="0"/>
        <w:spacing w:before="120" w:after="120"/>
        <w:jc w:val="center"/>
        <w:rPr>
          <w:rFonts w:hAnsi="宋体" w:eastAsia="宋体" w:cs="宋体"/>
          <w:b/>
          <w:bCs/>
          <w:color w:val="auto"/>
          <w:sz w:val="24"/>
          <w:szCs w:val="24"/>
          <w:lang w:val="zh-CN"/>
        </w:rPr>
      </w:pPr>
    </w:p>
    <w:p>
      <w:pPr>
        <w:snapToGrid w:val="0"/>
        <w:spacing w:before="156" w:beforeLines="50" w:after="50"/>
        <w:jc w:val="left"/>
        <w:rPr>
          <w:rFonts w:ascii="宋体" w:hAnsi="宋体" w:eastAsia="宋体" w:cs="宋体"/>
          <w:b/>
          <w:bCs/>
          <w:color w:val="auto"/>
          <w:sz w:val="24"/>
        </w:rPr>
      </w:pPr>
    </w:p>
    <w:p>
      <w:pPr>
        <w:snapToGrid w:val="0"/>
        <w:spacing w:before="156" w:beforeLines="50" w:after="50"/>
        <w:jc w:val="left"/>
        <w:rPr>
          <w:rFonts w:ascii="宋体" w:hAnsi="宋体" w:eastAsia="宋体" w:cs="宋体"/>
          <w:b/>
          <w:bCs/>
          <w:color w:val="auto"/>
          <w:sz w:val="24"/>
        </w:rPr>
      </w:pPr>
    </w:p>
    <w:p>
      <w:pPr>
        <w:snapToGrid w:val="0"/>
        <w:spacing w:before="156" w:beforeLines="50" w:after="50"/>
        <w:jc w:val="left"/>
        <w:rPr>
          <w:rFonts w:ascii="宋体" w:hAnsi="宋体" w:eastAsia="宋体" w:cs="宋体"/>
          <w:b/>
          <w:bCs/>
          <w:color w:val="auto"/>
          <w:sz w:val="24"/>
        </w:rPr>
      </w:pPr>
      <w:r>
        <w:rPr>
          <w:rFonts w:hint="eastAsia" w:ascii="宋体" w:hAnsi="宋体" w:eastAsia="宋体" w:cs="宋体"/>
          <w:b/>
          <w:bCs/>
          <w:color w:val="auto"/>
          <w:sz w:val="24"/>
        </w:rPr>
        <w:t xml:space="preserve">附件二：                    </w:t>
      </w:r>
    </w:p>
    <w:p>
      <w:pPr>
        <w:snapToGrid w:val="0"/>
        <w:spacing w:before="156" w:beforeLines="50" w:after="50"/>
        <w:jc w:val="center"/>
        <w:rPr>
          <w:rFonts w:ascii="宋体" w:hAnsi="宋体" w:eastAsia="宋体" w:cs="宋体"/>
          <w:b/>
          <w:color w:val="auto"/>
          <w:sz w:val="24"/>
        </w:rPr>
      </w:pPr>
      <w:r>
        <w:rPr>
          <w:rFonts w:hint="eastAsia" w:ascii="宋体" w:hAnsi="宋体" w:eastAsia="宋体" w:cs="宋体"/>
          <w:b/>
          <w:color w:val="auto"/>
          <w:sz w:val="24"/>
        </w:rPr>
        <w:t>法定代表人授权委托书</w:t>
      </w:r>
    </w:p>
    <w:p>
      <w:pPr>
        <w:snapToGrid w:val="0"/>
        <w:spacing w:before="156" w:beforeLines="50" w:after="50"/>
        <w:rPr>
          <w:rFonts w:ascii="宋体" w:hAnsi="宋体" w:eastAsia="宋体" w:cs="宋体"/>
          <w:bCs/>
          <w:color w:val="auto"/>
          <w:sz w:val="24"/>
        </w:rPr>
      </w:pPr>
    </w:p>
    <w:p>
      <w:pPr>
        <w:snapToGrid w:val="0"/>
        <w:spacing w:before="156" w:beforeLines="50" w:after="50"/>
        <w:rPr>
          <w:rFonts w:ascii="宋体" w:hAnsi="宋体" w:eastAsia="宋体" w:cs="宋体"/>
          <w:b/>
          <w:bCs/>
          <w:color w:val="auto"/>
          <w:sz w:val="24"/>
        </w:rPr>
      </w:pPr>
      <w:r>
        <w:rPr>
          <w:rFonts w:hint="eastAsia" w:ascii="宋体" w:hAnsi="宋体" w:eastAsia="宋体" w:cs="宋体"/>
          <w:bCs/>
          <w:color w:val="auto"/>
          <w:sz w:val="24"/>
        </w:rPr>
        <w:t>致：</w:t>
      </w:r>
      <w:r>
        <w:rPr>
          <w:rFonts w:hint="eastAsia" w:ascii="宋体" w:hAnsi="宋体" w:eastAsia="宋体" w:cs="宋体"/>
          <w:color w:val="auto"/>
          <w:sz w:val="24"/>
        </w:rPr>
        <w:t>（采购单位名称）：</w:t>
      </w:r>
    </w:p>
    <w:p>
      <w:pPr>
        <w:spacing w:line="700" w:lineRule="exact"/>
        <w:ind w:firstLine="840" w:firstLineChars="350"/>
        <w:rPr>
          <w:rFonts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（磋商供应商全称）法定代表人</w:t>
      </w:r>
      <w:r>
        <w:rPr>
          <w:rFonts w:hint="eastAsia" w:ascii="宋体" w:hAnsi="宋体" w:eastAsia="宋体" w:cs="宋体"/>
          <w:color w:val="auto"/>
          <w:sz w:val="24"/>
          <w:u w:val="single"/>
        </w:rPr>
        <w:t xml:space="preserve">            </w:t>
      </w:r>
      <w:r>
        <w:rPr>
          <w:rFonts w:hint="eastAsia" w:ascii="宋体" w:hAnsi="宋体" w:eastAsia="宋体" w:cs="宋体"/>
          <w:color w:val="auto"/>
          <w:sz w:val="24"/>
        </w:rPr>
        <w:t>授权</w:t>
      </w:r>
    </w:p>
    <w:p>
      <w:pPr>
        <w:spacing w:line="700" w:lineRule="exact"/>
        <w:rPr>
          <w:rFonts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（全称代表姓名）为全权代表，参加贵局组织的</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仙居县人民医院病理科改造项目（重新招标）</w:t>
      </w:r>
      <w:r>
        <w:rPr>
          <w:rFonts w:hint="eastAsia" w:ascii="宋体" w:hAnsi="宋体" w:eastAsia="宋体" w:cs="宋体"/>
          <w:color w:val="auto"/>
          <w:sz w:val="24"/>
        </w:rPr>
        <w:t>编号：</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GTXJ（采购）-22001-1</w:t>
      </w:r>
      <w:r>
        <w:rPr>
          <w:rFonts w:hint="eastAsia" w:ascii="宋体" w:hAnsi="宋体" w:eastAsia="宋体" w:cs="宋体"/>
          <w:color w:val="auto"/>
          <w:sz w:val="24"/>
          <w:u w:val="single"/>
        </w:rPr>
        <w:t xml:space="preserve"> </w:t>
      </w:r>
      <w:r>
        <w:rPr>
          <w:rFonts w:hint="eastAsia" w:ascii="宋体" w:hAnsi="宋体" w:eastAsia="宋体" w:cs="宋体"/>
          <w:color w:val="auto"/>
          <w:sz w:val="24"/>
        </w:rPr>
        <w:t>的磋商活动，全权代表我方处理磋商活动中的一切事务，我均予以承认。</w:t>
      </w:r>
    </w:p>
    <w:p>
      <w:pPr>
        <w:spacing w:line="360" w:lineRule="auto"/>
        <w:ind w:firstLine="4094" w:firstLineChars="1706"/>
        <w:rPr>
          <w:rFonts w:ascii="宋体" w:hAnsi="宋体" w:eastAsia="宋体" w:cs="宋体"/>
          <w:color w:val="auto"/>
          <w:sz w:val="24"/>
        </w:rPr>
      </w:pPr>
    </w:p>
    <w:p>
      <w:pPr>
        <w:spacing w:line="360" w:lineRule="auto"/>
        <w:ind w:firstLine="4094" w:firstLineChars="1706"/>
        <w:rPr>
          <w:rFonts w:ascii="宋体" w:hAnsi="宋体" w:eastAsia="宋体" w:cs="宋体"/>
          <w:color w:val="auto"/>
          <w:sz w:val="24"/>
        </w:rPr>
      </w:pPr>
      <w:r>
        <w:rPr>
          <w:rFonts w:hint="eastAsia" w:ascii="宋体" w:hAnsi="宋体" w:eastAsia="宋体" w:cs="宋体"/>
          <w:color w:val="auto"/>
          <w:sz w:val="24"/>
        </w:rPr>
        <w:t>法定代表人（签字或盖章）：</w:t>
      </w:r>
    </w:p>
    <w:p>
      <w:pPr>
        <w:spacing w:line="360" w:lineRule="auto"/>
        <w:ind w:firstLine="4094" w:firstLineChars="1706"/>
        <w:rPr>
          <w:rFonts w:ascii="宋体" w:hAnsi="宋体" w:eastAsia="宋体" w:cs="宋体"/>
          <w:color w:val="auto"/>
          <w:sz w:val="24"/>
        </w:rPr>
      </w:pPr>
    </w:p>
    <w:p>
      <w:pPr>
        <w:spacing w:line="360" w:lineRule="auto"/>
        <w:ind w:firstLine="4094" w:firstLineChars="1706"/>
        <w:rPr>
          <w:rFonts w:ascii="宋体" w:hAnsi="宋体" w:eastAsia="宋体" w:cs="宋体"/>
          <w:color w:val="auto"/>
          <w:sz w:val="24"/>
        </w:rPr>
      </w:pPr>
      <w:r>
        <w:rPr>
          <w:rFonts w:hint="eastAsia" w:ascii="宋体" w:hAnsi="宋体" w:eastAsia="宋体" w:cs="宋体"/>
          <w:color w:val="auto"/>
          <w:sz w:val="24"/>
        </w:rPr>
        <w:t>磋商供应商全称（盖单位章）：</w:t>
      </w:r>
    </w:p>
    <w:p>
      <w:pPr>
        <w:spacing w:line="360" w:lineRule="auto"/>
        <w:ind w:firstLine="4094" w:firstLineChars="1706"/>
        <w:rPr>
          <w:rFonts w:ascii="宋体" w:hAnsi="宋体" w:eastAsia="宋体" w:cs="宋体"/>
          <w:color w:val="auto"/>
          <w:sz w:val="24"/>
        </w:rPr>
      </w:pPr>
    </w:p>
    <w:p>
      <w:pPr>
        <w:spacing w:line="360" w:lineRule="auto"/>
        <w:ind w:firstLine="600" w:firstLineChars="250"/>
        <w:jc w:val="right"/>
        <w:rPr>
          <w:rFonts w:ascii="宋体" w:hAnsi="宋体" w:eastAsia="宋体" w:cs="宋体"/>
          <w:color w:val="auto"/>
          <w:sz w:val="24"/>
        </w:rPr>
      </w:pPr>
      <w:r>
        <w:rPr>
          <w:rFonts w:hint="eastAsia" w:ascii="宋体" w:hAnsi="宋体" w:eastAsia="宋体" w:cs="宋体"/>
          <w:color w:val="auto"/>
          <w:sz w:val="24"/>
        </w:rPr>
        <w:t>日  期：    年   月   日</w:t>
      </w:r>
    </w:p>
    <w:p>
      <w:pPr>
        <w:spacing w:line="360" w:lineRule="auto"/>
        <w:ind w:firstLine="600" w:firstLineChars="250"/>
        <w:rPr>
          <w:rFonts w:ascii="宋体" w:hAnsi="宋体" w:eastAsia="宋体" w:cs="宋体"/>
          <w:color w:val="auto"/>
          <w:sz w:val="24"/>
        </w:rPr>
      </w:pPr>
      <w:r>
        <w:rPr>
          <w:rFonts w:hint="eastAsia" w:ascii="宋体" w:hAnsi="宋体" w:eastAsia="宋体" w:cs="宋体"/>
          <w:color w:val="auto"/>
          <w:sz w:val="24"/>
        </w:rPr>
        <w:t xml:space="preserve">附：                                      </w:t>
      </w:r>
    </w:p>
    <w:p>
      <w:pPr>
        <w:spacing w:line="360" w:lineRule="auto"/>
        <w:ind w:firstLine="600" w:firstLineChars="250"/>
        <w:rPr>
          <w:rFonts w:ascii="宋体" w:hAnsi="宋体" w:eastAsia="宋体" w:cs="宋体"/>
          <w:color w:val="auto"/>
          <w:sz w:val="24"/>
        </w:rPr>
      </w:pPr>
      <w:r>
        <w:rPr>
          <w:rFonts w:hint="eastAsia" w:ascii="宋体" w:hAnsi="宋体" w:eastAsia="宋体" w:cs="宋体"/>
          <w:color w:val="auto"/>
          <w:sz w:val="24"/>
        </w:rPr>
        <w:t>授权代表姓名（签字）：                  手机：</w:t>
      </w:r>
    </w:p>
    <w:p>
      <w:pPr>
        <w:spacing w:line="360" w:lineRule="auto"/>
        <w:ind w:firstLine="600" w:firstLineChars="250"/>
        <w:rPr>
          <w:rFonts w:ascii="宋体" w:hAnsi="宋体" w:eastAsia="宋体" w:cs="宋体"/>
          <w:color w:val="auto"/>
          <w:sz w:val="24"/>
        </w:rPr>
      </w:pPr>
      <w:r>
        <w:rPr>
          <w:rFonts w:hint="eastAsia" w:ascii="宋体" w:hAnsi="宋体" w:eastAsia="宋体" w:cs="宋体"/>
          <w:color w:val="auto"/>
          <w:sz w:val="24"/>
        </w:rPr>
        <w:t>职务：                                  电话：</w:t>
      </w:r>
    </w:p>
    <w:p>
      <w:pPr>
        <w:spacing w:line="360" w:lineRule="auto"/>
        <w:ind w:firstLine="600" w:firstLineChars="250"/>
        <w:rPr>
          <w:rFonts w:ascii="宋体" w:hAnsi="宋体" w:eastAsia="宋体" w:cs="宋体"/>
          <w:color w:val="auto"/>
          <w:sz w:val="24"/>
        </w:rPr>
      </w:pPr>
      <w:r>
        <w:rPr>
          <w:rFonts w:hint="eastAsia" w:ascii="宋体" w:hAnsi="宋体" w:eastAsia="宋体" w:cs="宋体"/>
          <w:color w:val="auto"/>
          <w:sz w:val="24"/>
        </w:rPr>
        <w:t>详细通讯地址：                          传真：</w:t>
      </w:r>
    </w:p>
    <w:p>
      <w:pPr>
        <w:spacing w:line="360" w:lineRule="auto"/>
        <w:ind w:firstLine="600" w:firstLineChars="250"/>
        <w:rPr>
          <w:rFonts w:ascii="宋体" w:hAnsi="宋体" w:eastAsia="宋体" w:cs="宋体"/>
          <w:color w:val="auto"/>
          <w:sz w:val="24"/>
        </w:rPr>
      </w:pPr>
      <w:r>
        <w:rPr>
          <w:rFonts w:hint="eastAsia" w:ascii="宋体" w:hAnsi="宋体" w:eastAsia="宋体" w:cs="宋体"/>
          <w:color w:val="auto"/>
          <w:sz w:val="24"/>
        </w:rPr>
        <w:t>邮政编码：</w:t>
      </w:r>
    </w:p>
    <w:tbl>
      <w:tblPr>
        <w:tblStyle w:val="24"/>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98" w:hRule="atLeast"/>
        </w:trPr>
        <w:tc>
          <w:tcPr>
            <w:tcW w:w="872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eastAsia="宋体" w:cs="宋体"/>
                <w:color w:val="auto"/>
                <w:sz w:val="24"/>
              </w:rPr>
            </w:pPr>
            <w:r>
              <w:rPr>
                <w:rFonts w:hint="eastAsia" w:ascii="宋体" w:hAnsi="宋体" w:eastAsia="宋体" w:cs="宋体"/>
                <w:color w:val="auto"/>
                <w:sz w:val="24"/>
              </w:rPr>
              <w:t>身份证复印件粘贴处：</w:t>
            </w:r>
          </w:p>
        </w:tc>
      </w:tr>
    </w:tbl>
    <w:p>
      <w:pPr>
        <w:pStyle w:val="12"/>
        <w:adjustRightInd w:val="0"/>
        <w:snapToGrid w:val="0"/>
        <w:spacing w:before="156" w:after="156"/>
        <w:rPr>
          <w:rFonts w:hAnsi="宋体" w:eastAsia="宋体" w:cs="宋体"/>
          <w:b/>
          <w:bCs/>
          <w:color w:val="auto"/>
          <w:szCs w:val="21"/>
        </w:rPr>
      </w:pPr>
    </w:p>
    <w:p>
      <w:pPr>
        <w:pStyle w:val="12"/>
        <w:adjustRightInd w:val="0"/>
        <w:snapToGrid w:val="0"/>
        <w:spacing w:before="120" w:after="120"/>
        <w:jc w:val="center"/>
        <w:rPr>
          <w:rFonts w:hAnsi="宋体" w:eastAsia="宋体" w:cs="宋体"/>
          <w:b/>
          <w:bCs/>
          <w:color w:val="auto"/>
          <w:sz w:val="24"/>
          <w:szCs w:val="24"/>
          <w:lang w:val="zh-CN"/>
        </w:rPr>
      </w:pPr>
    </w:p>
    <w:p>
      <w:pPr>
        <w:tabs>
          <w:tab w:val="left" w:pos="502"/>
        </w:tabs>
        <w:jc w:val="center"/>
        <w:rPr>
          <w:rFonts w:ascii="宋体" w:hAnsi="宋体"/>
          <w:b/>
          <w:snapToGrid w:val="0"/>
          <w:color w:val="auto"/>
          <w:sz w:val="44"/>
          <w:szCs w:val="44"/>
        </w:rPr>
      </w:pPr>
      <w:r>
        <w:rPr>
          <w:rFonts w:hint="eastAsia"/>
          <w:b/>
          <w:color w:val="auto"/>
          <w:sz w:val="44"/>
          <w:szCs w:val="44"/>
        </w:rPr>
        <w:t>法定代表人资格证明书</w:t>
      </w:r>
    </w:p>
    <w:p>
      <w:pPr>
        <w:ind w:firstLine="3780" w:firstLineChars="1050"/>
        <w:rPr>
          <w:snapToGrid w:val="0"/>
          <w:color w:val="auto"/>
        </w:rPr>
      </w:pPr>
      <w:bookmarkStart w:id="610" w:name="_Toc184635139"/>
      <w:bookmarkStart w:id="611" w:name="_Toc403376953"/>
      <w:bookmarkStart w:id="612" w:name="_Toc402201896"/>
      <w:bookmarkStart w:id="613" w:name="_Toc381297673"/>
      <w:bookmarkStart w:id="614" w:name="_Toc259802278"/>
      <w:bookmarkStart w:id="615" w:name="_Toc347238732"/>
      <w:bookmarkStart w:id="616" w:name="_Toc381260156"/>
      <w:bookmarkStart w:id="617" w:name="_Toc346130418"/>
      <w:bookmarkStart w:id="618" w:name="_Toc403130149"/>
      <w:bookmarkStart w:id="619" w:name="_Toc217457097"/>
      <w:bookmarkStart w:id="620" w:name="_Toc347247014"/>
      <w:bookmarkStart w:id="621" w:name="_Toc261333229"/>
    </w:p>
    <w:bookmarkEnd w:id="610"/>
    <w:bookmarkEnd w:id="611"/>
    <w:bookmarkEnd w:id="612"/>
    <w:bookmarkEnd w:id="613"/>
    <w:bookmarkEnd w:id="614"/>
    <w:bookmarkEnd w:id="615"/>
    <w:bookmarkEnd w:id="616"/>
    <w:bookmarkEnd w:id="617"/>
    <w:bookmarkEnd w:id="618"/>
    <w:bookmarkEnd w:id="619"/>
    <w:bookmarkEnd w:id="620"/>
    <w:bookmarkEnd w:id="621"/>
    <w:p>
      <w:pPr>
        <w:rPr>
          <w:snapToGrid w:val="0"/>
          <w:color w:val="auto"/>
          <w:szCs w:val="21"/>
        </w:rPr>
      </w:pPr>
    </w:p>
    <w:p>
      <w:pPr>
        <w:wordWrap w:val="0"/>
        <w:spacing w:line="500" w:lineRule="exact"/>
        <w:rPr>
          <w:rFonts w:ascii="宋体" w:hAnsi="宋体" w:cs="宋体"/>
          <w:snapToGrid w:val="0"/>
          <w:color w:val="auto"/>
          <w:sz w:val="24"/>
        </w:rPr>
      </w:pPr>
      <w:r>
        <w:rPr>
          <w:rFonts w:hint="eastAsia" w:ascii="宋体" w:hAnsi="宋体" w:cs="宋体"/>
          <w:snapToGrid w:val="0"/>
          <w:color w:val="auto"/>
          <w:sz w:val="24"/>
        </w:rPr>
        <w:t>磋商供应商名称：</w:t>
      </w:r>
      <w:r>
        <w:rPr>
          <w:rFonts w:hint="eastAsia" w:ascii="宋体" w:hAnsi="宋体" w:cs="宋体"/>
          <w:snapToGrid w:val="0"/>
          <w:color w:val="auto"/>
          <w:sz w:val="24"/>
          <w:u w:val="single"/>
        </w:rPr>
        <w:t xml:space="preserve">                                </w:t>
      </w:r>
      <w:r>
        <w:rPr>
          <w:rFonts w:hint="eastAsia" w:ascii="宋体" w:hAnsi="宋体" w:cs="宋体"/>
          <w:snapToGrid w:val="0"/>
          <w:color w:val="auto"/>
          <w:sz w:val="24"/>
        </w:rPr>
        <w:t xml:space="preserve"> </w:t>
      </w:r>
    </w:p>
    <w:p>
      <w:pPr>
        <w:wordWrap w:val="0"/>
        <w:spacing w:line="500" w:lineRule="exact"/>
        <w:rPr>
          <w:rFonts w:ascii="宋体" w:hAnsi="宋体" w:cs="宋体"/>
          <w:snapToGrid w:val="0"/>
          <w:color w:val="auto"/>
          <w:sz w:val="24"/>
        </w:rPr>
      </w:pPr>
      <w:r>
        <w:rPr>
          <w:rFonts w:hint="eastAsia" w:ascii="宋体" w:hAnsi="宋体" w:cs="宋体"/>
          <w:snapToGrid w:val="0"/>
          <w:color w:val="auto"/>
          <w:sz w:val="24"/>
        </w:rPr>
        <w:t>单位性质：</w:t>
      </w:r>
      <w:r>
        <w:rPr>
          <w:rFonts w:hint="eastAsia" w:ascii="宋体" w:hAnsi="宋体" w:cs="宋体"/>
          <w:snapToGrid w:val="0"/>
          <w:color w:val="auto"/>
          <w:sz w:val="24"/>
          <w:u w:val="single"/>
        </w:rPr>
        <w:t xml:space="preserve">                                  </w:t>
      </w:r>
      <w:r>
        <w:rPr>
          <w:rFonts w:hint="eastAsia" w:ascii="宋体" w:hAnsi="宋体" w:cs="宋体"/>
          <w:snapToGrid w:val="0"/>
          <w:color w:val="auto"/>
          <w:sz w:val="24"/>
        </w:rPr>
        <w:t xml:space="preserve"> </w:t>
      </w:r>
    </w:p>
    <w:p>
      <w:pPr>
        <w:wordWrap w:val="0"/>
        <w:spacing w:line="500" w:lineRule="exact"/>
        <w:rPr>
          <w:rFonts w:ascii="宋体" w:hAnsi="宋体" w:cs="宋体"/>
          <w:snapToGrid w:val="0"/>
          <w:color w:val="auto"/>
          <w:sz w:val="24"/>
        </w:rPr>
      </w:pPr>
      <w:r>
        <w:rPr>
          <w:rFonts w:hint="eastAsia" w:ascii="宋体" w:hAnsi="宋体" w:cs="宋体"/>
          <w:snapToGrid w:val="0"/>
          <w:color w:val="auto"/>
          <w:sz w:val="24"/>
        </w:rPr>
        <w:t>地址：</w:t>
      </w:r>
      <w:r>
        <w:rPr>
          <w:rFonts w:hint="eastAsia" w:ascii="宋体" w:hAnsi="宋体" w:cs="宋体"/>
          <w:snapToGrid w:val="0"/>
          <w:color w:val="auto"/>
          <w:sz w:val="24"/>
          <w:u w:val="single"/>
        </w:rPr>
        <w:t xml:space="preserve">                                     </w:t>
      </w:r>
      <w:r>
        <w:rPr>
          <w:rFonts w:hint="eastAsia" w:ascii="宋体" w:hAnsi="宋体" w:cs="宋体"/>
          <w:snapToGrid w:val="0"/>
          <w:color w:val="auto"/>
          <w:sz w:val="24"/>
        </w:rPr>
        <w:t xml:space="preserve"> </w:t>
      </w:r>
    </w:p>
    <w:p>
      <w:pPr>
        <w:wordWrap w:val="0"/>
        <w:spacing w:line="500" w:lineRule="exact"/>
        <w:rPr>
          <w:rFonts w:ascii="宋体" w:hAnsi="宋体" w:cs="宋体"/>
          <w:snapToGrid w:val="0"/>
          <w:color w:val="auto"/>
          <w:sz w:val="24"/>
        </w:rPr>
      </w:pPr>
      <w:r>
        <w:rPr>
          <w:rFonts w:hint="eastAsia" w:ascii="宋体" w:hAnsi="宋体" w:cs="宋体"/>
          <w:snapToGrid w:val="0"/>
          <w:color w:val="auto"/>
          <w:sz w:val="24"/>
        </w:rPr>
        <w:t>成立时间：</w:t>
      </w:r>
      <w:r>
        <w:rPr>
          <w:rFonts w:hint="eastAsia" w:ascii="宋体" w:hAnsi="宋体" w:cs="宋体"/>
          <w:snapToGrid w:val="0"/>
          <w:color w:val="auto"/>
          <w:sz w:val="24"/>
          <w:u w:val="single"/>
        </w:rPr>
        <w:t xml:space="preserve">        </w:t>
      </w:r>
      <w:r>
        <w:rPr>
          <w:rFonts w:hint="eastAsia" w:ascii="宋体" w:hAnsi="宋体" w:cs="宋体"/>
          <w:snapToGrid w:val="0"/>
          <w:color w:val="auto"/>
          <w:sz w:val="24"/>
        </w:rPr>
        <w:t>年</w:t>
      </w:r>
      <w:r>
        <w:rPr>
          <w:rFonts w:hint="eastAsia" w:ascii="宋体" w:hAnsi="宋体" w:cs="宋体"/>
          <w:snapToGrid w:val="0"/>
          <w:color w:val="auto"/>
          <w:sz w:val="24"/>
          <w:u w:val="single"/>
        </w:rPr>
        <w:t xml:space="preserve">    </w:t>
      </w:r>
      <w:r>
        <w:rPr>
          <w:rFonts w:hint="eastAsia" w:ascii="宋体" w:hAnsi="宋体" w:cs="宋体"/>
          <w:snapToGrid w:val="0"/>
          <w:color w:val="auto"/>
          <w:sz w:val="24"/>
        </w:rPr>
        <w:t>月</w:t>
      </w:r>
      <w:r>
        <w:rPr>
          <w:rFonts w:hint="eastAsia" w:ascii="宋体" w:hAnsi="宋体" w:cs="宋体"/>
          <w:snapToGrid w:val="0"/>
          <w:color w:val="auto"/>
          <w:sz w:val="24"/>
          <w:u w:val="single"/>
        </w:rPr>
        <w:t xml:space="preserve">    </w:t>
      </w:r>
      <w:r>
        <w:rPr>
          <w:rFonts w:hint="eastAsia" w:ascii="宋体" w:hAnsi="宋体" w:cs="宋体"/>
          <w:snapToGrid w:val="0"/>
          <w:color w:val="auto"/>
          <w:sz w:val="24"/>
        </w:rPr>
        <w:t>日</w:t>
      </w:r>
    </w:p>
    <w:p>
      <w:pPr>
        <w:wordWrap w:val="0"/>
        <w:spacing w:line="500" w:lineRule="exact"/>
        <w:rPr>
          <w:rFonts w:ascii="宋体" w:hAnsi="宋体" w:cs="宋体"/>
          <w:snapToGrid w:val="0"/>
          <w:color w:val="auto"/>
          <w:sz w:val="24"/>
        </w:rPr>
      </w:pPr>
      <w:r>
        <w:rPr>
          <w:rFonts w:hint="eastAsia" w:ascii="宋体" w:hAnsi="宋体" w:cs="宋体"/>
          <w:snapToGrid w:val="0"/>
          <w:color w:val="auto"/>
          <w:sz w:val="24"/>
        </w:rPr>
        <w:t>经营期限：</w:t>
      </w:r>
      <w:r>
        <w:rPr>
          <w:rFonts w:hint="eastAsia" w:ascii="宋体" w:hAnsi="宋体" w:cs="宋体"/>
          <w:snapToGrid w:val="0"/>
          <w:color w:val="auto"/>
          <w:sz w:val="24"/>
          <w:u w:val="single"/>
        </w:rPr>
        <w:t xml:space="preserve">                                </w:t>
      </w:r>
      <w:r>
        <w:rPr>
          <w:rFonts w:hint="eastAsia" w:ascii="宋体" w:hAnsi="宋体" w:cs="宋体"/>
          <w:snapToGrid w:val="0"/>
          <w:color w:val="auto"/>
          <w:sz w:val="24"/>
        </w:rPr>
        <w:t xml:space="preserve"> </w:t>
      </w:r>
    </w:p>
    <w:p>
      <w:pPr>
        <w:wordWrap w:val="0"/>
        <w:spacing w:line="500" w:lineRule="exact"/>
        <w:rPr>
          <w:rFonts w:ascii="宋体" w:hAnsi="宋体" w:cs="宋体"/>
          <w:snapToGrid w:val="0"/>
          <w:color w:val="auto"/>
          <w:sz w:val="24"/>
          <w:u w:val="single"/>
        </w:rPr>
      </w:pPr>
      <w:r>
        <w:rPr>
          <w:rFonts w:hint="eastAsia" w:ascii="宋体" w:hAnsi="宋体" w:cs="宋体"/>
          <w:snapToGrid w:val="0"/>
          <w:color w:val="auto"/>
          <w:sz w:val="24"/>
        </w:rPr>
        <w:t>姓名：</w:t>
      </w:r>
      <w:r>
        <w:rPr>
          <w:rFonts w:hint="eastAsia" w:ascii="宋体" w:hAnsi="宋体" w:cs="宋体"/>
          <w:snapToGrid w:val="0"/>
          <w:color w:val="auto"/>
          <w:sz w:val="24"/>
          <w:u w:val="single"/>
        </w:rPr>
        <w:t xml:space="preserve">       </w:t>
      </w:r>
      <w:r>
        <w:rPr>
          <w:rFonts w:hint="eastAsia" w:ascii="宋体" w:hAnsi="宋体" w:cs="宋体"/>
          <w:snapToGrid w:val="0"/>
          <w:color w:val="auto"/>
          <w:sz w:val="24"/>
        </w:rPr>
        <w:t>性别：</w:t>
      </w:r>
      <w:r>
        <w:rPr>
          <w:rFonts w:hint="eastAsia" w:ascii="宋体" w:hAnsi="宋体" w:cs="宋体"/>
          <w:snapToGrid w:val="0"/>
          <w:color w:val="auto"/>
          <w:sz w:val="24"/>
          <w:u w:val="single"/>
        </w:rPr>
        <w:t xml:space="preserve">    </w:t>
      </w:r>
      <w:r>
        <w:rPr>
          <w:rFonts w:hint="eastAsia" w:ascii="宋体" w:hAnsi="宋体" w:cs="宋体"/>
          <w:snapToGrid w:val="0"/>
          <w:color w:val="auto"/>
          <w:sz w:val="24"/>
        </w:rPr>
        <w:t>年龄：</w:t>
      </w:r>
      <w:r>
        <w:rPr>
          <w:rFonts w:hint="eastAsia" w:ascii="宋体" w:hAnsi="宋体" w:cs="宋体"/>
          <w:snapToGrid w:val="0"/>
          <w:color w:val="auto"/>
          <w:sz w:val="24"/>
          <w:u w:val="single"/>
        </w:rPr>
        <w:t xml:space="preserve">    </w:t>
      </w:r>
      <w:r>
        <w:rPr>
          <w:rFonts w:hint="eastAsia" w:ascii="宋体" w:hAnsi="宋体" w:cs="宋体"/>
          <w:snapToGrid w:val="0"/>
          <w:color w:val="auto"/>
          <w:sz w:val="24"/>
        </w:rPr>
        <w:t>身份证号码</w:t>
      </w:r>
      <w:r>
        <w:rPr>
          <w:rFonts w:hint="eastAsia" w:ascii="宋体" w:hAnsi="宋体" w:cs="宋体"/>
          <w:snapToGrid w:val="0"/>
          <w:color w:val="auto"/>
          <w:sz w:val="24"/>
          <w:u w:val="single"/>
        </w:rPr>
        <w:t xml:space="preserve">               </w:t>
      </w:r>
    </w:p>
    <w:p>
      <w:pPr>
        <w:wordWrap w:val="0"/>
        <w:spacing w:line="500" w:lineRule="exact"/>
        <w:rPr>
          <w:rFonts w:ascii="宋体" w:hAnsi="宋体" w:cs="宋体"/>
          <w:snapToGrid w:val="0"/>
          <w:color w:val="auto"/>
          <w:sz w:val="24"/>
        </w:rPr>
      </w:pPr>
      <w:r>
        <w:rPr>
          <w:rFonts w:hint="eastAsia" w:ascii="宋体" w:hAnsi="宋体" w:cs="宋体"/>
          <w:snapToGrid w:val="0"/>
          <w:color w:val="auto"/>
          <w:sz w:val="24"/>
        </w:rPr>
        <w:t>职务：</w:t>
      </w:r>
      <w:r>
        <w:rPr>
          <w:rFonts w:hint="eastAsia" w:ascii="宋体" w:hAnsi="宋体" w:cs="宋体"/>
          <w:snapToGrid w:val="0"/>
          <w:color w:val="auto"/>
          <w:sz w:val="24"/>
          <w:u w:val="single"/>
        </w:rPr>
        <w:t xml:space="preserve">          </w:t>
      </w:r>
      <w:r>
        <w:rPr>
          <w:rFonts w:hint="eastAsia" w:ascii="宋体" w:hAnsi="宋体" w:cs="宋体"/>
          <w:snapToGrid w:val="0"/>
          <w:color w:val="auto"/>
          <w:sz w:val="24"/>
        </w:rPr>
        <w:t>系</w:t>
      </w:r>
      <w:r>
        <w:rPr>
          <w:rFonts w:hint="eastAsia" w:ascii="宋体" w:hAnsi="宋体" w:cs="宋体"/>
          <w:snapToGrid w:val="0"/>
          <w:color w:val="auto"/>
          <w:sz w:val="24"/>
          <w:u w:val="single"/>
        </w:rPr>
        <w:t xml:space="preserve">                          </w:t>
      </w:r>
      <w:r>
        <w:rPr>
          <w:rFonts w:hint="eastAsia" w:ascii="宋体" w:hAnsi="宋体" w:cs="宋体"/>
          <w:snapToGrid w:val="0"/>
          <w:color w:val="auto"/>
          <w:sz w:val="24"/>
        </w:rPr>
        <w:t>（磋商供应商名称）的法定代表人。</w:t>
      </w:r>
    </w:p>
    <w:p>
      <w:pPr>
        <w:spacing w:line="500" w:lineRule="exact"/>
        <w:rPr>
          <w:rFonts w:ascii="宋体" w:hAnsi="宋体" w:cs="宋体"/>
          <w:snapToGrid w:val="0"/>
          <w:color w:val="auto"/>
          <w:sz w:val="24"/>
        </w:rPr>
      </w:pPr>
      <w:r>
        <w:rPr>
          <w:rFonts w:hint="eastAsia" w:ascii="宋体" w:hAnsi="宋体" w:cs="宋体"/>
          <w:snapToGrid w:val="0"/>
          <w:color w:val="auto"/>
          <w:sz w:val="24"/>
        </w:rPr>
        <w:t>特此证明。</w:t>
      </w:r>
    </w:p>
    <w:p>
      <w:pPr>
        <w:spacing w:line="500" w:lineRule="exact"/>
        <w:rPr>
          <w:rFonts w:ascii="宋体" w:hAnsi="宋体" w:cs="宋体"/>
          <w:snapToGrid w:val="0"/>
          <w:color w:val="auto"/>
          <w:sz w:val="24"/>
        </w:rPr>
      </w:pPr>
      <w:r>
        <w:rPr>
          <w:snapToGrid w:val="0"/>
          <w:color w:val="auto"/>
          <w:sz w:val="24"/>
        </w:rPr>
        <w:t xml:space="preserve">                     </w:t>
      </w:r>
      <w:r>
        <w:rPr>
          <w:rFonts w:hint="eastAsia"/>
          <w:snapToGrid w:val="0"/>
          <w:color w:val="auto"/>
          <w:sz w:val="24"/>
        </w:rPr>
        <w:t xml:space="preserve">         </w:t>
      </w:r>
      <w:r>
        <w:rPr>
          <w:rFonts w:hint="eastAsia" w:ascii="宋体" w:hAnsi="宋体" w:cs="宋体"/>
          <w:snapToGrid w:val="0"/>
          <w:color w:val="auto"/>
          <w:sz w:val="24"/>
        </w:rPr>
        <w:t>磋商供应商：</w:t>
      </w:r>
      <w:r>
        <w:rPr>
          <w:rFonts w:hint="eastAsia" w:ascii="宋体" w:hAnsi="宋体" w:cs="宋体"/>
          <w:snapToGrid w:val="0"/>
          <w:color w:val="auto"/>
          <w:sz w:val="24"/>
          <w:u w:val="single"/>
        </w:rPr>
        <w:t xml:space="preserve">                 </w:t>
      </w:r>
      <w:r>
        <w:rPr>
          <w:rFonts w:hint="eastAsia" w:ascii="宋体" w:hAnsi="宋体" w:cs="宋体"/>
          <w:snapToGrid w:val="0"/>
          <w:color w:val="auto"/>
          <w:sz w:val="24"/>
        </w:rPr>
        <w:t>（盖单位章）</w:t>
      </w:r>
    </w:p>
    <w:p>
      <w:pPr>
        <w:spacing w:line="500" w:lineRule="exact"/>
        <w:rPr>
          <w:rFonts w:ascii="宋体" w:hAnsi="宋体" w:cs="宋体"/>
          <w:snapToGrid w:val="0"/>
          <w:color w:val="auto"/>
          <w:sz w:val="24"/>
        </w:rPr>
      </w:pPr>
      <w:r>
        <w:rPr>
          <w:rFonts w:hint="eastAsia" w:ascii="宋体" w:hAnsi="宋体" w:cs="宋体"/>
          <w:snapToGrid w:val="0"/>
          <w:color w:val="auto"/>
          <w:sz w:val="24"/>
        </w:rPr>
        <w:t xml:space="preserve">                                    </w:t>
      </w:r>
      <w:r>
        <w:rPr>
          <w:rFonts w:hint="eastAsia" w:ascii="宋体" w:hAnsi="宋体" w:cs="宋体"/>
          <w:snapToGrid w:val="0"/>
          <w:color w:val="auto"/>
          <w:sz w:val="24"/>
          <w:u w:val="single"/>
        </w:rPr>
        <w:t xml:space="preserve">        </w:t>
      </w:r>
      <w:r>
        <w:rPr>
          <w:rFonts w:hint="eastAsia" w:ascii="宋体" w:hAnsi="宋体" w:cs="宋体"/>
          <w:snapToGrid w:val="0"/>
          <w:color w:val="auto"/>
          <w:sz w:val="24"/>
        </w:rPr>
        <w:t>年</w:t>
      </w:r>
      <w:r>
        <w:rPr>
          <w:rFonts w:hint="eastAsia" w:ascii="宋体" w:hAnsi="宋体" w:cs="宋体"/>
          <w:snapToGrid w:val="0"/>
          <w:color w:val="auto"/>
          <w:sz w:val="24"/>
          <w:u w:val="single"/>
        </w:rPr>
        <w:t xml:space="preserve">    </w:t>
      </w:r>
      <w:r>
        <w:rPr>
          <w:rFonts w:hint="eastAsia" w:ascii="宋体" w:hAnsi="宋体" w:cs="宋体"/>
          <w:snapToGrid w:val="0"/>
          <w:color w:val="auto"/>
          <w:sz w:val="24"/>
        </w:rPr>
        <w:t>月</w:t>
      </w:r>
      <w:r>
        <w:rPr>
          <w:rFonts w:hint="eastAsia" w:ascii="宋体" w:hAnsi="宋体" w:cs="宋体"/>
          <w:snapToGrid w:val="0"/>
          <w:color w:val="auto"/>
          <w:sz w:val="24"/>
          <w:u w:val="single"/>
        </w:rPr>
        <w:t xml:space="preserve">     </w:t>
      </w:r>
      <w:r>
        <w:rPr>
          <w:rFonts w:hint="eastAsia" w:ascii="宋体" w:hAnsi="宋体" w:cs="宋体"/>
          <w:snapToGrid w:val="0"/>
          <w:color w:val="auto"/>
          <w:sz w:val="24"/>
        </w:rPr>
        <w:t>日</w:t>
      </w:r>
    </w:p>
    <w:p>
      <w:pPr>
        <w:spacing w:line="500" w:lineRule="exact"/>
        <w:rPr>
          <w:rFonts w:ascii="宋体" w:hAnsi="宋体" w:cs="宋体"/>
          <w:snapToGrid w:val="0"/>
          <w:color w:val="auto"/>
          <w:sz w:val="24"/>
        </w:rPr>
      </w:pPr>
    </w:p>
    <w:p>
      <w:pPr>
        <w:spacing w:line="500" w:lineRule="exact"/>
        <w:rPr>
          <w:rFonts w:ascii="宋体" w:hAnsi="宋体" w:cs="宋体"/>
          <w:snapToGrid w:val="0"/>
          <w:color w:val="auto"/>
          <w:sz w:val="24"/>
        </w:rPr>
      </w:pPr>
      <w:r>
        <w:rPr>
          <w:rFonts w:hint="eastAsia" w:ascii="宋体" w:hAnsi="宋体" w:cs="宋体"/>
          <w:snapToGrid w:val="0"/>
          <w:color w:val="auto"/>
          <w:sz w:val="24"/>
        </w:rPr>
        <w:t>注：此证明用于法定代表人亲自出席开标会。</w:t>
      </w:r>
    </w:p>
    <w:p>
      <w:pPr>
        <w:adjustRightInd w:val="0"/>
        <w:snapToGrid w:val="0"/>
        <w:spacing w:line="360" w:lineRule="auto"/>
        <w:jc w:val="center"/>
        <w:rPr>
          <w:snapToGrid w:val="0"/>
          <w:color w:val="auto"/>
        </w:rPr>
      </w:pPr>
    </w:p>
    <w:p>
      <w:pPr>
        <w:adjustRightInd w:val="0"/>
        <w:snapToGrid w:val="0"/>
        <w:spacing w:line="360" w:lineRule="auto"/>
        <w:jc w:val="center"/>
        <w:rPr>
          <w:snapToGrid w:val="0"/>
          <w:color w:val="auto"/>
        </w:rPr>
      </w:pPr>
    </w:p>
    <w:p>
      <w:pPr>
        <w:pStyle w:val="9"/>
        <w:spacing w:line="600" w:lineRule="exact"/>
        <w:ind w:firstLine="0"/>
        <w:rPr>
          <w:color w:val="auto"/>
          <w:sz w:val="24"/>
        </w:rPr>
      </w:pPr>
      <w:r>
        <w:rPr>
          <w:rFonts w:hint="eastAsia"/>
          <w:color w:val="auto"/>
          <w:sz w:val="24"/>
        </w:rPr>
        <w:t>-----------------------------------------------------------------------------------------------------</w:t>
      </w:r>
    </w:p>
    <w:p>
      <w:pPr>
        <w:pStyle w:val="9"/>
        <w:spacing w:line="600" w:lineRule="exact"/>
        <w:ind w:firstLine="374" w:firstLineChars="156"/>
        <w:jc w:val="center"/>
        <w:rPr>
          <w:color w:val="auto"/>
          <w:sz w:val="24"/>
        </w:rPr>
      </w:pPr>
    </w:p>
    <w:p>
      <w:pPr>
        <w:pStyle w:val="9"/>
        <w:spacing w:line="600" w:lineRule="exact"/>
        <w:ind w:firstLine="374" w:firstLineChars="156"/>
        <w:jc w:val="center"/>
        <w:rPr>
          <w:color w:val="auto"/>
          <w:sz w:val="24"/>
        </w:rPr>
      </w:pPr>
    </w:p>
    <w:p>
      <w:pPr>
        <w:adjustRightInd w:val="0"/>
        <w:snapToGrid w:val="0"/>
        <w:spacing w:line="360" w:lineRule="auto"/>
        <w:jc w:val="center"/>
        <w:rPr>
          <w:rFonts w:ascii="宋体" w:hAnsi="宋体" w:cs="宋体"/>
          <w:color w:val="auto"/>
          <w:sz w:val="24"/>
        </w:rPr>
      </w:pPr>
      <w:r>
        <w:rPr>
          <w:rFonts w:hint="eastAsia" w:ascii="宋体" w:hAnsi="宋体" w:cs="宋体"/>
          <w:color w:val="auto"/>
          <w:sz w:val="24"/>
        </w:rPr>
        <w:t>有效身份证复印件粘贴处</w:t>
      </w:r>
    </w:p>
    <w:p>
      <w:pPr>
        <w:adjustRightInd w:val="0"/>
        <w:snapToGrid w:val="0"/>
        <w:spacing w:line="360" w:lineRule="auto"/>
        <w:jc w:val="center"/>
        <w:rPr>
          <w:rFonts w:ascii="宋体" w:hAnsi="宋体" w:cs="宋体"/>
          <w:color w:val="auto"/>
          <w:sz w:val="24"/>
        </w:rPr>
      </w:pPr>
    </w:p>
    <w:p>
      <w:pPr>
        <w:adjustRightInd w:val="0"/>
        <w:snapToGrid w:val="0"/>
        <w:spacing w:line="360" w:lineRule="auto"/>
        <w:jc w:val="center"/>
        <w:rPr>
          <w:color w:val="auto"/>
          <w:sz w:val="24"/>
        </w:rPr>
      </w:pPr>
    </w:p>
    <w:p>
      <w:pPr>
        <w:adjustRightInd w:val="0"/>
        <w:snapToGrid w:val="0"/>
        <w:spacing w:line="360" w:lineRule="auto"/>
        <w:jc w:val="center"/>
        <w:rPr>
          <w:color w:val="auto"/>
          <w:sz w:val="24"/>
        </w:rPr>
      </w:pPr>
    </w:p>
    <w:p>
      <w:pPr>
        <w:adjustRightInd w:val="0"/>
        <w:snapToGrid w:val="0"/>
        <w:spacing w:line="360" w:lineRule="auto"/>
        <w:ind w:right="480"/>
        <w:rPr>
          <w:rFonts w:ascii="宋体" w:hAnsi="宋体"/>
          <w:b/>
          <w:color w:val="auto"/>
          <w:sz w:val="28"/>
        </w:rPr>
      </w:pPr>
    </w:p>
    <w:p>
      <w:pPr>
        <w:pStyle w:val="49"/>
        <w:widowControl w:val="0"/>
        <w:snapToGrid w:val="0"/>
        <w:spacing w:line="500" w:lineRule="exact"/>
        <w:jc w:val="center"/>
        <w:rPr>
          <w:rFonts w:hint="default" w:hAnsi="宋体"/>
          <w:b/>
          <w:color w:val="auto"/>
          <w:sz w:val="28"/>
        </w:rPr>
        <w:sectPr>
          <w:footerReference r:id="rId10" w:type="first"/>
          <w:footerReference r:id="rId9" w:type="default"/>
          <w:pgSz w:w="11906" w:h="16838"/>
          <w:pgMar w:top="1440" w:right="1440" w:bottom="1440" w:left="1440" w:header="851" w:footer="992" w:gutter="0"/>
          <w:cols w:space="720" w:num="1"/>
          <w:titlePg/>
          <w:docGrid w:type="lines" w:linePitch="312" w:charSpace="0"/>
        </w:sectPr>
      </w:pPr>
    </w:p>
    <w:p>
      <w:pPr>
        <w:pStyle w:val="9"/>
        <w:spacing w:line="360" w:lineRule="auto"/>
        <w:ind w:firstLine="0"/>
        <w:jc w:val="left"/>
        <w:rPr>
          <w:rFonts w:ascii="宋体" w:cs="宋体"/>
          <w:b/>
          <w:bCs/>
          <w:color w:val="auto"/>
          <w:sz w:val="24"/>
          <w:szCs w:val="24"/>
        </w:rPr>
      </w:pPr>
      <w:r>
        <w:rPr>
          <w:rFonts w:hint="eastAsia" w:ascii="宋体" w:hAnsi="宋体" w:cs="宋体"/>
          <w:b/>
          <w:bCs/>
          <w:color w:val="auto"/>
          <w:sz w:val="24"/>
          <w:szCs w:val="24"/>
        </w:rPr>
        <w:t>附件三：</w:t>
      </w:r>
    </w:p>
    <w:p>
      <w:pPr>
        <w:pStyle w:val="9"/>
        <w:spacing w:line="360" w:lineRule="auto"/>
        <w:ind w:firstLine="0"/>
        <w:jc w:val="center"/>
        <w:rPr>
          <w:rFonts w:ascii="仿宋_GB2312" w:hAnsi="宋体" w:eastAsia="仿宋_GB2312"/>
          <w:b/>
          <w:color w:val="auto"/>
          <w:sz w:val="32"/>
          <w:szCs w:val="32"/>
        </w:rPr>
      </w:pPr>
      <w:r>
        <w:rPr>
          <w:rFonts w:hint="eastAsia" w:ascii="宋体" w:cs="宋体"/>
          <w:b/>
          <w:color w:val="auto"/>
          <w:sz w:val="24"/>
          <w:szCs w:val="24"/>
        </w:rPr>
        <w:t>依法缴纳税收及社会保障资金的承诺函</w:t>
      </w:r>
    </w:p>
    <w:p>
      <w:pPr>
        <w:pStyle w:val="12"/>
        <w:spacing w:before="60" w:after="60" w:line="500" w:lineRule="exact"/>
        <w:rPr>
          <w:rFonts w:hAnsi="宋体" w:cs="宋体"/>
          <w:b/>
          <w:bCs/>
          <w:color w:val="auto"/>
          <w:sz w:val="24"/>
          <w:u w:val="single"/>
        </w:rPr>
      </w:pPr>
      <w:r>
        <w:rPr>
          <w:rFonts w:hint="eastAsia" w:hAnsi="宋体" w:cs="宋体"/>
          <w:b/>
          <w:bCs/>
          <w:color w:val="auto"/>
          <w:sz w:val="24"/>
          <w:u w:val="single"/>
        </w:rPr>
        <w:t>浙江广通工程咨询有限公司：</w:t>
      </w:r>
    </w:p>
    <w:p>
      <w:pPr>
        <w:pStyle w:val="12"/>
        <w:spacing w:before="60" w:after="60" w:line="500" w:lineRule="exact"/>
        <w:ind w:firstLine="480" w:firstLineChars="200"/>
        <w:rPr>
          <w:rFonts w:hAnsi="宋体" w:cs="宋体"/>
          <w:color w:val="auto"/>
          <w:sz w:val="24"/>
        </w:rPr>
      </w:pPr>
      <w:r>
        <w:rPr>
          <w:rFonts w:hint="eastAsia" w:hAnsi="宋体" w:cs="宋体"/>
          <w:color w:val="auto"/>
          <w:sz w:val="24"/>
        </w:rPr>
        <w:t>我方参与的</w:t>
      </w:r>
      <w:r>
        <w:rPr>
          <w:rFonts w:hint="eastAsia" w:hAnsi="宋体" w:cs="宋体"/>
          <w:color w:val="auto"/>
          <w:sz w:val="24"/>
          <w:u w:val="single"/>
        </w:rPr>
        <w:t xml:space="preserve"> （项目名称）（项目编号） </w:t>
      </w:r>
      <w:r>
        <w:rPr>
          <w:rFonts w:hint="eastAsia" w:hAnsi="宋体" w:cs="宋体"/>
          <w:color w:val="auto"/>
          <w:sz w:val="24"/>
        </w:rPr>
        <w:t xml:space="preserve"> 的磋商活动，现郑重承诺：</w:t>
      </w:r>
    </w:p>
    <w:p>
      <w:pPr>
        <w:pStyle w:val="12"/>
        <w:spacing w:before="60" w:after="60" w:line="500" w:lineRule="exact"/>
        <w:ind w:firstLine="480" w:firstLineChars="200"/>
        <w:rPr>
          <w:rFonts w:hAnsi="宋体" w:cs="宋体"/>
          <w:color w:val="auto"/>
          <w:sz w:val="24"/>
        </w:rPr>
      </w:pPr>
      <w:r>
        <w:rPr>
          <w:rFonts w:hint="eastAsia" w:hAnsi="宋体" w:cs="宋体"/>
          <w:color w:val="auto"/>
          <w:sz w:val="24"/>
        </w:rPr>
        <w:t>我公司已依法缴纳税收及社会保障资金，符合参与政府采购活动的资格条件，不存在税收缴纳、社会保障等方面的失信记录。</w:t>
      </w:r>
    </w:p>
    <w:p>
      <w:pPr>
        <w:pStyle w:val="12"/>
        <w:spacing w:before="60" w:after="60" w:line="500" w:lineRule="exact"/>
        <w:ind w:firstLine="480" w:firstLineChars="200"/>
        <w:rPr>
          <w:rFonts w:hAnsi="宋体" w:cs="宋体"/>
          <w:color w:val="auto"/>
          <w:sz w:val="24"/>
        </w:rPr>
      </w:pPr>
      <w:r>
        <w:rPr>
          <w:rFonts w:hint="eastAsia" w:hAnsi="宋体" w:cs="宋体"/>
          <w:color w:val="auto"/>
          <w:sz w:val="24"/>
        </w:rPr>
        <w:t>如本公司对以上条款提供虚假承诺，愿承担一切法律责任。</w:t>
      </w:r>
    </w:p>
    <w:p>
      <w:pPr>
        <w:pStyle w:val="12"/>
        <w:spacing w:before="60" w:after="60" w:line="500" w:lineRule="exact"/>
        <w:ind w:firstLine="480" w:firstLineChars="200"/>
        <w:rPr>
          <w:rFonts w:hAnsi="宋体" w:cs="宋体"/>
          <w:color w:val="auto"/>
          <w:sz w:val="24"/>
        </w:rPr>
      </w:pPr>
    </w:p>
    <w:p>
      <w:pPr>
        <w:adjustRightInd w:val="0"/>
        <w:snapToGrid w:val="0"/>
        <w:spacing w:line="360" w:lineRule="auto"/>
        <w:ind w:firstLine="5355" w:firstLineChars="2550"/>
        <w:rPr>
          <w:rFonts w:ascii="宋体" w:hAnsi="宋体" w:eastAsia="宋体" w:cs="宋体"/>
          <w:color w:val="auto"/>
          <w:kern w:val="0"/>
          <w:sz w:val="21"/>
          <w:szCs w:val="21"/>
          <w:lang w:val="zh-CN"/>
        </w:rPr>
      </w:pPr>
      <w:r>
        <w:rPr>
          <w:rFonts w:hint="eastAsia" w:ascii="宋体" w:hAnsi="宋体" w:eastAsia="宋体" w:cs="宋体"/>
          <w:color w:val="auto"/>
          <w:kern w:val="0"/>
          <w:sz w:val="21"/>
          <w:szCs w:val="21"/>
          <w:lang w:val="zh-CN"/>
        </w:rPr>
        <w:t>磋商供应商(公章)：</w:t>
      </w:r>
    </w:p>
    <w:p>
      <w:pPr>
        <w:adjustRightInd w:val="0"/>
        <w:snapToGrid w:val="0"/>
        <w:spacing w:line="360" w:lineRule="auto"/>
        <w:rPr>
          <w:rFonts w:ascii="宋体" w:hAnsi="宋体" w:eastAsia="宋体" w:cs="宋体"/>
          <w:color w:val="auto"/>
          <w:kern w:val="0"/>
          <w:sz w:val="21"/>
          <w:szCs w:val="21"/>
          <w:lang w:val="zh-CN"/>
        </w:rPr>
      </w:pPr>
      <w:r>
        <w:rPr>
          <w:rFonts w:hint="eastAsia" w:ascii="宋体" w:hAnsi="宋体" w:eastAsia="宋体" w:cs="宋体"/>
          <w:color w:val="auto"/>
          <w:kern w:val="0"/>
          <w:sz w:val="21"/>
          <w:szCs w:val="21"/>
          <w:lang w:val="zh-CN"/>
        </w:rPr>
        <w:t xml:space="preserve">                                 法定代表人或授权委托人(签字</w:t>
      </w:r>
      <w:r>
        <w:rPr>
          <w:rFonts w:hint="eastAsia" w:ascii="宋体" w:hAnsi="宋体" w:eastAsia="宋体" w:cs="宋体"/>
          <w:color w:val="auto"/>
          <w:kern w:val="0"/>
          <w:sz w:val="21"/>
          <w:szCs w:val="21"/>
        </w:rPr>
        <w:t>或盖章</w:t>
      </w:r>
      <w:r>
        <w:rPr>
          <w:rFonts w:hint="eastAsia" w:ascii="宋体" w:hAnsi="宋体" w:eastAsia="宋体" w:cs="宋体"/>
          <w:color w:val="auto"/>
          <w:kern w:val="0"/>
          <w:sz w:val="21"/>
          <w:szCs w:val="21"/>
          <w:lang w:val="zh-CN"/>
        </w:rPr>
        <w:t>)：</w:t>
      </w:r>
    </w:p>
    <w:p>
      <w:pPr>
        <w:pStyle w:val="12"/>
        <w:adjustRightInd w:val="0"/>
        <w:snapToGrid w:val="0"/>
        <w:spacing w:before="120" w:after="120" w:line="360" w:lineRule="auto"/>
        <w:jc w:val="center"/>
        <w:rPr>
          <w:rFonts w:hAnsi="宋体" w:eastAsia="宋体" w:cs="宋体"/>
          <w:color w:val="auto"/>
          <w:kern w:val="0"/>
          <w:szCs w:val="21"/>
          <w:lang w:val="zh-CN"/>
        </w:rPr>
      </w:pPr>
      <w:r>
        <w:rPr>
          <w:rFonts w:hint="eastAsia" w:hAnsi="宋体" w:eastAsia="宋体" w:cs="宋体"/>
          <w:color w:val="auto"/>
          <w:kern w:val="0"/>
          <w:szCs w:val="21"/>
          <w:lang w:val="zh-CN"/>
        </w:rPr>
        <w:t xml:space="preserve">                                  日期：</w:t>
      </w:r>
      <w:r>
        <w:rPr>
          <w:rFonts w:hint="eastAsia" w:hAnsi="宋体" w:eastAsia="宋体" w:cs="宋体"/>
          <w:color w:val="auto"/>
          <w:kern w:val="0"/>
          <w:szCs w:val="21"/>
        </w:rPr>
        <w:t xml:space="preserve">       </w:t>
      </w:r>
      <w:r>
        <w:rPr>
          <w:rFonts w:hint="eastAsia" w:hAnsi="宋体" w:eastAsia="宋体" w:cs="宋体"/>
          <w:color w:val="auto"/>
          <w:kern w:val="0"/>
          <w:szCs w:val="21"/>
          <w:lang w:val="zh-CN"/>
        </w:rPr>
        <w:t>年  月   日</w:t>
      </w:r>
    </w:p>
    <w:p>
      <w:pPr>
        <w:pStyle w:val="12"/>
        <w:adjustRightInd w:val="0"/>
        <w:snapToGrid w:val="0"/>
        <w:spacing w:before="120" w:after="120"/>
        <w:jc w:val="center"/>
        <w:rPr>
          <w:rFonts w:hAnsi="宋体" w:cs="宋体"/>
          <w:color w:val="auto"/>
          <w:sz w:val="23"/>
          <w:szCs w:val="23"/>
        </w:rPr>
      </w:pPr>
    </w:p>
    <w:p>
      <w:pPr>
        <w:pStyle w:val="9"/>
        <w:spacing w:line="360" w:lineRule="auto"/>
        <w:ind w:firstLine="0"/>
        <w:jc w:val="center"/>
        <w:rPr>
          <w:rFonts w:ascii="宋体" w:hAnsi="宋体" w:cs="宋体"/>
          <w:b/>
          <w:color w:val="auto"/>
          <w:sz w:val="24"/>
          <w:szCs w:val="24"/>
        </w:rPr>
      </w:pPr>
    </w:p>
    <w:p>
      <w:pPr>
        <w:pStyle w:val="9"/>
        <w:spacing w:line="360" w:lineRule="auto"/>
        <w:ind w:firstLine="0"/>
        <w:jc w:val="center"/>
        <w:rPr>
          <w:rFonts w:ascii="宋体" w:cs="宋体"/>
          <w:b/>
          <w:color w:val="auto"/>
          <w:sz w:val="24"/>
          <w:szCs w:val="24"/>
        </w:rPr>
      </w:pPr>
    </w:p>
    <w:p>
      <w:pPr>
        <w:pStyle w:val="9"/>
        <w:spacing w:line="360" w:lineRule="auto"/>
        <w:ind w:firstLine="0"/>
        <w:jc w:val="center"/>
        <w:rPr>
          <w:rFonts w:ascii="宋体" w:cs="宋体"/>
          <w:b/>
          <w:color w:val="auto"/>
          <w:sz w:val="24"/>
          <w:szCs w:val="24"/>
        </w:rPr>
      </w:pPr>
    </w:p>
    <w:p>
      <w:pPr>
        <w:pStyle w:val="9"/>
        <w:spacing w:line="360" w:lineRule="auto"/>
        <w:ind w:firstLine="0"/>
        <w:jc w:val="center"/>
        <w:rPr>
          <w:rFonts w:ascii="宋体" w:cs="宋体"/>
          <w:b/>
          <w:color w:val="auto"/>
          <w:sz w:val="24"/>
          <w:szCs w:val="24"/>
        </w:rPr>
      </w:pPr>
    </w:p>
    <w:p>
      <w:pPr>
        <w:pStyle w:val="9"/>
        <w:spacing w:line="360" w:lineRule="auto"/>
        <w:ind w:firstLine="0"/>
        <w:jc w:val="center"/>
        <w:rPr>
          <w:rFonts w:ascii="宋体" w:cs="宋体"/>
          <w:b/>
          <w:color w:val="auto"/>
          <w:sz w:val="24"/>
          <w:szCs w:val="24"/>
        </w:rPr>
      </w:pPr>
    </w:p>
    <w:p>
      <w:pPr>
        <w:pStyle w:val="9"/>
        <w:spacing w:line="360" w:lineRule="auto"/>
        <w:ind w:firstLine="0"/>
        <w:jc w:val="center"/>
        <w:rPr>
          <w:rFonts w:ascii="宋体" w:cs="宋体"/>
          <w:b/>
          <w:color w:val="auto"/>
          <w:sz w:val="24"/>
          <w:szCs w:val="24"/>
        </w:rPr>
      </w:pPr>
    </w:p>
    <w:p>
      <w:pPr>
        <w:pStyle w:val="9"/>
        <w:spacing w:line="360" w:lineRule="auto"/>
        <w:ind w:firstLine="0"/>
        <w:jc w:val="center"/>
        <w:rPr>
          <w:rFonts w:ascii="宋体" w:cs="宋体"/>
          <w:b/>
          <w:color w:val="auto"/>
          <w:sz w:val="24"/>
          <w:szCs w:val="24"/>
        </w:rPr>
      </w:pPr>
    </w:p>
    <w:p>
      <w:pPr>
        <w:pStyle w:val="9"/>
        <w:spacing w:line="360" w:lineRule="auto"/>
        <w:ind w:firstLine="0"/>
        <w:jc w:val="center"/>
        <w:rPr>
          <w:rFonts w:ascii="宋体" w:cs="宋体"/>
          <w:b/>
          <w:color w:val="auto"/>
          <w:sz w:val="24"/>
          <w:szCs w:val="24"/>
        </w:rPr>
      </w:pPr>
    </w:p>
    <w:p>
      <w:pPr>
        <w:pStyle w:val="9"/>
        <w:spacing w:line="360" w:lineRule="auto"/>
        <w:ind w:firstLine="0"/>
        <w:jc w:val="center"/>
        <w:rPr>
          <w:rFonts w:ascii="宋体" w:cs="宋体"/>
          <w:b/>
          <w:color w:val="auto"/>
          <w:sz w:val="24"/>
          <w:szCs w:val="24"/>
        </w:rPr>
      </w:pPr>
    </w:p>
    <w:p>
      <w:pPr>
        <w:pStyle w:val="9"/>
        <w:spacing w:line="360" w:lineRule="auto"/>
        <w:ind w:firstLine="0"/>
        <w:jc w:val="center"/>
        <w:rPr>
          <w:rFonts w:ascii="宋体" w:cs="宋体"/>
          <w:b/>
          <w:color w:val="auto"/>
          <w:sz w:val="24"/>
          <w:szCs w:val="24"/>
        </w:rPr>
      </w:pPr>
    </w:p>
    <w:p>
      <w:pPr>
        <w:pStyle w:val="9"/>
        <w:spacing w:line="360" w:lineRule="auto"/>
        <w:ind w:firstLine="0"/>
        <w:jc w:val="center"/>
        <w:rPr>
          <w:rFonts w:ascii="宋体" w:cs="宋体"/>
          <w:b/>
          <w:color w:val="auto"/>
          <w:sz w:val="24"/>
          <w:szCs w:val="24"/>
        </w:rPr>
      </w:pPr>
    </w:p>
    <w:p>
      <w:pPr>
        <w:pStyle w:val="9"/>
        <w:spacing w:line="360" w:lineRule="auto"/>
        <w:ind w:firstLine="0"/>
        <w:jc w:val="center"/>
        <w:rPr>
          <w:rFonts w:ascii="宋体" w:cs="宋体"/>
          <w:b/>
          <w:color w:val="auto"/>
          <w:sz w:val="24"/>
          <w:szCs w:val="24"/>
        </w:rPr>
      </w:pPr>
    </w:p>
    <w:p>
      <w:pPr>
        <w:pStyle w:val="9"/>
        <w:spacing w:line="360" w:lineRule="auto"/>
        <w:ind w:firstLine="0"/>
        <w:jc w:val="center"/>
        <w:rPr>
          <w:rFonts w:ascii="宋体" w:cs="宋体"/>
          <w:b/>
          <w:color w:val="auto"/>
          <w:sz w:val="24"/>
          <w:szCs w:val="24"/>
        </w:rPr>
      </w:pPr>
    </w:p>
    <w:p>
      <w:pPr>
        <w:pStyle w:val="9"/>
        <w:spacing w:line="360" w:lineRule="auto"/>
        <w:ind w:firstLine="0"/>
        <w:jc w:val="center"/>
        <w:rPr>
          <w:rFonts w:ascii="宋体" w:cs="宋体"/>
          <w:b/>
          <w:color w:val="auto"/>
          <w:sz w:val="24"/>
          <w:szCs w:val="24"/>
        </w:rPr>
      </w:pPr>
    </w:p>
    <w:p>
      <w:pPr>
        <w:pStyle w:val="9"/>
        <w:spacing w:line="360" w:lineRule="auto"/>
        <w:ind w:firstLine="0"/>
        <w:jc w:val="center"/>
        <w:rPr>
          <w:rFonts w:ascii="宋体" w:cs="宋体"/>
          <w:b/>
          <w:color w:val="auto"/>
          <w:sz w:val="24"/>
          <w:szCs w:val="24"/>
        </w:rPr>
      </w:pPr>
    </w:p>
    <w:p>
      <w:pPr>
        <w:pStyle w:val="9"/>
        <w:spacing w:line="360" w:lineRule="auto"/>
        <w:ind w:firstLine="0"/>
        <w:jc w:val="center"/>
        <w:rPr>
          <w:rFonts w:ascii="宋体" w:cs="宋体"/>
          <w:b/>
          <w:color w:val="auto"/>
          <w:sz w:val="24"/>
          <w:szCs w:val="24"/>
        </w:rPr>
      </w:pPr>
    </w:p>
    <w:p>
      <w:pPr>
        <w:pStyle w:val="9"/>
        <w:spacing w:line="360" w:lineRule="auto"/>
        <w:ind w:firstLine="0"/>
        <w:jc w:val="left"/>
        <w:rPr>
          <w:rFonts w:ascii="宋体" w:cs="宋体"/>
          <w:b/>
          <w:color w:val="auto"/>
          <w:sz w:val="24"/>
          <w:szCs w:val="24"/>
        </w:rPr>
      </w:pPr>
      <w:r>
        <w:rPr>
          <w:rFonts w:hint="eastAsia" w:ascii="宋体" w:cs="宋体"/>
          <w:b/>
          <w:color w:val="auto"/>
          <w:sz w:val="24"/>
          <w:szCs w:val="24"/>
        </w:rPr>
        <w:t>附件四：</w:t>
      </w:r>
      <w:r>
        <w:rPr>
          <w:rFonts w:ascii="宋体" w:cs="宋体"/>
          <w:b/>
          <w:color w:val="auto"/>
          <w:sz w:val="24"/>
          <w:szCs w:val="24"/>
        </w:rPr>
        <w:t xml:space="preserve">          </w:t>
      </w:r>
    </w:p>
    <w:p>
      <w:pPr>
        <w:pStyle w:val="9"/>
        <w:spacing w:line="360" w:lineRule="auto"/>
        <w:ind w:firstLine="0"/>
        <w:jc w:val="left"/>
        <w:rPr>
          <w:rFonts w:ascii="仿宋_GB2312" w:hAnsi="宋体" w:eastAsia="仿宋_GB2312"/>
          <w:b/>
          <w:color w:val="auto"/>
          <w:sz w:val="32"/>
          <w:szCs w:val="32"/>
        </w:rPr>
      </w:pPr>
      <w:r>
        <w:rPr>
          <w:rFonts w:hint="eastAsia" w:ascii="宋体" w:eastAsia="宋体" w:cs="宋体"/>
          <w:b/>
          <w:color w:val="auto"/>
          <w:sz w:val="24"/>
          <w:szCs w:val="24"/>
        </w:rPr>
        <w:t xml:space="preserve">              </w:t>
      </w:r>
      <w:r>
        <w:rPr>
          <w:rFonts w:hint="eastAsia" w:ascii="宋体" w:cs="宋体"/>
          <w:b/>
          <w:color w:val="auto"/>
          <w:sz w:val="24"/>
          <w:szCs w:val="24"/>
        </w:rPr>
        <w:t>具有良好的商业信誉和健全的财务会计制度的承诺函</w:t>
      </w:r>
    </w:p>
    <w:p>
      <w:pPr>
        <w:pStyle w:val="12"/>
        <w:spacing w:before="60" w:after="60" w:line="500" w:lineRule="exact"/>
        <w:rPr>
          <w:rFonts w:hAnsi="宋体" w:cs="宋体"/>
          <w:b/>
          <w:bCs/>
          <w:color w:val="auto"/>
          <w:sz w:val="24"/>
          <w:u w:val="single"/>
        </w:rPr>
      </w:pPr>
      <w:r>
        <w:rPr>
          <w:rFonts w:hint="eastAsia" w:hAnsi="宋体" w:cs="宋体"/>
          <w:b/>
          <w:bCs/>
          <w:color w:val="auto"/>
          <w:sz w:val="24"/>
          <w:u w:val="single"/>
        </w:rPr>
        <w:t>浙江广通工程咨询有限公司：</w:t>
      </w:r>
    </w:p>
    <w:p>
      <w:pPr>
        <w:pStyle w:val="12"/>
        <w:spacing w:before="60" w:after="60" w:line="500" w:lineRule="exact"/>
        <w:ind w:firstLine="480" w:firstLineChars="200"/>
        <w:rPr>
          <w:rFonts w:hAnsi="宋体" w:cs="宋体"/>
          <w:color w:val="auto"/>
          <w:sz w:val="24"/>
        </w:rPr>
      </w:pPr>
      <w:r>
        <w:rPr>
          <w:rFonts w:hint="eastAsia" w:hAnsi="宋体" w:cs="宋体"/>
          <w:color w:val="auto"/>
          <w:sz w:val="24"/>
        </w:rPr>
        <w:t>我方参与的</w:t>
      </w:r>
      <w:r>
        <w:rPr>
          <w:rFonts w:hint="eastAsia" w:hAnsi="宋体" w:cs="宋体"/>
          <w:color w:val="auto"/>
          <w:sz w:val="24"/>
          <w:u w:val="single"/>
        </w:rPr>
        <w:t xml:space="preserve"> （项目名称）（项目编号） </w:t>
      </w:r>
      <w:r>
        <w:rPr>
          <w:rFonts w:hint="eastAsia" w:hAnsi="宋体" w:cs="宋体"/>
          <w:color w:val="auto"/>
          <w:sz w:val="24"/>
        </w:rPr>
        <w:t xml:space="preserve"> 的磋商活动，现承诺我公司在参加本项目政府采购活动前，没有处于被责令停产、财产被接管、冻结或破产状态，具有足够的流动资金，有能力履行合同；我公司具有良好的商业信誉和健全的财务会计制度。</w:t>
      </w:r>
    </w:p>
    <w:p>
      <w:pPr>
        <w:pStyle w:val="12"/>
        <w:spacing w:before="60" w:after="60" w:line="500" w:lineRule="exact"/>
        <w:ind w:firstLine="480" w:firstLineChars="200"/>
        <w:rPr>
          <w:rFonts w:hAnsi="宋体" w:cs="宋体"/>
          <w:color w:val="auto"/>
          <w:sz w:val="24"/>
        </w:rPr>
      </w:pPr>
    </w:p>
    <w:p>
      <w:pPr>
        <w:pStyle w:val="12"/>
        <w:spacing w:before="60" w:after="60" w:line="500" w:lineRule="exact"/>
        <w:ind w:firstLine="480" w:firstLineChars="200"/>
        <w:rPr>
          <w:rFonts w:hAnsi="宋体" w:cs="宋体"/>
          <w:color w:val="auto"/>
          <w:sz w:val="24"/>
        </w:rPr>
      </w:pPr>
      <w:r>
        <w:rPr>
          <w:rFonts w:hint="eastAsia" w:hAnsi="宋体" w:cs="宋体"/>
          <w:color w:val="auto"/>
          <w:sz w:val="24"/>
        </w:rPr>
        <w:t>如本公司对以上条款提供虚假承诺，愿承担一切法律责任。</w:t>
      </w:r>
    </w:p>
    <w:p>
      <w:pPr>
        <w:adjustRightInd w:val="0"/>
        <w:snapToGrid w:val="0"/>
        <w:spacing w:line="360" w:lineRule="auto"/>
        <w:rPr>
          <w:rFonts w:ascii="宋体" w:hAnsi="宋体" w:cs="宋体"/>
          <w:color w:val="auto"/>
          <w:sz w:val="23"/>
          <w:szCs w:val="23"/>
        </w:rPr>
      </w:pPr>
    </w:p>
    <w:p>
      <w:pPr>
        <w:adjustRightInd w:val="0"/>
        <w:snapToGrid w:val="0"/>
        <w:spacing w:line="360" w:lineRule="auto"/>
        <w:rPr>
          <w:rFonts w:ascii="宋体" w:hAnsi="宋体" w:cs="宋体"/>
          <w:color w:val="auto"/>
          <w:sz w:val="23"/>
          <w:szCs w:val="23"/>
        </w:rPr>
      </w:pPr>
    </w:p>
    <w:p>
      <w:pPr>
        <w:adjustRightInd w:val="0"/>
        <w:snapToGrid w:val="0"/>
        <w:spacing w:line="360" w:lineRule="auto"/>
        <w:rPr>
          <w:rFonts w:ascii="宋体" w:hAnsi="宋体" w:eastAsia="宋体" w:cs="宋体"/>
          <w:color w:val="auto"/>
          <w:kern w:val="0"/>
          <w:sz w:val="21"/>
          <w:szCs w:val="21"/>
          <w:lang w:val="zh-CN"/>
        </w:rPr>
      </w:pPr>
      <w:r>
        <w:rPr>
          <w:rFonts w:hint="eastAsia" w:ascii="宋体" w:hAnsi="宋体" w:cs="宋体"/>
          <w:color w:val="auto"/>
          <w:sz w:val="23"/>
          <w:szCs w:val="23"/>
        </w:rPr>
        <w:t xml:space="preserve">                                              </w:t>
      </w:r>
      <w:r>
        <w:rPr>
          <w:rFonts w:hint="eastAsia" w:ascii="宋体" w:hAnsi="宋体" w:eastAsia="宋体" w:cs="宋体"/>
          <w:color w:val="auto"/>
          <w:kern w:val="0"/>
          <w:sz w:val="21"/>
          <w:szCs w:val="21"/>
          <w:lang w:val="zh-CN"/>
        </w:rPr>
        <w:t>磋商供应商(公章)：</w:t>
      </w:r>
    </w:p>
    <w:p>
      <w:pPr>
        <w:adjustRightInd w:val="0"/>
        <w:snapToGrid w:val="0"/>
        <w:spacing w:line="360" w:lineRule="auto"/>
        <w:rPr>
          <w:rFonts w:ascii="宋体" w:hAnsi="宋体" w:eastAsia="宋体" w:cs="宋体"/>
          <w:color w:val="auto"/>
          <w:kern w:val="0"/>
          <w:sz w:val="21"/>
          <w:szCs w:val="21"/>
          <w:lang w:val="zh-CN"/>
        </w:rPr>
      </w:pPr>
      <w:r>
        <w:rPr>
          <w:rFonts w:hint="eastAsia" w:ascii="宋体" w:hAnsi="宋体" w:eastAsia="宋体" w:cs="宋体"/>
          <w:color w:val="auto"/>
          <w:kern w:val="0"/>
          <w:sz w:val="21"/>
          <w:szCs w:val="21"/>
          <w:lang w:val="zh-CN"/>
        </w:rPr>
        <w:t xml:space="preserve">                                 法定代表人或授权委托人(签字</w:t>
      </w:r>
      <w:r>
        <w:rPr>
          <w:rFonts w:hint="eastAsia" w:ascii="宋体" w:hAnsi="宋体" w:eastAsia="宋体" w:cs="宋体"/>
          <w:color w:val="auto"/>
          <w:kern w:val="0"/>
          <w:sz w:val="21"/>
          <w:szCs w:val="21"/>
        </w:rPr>
        <w:t>或盖章</w:t>
      </w:r>
      <w:r>
        <w:rPr>
          <w:rFonts w:hint="eastAsia" w:ascii="宋体" w:hAnsi="宋体" w:eastAsia="宋体" w:cs="宋体"/>
          <w:color w:val="auto"/>
          <w:kern w:val="0"/>
          <w:sz w:val="21"/>
          <w:szCs w:val="21"/>
          <w:lang w:val="zh-CN"/>
        </w:rPr>
        <w:t>)：</w:t>
      </w:r>
    </w:p>
    <w:p>
      <w:pPr>
        <w:pStyle w:val="12"/>
        <w:adjustRightInd w:val="0"/>
        <w:snapToGrid w:val="0"/>
        <w:spacing w:before="120" w:after="120" w:line="360" w:lineRule="auto"/>
        <w:jc w:val="center"/>
        <w:rPr>
          <w:rFonts w:hAnsi="宋体" w:eastAsia="宋体" w:cs="宋体"/>
          <w:color w:val="auto"/>
          <w:kern w:val="0"/>
          <w:szCs w:val="21"/>
          <w:lang w:val="zh-CN"/>
        </w:rPr>
      </w:pPr>
      <w:r>
        <w:rPr>
          <w:rFonts w:hint="eastAsia" w:hAnsi="宋体" w:eastAsia="宋体" w:cs="宋体"/>
          <w:color w:val="auto"/>
          <w:kern w:val="0"/>
          <w:szCs w:val="21"/>
          <w:lang w:val="zh-CN"/>
        </w:rPr>
        <w:t xml:space="preserve">                                  日期：</w:t>
      </w:r>
      <w:r>
        <w:rPr>
          <w:rFonts w:hint="eastAsia" w:hAnsi="宋体" w:eastAsia="宋体" w:cs="宋体"/>
          <w:color w:val="auto"/>
          <w:kern w:val="0"/>
          <w:szCs w:val="21"/>
        </w:rPr>
        <w:t xml:space="preserve">       </w:t>
      </w:r>
      <w:r>
        <w:rPr>
          <w:rFonts w:hint="eastAsia" w:hAnsi="宋体" w:eastAsia="宋体" w:cs="宋体"/>
          <w:color w:val="auto"/>
          <w:kern w:val="0"/>
          <w:szCs w:val="21"/>
          <w:lang w:val="zh-CN"/>
        </w:rPr>
        <w:t>年  月   日</w:t>
      </w:r>
    </w:p>
    <w:p>
      <w:pPr>
        <w:pStyle w:val="9"/>
        <w:spacing w:line="360" w:lineRule="auto"/>
        <w:ind w:firstLine="0"/>
        <w:jc w:val="center"/>
        <w:rPr>
          <w:rFonts w:ascii="宋体" w:hAnsi="宋体" w:cs="宋体"/>
          <w:b/>
          <w:color w:val="auto"/>
          <w:sz w:val="24"/>
          <w:szCs w:val="24"/>
        </w:rPr>
      </w:pPr>
    </w:p>
    <w:p>
      <w:pPr>
        <w:pStyle w:val="9"/>
        <w:spacing w:line="360" w:lineRule="auto"/>
        <w:ind w:firstLine="0"/>
        <w:jc w:val="center"/>
        <w:rPr>
          <w:rFonts w:ascii="宋体" w:hAnsi="宋体" w:cs="宋体"/>
          <w:b/>
          <w:color w:val="auto"/>
          <w:sz w:val="24"/>
          <w:szCs w:val="24"/>
        </w:rPr>
      </w:pPr>
    </w:p>
    <w:p>
      <w:pPr>
        <w:pStyle w:val="9"/>
        <w:spacing w:line="360" w:lineRule="auto"/>
        <w:ind w:firstLine="0"/>
        <w:jc w:val="center"/>
        <w:rPr>
          <w:rFonts w:ascii="宋体" w:hAnsi="宋体" w:cs="宋体"/>
          <w:b/>
          <w:color w:val="auto"/>
          <w:sz w:val="24"/>
          <w:szCs w:val="24"/>
        </w:rPr>
      </w:pPr>
    </w:p>
    <w:p>
      <w:pPr>
        <w:pStyle w:val="9"/>
        <w:spacing w:line="360" w:lineRule="auto"/>
        <w:ind w:firstLine="0"/>
        <w:jc w:val="center"/>
        <w:rPr>
          <w:rFonts w:ascii="宋体" w:hAnsi="宋体" w:cs="宋体"/>
          <w:b/>
          <w:color w:val="auto"/>
          <w:sz w:val="24"/>
          <w:szCs w:val="24"/>
        </w:rPr>
      </w:pPr>
    </w:p>
    <w:p>
      <w:pPr>
        <w:pStyle w:val="9"/>
        <w:spacing w:line="360" w:lineRule="auto"/>
        <w:ind w:firstLine="0"/>
        <w:jc w:val="center"/>
        <w:rPr>
          <w:rFonts w:ascii="宋体" w:hAnsi="宋体" w:cs="宋体"/>
          <w:b/>
          <w:color w:val="auto"/>
          <w:sz w:val="24"/>
          <w:szCs w:val="24"/>
        </w:rPr>
      </w:pPr>
    </w:p>
    <w:p>
      <w:pPr>
        <w:pStyle w:val="9"/>
        <w:spacing w:line="360" w:lineRule="auto"/>
        <w:ind w:firstLine="0"/>
        <w:jc w:val="center"/>
        <w:rPr>
          <w:rFonts w:ascii="宋体" w:hAnsi="宋体" w:cs="宋体"/>
          <w:b/>
          <w:color w:val="auto"/>
          <w:sz w:val="24"/>
          <w:szCs w:val="24"/>
        </w:rPr>
      </w:pPr>
    </w:p>
    <w:p>
      <w:pPr>
        <w:pStyle w:val="9"/>
        <w:spacing w:line="360" w:lineRule="auto"/>
        <w:ind w:firstLine="0"/>
        <w:jc w:val="center"/>
        <w:rPr>
          <w:rFonts w:ascii="宋体" w:hAnsi="宋体" w:cs="宋体"/>
          <w:b/>
          <w:color w:val="auto"/>
          <w:sz w:val="24"/>
          <w:szCs w:val="24"/>
        </w:rPr>
      </w:pPr>
    </w:p>
    <w:p>
      <w:pPr>
        <w:pStyle w:val="9"/>
        <w:spacing w:line="360" w:lineRule="auto"/>
        <w:ind w:firstLine="0"/>
        <w:jc w:val="center"/>
        <w:rPr>
          <w:rFonts w:ascii="宋体" w:hAnsi="宋体" w:cs="宋体"/>
          <w:b/>
          <w:color w:val="auto"/>
          <w:sz w:val="24"/>
          <w:szCs w:val="24"/>
        </w:rPr>
      </w:pPr>
    </w:p>
    <w:p>
      <w:pPr>
        <w:pStyle w:val="9"/>
        <w:spacing w:line="360" w:lineRule="auto"/>
        <w:ind w:firstLine="0"/>
        <w:jc w:val="center"/>
        <w:rPr>
          <w:rFonts w:ascii="宋体" w:hAnsi="宋体" w:cs="宋体"/>
          <w:b/>
          <w:color w:val="auto"/>
          <w:sz w:val="24"/>
          <w:szCs w:val="24"/>
        </w:rPr>
      </w:pPr>
    </w:p>
    <w:p>
      <w:pPr>
        <w:pStyle w:val="9"/>
        <w:spacing w:line="360" w:lineRule="auto"/>
        <w:ind w:firstLine="0"/>
        <w:jc w:val="center"/>
        <w:rPr>
          <w:rFonts w:ascii="宋体" w:hAnsi="宋体" w:cs="宋体"/>
          <w:b/>
          <w:color w:val="auto"/>
          <w:sz w:val="24"/>
          <w:szCs w:val="24"/>
        </w:rPr>
      </w:pPr>
    </w:p>
    <w:p>
      <w:pPr>
        <w:pStyle w:val="9"/>
        <w:spacing w:line="360" w:lineRule="auto"/>
        <w:ind w:firstLine="0"/>
        <w:jc w:val="center"/>
        <w:rPr>
          <w:rFonts w:ascii="宋体" w:hAnsi="宋体" w:cs="宋体"/>
          <w:b/>
          <w:color w:val="auto"/>
          <w:sz w:val="24"/>
          <w:szCs w:val="24"/>
        </w:rPr>
      </w:pPr>
    </w:p>
    <w:p>
      <w:pPr>
        <w:pStyle w:val="9"/>
        <w:spacing w:line="360" w:lineRule="auto"/>
        <w:ind w:firstLine="0"/>
        <w:jc w:val="center"/>
        <w:rPr>
          <w:rFonts w:ascii="宋体" w:hAnsi="宋体" w:cs="宋体"/>
          <w:b/>
          <w:color w:val="auto"/>
          <w:sz w:val="24"/>
          <w:szCs w:val="24"/>
        </w:rPr>
      </w:pPr>
    </w:p>
    <w:p>
      <w:pPr>
        <w:pStyle w:val="9"/>
        <w:spacing w:line="360" w:lineRule="auto"/>
        <w:ind w:firstLine="0"/>
        <w:jc w:val="center"/>
        <w:rPr>
          <w:rFonts w:ascii="宋体" w:hAnsi="宋体" w:cs="宋体"/>
          <w:b/>
          <w:color w:val="auto"/>
          <w:sz w:val="24"/>
          <w:szCs w:val="24"/>
        </w:rPr>
      </w:pPr>
    </w:p>
    <w:p>
      <w:pPr>
        <w:pStyle w:val="9"/>
        <w:spacing w:line="360" w:lineRule="auto"/>
        <w:ind w:firstLine="0"/>
        <w:jc w:val="center"/>
        <w:rPr>
          <w:rFonts w:ascii="宋体" w:hAnsi="宋体" w:cs="宋体"/>
          <w:b/>
          <w:color w:val="auto"/>
          <w:sz w:val="24"/>
          <w:szCs w:val="24"/>
        </w:rPr>
      </w:pPr>
    </w:p>
    <w:p>
      <w:pPr>
        <w:pStyle w:val="9"/>
        <w:spacing w:line="360" w:lineRule="auto"/>
        <w:ind w:firstLine="0"/>
        <w:jc w:val="center"/>
        <w:rPr>
          <w:rFonts w:ascii="宋体" w:hAnsi="宋体" w:cs="宋体"/>
          <w:b/>
          <w:color w:val="auto"/>
          <w:sz w:val="24"/>
          <w:szCs w:val="24"/>
        </w:rPr>
      </w:pPr>
    </w:p>
    <w:p>
      <w:pPr>
        <w:pStyle w:val="9"/>
        <w:spacing w:line="360" w:lineRule="auto"/>
        <w:ind w:firstLine="0"/>
        <w:rPr>
          <w:rFonts w:hAnsi="宋体" w:eastAsia="宋体" w:cs="宋体"/>
          <w:b/>
          <w:bCs/>
          <w:color w:val="auto"/>
          <w:sz w:val="24"/>
          <w:szCs w:val="24"/>
          <w:lang w:val="zh-CN"/>
        </w:rPr>
      </w:pPr>
    </w:p>
    <w:p>
      <w:pPr>
        <w:pStyle w:val="9"/>
        <w:spacing w:line="360" w:lineRule="auto"/>
        <w:ind w:firstLine="0"/>
        <w:rPr>
          <w:rFonts w:hAnsi="宋体" w:eastAsia="宋体" w:cs="宋体"/>
          <w:b/>
          <w:bCs/>
          <w:color w:val="auto"/>
          <w:sz w:val="24"/>
          <w:szCs w:val="24"/>
          <w:lang w:val="zh-CN"/>
        </w:rPr>
      </w:pPr>
    </w:p>
    <w:p>
      <w:pPr>
        <w:pStyle w:val="9"/>
        <w:spacing w:line="360" w:lineRule="auto"/>
        <w:ind w:firstLine="0"/>
        <w:rPr>
          <w:rFonts w:hAnsi="宋体" w:eastAsia="宋体" w:cs="宋体"/>
          <w:b/>
          <w:bCs/>
          <w:color w:val="auto"/>
          <w:sz w:val="24"/>
          <w:szCs w:val="24"/>
          <w:lang w:val="zh-CN"/>
        </w:rPr>
      </w:pPr>
      <w:r>
        <w:rPr>
          <w:rFonts w:hint="eastAsia" w:hAnsi="宋体" w:eastAsia="宋体" w:cs="宋体"/>
          <w:b/>
          <w:bCs/>
          <w:color w:val="auto"/>
          <w:sz w:val="24"/>
          <w:szCs w:val="24"/>
          <w:lang w:val="zh-CN"/>
        </w:rPr>
        <w:t>附件</w:t>
      </w:r>
      <w:r>
        <w:rPr>
          <w:rFonts w:hint="eastAsia" w:hAnsi="宋体" w:eastAsia="宋体" w:cs="宋体"/>
          <w:b/>
          <w:bCs/>
          <w:color w:val="auto"/>
          <w:sz w:val="24"/>
          <w:szCs w:val="24"/>
        </w:rPr>
        <w:t>五</w:t>
      </w:r>
      <w:r>
        <w:rPr>
          <w:rFonts w:hint="eastAsia" w:hAnsi="宋体" w:eastAsia="宋体" w:cs="宋体"/>
          <w:b/>
          <w:bCs/>
          <w:color w:val="auto"/>
          <w:sz w:val="24"/>
          <w:szCs w:val="24"/>
          <w:lang w:val="zh-CN"/>
        </w:rPr>
        <w:t>：</w:t>
      </w:r>
    </w:p>
    <w:p>
      <w:pPr>
        <w:pStyle w:val="9"/>
        <w:spacing w:line="360" w:lineRule="auto"/>
        <w:ind w:firstLine="0"/>
        <w:jc w:val="center"/>
        <w:rPr>
          <w:rFonts w:ascii="仿宋_GB2312" w:hAnsi="宋体" w:eastAsia="仿宋_GB2312"/>
          <w:b/>
          <w:color w:val="auto"/>
          <w:sz w:val="32"/>
          <w:szCs w:val="32"/>
        </w:rPr>
      </w:pPr>
      <w:r>
        <w:rPr>
          <w:rFonts w:hint="eastAsia" w:ascii="宋体" w:hAnsi="宋体" w:cs="宋体"/>
          <w:b/>
          <w:color w:val="auto"/>
          <w:sz w:val="24"/>
          <w:szCs w:val="24"/>
        </w:rPr>
        <w:t>具有履行合同所必需设备和专业技术能力的承诺函</w:t>
      </w:r>
    </w:p>
    <w:p>
      <w:pPr>
        <w:pStyle w:val="12"/>
        <w:spacing w:before="60" w:after="60" w:line="500" w:lineRule="exact"/>
        <w:rPr>
          <w:rFonts w:hAnsi="宋体" w:cs="宋体"/>
          <w:b/>
          <w:bCs/>
          <w:color w:val="auto"/>
          <w:sz w:val="24"/>
          <w:u w:val="single"/>
        </w:rPr>
      </w:pPr>
      <w:r>
        <w:rPr>
          <w:rFonts w:hint="eastAsia" w:hAnsi="宋体" w:cs="宋体"/>
          <w:b/>
          <w:bCs/>
          <w:color w:val="auto"/>
          <w:sz w:val="24"/>
          <w:u w:val="single"/>
        </w:rPr>
        <w:t>浙江广通工程咨询有限公司：</w:t>
      </w:r>
    </w:p>
    <w:p>
      <w:pPr>
        <w:pStyle w:val="12"/>
        <w:spacing w:before="60" w:after="60" w:line="500" w:lineRule="exact"/>
        <w:ind w:firstLine="480" w:firstLineChars="200"/>
        <w:rPr>
          <w:rFonts w:hAnsi="宋体" w:cs="宋体"/>
          <w:color w:val="auto"/>
          <w:sz w:val="24"/>
        </w:rPr>
      </w:pPr>
      <w:r>
        <w:rPr>
          <w:rFonts w:hint="eastAsia" w:hAnsi="宋体" w:cs="宋体"/>
          <w:color w:val="auto"/>
          <w:sz w:val="24"/>
        </w:rPr>
        <w:t>我方参与的</w:t>
      </w:r>
      <w:r>
        <w:rPr>
          <w:rFonts w:hint="eastAsia" w:hAnsi="宋体" w:cs="宋体"/>
          <w:color w:val="auto"/>
          <w:sz w:val="24"/>
          <w:u w:val="single"/>
        </w:rPr>
        <w:t xml:space="preserve"> （项目名称）（项目编号）</w:t>
      </w:r>
      <w:r>
        <w:rPr>
          <w:rFonts w:hint="eastAsia" w:hAnsi="宋体" w:eastAsia="宋体" w:cs="宋体"/>
          <w:color w:val="auto"/>
          <w:sz w:val="24"/>
          <w:u w:val="single"/>
        </w:rPr>
        <w:t xml:space="preserve">   </w:t>
      </w:r>
      <w:r>
        <w:rPr>
          <w:rFonts w:hint="eastAsia" w:hAnsi="宋体" w:cs="宋体"/>
          <w:color w:val="auto"/>
          <w:sz w:val="24"/>
          <w:u w:val="single"/>
        </w:rPr>
        <w:t xml:space="preserve"> </w:t>
      </w:r>
      <w:r>
        <w:rPr>
          <w:rFonts w:hint="eastAsia" w:hAnsi="宋体" w:cs="宋体"/>
          <w:color w:val="auto"/>
          <w:sz w:val="24"/>
        </w:rPr>
        <w:t xml:space="preserve"> 的磋商活动，我方郑重承诺，我方承诺具有履行合同所必需设备和专业技术能力。如有虚假，采购组织机构可取消我方任何资格（磋商/中标/签订合同），我方对此无任何异议。</w:t>
      </w:r>
    </w:p>
    <w:p>
      <w:pPr>
        <w:pStyle w:val="12"/>
        <w:spacing w:before="60" w:after="60" w:line="500" w:lineRule="exact"/>
        <w:ind w:firstLine="480" w:firstLineChars="200"/>
        <w:rPr>
          <w:rFonts w:hAnsi="宋体" w:cs="宋体"/>
          <w:color w:val="auto"/>
          <w:sz w:val="24"/>
        </w:rPr>
      </w:pPr>
    </w:p>
    <w:p>
      <w:pPr>
        <w:pStyle w:val="12"/>
        <w:spacing w:before="60" w:after="60" w:line="500" w:lineRule="exact"/>
        <w:ind w:firstLine="480" w:firstLineChars="200"/>
        <w:rPr>
          <w:rFonts w:hAnsi="宋体" w:cs="宋体"/>
          <w:color w:val="auto"/>
          <w:sz w:val="24"/>
        </w:rPr>
      </w:pPr>
      <w:r>
        <w:rPr>
          <w:rFonts w:hint="eastAsia" w:hAnsi="宋体" w:cs="宋体"/>
          <w:color w:val="auto"/>
          <w:sz w:val="24"/>
        </w:rPr>
        <w:t>特此承诺！</w:t>
      </w:r>
    </w:p>
    <w:p>
      <w:pPr>
        <w:adjustRightInd w:val="0"/>
        <w:snapToGrid w:val="0"/>
        <w:spacing w:line="360" w:lineRule="auto"/>
        <w:ind w:firstLine="4095" w:firstLineChars="1950"/>
        <w:rPr>
          <w:rFonts w:ascii="宋体" w:hAnsi="宋体" w:eastAsia="宋体" w:cs="宋体"/>
          <w:color w:val="auto"/>
          <w:kern w:val="0"/>
          <w:sz w:val="21"/>
          <w:szCs w:val="21"/>
          <w:lang w:val="zh-CN"/>
        </w:rPr>
      </w:pPr>
      <w:r>
        <w:rPr>
          <w:rFonts w:hint="eastAsia" w:ascii="宋体" w:hAnsi="宋体" w:eastAsia="宋体" w:cs="宋体"/>
          <w:color w:val="auto"/>
          <w:kern w:val="0"/>
          <w:sz w:val="21"/>
          <w:szCs w:val="21"/>
          <w:lang w:val="zh-CN"/>
        </w:rPr>
        <w:t>磋商供应商(公章)：</w:t>
      </w:r>
    </w:p>
    <w:p>
      <w:pPr>
        <w:adjustRightInd w:val="0"/>
        <w:snapToGrid w:val="0"/>
        <w:spacing w:line="360" w:lineRule="auto"/>
        <w:rPr>
          <w:rFonts w:ascii="宋体" w:hAnsi="宋体" w:eastAsia="宋体" w:cs="宋体"/>
          <w:color w:val="auto"/>
          <w:kern w:val="0"/>
          <w:sz w:val="21"/>
          <w:szCs w:val="21"/>
          <w:lang w:val="zh-CN"/>
        </w:rPr>
      </w:pPr>
      <w:r>
        <w:rPr>
          <w:rFonts w:hint="eastAsia" w:ascii="宋体" w:hAnsi="宋体" w:eastAsia="宋体" w:cs="宋体"/>
          <w:color w:val="auto"/>
          <w:kern w:val="0"/>
          <w:sz w:val="21"/>
          <w:szCs w:val="21"/>
          <w:lang w:val="zh-CN"/>
        </w:rPr>
        <w:t xml:space="preserve">                                 法定代表人或授权委托人(签字</w:t>
      </w:r>
      <w:r>
        <w:rPr>
          <w:rFonts w:hint="eastAsia" w:ascii="宋体" w:hAnsi="宋体" w:eastAsia="宋体" w:cs="宋体"/>
          <w:color w:val="auto"/>
          <w:kern w:val="0"/>
          <w:sz w:val="21"/>
          <w:szCs w:val="21"/>
        </w:rPr>
        <w:t>或盖章</w:t>
      </w:r>
      <w:r>
        <w:rPr>
          <w:rFonts w:hint="eastAsia" w:ascii="宋体" w:hAnsi="宋体" w:eastAsia="宋体" w:cs="宋体"/>
          <w:color w:val="auto"/>
          <w:kern w:val="0"/>
          <w:sz w:val="21"/>
          <w:szCs w:val="21"/>
          <w:lang w:val="zh-CN"/>
        </w:rPr>
        <w:t>)：</w:t>
      </w:r>
    </w:p>
    <w:p>
      <w:pPr>
        <w:pStyle w:val="12"/>
        <w:adjustRightInd w:val="0"/>
        <w:snapToGrid w:val="0"/>
        <w:spacing w:before="120" w:after="120" w:line="360" w:lineRule="auto"/>
        <w:jc w:val="center"/>
        <w:rPr>
          <w:rFonts w:hAnsi="宋体" w:eastAsia="宋体" w:cs="宋体"/>
          <w:color w:val="auto"/>
          <w:kern w:val="0"/>
          <w:szCs w:val="21"/>
          <w:lang w:val="zh-CN"/>
        </w:rPr>
      </w:pPr>
      <w:r>
        <w:rPr>
          <w:rFonts w:hint="eastAsia" w:hAnsi="宋体" w:eastAsia="宋体" w:cs="宋体"/>
          <w:color w:val="auto"/>
          <w:kern w:val="0"/>
          <w:szCs w:val="21"/>
          <w:lang w:val="zh-CN"/>
        </w:rPr>
        <w:t xml:space="preserve">                                  日期：</w:t>
      </w:r>
      <w:r>
        <w:rPr>
          <w:rFonts w:hint="eastAsia" w:hAnsi="宋体" w:eastAsia="宋体" w:cs="宋体"/>
          <w:color w:val="auto"/>
          <w:kern w:val="0"/>
          <w:szCs w:val="21"/>
        </w:rPr>
        <w:t xml:space="preserve">       </w:t>
      </w:r>
      <w:r>
        <w:rPr>
          <w:rFonts w:hint="eastAsia" w:hAnsi="宋体" w:eastAsia="宋体" w:cs="宋体"/>
          <w:color w:val="auto"/>
          <w:kern w:val="0"/>
          <w:szCs w:val="21"/>
          <w:lang w:val="zh-CN"/>
        </w:rPr>
        <w:t>年  月   日</w:t>
      </w:r>
    </w:p>
    <w:p>
      <w:pPr>
        <w:pStyle w:val="12"/>
        <w:adjustRightInd w:val="0"/>
        <w:snapToGrid w:val="0"/>
        <w:spacing w:before="120" w:after="120"/>
        <w:jc w:val="center"/>
        <w:rPr>
          <w:rFonts w:hAnsi="宋体" w:cs="宋体"/>
          <w:color w:val="auto"/>
          <w:sz w:val="24"/>
        </w:rPr>
      </w:pPr>
    </w:p>
    <w:p>
      <w:pPr>
        <w:pStyle w:val="12"/>
        <w:adjustRightInd w:val="0"/>
        <w:snapToGrid w:val="0"/>
        <w:spacing w:before="120" w:after="120"/>
        <w:jc w:val="center"/>
        <w:rPr>
          <w:rFonts w:hAnsi="宋体" w:cs="宋体"/>
          <w:color w:val="auto"/>
          <w:sz w:val="24"/>
        </w:rPr>
      </w:pPr>
    </w:p>
    <w:p>
      <w:pPr>
        <w:pStyle w:val="12"/>
        <w:adjustRightInd w:val="0"/>
        <w:snapToGrid w:val="0"/>
        <w:spacing w:before="120" w:after="120"/>
        <w:jc w:val="center"/>
        <w:rPr>
          <w:rFonts w:hAnsi="宋体" w:cs="宋体"/>
          <w:color w:val="auto"/>
          <w:sz w:val="24"/>
        </w:rPr>
      </w:pPr>
    </w:p>
    <w:p>
      <w:pPr>
        <w:pStyle w:val="12"/>
        <w:adjustRightInd w:val="0"/>
        <w:snapToGrid w:val="0"/>
        <w:spacing w:before="120" w:after="120"/>
        <w:jc w:val="center"/>
        <w:rPr>
          <w:rFonts w:hAnsi="宋体" w:cs="宋体"/>
          <w:color w:val="auto"/>
          <w:sz w:val="24"/>
        </w:rPr>
      </w:pPr>
    </w:p>
    <w:p>
      <w:pPr>
        <w:pStyle w:val="12"/>
        <w:adjustRightInd w:val="0"/>
        <w:snapToGrid w:val="0"/>
        <w:spacing w:before="120" w:after="120"/>
        <w:jc w:val="center"/>
        <w:rPr>
          <w:rFonts w:hAnsi="宋体" w:cs="宋体"/>
          <w:color w:val="auto"/>
          <w:sz w:val="24"/>
        </w:rPr>
      </w:pPr>
    </w:p>
    <w:p>
      <w:pPr>
        <w:pStyle w:val="12"/>
        <w:adjustRightInd w:val="0"/>
        <w:snapToGrid w:val="0"/>
        <w:spacing w:before="120" w:after="120"/>
        <w:jc w:val="center"/>
        <w:rPr>
          <w:rFonts w:hAnsi="宋体" w:cs="宋体"/>
          <w:color w:val="auto"/>
          <w:sz w:val="24"/>
        </w:rPr>
      </w:pPr>
    </w:p>
    <w:p>
      <w:pPr>
        <w:pStyle w:val="12"/>
        <w:adjustRightInd w:val="0"/>
        <w:snapToGrid w:val="0"/>
        <w:spacing w:before="120" w:after="120"/>
        <w:jc w:val="center"/>
        <w:rPr>
          <w:rFonts w:hAnsi="宋体" w:cs="宋体"/>
          <w:color w:val="auto"/>
          <w:sz w:val="24"/>
        </w:rPr>
      </w:pPr>
    </w:p>
    <w:p>
      <w:pPr>
        <w:pStyle w:val="12"/>
        <w:adjustRightInd w:val="0"/>
        <w:snapToGrid w:val="0"/>
        <w:spacing w:before="120" w:after="120"/>
        <w:jc w:val="center"/>
        <w:rPr>
          <w:rFonts w:hAnsi="宋体" w:cs="宋体"/>
          <w:color w:val="auto"/>
          <w:sz w:val="24"/>
        </w:rPr>
      </w:pPr>
    </w:p>
    <w:p>
      <w:pPr>
        <w:pStyle w:val="12"/>
        <w:adjustRightInd w:val="0"/>
        <w:snapToGrid w:val="0"/>
        <w:spacing w:before="120" w:after="120"/>
        <w:jc w:val="center"/>
        <w:rPr>
          <w:rFonts w:hAnsi="宋体" w:cs="宋体"/>
          <w:color w:val="auto"/>
          <w:sz w:val="24"/>
        </w:rPr>
      </w:pPr>
    </w:p>
    <w:p>
      <w:pPr>
        <w:pStyle w:val="12"/>
        <w:adjustRightInd w:val="0"/>
        <w:snapToGrid w:val="0"/>
        <w:spacing w:before="120" w:after="120"/>
        <w:jc w:val="center"/>
        <w:rPr>
          <w:rFonts w:hAnsi="宋体" w:cs="宋体"/>
          <w:color w:val="auto"/>
          <w:sz w:val="24"/>
        </w:rPr>
      </w:pPr>
    </w:p>
    <w:p>
      <w:pPr>
        <w:pStyle w:val="12"/>
        <w:adjustRightInd w:val="0"/>
        <w:snapToGrid w:val="0"/>
        <w:spacing w:before="120" w:after="120"/>
        <w:jc w:val="center"/>
        <w:rPr>
          <w:rFonts w:hAnsi="宋体" w:cs="宋体"/>
          <w:color w:val="auto"/>
          <w:sz w:val="24"/>
        </w:rPr>
      </w:pPr>
    </w:p>
    <w:p>
      <w:pPr>
        <w:pStyle w:val="12"/>
        <w:adjustRightInd w:val="0"/>
        <w:snapToGrid w:val="0"/>
        <w:spacing w:before="120" w:after="120"/>
        <w:jc w:val="center"/>
        <w:rPr>
          <w:rFonts w:hAnsi="宋体" w:eastAsia="宋体" w:cs="宋体"/>
          <w:b/>
          <w:bCs/>
          <w:color w:val="auto"/>
          <w:sz w:val="24"/>
          <w:szCs w:val="24"/>
          <w:lang w:val="zh-CN"/>
        </w:rPr>
      </w:pPr>
    </w:p>
    <w:p>
      <w:pPr>
        <w:pStyle w:val="12"/>
        <w:adjustRightInd w:val="0"/>
        <w:snapToGrid w:val="0"/>
        <w:spacing w:before="120" w:after="120"/>
        <w:jc w:val="center"/>
        <w:rPr>
          <w:rFonts w:hAnsi="宋体" w:eastAsia="宋体" w:cs="宋体"/>
          <w:b/>
          <w:bCs/>
          <w:color w:val="auto"/>
          <w:sz w:val="24"/>
          <w:szCs w:val="24"/>
          <w:lang w:val="zh-CN"/>
        </w:rPr>
      </w:pPr>
    </w:p>
    <w:p>
      <w:pPr>
        <w:pStyle w:val="12"/>
        <w:adjustRightInd w:val="0"/>
        <w:snapToGrid w:val="0"/>
        <w:spacing w:before="120" w:after="120"/>
        <w:jc w:val="center"/>
        <w:rPr>
          <w:rFonts w:hAnsi="宋体" w:eastAsia="宋体" w:cs="宋体"/>
          <w:b/>
          <w:bCs/>
          <w:color w:val="auto"/>
          <w:sz w:val="24"/>
          <w:szCs w:val="24"/>
          <w:lang w:val="zh-CN"/>
        </w:rPr>
      </w:pPr>
    </w:p>
    <w:p>
      <w:pPr>
        <w:pStyle w:val="12"/>
        <w:adjustRightInd w:val="0"/>
        <w:snapToGrid w:val="0"/>
        <w:spacing w:before="120" w:after="120"/>
        <w:jc w:val="center"/>
        <w:rPr>
          <w:rFonts w:hAnsi="宋体" w:eastAsia="宋体" w:cs="宋体"/>
          <w:b/>
          <w:bCs/>
          <w:color w:val="auto"/>
          <w:sz w:val="24"/>
          <w:szCs w:val="24"/>
          <w:lang w:val="zh-CN"/>
        </w:rPr>
      </w:pPr>
    </w:p>
    <w:p>
      <w:pPr>
        <w:pStyle w:val="12"/>
        <w:adjustRightInd w:val="0"/>
        <w:snapToGrid w:val="0"/>
        <w:spacing w:before="120" w:after="120"/>
        <w:jc w:val="center"/>
        <w:rPr>
          <w:rFonts w:hAnsi="宋体" w:eastAsia="宋体" w:cs="宋体"/>
          <w:b/>
          <w:bCs/>
          <w:color w:val="auto"/>
          <w:sz w:val="24"/>
          <w:szCs w:val="24"/>
          <w:lang w:val="zh-CN"/>
        </w:rPr>
      </w:pPr>
    </w:p>
    <w:p>
      <w:pPr>
        <w:pStyle w:val="12"/>
        <w:adjustRightInd w:val="0"/>
        <w:snapToGrid w:val="0"/>
        <w:spacing w:before="120" w:after="120"/>
        <w:jc w:val="center"/>
        <w:rPr>
          <w:rFonts w:hAnsi="宋体" w:eastAsia="宋体" w:cs="宋体"/>
          <w:b/>
          <w:bCs/>
          <w:color w:val="auto"/>
          <w:sz w:val="24"/>
          <w:szCs w:val="24"/>
          <w:lang w:val="zh-CN"/>
        </w:rPr>
      </w:pPr>
    </w:p>
    <w:p>
      <w:pPr>
        <w:pStyle w:val="12"/>
        <w:adjustRightInd w:val="0"/>
        <w:snapToGrid w:val="0"/>
        <w:spacing w:before="120" w:after="120"/>
        <w:rPr>
          <w:rFonts w:hAnsi="宋体" w:eastAsia="宋体" w:cs="宋体"/>
          <w:b/>
          <w:bCs/>
          <w:color w:val="auto"/>
          <w:sz w:val="24"/>
          <w:szCs w:val="24"/>
          <w:lang w:val="zh-CN"/>
        </w:rPr>
      </w:pPr>
    </w:p>
    <w:p>
      <w:pPr>
        <w:pStyle w:val="12"/>
        <w:adjustRightInd w:val="0"/>
        <w:snapToGrid w:val="0"/>
        <w:spacing w:before="120" w:after="120"/>
        <w:rPr>
          <w:rFonts w:hAnsi="宋体" w:eastAsia="宋体" w:cs="宋体"/>
          <w:b/>
          <w:bCs/>
          <w:color w:val="auto"/>
          <w:sz w:val="24"/>
          <w:szCs w:val="24"/>
          <w:lang w:val="zh-CN"/>
        </w:rPr>
      </w:pPr>
    </w:p>
    <w:p>
      <w:pPr>
        <w:pStyle w:val="12"/>
        <w:adjustRightInd w:val="0"/>
        <w:snapToGrid w:val="0"/>
        <w:spacing w:before="120" w:after="120"/>
        <w:rPr>
          <w:rFonts w:hAnsi="宋体" w:eastAsia="宋体" w:cs="宋体"/>
          <w:b/>
          <w:bCs/>
          <w:color w:val="auto"/>
          <w:sz w:val="24"/>
          <w:szCs w:val="24"/>
          <w:lang w:val="zh-CN"/>
        </w:rPr>
      </w:pPr>
      <w:r>
        <w:rPr>
          <w:rFonts w:hint="eastAsia" w:hAnsi="宋体" w:eastAsia="宋体" w:cs="宋体"/>
          <w:b/>
          <w:bCs/>
          <w:color w:val="auto"/>
          <w:sz w:val="24"/>
          <w:szCs w:val="24"/>
          <w:lang w:val="zh-CN"/>
        </w:rPr>
        <w:t>附件</w:t>
      </w:r>
      <w:r>
        <w:rPr>
          <w:rFonts w:hint="eastAsia" w:hAnsi="宋体" w:eastAsia="宋体" w:cs="宋体"/>
          <w:b/>
          <w:bCs/>
          <w:color w:val="auto"/>
          <w:sz w:val="24"/>
          <w:szCs w:val="24"/>
        </w:rPr>
        <w:t>六</w:t>
      </w:r>
      <w:r>
        <w:rPr>
          <w:rFonts w:hint="eastAsia" w:hAnsi="宋体" w:eastAsia="宋体" w:cs="宋体"/>
          <w:b/>
          <w:bCs/>
          <w:color w:val="auto"/>
          <w:sz w:val="24"/>
          <w:szCs w:val="24"/>
          <w:lang w:val="zh-CN"/>
        </w:rPr>
        <w:t>：</w:t>
      </w:r>
    </w:p>
    <w:p>
      <w:pPr>
        <w:pStyle w:val="12"/>
        <w:adjustRightInd w:val="0"/>
        <w:snapToGrid w:val="0"/>
        <w:spacing w:before="120" w:after="120"/>
        <w:jc w:val="center"/>
        <w:rPr>
          <w:rFonts w:hAnsi="宋体" w:eastAsia="宋体" w:cs="宋体"/>
          <w:b/>
          <w:bCs/>
          <w:color w:val="auto"/>
          <w:sz w:val="24"/>
          <w:szCs w:val="24"/>
        </w:rPr>
      </w:pPr>
      <w:r>
        <w:rPr>
          <w:rFonts w:hint="eastAsia" w:hAnsi="宋体" w:eastAsia="宋体" w:cs="宋体"/>
          <w:b/>
          <w:bCs/>
          <w:color w:val="auto"/>
          <w:sz w:val="24"/>
          <w:szCs w:val="24"/>
          <w:lang w:val="zh-CN"/>
        </w:rPr>
        <w:t>无重大违法记录声明书</w:t>
      </w:r>
    </w:p>
    <w:p>
      <w:pPr>
        <w:spacing w:line="360" w:lineRule="auto"/>
        <w:jc w:val="left"/>
        <w:rPr>
          <w:rFonts w:ascii="宋体" w:hAnsi="宋体" w:eastAsia="宋体" w:cs="宋体"/>
          <w:color w:val="auto"/>
          <w:sz w:val="24"/>
        </w:rPr>
      </w:pPr>
      <w:r>
        <w:rPr>
          <w:rFonts w:hint="eastAsia" w:ascii="宋体" w:hAnsi="宋体" w:eastAsia="宋体" w:cs="宋体"/>
          <w:color w:val="auto"/>
          <w:sz w:val="24"/>
        </w:rPr>
        <w:t>仙居县人民医院：</w:t>
      </w:r>
    </w:p>
    <w:p>
      <w:pPr>
        <w:spacing w:line="450" w:lineRule="atLeast"/>
        <w:ind w:firstLine="480" w:firstLineChars="200"/>
        <w:jc w:val="left"/>
        <w:rPr>
          <w:rFonts w:ascii="宋体" w:hAnsi="宋体" w:eastAsia="宋体" w:cs="宋体"/>
          <w:color w:val="auto"/>
          <w:sz w:val="24"/>
        </w:rPr>
      </w:pPr>
      <w:r>
        <w:rPr>
          <w:rFonts w:hint="eastAsia" w:ascii="宋体" w:hAnsi="宋体" w:eastAsia="宋体" w:cs="宋体"/>
          <w:color w:val="auto"/>
          <w:sz w:val="24"/>
        </w:rPr>
        <w:t>我方郑重声明：我方参加本项目磋商活动前三年内无重大违法记录（重大违法记录是指供应商因违法经营受到刑事处罚或者责令停产停业、吊销许可证或者执照、较大数额罚款等行政处罚），符合《中华人民共和国政府采购法》、《中华人民共和国政府采购法实施条例》的规定。我方对此声明负全部法律责任。</w:t>
      </w:r>
    </w:p>
    <w:p>
      <w:pPr>
        <w:spacing w:line="450" w:lineRule="atLeast"/>
        <w:ind w:firstLine="480" w:firstLineChars="200"/>
        <w:jc w:val="left"/>
        <w:rPr>
          <w:rFonts w:ascii="宋体" w:hAnsi="宋体" w:eastAsia="宋体" w:cs="宋体"/>
          <w:color w:val="auto"/>
          <w:spacing w:val="6"/>
          <w:sz w:val="24"/>
        </w:rPr>
      </w:pPr>
      <w:r>
        <w:rPr>
          <w:rFonts w:hint="eastAsia" w:ascii="宋体" w:hAnsi="宋体" w:eastAsia="宋体" w:cs="宋体"/>
          <w:color w:val="auto"/>
          <w:sz w:val="24"/>
        </w:rPr>
        <w:t>特此声明。</w:t>
      </w:r>
    </w:p>
    <w:p>
      <w:pPr>
        <w:pStyle w:val="12"/>
        <w:jc w:val="center"/>
        <w:rPr>
          <w:rFonts w:hAnsi="宋体" w:eastAsia="宋体" w:cs="宋体"/>
          <w:color w:val="auto"/>
          <w:sz w:val="24"/>
          <w:szCs w:val="24"/>
        </w:rPr>
      </w:pPr>
    </w:p>
    <w:p>
      <w:pPr>
        <w:adjustRightInd w:val="0"/>
        <w:snapToGrid w:val="0"/>
        <w:spacing w:line="360" w:lineRule="auto"/>
        <w:ind w:firstLine="4680" w:firstLineChars="1950"/>
        <w:rPr>
          <w:rFonts w:ascii="宋体" w:hAnsi="宋体" w:eastAsia="宋体" w:cs="宋体"/>
          <w:color w:val="auto"/>
          <w:kern w:val="0"/>
          <w:sz w:val="21"/>
          <w:szCs w:val="21"/>
          <w:lang w:val="zh-CN"/>
        </w:rPr>
      </w:pPr>
      <w:r>
        <w:rPr>
          <w:rFonts w:hint="eastAsia" w:ascii="宋体" w:hAnsi="宋体" w:eastAsia="宋体" w:cs="宋体"/>
          <w:color w:val="auto"/>
          <w:sz w:val="24"/>
        </w:rPr>
        <w:t xml:space="preserve">                                                                               </w:t>
      </w:r>
      <w:r>
        <w:rPr>
          <w:rFonts w:hint="eastAsia" w:ascii="宋体" w:hAnsi="宋体" w:eastAsia="宋体" w:cs="宋体"/>
          <w:color w:val="auto"/>
          <w:kern w:val="0"/>
          <w:sz w:val="21"/>
          <w:szCs w:val="21"/>
          <w:lang w:val="zh-CN"/>
        </w:rPr>
        <w:t>磋商供应商(公章)：</w:t>
      </w:r>
    </w:p>
    <w:p>
      <w:pPr>
        <w:adjustRightInd w:val="0"/>
        <w:snapToGrid w:val="0"/>
        <w:spacing w:line="360" w:lineRule="auto"/>
        <w:rPr>
          <w:rFonts w:ascii="宋体" w:hAnsi="宋体" w:eastAsia="宋体" w:cs="宋体"/>
          <w:color w:val="auto"/>
          <w:kern w:val="0"/>
          <w:sz w:val="21"/>
          <w:szCs w:val="21"/>
          <w:lang w:val="zh-CN"/>
        </w:rPr>
      </w:pPr>
      <w:r>
        <w:rPr>
          <w:rFonts w:hint="eastAsia" w:ascii="宋体" w:hAnsi="宋体" w:eastAsia="宋体" w:cs="宋体"/>
          <w:color w:val="auto"/>
          <w:kern w:val="0"/>
          <w:sz w:val="21"/>
          <w:szCs w:val="21"/>
          <w:lang w:val="zh-CN"/>
        </w:rPr>
        <w:t xml:space="preserve">                                 法定代表人或授权委托人(签字</w:t>
      </w:r>
      <w:r>
        <w:rPr>
          <w:rFonts w:hint="eastAsia" w:ascii="宋体" w:hAnsi="宋体" w:eastAsia="宋体" w:cs="宋体"/>
          <w:color w:val="auto"/>
          <w:kern w:val="0"/>
          <w:sz w:val="21"/>
          <w:szCs w:val="21"/>
        </w:rPr>
        <w:t>或盖章</w:t>
      </w:r>
      <w:r>
        <w:rPr>
          <w:rFonts w:hint="eastAsia" w:ascii="宋体" w:hAnsi="宋体" w:eastAsia="宋体" w:cs="宋体"/>
          <w:color w:val="auto"/>
          <w:kern w:val="0"/>
          <w:sz w:val="21"/>
          <w:szCs w:val="21"/>
          <w:lang w:val="zh-CN"/>
        </w:rPr>
        <w:t>)：</w:t>
      </w:r>
    </w:p>
    <w:p>
      <w:pPr>
        <w:pStyle w:val="12"/>
        <w:adjustRightInd w:val="0"/>
        <w:snapToGrid w:val="0"/>
        <w:spacing w:before="120" w:after="120" w:line="360" w:lineRule="auto"/>
        <w:jc w:val="center"/>
        <w:rPr>
          <w:rFonts w:hAnsi="宋体" w:eastAsia="宋体" w:cs="宋体"/>
          <w:color w:val="auto"/>
          <w:kern w:val="0"/>
          <w:szCs w:val="21"/>
          <w:lang w:val="zh-CN"/>
        </w:rPr>
      </w:pPr>
      <w:r>
        <w:rPr>
          <w:rFonts w:hint="eastAsia" w:hAnsi="宋体" w:eastAsia="宋体" w:cs="宋体"/>
          <w:color w:val="auto"/>
          <w:kern w:val="0"/>
          <w:szCs w:val="21"/>
          <w:lang w:val="zh-CN"/>
        </w:rPr>
        <w:t xml:space="preserve">                                  日期：</w:t>
      </w:r>
      <w:r>
        <w:rPr>
          <w:rFonts w:hint="eastAsia" w:hAnsi="宋体" w:eastAsia="宋体" w:cs="宋体"/>
          <w:color w:val="auto"/>
          <w:kern w:val="0"/>
          <w:szCs w:val="21"/>
        </w:rPr>
        <w:t xml:space="preserve">       </w:t>
      </w:r>
      <w:r>
        <w:rPr>
          <w:rFonts w:hint="eastAsia" w:hAnsi="宋体" w:eastAsia="宋体" w:cs="宋体"/>
          <w:color w:val="auto"/>
          <w:kern w:val="0"/>
          <w:szCs w:val="21"/>
          <w:lang w:val="zh-CN"/>
        </w:rPr>
        <w:t>年  月   日</w:t>
      </w:r>
    </w:p>
    <w:p>
      <w:pPr>
        <w:pStyle w:val="5"/>
        <w:spacing w:before="240" w:beforeLines="100" w:after="0" w:line="360" w:lineRule="auto"/>
        <w:rPr>
          <w:rFonts w:ascii="宋体" w:hAnsi="宋体" w:eastAsia="宋体"/>
          <w:bCs w:val="0"/>
          <w:color w:val="auto"/>
          <w:lang w:val="zh-CN"/>
        </w:rPr>
      </w:pPr>
    </w:p>
    <w:p>
      <w:pPr>
        <w:pStyle w:val="12"/>
        <w:adjustRightInd w:val="0"/>
        <w:snapToGrid w:val="0"/>
        <w:spacing w:before="120" w:after="120" w:line="360" w:lineRule="auto"/>
        <w:rPr>
          <w:rFonts w:hAnsi="宋体" w:eastAsia="宋体" w:cs="宋体"/>
          <w:color w:val="auto"/>
          <w:sz w:val="24"/>
          <w:szCs w:val="24"/>
        </w:rPr>
      </w:pPr>
    </w:p>
    <w:p>
      <w:pPr>
        <w:pStyle w:val="12"/>
        <w:spacing w:line="360" w:lineRule="auto"/>
        <w:outlineLvl w:val="1"/>
        <w:rPr>
          <w:rFonts w:hAnsi="宋体" w:eastAsia="宋体" w:cs="宋体"/>
          <w:b/>
          <w:color w:val="auto"/>
          <w:sz w:val="24"/>
          <w:szCs w:val="24"/>
        </w:rPr>
      </w:pPr>
    </w:p>
    <w:p>
      <w:pPr>
        <w:pStyle w:val="12"/>
        <w:spacing w:line="360" w:lineRule="auto"/>
        <w:outlineLvl w:val="1"/>
        <w:rPr>
          <w:rFonts w:hAnsi="宋体" w:eastAsia="宋体" w:cs="宋体"/>
          <w:b/>
          <w:color w:val="auto"/>
          <w:szCs w:val="21"/>
        </w:rPr>
      </w:pPr>
    </w:p>
    <w:p>
      <w:pPr>
        <w:pStyle w:val="12"/>
        <w:spacing w:line="360" w:lineRule="auto"/>
        <w:outlineLvl w:val="1"/>
        <w:rPr>
          <w:rFonts w:hAnsi="宋体" w:eastAsia="宋体" w:cs="宋体"/>
          <w:b/>
          <w:color w:val="auto"/>
          <w:szCs w:val="21"/>
        </w:rPr>
      </w:pPr>
    </w:p>
    <w:p>
      <w:pPr>
        <w:pStyle w:val="12"/>
        <w:spacing w:line="360" w:lineRule="auto"/>
        <w:outlineLvl w:val="1"/>
        <w:rPr>
          <w:rFonts w:hAnsi="宋体" w:eastAsia="宋体" w:cs="宋体"/>
          <w:b/>
          <w:color w:val="auto"/>
          <w:szCs w:val="21"/>
        </w:rPr>
      </w:pPr>
    </w:p>
    <w:p>
      <w:pPr>
        <w:pStyle w:val="12"/>
        <w:spacing w:line="360" w:lineRule="auto"/>
        <w:outlineLvl w:val="1"/>
        <w:rPr>
          <w:rFonts w:hAnsi="宋体" w:eastAsia="宋体" w:cs="宋体"/>
          <w:b/>
          <w:color w:val="auto"/>
          <w:szCs w:val="21"/>
        </w:rPr>
      </w:pPr>
    </w:p>
    <w:p>
      <w:pPr>
        <w:pStyle w:val="12"/>
        <w:spacing w:line="360" w:lineRule="auto"/>
        <w:outlineLvl w:val="1"/>
        <w:rPr>
          <w:rFonts w:hAnsi="宋体" w:eastAsia="宋体" w:cs="宋体"/>
          <w:b/>
          <w:color w:val="auto"/>
          <w:szCs w:val="21"/>
        </w:rPr>
      </w:pPr>
    </w:p>
    <w:p>
      <w:pPr>
        <w:pStyle w:val="12"/>
        <w:spacing w:line="360" w:lineRule="auto"/>
        <w:outlineLvl w:val="1"/>
        <w:rPr>
          <w:rFonts w:hAnsi="宋体" w:eastAsia="宋体" w:cs="宋体"/>
          <w:b/>
          <w:color w:val="auto"/>
          <w:szCs w:val="21"/>
        </w:rPr>
      </w:pPr>
    </w:p>
    <w:p>
      <w:pPr>
        <w:pStyle w:val="12"/>
        <w:spacing w:line="360" w:lineRule="auto"/>
        <w:outlineLvl w:val="1"/>
        <w:rPr>
          <w:rFonts w:hAnsi="宋体" w:eastAsia="宋体" w:cs="宋体"/>
          <w:b/>
          <w:color w:val="auto"/>
          <w:szCs w:val="21"/>
        </w:rPr>
      </w:pPr>
    </w:p>
    <w:p>
      <w:pPr>
        <w:pStyle w:val="12"/>
        <w:spacing w:line="360" w:lineRule="auto"/>
        <w:outlineLvl w:val="1"/>
        <w:rPr>
          <w:rFonts w:hAnsi="宋体" w:eastAsia="宋体" w:cs="宋体"/>
          <w:b/>
          <w:color w:val="auto"/>
          <w:szCs w:val="21"/>
        </w:rPr>
      </w:pPr>
    </w:p>
    <w:p>
      <w:pPr>
        <w:pStyle w:val="12"/>
        <w:spacing w:line="360" w:lineRule="auto"/>
        <w:outlineLvl w:val="1"/>
        <w:rPr>
          <w:rFonts w:hAnsi="宋体" w:eastAsia="宋体" w:cs="宋体"/>
          <w:b/>
          <w:color w:val="auto"/>
          <w:szCs w:val="21"/>
        </w:rPr>
      </w:pPr>
    </w:p>
    <w:p>
      <w:pPr>
        <w:pStyle w:val="12"/>
        <w:spacing w:line="360" w:lineRule="auto"/>
        <w:outlineLvl w:val="1"/>
        <w:rPr>
          <w:rFonts w:hAnsi="宋体" w:eastAsia="宋体" w:cs="宋体"/>
          <w:b/>
          <w:color w:val="auto"/>
          <w:szCs w:val="21"/>
        </w:rPr>
      </w:pPr>
    </w:p>
    <w:p>
      <w:pPr>
        <w:pStyle w:val="12"/>
        <w:spacing w:line="360" w:lineRule="auto"/>
        <w:outlineLvl w:val="1"/>
        <w:rPr>
          <w:rFonts w:hAnsi="宋体" w:eastAsia="宋体" w:cs="宋体"/>
          <w:b/>
          <w:color w:val="auto"/>
          <w:szCs w:val="21"/>
        </w:rPr>
      </w:pPr>
    </w:p>
    <w:p>
      <w:pPr>
        <w:pStyle w:val="12"/>
        <w:spacing w:line="360" w:lineRule="auto"/>
        <w:outlineLvl w:val="1"/>
        <w:rPr>
          <w:rFonts w:hAnsi="宋体" w:eastAsia="宋体" w:cs="宋体"/>
          <w:b/>
          <w:color w:val="auto"/>
          <w:szCs w:val="21"/>
        </w:rPr>
        <w:sectPr>
          <w:pgSz w:w="11906" w:h="16838"/>
          <w:pgMar w:top="1440" w:right="1440" w:bottom="1440" w:left="1440" w:header="851" w:footer="992" w:gutter="0"/>
          <w:cols w:space="720" w:num="1"/>
          <w:docGrid w:linePitch="312" w:charSpace="0"/>
        </w:sectPr>
      </w:pPr>
    </w:p>
    <w:p>
      <w:pPr>
        <w:pStyle w:val="12"/>
        <w:spacing w:line="360" w:lineRule="auto"/>
        <w:rPr>
          <w:b/>
          <w:color w:val="auto"/>
          <w:sz w:val="32"/>
        </w:rPr>
      </w:pPr>
      <w:r>
        <w:rPr>
          <w:rFonts w:hint="eastAsia" w:hAnsi="宋体" w:eastAsia="宋体" w:cs="宋体"/>
          <w:b/>
          <w:bCs/>
          <w:color w:val="auto"/>
          <w:sz w:val="24"/>
          <w:szCs w:val="24"/>
          <w:lang w:val="zh-CN"/>
        </w:rPr>
        <w:t>附件</w:t>
      </w:r>
      <w:r>
        <w:rPr>
          <w:rFonts w:hint="eastAsia" w:hAnsi="宋体" w:eastAsia="宋体" w:cs="宋体"/>
          <w:b/>
          <w:bCs/>
          <w:color w:val="auto"/>
          <w:sz w:val="24"/>
          <w:szCs w:val="24"/>
        </w:rPr>
        <w:t>七</w:t>
      </w:r>
      <w:r>
        <w:rPr>
          <w:rFonts w:hint="eastAsia" w:hAnsi="宋体" w:eastAsia="宋体" w:cs="宋体"/>
          <w:b/>
          <w:bCs/>
          <w:color w:val="auto"/>
          <w:sz w:val="24"/>
          <w:szCs w:val="24"/>
          <w:lang w:val="zh-CN"/>
        </w:rPr>
        <w:t>：政府采购政策相关表格（以下表式由投标人根据自身情况选择填写，不符合的无需提供）</w:t>
      </w:r>
    </w:p>
    <w:p>
      <w:pPr>
        <w:pStyle w:val="20"/>
        <w:widowControl w:val="0"/>
        <w:spacing w:before="0" w:beforeAutospacing="0" w:after="0" w:afterAutospacing="0" w:line="360" w:lineRule="auto"/>
        <w:jc w:val="both"/>
        <w:outlineLvl w:val="1"/>
        <w:rPr>
          <w:rFonts w:hint="default"/>
          <w:b/>
          <w:color w:val="auto"/>
          <w:szCs w:val="20"/>
        </w:rPr>
      </w:pPr>
    </w:p>
    <w:p>
      <w:pPr>
        <w:spacing w:after="120" w:afterLines="50" w:line="360" w:lineRule="auto"/>
        <w:jc w:val="center"/>
        <w:rPr>
          <w:rFonts w:ascii="宋体" w:hAnsi="宋体" w:eastAsia="宋体" w:cs="宋体"/>
          <w:b/>
          <w:color w:val="auto"/>
          <w:sz w:val="21"/>
          <w:szCs w:val="21"/>
        </w:rPr>
      </w:pPr>
      <w:bookmarkStart w:id="622" w:name="_Toc481505163"/>
      <w:r>
        <w:rPr>
          <w:rFonts w:hint="eastAsia" w:ascii="宋体" w:hAnsi="宋体" w:eastAsia="宋体" w:cs="宋体"/>
          <w:b/>
          <w:color w:val="auto"/>
          <w:sz w:val="21"/>
          <w:szCs w:val="21"/>
        </w:rPr>
        <w:t>（1）中小企业声明函（工程、服务）</w:t>
      </w:r>
    </w:p>
    <w:p>
      <w:pPr>
        <w:spacing w:line="360" w:lineRule="auto"/>
        <w:ind w:firstLine="420" w:firstLineChars="200"/>
        <w:rPr>
          <w:rFonts w:ascii="宋体" w:hAnsi="宋体" w:eastAsia="宋体" w:cs="宋体"/>
          <w:color w:val="auto"/>
          <w:sz w:val="21"/>
          <w:szCs w:val="21"/>
          <w:u w:val="single"/>
        </w:rPr>
      </w:pPr>
      <w:r>
        <w:rPr>
          <w:rFonts w:hint="eastAsia" w:ascii="宋体" w:hAnsi="宋体" w:eastAsia="宋体" w:cs="宋体"/>
          <w:color w:val="auto"/>
          <w:sz w:val="21"/>
          <w:szCs w:val="21"/>
          <w:lang w:val="zh-CN"/>
        </w:rPr>
        <w:t>本公司（联合体）郑重声明，根据《政府采购促进中小企业发展管理办法》（财库﹝2020﹞46 号）的规定，本公司（联合体）参加</w:t>
      </w:r>
      <w:r>
        <w:rPr>
          <w:rFonts w:hint="eastAsia" w:ascii="宋体" w:hAnsi="宋体" w:eastAsia="宋体" w:cs="宋体"/>
          <w:color w:val="auto"/>
          <w:sz w:val="21"/>
          <w:szCs w:val="21"/>
          <w:u w:val="single"/>
        </w:rPr>
        <w:t xml:space="preserve"> 仙居县人民医院、浙江广通工程咨询有限公司 </w:t>
      </w:r>
      <w:r>
        <w:rPr>
          <w:rFonts w:hint="eastAsia" w:ascii="宋体" w:hAnsi="宋体" w:eastAsia="宋体" w:cs="宋体"/>
          <w:color w:val="auto"/>
          <w:sz w:val="21"/>
          <w:szCs w:val="21"/>
          <w:lang w:val="zh-CN"/>
        </w:rPr>
        <w:t>的</w:t>
      </w:r>
      <w:r>
        <w:rPr>
          <w:rFonts w:hint="eastAsia" w:ascii="宋体" w:hAnsi="宋体" w:eastAsia="宋体" w:cs="宋体"/>
          <w:color w:val="auto"/>
          <w:sz w:val="21"/>
          <w:szCs w:val="21"/>
          <w:u w:val="single"/>
        </w:rPr>
        <w:t xml:space="preserve">    </w:t>
      </w:r>
    </w:p>
    <w:p>
      <w:pPr>
        <w:spacing w:line="360" w:lineRule="auto"/>
        <w:rPr>
          <w:rFonts w:ascii="宋体" w:hAnsi="宋体" w:eastAsia="宋体" w:cs="宋体"/>
          <w:color w:val="auto"/>
          <w:sz w:val="21"/>
          <w:szCs w:val="21"/>
          <w:lang w:val="zh-CN"/>
        </w:rPr>
      </w:pP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lang w:eastAsia="zh-CN"/>
        </w:rPr>
        <w:t>仙居县人民医院病理科改造项目（重新招标）</w:t>
      </w:r>
      <w:r>
        <w:rPr>
          <w:rFonts w:hint="eastAsia" w:ascii="宋体" w:hAnsi="宋体" w:eastAsia="宋体" w:cs="宋体"/>
          <w:i/>
          <w:iCs/>
          <w:color w:val="auto"/>
          <w:sz w:val="21"/>
          <w:szCs w:val="21"/>
          <w:u w:val="single"/>
        </w:rPr>
        <w:t xml:space="preserve"> </w:t>
      </w:r>
      <w:r>
        <w:rPr>
          <w:rFonts w:hint="eastAsia" w:ascii="宋体" w:hAnsi="宋体" w:eastAsia="宋体" w:cs="宋体"/>
          <w:color w:val="auto"/>
          <w:sz w:val="21"/>
          <w:szCs w:val="21"/>
          <w:lang w:val="zh-CN"/>
        </w:rPr>
        <w:t>采购活动，工程的施工单位全部为符合政策要求的中小企业（或者：服务全部由符合政策要求的中小企业承接）。相关企业（含联合体中的中小企业、签订分包意向协议的中小企业）的具体情况如下：</w:t>
      </w:r>
    </w:p>
    <w:p>
      <w:pPr>
        <w:numPr>
          <w:ilvl w:val="0"/>
          <w:numId w:val="8"/>
        </w:numPr>
        <w:spacing w:line="360" w:lineRule="auto"/>
        <w:ind w:firstLine="420" w:firstLineChars="200"/>
        <w:rPr>
          <w:rFonts w:ascii="宋体" w:hAnsi="宋体" w:eastAsia="宋体" w:cs="宋体"/>
          <w:color w:val="auto"/>
          <w:sz w:val="21"/>
          <w:szCs w:val="21"/>
          <w:lang w:val="zh-CN"/>
        </w:rPr>
      </w:pPr>
      <w:r>
        <w:rPr>
          <w:rFonts w:hint="eastAsia" w:ascii="宋体" w:hAnsi="宋体" w:eastAsia="宋体" w:cs="宋体"/>
          <w:i/>
          <w:iCs/>
          <w:color w:val="auto"/>
          <w:sz w:val="21"/>
          <w:szCs w:val="21"/>
          <w:u w:val="single"/>
          <w:lang w:val="zh-CN"/>
        </w:rPr>
        <w:t>（标的名称）</w:t>
      </w:r>
      <w:r>
        <w:rPr>
          <w:rFonts w:hint="eastAsia" w:ascii="宋体" w:hAnsi="宋体" w:eastAsia="宋体" w:cs="宋体"/>
          <w:color w:val="auto"/>
          <w:sz w:val="21"/>
          <w:szCs w:val="21"/>
          <w:lang w:val="zh-CN"/>
        </w:rPr>
        <w:t xml:space="preserve"> ，属于</w:t>
      </w:r>
      <w:r>
        <w:rPr>
          <w:rFonts w:hint="eastAsia" w:ascii="宋体" w:hAnsi="宋体" w:eastAsia="宋体" w:cs="宋体"/>
          <w:color w:val="auto"/>
          <w:sz w:val="21"/>
          <w:szCs w:val="21"/>
          <w:u w:val="single"/>
        </w:rPr>
        <w:t xml:space="preserve"> </w:t>
      </w:r>
      <w:r>
        <w:rPr>
          <w:rFonts w:hint="eastAsia" w:ascii="宋体" w:hAnsi="宋体" w:eastAsia="宋体" w:cs="宋体"/>
          <w:i/>
          <w:iCs/>
          <w:color w:val="auto"/>
          <w:sz w:val="21"/>
          <w:szCs w:val="21"/>
          <w:u w:val="single"/>
          <w:lang w:val="zh-CN"/>
        </w:rPr>
        <w:t>建筑业</w:t>
      </w:r>
      <w:r>
        <w:rPr>
          <w:rFonts w:hint="eastAsia" w:ascii="宋体" w:hAnsi="宋体" w:eastAsia="宋体" w:cs="宋体"/>
          <w:i/>
          <w:iCs/>
          <w:color w:val="auto"/>
          <w:sz w:val="21"/>
          <w:szCs w:val="21"/>
          <w:u w:val="single"/>
        </w:rPr>
        <w:t xml:space="preserve"> </w:t>
      </w:r>
      <w:r>
        <w:rPr>
          <w:rFonts w:hint="eastAsia" w:ascii="宋体" w:hAnsi="宋体" w:eastAsia="宋体" w:cs="宋体"/>
          <w:color w:val="auto"/>
          <w:sz w:val="21"/>
          <w:szCs w:val="21"/>
          <w:lang w:val="zh-CN"/>
        </w:rPr>
        <w:t>行业；制造商为</w:t>
      </w:r>
      <w:r>
        <w:rPr>
          <w:rFonts w:hint="eastAsia" w:ascii="宋体" w:hAnsi="宋体" w:eastAsia="宋体" w:cs="宋体"/>
          <w:i/>
          <w:iCs/>
          <w:color w:val="auto"/>
          <w:sz w:val="21"/>
          <w:szCs w:val="21"/>
          <w:u w:val="single"/>
          <w:lang w:val="zh-CN"/>
        </w:rPr>
        <w:t>（企业名称）</w:t>
      </w:r>
      <w:r>
        <w:rPr>
          <w:rFonts w:hint="eastAsia" w:ascii="宋体" w:hAnsi="宋体" w:eastAsia="宋体" w:cs="宋体"/>
          <w:color w:val="auto"/>
          <w:sz w:val="21"/>
          <w:szCs w:val="21"/>
          <w:lang w:val="zh-CN"/>
        </w:rPr>
        <w:t>，从业人员</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lang w:val="zh-CN"/>
        </w:rPr>
        <w:t>人，营业收入为</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lang w:val="zh-CN"/>
        </w:rPr>
        <w:t>万元，资产总额为</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lang w:val="zh-CN"/>
        </w:rPr>
        <w:t>万元，属于</w:t>
      </w:r>
      <w:r>
        <w:rPr>
          <w:rFonts w:hint="eastAsia" w:ascii="宋体" w:hAnsi="宋体" w:eastAsia="宋体" w:cs="宋体"/>
          <w:color w:val="auto"/>
          <w:sz w:val="21"/>
          <w:szCs w:val="21"/>
          <w:u w:val="single"/>
        </w:rPr>
        <w:t xml:space="preserve">   </w:t>
      </w:r>
      <w:r>
        <w:rPr>
          <w:rFonts w:hint="eastAsia" w:ascii="宋体" w:hAnsi="宋体" w:eastAsia="宋体" w:cs="宋体"/>
          <w:i/>
          <w:iCs/>
          <w:color w:val="auto"/>
          <w:sz w:val="21"/>
          <w:szCs w:val="21"/>
          <w:u w:val="single"/>
          <w:lang w:val="zh-CN"/>
        </w:rPr>
        <w:t>（中型企业、小型企业、微型企业）</w:t>
      </w:r>
      <w:r>
        <w:rPr>
          <w:rFonts w:hint="eastAsia" w:ascii="宋体" w:hAnsi="宋体" w:eastAsia="宋体" w:cs="宋体"/>
          <w:color w:val="auto"/>
          <w:sz w:val="21"/>
          <w:szCs w:val="21"/>
          <w:lang w:val="zh-CN"/>
        </w:rPr>
        <w:t>；</w:t>
      </w:r>
    </w:p>
    <w:p>
      <w:pPr>
        <w:spacing w:line="360" w:lineRule="auto"/>
        <w:ind w:firstLine="420" w:firstLineChars="200"/>
        <w:rPr>
          <w:rFonts w:ascii="宋体" w:hAnsi="宋体" w:eastAsia="宋体" w:cs="宋体"/>
          <w:color w:val="auto"/>
          <w:sz w:val="21"/>
          <w:szCs w:val="21"/>
          <w:lang w:val="zh-CN"/>
        </w:rPr>
      </w:pPr>
      <w:r>
        <w:rPr>
          <w:rFonts w:hint="eastAsia" w:ascii="宋体" w:hAnsi="宋体" w:eastAsia="宋体" w:cs="宋体"/>
          <w:color w:val="auto"/>
          <w:sz w:val="21"/>
          <w:szCs w:val="21"/>
        </w:rPr>
        <w:t>2</w:t>
      </w:r>
      <w:r>
        <w:rPr>
          <w:rFonts w:hint="eastAsia" w:ascii="宋体" w:hAnsi="宋体" w:eastAsia="宋体" w:cs="宋体"/>
          <w:color w:val="auto"/>
          <w:sz w:val="21"/>
          <w:szCs w:val="21"/>
          <w:lang w:val="zh-CN"/>
        </w:rPr>
        <w:t>.</w:t>
      </w:r>
      <w:r>
        <w:rPr>
          <w:rFonts w:hint="eastAsia" w:ascii="宋体" w:hAnsi="宋体" w:eastAsia="宋体" w:cs="宋体"/>
          <w:color w:val="auto"/>
          <w:sz w:val="21"/>
          <w:szCs w:val="21"/>
          <w:u w:val="single"/>
          <w:lang w:val="zh-CN"/>
        </w:rPr>
        <w:t xml:space="preserve"> </w:t>
      </w:r>
      <w:r>
        <w:rPr>
          <w:rFonts w:hint="eastAsia" w:ascii="宋体" w:hAnsi="宋体" w:eastAsia="宋体" w:cs="宋体"/>
          <w:i/>
          <w:iCs/>
          <w:color w:val="auto"/>
          <w:sz w:val="21"/>
          <w:szCs w:val="21"/>
          <w:u w:val="single"/>
          <w:lang w:val="zh-CN"/>
        </w:rPr>
        <w:t>（标的名称）</w:t>
      </w:r>
      <w:r>
        <w:rPr>
          <w:rFonts w:hint="eastAsia" w:ascii="宋体" w:hAnsi="宋体" w:eastAsia="宋体" w:cs="宋体"/>
          <w:color w:val="auto"/>
          <w:sz w:val="21"/>
          <w:szCs w:val="21"/>
          <w:lang w:val="zh-CN"/>
        </w:rPr>
        <w:t xml:space="preserve"> ，属于</w:t>
      </w:r>
      <w:r>
        <w:rPr>
          <w:rFonts w:hint="eastAsia" w:ascii="宋体" w:hAnsi="宋体" w:eastAsia="宋体" w:cs="宋体"/>
          <w:color w:val="auto"/>
          <w:sz w:val="21"/>
          <w:szCs w:val="21"/>
          <w:u w:val="single"/>
        </w:rPr>
        <w:t xml:space="preserve"> </w:t>
      </w:r>
      <w:r>
        <w:rPr>
          <w:rFonts w:hint="eastAsia" w:ascii="宋体" w:hAnsi="宋体" w:eastAsia="宋体" w:cs="宋体"/>
          <w:i/>
          <w:iCs/>
          <w:color w:val="auto"/>
          <w:sz w:val="21"/>
          <w:szCs w:val="21"/>
          <w:u w:val="single"/>
          <w:lang w:val="zh-CN"/>
        </w:rPr>
        <w:t>建筑业</w:t>
      </w:r>
      <w:r>
        <w:rPr>
          <w:rFonts w:hint="eastAsia" w:ascii="宋体" w:hAnsi="宋体" w:eastAsia="宋体" w:cs="宋体"/>
          <w:i/>
          <w:iCs/>
          <w:color w:val="auto"/>
          <w:sz w:val="21"/>
          <w:szCs w:val="21"/>
          <w:u w:val="single"/>
        </w:rPr>
        <w:t xml:space="preserve"> </w:t>
      </w:r>
      <w:r>
        <w:rPr>
          <w:rFonts w:hint="eastAsia" w:ascii="宋体" w:hAnsi="宋体" w:eastAsia="宋体" w:cs="宋体"/>
          <w:color w:val="auto"/>
          <w:sz w:val="21"/>
          <w:szCs w:val="21"/>
          <w:lang w:val="zh-CN"/>
        </w:rPr>
        <w:t>行业；制造商为</w:t>
      </w:r>
      <w:r>
        <w:rPr>
          <w:rFonts w:hint="eastAsia" w:ascii="宋体" w:hAnsi="宋体" w:eastAsia="宋体" w:cs="宋体"/>
          <w:i/>
          <w:iCs/>
          <w:color w:val="auto"/>
          <w:sz w:val="21"/>
          <w:szCs w:val="21"/>
          <w:u w:val="single"/>
          <w:lang w:val="zh-CN"/>
        </w:rPr>
        <w:t>（企业名称）</w:t>
      </w:r>
      <w:r>
        <w:rPr>
          <w:rFonts w:hint="eastAsia" w:ascii="宋体" w:hAnsi="宋体" w:eastAsia="宋体" w:cs="宋体"/>
          <w:color w:val="auto"/>
          <w:sz w:val="21"/>
          <w:szCs w:val="21"/>
          <w:lang w:val="zh-CN"/>
        </w:rPr>
        <w:t>，从业人员</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lang w:val="zh-CN"/>
        </w:rPr>
        <w:t>人，营业收入为</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lang w:val="zh-CN"/>
        </w:rPr>
        <w:t>万元，资产总额为</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lang w:val="zh-CN"/>
        </w:rPr>
        <w:t>万元，属于</w:t>
      </w:r>
      <w:r>
        <w:rPr>
          <w:rFonts w:hint="eastAsia" w:ascii="宋体" w:hAnsi="宋体" w:eastAsia="宋体" w:cs="宋体"/>
          <w:color w:val="auto"/>
          <w:sz w:val="21"/>
          <w:szCs w:val="21"/>
          <w:u w:val="single"/>
        </w:rPr>
        <w:t xml:space="preserve">   </w:t>
      </w:r>
      <w:r>
        <w:rPr>
          <w:rFonts w:hint="eastAsia" w:ascii="宋体" w:hAnsi="宋体" w:eastAsia="宋体" w:cs="宋体"/>
          <w:i/>
          <w:iCs/>
          <w:color w:val="auto"/>
          <w:sz w:val="21"/>
          <w:szCs w:val="21"/>
          <w:u w:val="single"/>
          <w:lang w:val="zh-CN"/>
        </w:rPr>
        <w:t>（中型企业、小型企业、微型企业）</w:t>
      </w:r>
      <w:r>
        <w:rPr>
          <w:rFonts w:hint="eastAsia" w:ascii="宋体" w:hAnsi="宋体" w:eastAsia="宋体" w:cs="宋体"/>
          <w:color w:val="auto"/>
          <w:sz w:val="21"/>
          <w:szCs w:val="21"/>
          <w:lang w:val="zh-CN"/>
        </w:rPr>
        <w:t>；</w:t>
      </w:r>
    </w:p>
    <w:p>
      <w:pPr>
        <w:spacing w:line="360" w:lineRule="auto"/>
        <w:ind w:firstLine="420" w:firstLineChars="200"/>
        <w:rPr>
          <w:rFonts w:ascii="宋体" w:hAnsi="宋体" w:eastAsia="宋体" w:cs="宋体"/>
          <w:color w:val="auto"/>
          <w:sz w:val="21"/>
          <w:szCs w:val="21"/>
          <w:lang w:val="zh-CN"/>
        </w:rPr>
      </w:pPr>
      <w:r>
        <w:rPr>
          <w:rFonts w:hint="eastAsia" w:ascii="宋体" w:hAnsi="宋体" w:eastAsia="宋体" w:cs="宋体"/>
          <w:color w:val="auto"/>
          <w:sz w:val="21"/>
          <w:szCs w:val="21"/>
          <w:lang w:val="zh-CN"/>
        </w:rPr>
        <w:t>……</w:t>
      </w:r>
    </w:p>
    <w:p>
      <w:pPr>
        <w:spacing w:line="360" w:lineRule="auto"/>
        <w:ind w:firstLine="420" w:firstLineChars="200"/>
        <w:rPr>
          <w:rFonts w:ascii="宋体" w:hAnsi="宋体" w:eastAsia="宋体" w:cs="宋体"/>
          <w:color w:val="auto"/>
          <w:sz w:val="21"/>
          <w:szCs w:val="21"/>
          <w:lang w:val="zh-CN"/>
        </w:rPr>
      </w:pPr>
      <w:r>
        <w:rPr>
          <w:rFonts w:hint="eastAsia" w:ascii="宋体" w:hAnsi="宋体" w:eastAsia="宋体" w:cs="宋体"/>
          <w:color w:val="auto"/>
          <w:sz w:val="21"/>
          <w:szCs w:val="21"/>
          <w:lang w:val="zh-CN"/>
        </w:rPr>
        <w:t>以上企业，不属于大企业的分支机构，不存在控股股东为大企业的情形，也不存在与大企业的负责人为同一人的情形。</w:t>
      </w:r>
    </w:p>
    <w:p>
      <w:pPr>
        <w:spacing w:line="360" w:lineRule="auto"/>
        <w:ind w:firstLine="420" w:firstLineChars="200"/>
        <w:rPr>
          <w:rFonts w:ascii="宋体" w:hAnsi="宋体" w:eastAsia="宋体" w:cs="宋体"/>
          <w:color w:val="auto"/>
          <w:sz w:val="21"/>
          <w:szCs w:val="21"/>
          <w:lang w:val="zh-CN"/>
        </w:rPr>
      </w:pPr>
      <w:r>
        <w:rPr>
          <w:rFonts w:hint="eastAsia" w:ascii="宋体" w:hAnsi="宋体" w:eastAsia="宋体" w:cs="宋体"/>
          <w:color w:val="auto"/>
          <w:sz w:val="21"/>
          <w:szCs w:val="21"/>
          <w:lang w:val="zh-CN"/>
        </w:rPr>
        <w:t>本企业对上述声明内容的真实性负责。如有虚假，将依法承担相应责任。</w:t>
      </w:r>
    </w:p>
    <w:p>
      <w:pPr>
        <w:spacing w:line="360" w:lineRule="auto"/>
        <w:ind w:firstLine="420" w:firstLineChars="200"/>
        <w:rPr>
          <w:rFonts w:ascii="宋体" w:hAnsi="宋体" w:eastAsia="宋体" w:cs="宋体"/>
          <w:color w:val="auto"/>
          <w:sz w:val="21"/>
          <w:szCs w:val="21"/>
          <w:lang w:val="zh-CN"/>
        </w:rPr>
      </w:pPr>
    </w:p>
    <w:p>
      <w:pPr>
        <w:spacing w:line="360" w:lineRule="auto"/>
        <w:ind w:firstLine="4620" w:firstLineChars="2200"/>
        <w:rPr>
          <w:rFonts w:ascii="宋体" w:hAnsi="宋体" w:eastAsia="宋体" w:cs="宋体"/>
          <w:color w:val="auto"/>
          <w:sz w:val="21"/>
          <w:szCs w:val="21"/>
          <w:lang w:val="zh-CN"/>
        </w:rPr>
      </w:pPr>
      <w:r>
        <w:rPr>
          <w:rFonts w:hint="eastAsia" w:ascii="宋体" w:hAnsi="宋体" w:eastAsia="宋体" w:cs="宋体"/>
          <w:color w:val="auto"/>
          <w:sz w:val="21"/>
          <w:szCs w:val="21"/>
          <w:lang w:val="zh-CN"/>
        </w:rPr>
        <w:t>企业名称（盖章）：</w:t>
      </w:r>
    </w:p>
    <w:p>
      <w:pPr>
        <w:adjustRightInd w:val="0"/>
        <w:snapToGrid w:val="0"/>
        <w:spacing w:before="120" w:beforeLines="50" w:after="120" w:afterLines="50" w:line="360" w:lineRule="auto"/>
        <w:rPr>
          <w:rFonts w:ascii="宋体" w:hAnsi="宋体" w:eastAsia="宋体" w:cs="宋体"/>
          <w:color w:val="auto"/>
          <w:sz w:val="21"/>
          <w:szCs w:val="21"/>
          <w:lang w:val="zh-CN"/>
        </w:rPr>
      </w:pP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zh-CN"/>
        </w:rPr>
        <w:t>日</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zh-CN"/>
        </w:rPr>
        <w:t>期：</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lang w:val="zh-CN"/>
        </w:rPr>
        <w:t>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lang w:val="zh-CN"/>
        </w:rPr>
        <w:t>月</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lang w:val="zh-CN"/>
        </w:rPr>
        <w:t>日</w:t>
      </w:r>
    </w:p>
    <w:p>
      <w:pPr>
        <w:spacing w:line="360" w:lineRule="auto"/>
        <w:jc w:val="center"/>
        <w:rPr>
          <w:rFonts w:ascii="宋体" w:hAnsi="宋体" w:eastAsia="宋体" w:cs="宋体"/>
          <w:b/>
          <w:strike/>
          <w:color w:val="auto"/>
          <w:sz w:val="21"/>
          <w:szCs w:val="21"/>
          <w:lang w:val="en-GB"/>
        </w:rPr>
      </w:pPr>
    </w:p>
    <w:p>
      <w:pPr>
        <w:spacing w:line="360" w:lineRule="auto"/>
        <w:rPr>
          <w:rFonts w:ascii="宋体" w:hAnsi="宋体" w:eastAsia="宋体" w:cs="宋体"/>
          <w:color w:val="auto"/>
          <w:sz w:val="21"/>
          <w:szCs w:val="21"/>
          <w:lang w:val="en-GB"/>
        </w:rPr>
      </w:pPr>
      <w:r>
        <w:rPr>
          <w:rFonts w:hint="eastAsia" w:ascii="宋体" w:hAnsi="宋体" w:eastAsia="宋体" w:cs="宋体"/>
          <w:color w:val="auto"/>
          <w:sz w:val="21"/>
          <w:szCs w:val="21"/>
          <w:lang w:val="en-GB"/>
        </w:rPr>
        <w:t>填写注意事项：</w:t>
      </w:r>
    </w:p>
    <w:p>
      <w:pPr>
        <w:numPr>
          <w:ilvl w:val="0"/>
          <w:numId w:val="9"/>
        </w:numPr>
        <w:spacing w:line="360" w:lineRule="auto"/>
        <w:ind w:firstLine="420" w:firstLineChars="200"/>
        <w:rPr>
          <w:rFonts w:ascii="宋体" w:hAnsi="宋体" w:eastAsia="宋体" w:cs="宋体"/>
          <w:color w:val="auto"/>
          <w:sz w:val="21"/>
          <w:szCs w:val="21"/>
          <w:lang w:val="en-GB"/>
        </w:rPr>
      </w:pPr>
      <w:r>
        <w:rPr>
          <w:rFonts w:hint="eastAsia" w:ascii="宋体" w:hAnsi="宋体" w:eastAsia="宋体" w:cs="宋体"/>
          <w:color w:val="auto"/>
          <w:sz w:val="21"/>
          <w:szCs w:val="21"/>
        </w:rPr>
        <w:t>从业人员、营业收入、资产总额填报上一年度数据，无上一年度数据的新成立企业可不填报。</w:t>
      </w:r>
    </w:p>
    <w:p>
      <w:pPr>
        <w:numPr>
          <w:ilvl w:val="0"/>
          <w:numId w:val="9"/>
        </w:numPr>
        <w:spacing w:line="360" w:lineRule="auto"/>
        <w:ind w:firstLine="420" w:firstLineChars="200"/>
        <w:rPr>
          <w:rFonts w:ascii="宋体" w:hAnsi="宋体" w:eastAsia="宋体" w:cs="宋体"/>
          <w:color w:val="auto"/>
          <w:sz w:val="21"/>
          <w:szCs w:val="21"/>
          <w:lang w:val="zh-CN"/>
        </w:rPr>
      </w:pPr>
      <w:r>
        <w:rPr>
          <w:rFonts w:hint="eastAsia" w:ascii="宋体" w:hAnsi="宋体" w:eastAsia="宋体" w:cs="宋体"/>
          <w:color w:val="auto"/>
          <w:sz w:val="21"/>
          <w:szCs w:val="21"/>
          <w:lang w:val="zh-CN"/>
        </w:rPr>
        <w:t>标的所属行业为建筑业。</w:t>
      </w:r>
    </w:p>
    <w:p>
      <w:pPr>
        <w:numPr>
          <w:ilvl w:val="0"/>
          <w:numId w:val="9"/>
        </w:numPr>
        <w:spacing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lang w:val="zh-CN"/>
        </w:rPr>
        <w:t>中型企业、小型企业、微型企业请根据《</w:t>
      </w:r>
      <w:r>
        <w:rPr>
          <w:rFonts w:hint="eastAsia" w:ascii="宋体" w:hAnsi="宋体" w:eastAsia="宋体" w:cs="宋体"/>
          <w:color w:val="auto"/>
          <w:sz w:val="21"/>
          <w:szCs w:val="21"/>
        </w:rPr>
        <w:t>关于印发中小企业划型标准规定的通知</w:t>
      </w:r>
      <w:r>
        <w:rPr>
          <w:rFonts w:hint="eastAsia" w:ascii="宋体" w:hAnsi="宋体" w:eastAsia="宋体" w:cs="宋体"/>
          <w:color w:val="auto"/>
          <w:sz w:val="21"/>
          <w:szCs w:val="21"/>
          <w:lang w:val="zh-CN"/>
        </w:rPr>
        <w:t>》</w:t>
      </w:r>
      <w:r>
        <w:rPr>
          <w:rFonts w:hint="eastAsia" w:ascii="宋体" w:hAnsi="宋体" w:eastAsia="宋体" w:cs="宋体"/>
          <w:color w:val="auto"/>
          <w:sz w:val="21"/>
          <w:szCs w:val="21"/>
        </w:rPr>
        <w:t>工信部联企业〔2011〕300号文件标准填写。</w:t>
      </w:r>
    </w:p>
    <w:p>
      <w:pPr>
        <w:widowControl/>
        <w:numPr>
          <w:ilvl w:val="6"/>
          <w:numId w:val="0"/>
        </w:numPr>
        <w:tabs>
          <w:tab w:val="left" w:pos="822"/>
          <w:tab w:val="left" w:pos="3120"/>
        </w:tabs>
        <w:snapToGrid w:val="0"/>
        <w:spacing w:before="40" w:after="40" w:line="360" w:lineRule="auto"/>
        <w:rPr>
          <w:rFonts w:ascii="宋体" w:hAnsi="宋体" w:eastAsia="宋体" w:cs="宋体"/>
          <w:color w:val="auto"/>
          <w:sz w:val="21"/>
          <w:szCs w:val="21"/>
          <w:lang w:val="en-GB"/>
        </w:rPr>
      </w:pPr>
    </w:p>
    <w:p>
      <w:pPr>
        <w:pStyle w:val="33"/>
        <w:rPr>
          <w:rFonts w:ascii="宋体" w:hAnsi="宋体" w:eastAsia="宋体" w:cs="宋体"/>
          <w:color w:val="auto"/>
          <w:sz w:val="21"/>
          <w:szCs w:val="21"/>
          <w:lang w:val="en-GB"/>
        </w:rPr>
      </w:pPr>
    </w:p>
    <w:p>
      <w:pPr>
        <w:pStyle w:val="33"/>
        <w:rPr>
          <w:rFonts w:ascii="宋体" w:hAnsi="宋体" w:eastAsia="宋体" w:cs="宋体"/>
          <w:color w:val="auto"/>
          <w:sz w:val="21"/>
          <w:szCs w:val="21"/>
          <w:lang w:val="en-GB"/>
        </w:rPr>
      </w:pPr>
    </w:p>
    <w:p>
      <w:pPr>
        <w:pStyle w:val="33"/>
        <w:rPr>
          <w:rFonts w:ascii="宋体" w:hAnsi="宋体" w:eastAsia="宋体" w:cs="宋体"/>
          <w:color w:val="auto"/>
          <w:sz w:val="21"/>
          <w:szCs w:val="21"/>
          <w:lang w:val="en-GB"/>
        </w:rPr>
      </w:pPr>
    </w:p>
    <w:p>
      <w:pPr>
        <w:pStyle w:val="33"/>
        <w:rPr>
          <w:rFonts w:ascii="宋体" w:hAnsi="宋体" w:eastAsia="宋体" w:cs="宋体"/>
          <w:color w:val="auto"/>
          <w:sz w:val="21"/>
          <w:szCs w:val="21"/>
          <w:lang w:val="en-GB"/>
        </w:rPr>
      </w:pPr>
    </w:p>
    <w:p>
      <w:pPr>
        <w:spacing w:before="120" w:beforeLines="50" w:after="120" w:afterLines="50" w:line="360" w:lineRule="auto"/>
        <w:rPr>
          <w:rFonts w:ascii="宋体" w:hAnsi="宋体" w:eastAsia="宋体" w:cs="宋体"/>
          <w:color w:val="auto"/>
          <w:sz w:val="21"/>
          <w:szCs w:val="21"/>
          <w:lang w:val="en-GB"/>
        </w:rPr>
      </w:pPr>
    </w:p>
    <w:p>
      <w:pPr>
        <w:spacing w:before="120" w:beforeLines="50" w:after="120" w:afterLines="50" w:line="360" w:lineRule="auto"/>
        <w:jc w:val="center"/>
        <w:rPr>
          <w:rFonts w:ascii="宋体" w:hAnsi="宋体" w:eastAsia="宋体" w:cs="宋体"/>
          <w:b/>
          <w:bCs/>
          <w:color w:val="auto"/>
          <w:sz w:val="21"/>
          <w:szCs w:val="21"/>
          <w:lang w:val="en-GB"/>
        </w:rPr>
      </w:pPr>
      <w:r>
        <w:rPr>
          <w:rFonts w:hint="eastAsia" w:ascii="宋体" w:hAnsi="宋体" w:eastAsia="宋体" w:cs="宋体"/>
          <w:b/>
          <w:bCs/>
          <w:color w:val="auto"/>
          <w:sz w:val="21"/>
          <w:szCs w:val="21"/>
          <w:lang w:val="en-GB"/>
        </w:rPr>
        <w:t>（</w:t>
      </w:r>
      <w:r>
        <w:rPr>
          <w:rFonts w:hint="eastAsia" w:ascii="宋体" w:hAnsi="宋体" w:eastAsia="宋体" w:cs="宋体"/>
          <w:b/>
          <w:bCs/>
          <w:color w:val="auto"/>
          <w:sz w:val="21"/>
          <w:szCs w:val="21"/>
        </w:rPr>
        <w:t>2</w:t>
      </w:r>
      <w:r>
        <w:rPr>
          <w:rFonts w:hint="eastAsia" w:ascii="宋体" w:hAnsi="宋体" w:eastAsia="宋体" w:cs="宋体"/>
          <w:b/>
          <w:bCs/>
          <w:color w:val="auto"/>
          <w:sz w:val="21"/>
          <w:szCs w:val="21"/>
          <w:lang w:val="en-GB"/>
        </w:rPr>
        <w:t>）残疾人福利性单位声明函</w:t>
      </w:r>
    </w:p>
    <w:p>
      <w:pPr>
        <w:spacing w:line="360" w:lineRule="auto"/>
        <w:ind w:firstLine="444" w:firstLineChars="200"/>
        <w:rPr>
          <w:rFonts w:ascii="宋体" w:hAnsi="宋体" w:eastAsia="宋体" w:cs="宋体"/>
          <w:color w:val="auto"/>
          <w:spacing w:val="6"/>
          <w:sz w:val="21"/>
          <w:szCs w:val="21"/>
        </w:rPr>
      </w:pPr>
      <w:r>
        <w:rPr>
          <w:rFonts w:hint="eastAsia" w:ascii="宋体" w:hAnsi="宋体" w:eastAsia="宋体" w:cs="宋体"/>
          <w:color w:val="auto"/>
          <w:spacing w:val="6"/>
          <w:sz w:val="21"/>
          <w:szCs w:val="21"/>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pacing w:val="6"/>
          <w:sz w:val="21"/>
          <w:szCs w:val="21"/>
          <w:u w:val="single"/>
        </w:rPr>
        <w:t xml:space="preserve">浙江广通工程咨询有限公司 </w:t>
      </w:r>
      <w:r>
        <w:rPr>
          <w:rFonts w:hint="eastAsia" w:ascii="宋体" w:hAnsi="宋体" w:eastAsia="宋体" w:cs="宋体"/>
          <w:color w:val="auto"/>
          <w:spacing w:val="6"/>
          <w:sz w:val="21"/>
          <w:szCs w:val="21"/>
        </w:rPr>
        <w:t>单位组织的</w:t>
      </w:r>
      <w:r>
        <w:rPr>
          <w:rFonts w:hint="eastAsia" w:ascii="宋体" w:hAnsi="宋体" w:eastAsia="宋体" w:cs="宋体"/>
          <w:color w:val="auto"/>
          <w:spacing w:val="6"/>
          <w:sz w:val="21"/>
          <w:szCs w:val="21"/>
          <w:u w:val="single"/>
        </w:rPr>
        <w:t xml:space="preserve">   </w:t>
      </w:r>
      <w:r>
        <w:rPr>
          <w:rFonts w:hint="eastAsia" w:ascii="宋体" w:hAnsi="宋体" w:eastAsia="宋体" w:cs="宋体"/>
          <w:color w:val="auto"/>
          <w:sz w:val="21"/>
          <w:szCs w:val="21"/>
          <w:u w:val="single"/>
          <w:lang w:eastAsia="zh-CN"/>
        </w:rPr>
        <w:t>仙居县人民医院病理科改造项目（重新招标）</w:t>
      </w:r>
      <w:r>
        <w:rPr>
          <w:rFonts w:hint="eastAsia" w:ascii="宋体" w:hAnsi="宋体" w:eastAsia="宋体" w:cs="宋体"/>
          <w:color w:val="auto"/>
          <w:spacing w:val="6"/>
          <w:sz w:val="21"/>
          <w:szCs w:val="21"/>
          <w:u w:val="single"/>
        </w:rPr>
        <w:t xml:space="preserve">    </w:t>
      </w:r>
      <w:r>
        <w:rPr>
          <w:rFonts w:hint="eastAsia" w:ascii="宋体" w:hAnsi="宋体" w:eastAsia="宋体" w:cs="宋体"/>
          <w:color w:val="auto"/>
          <w:spacing w:val="6"/>
          <w:sz w:val="21"/>
          <w:szCs w:val="21"/>
        </w:rPr>
        <w:t>项目采购活动提供本单位制造的货物（</w:t>
      </w:r>
      <w:r>
        <w:rPr>
          <w:rFonts w:hint="eastAsia" w:ascii="宋体" w:hAnsi="宋体" w:eastAsia="宋体" w:cs="宋体"/>
          <w:color w:val="auto"/>
          <w:spacing w:val="6"/>
          <w:sz w:val="21"/>
          <w:szCs w:val="21"/>
          <w:u w:val="single"/>
        </w:rPr>
        <w:t>由本单位承担工程/提供服务</w:t>
      </w:r>
      <w:r>
        <w:rPr>
          <w:rFonts w:hint="eastAsia" w:ascii="宋体" w:hAnsi="宋体" w:eastAsia="宋体" w:cs="宋体"/>
          <w:color w:val="auto"/>
          <w:spacing w:val="6"/>
          <w:sz w:val="21"/>
          <w:szCs w:val="21"/>
        </w:rPr>
        <w:t>），或者提供其他残疾人福利性单位制造的货物（不包括使用非残疾人福利性单位注册商标的货物）。</w:t>
      </w:r>
    </w:p>
    <w:p>
      <w:pPr>
        <w:spacing w:line="360" w:lineRule="auto"/>
        <w:ind w:firstLine="444" w:firstLineChars="200"/>
        <w:rPr>
          <w:rFonts w:ascii="宋体" w:hAnsi="宋体" w:eastAsia="宋体" w:cs="宋体"/>
          <w:color w:val="auto"/>
          <w:spacing w:val="6"/>
          <w:sz w:val="21"/>
          <w:szCs w:val="21"/>
        </w:rPr>
      </w:pPr>
      <w:r>
        <w:rPr>
          <w:rFonts w:hint="eastAsia" w:ascii="宋体" w:hAnsi="宋体" w:eastAsia="宋体" w:cs="宋体"/>
          <w:color w:val="auto"/>
          <w:spacing w:val="6"/>
          <w:sz w:val="21"/>
          <w:szCs w:val="21"/>
        </w:rPr>
        <w:t xml:space="preserve">本单位对上述声明的真实性负责。如有虚假，将依法承担相应责任。           </w:t>
      </w:r>
    </w:p>
    <w:p>
      <w:pPr>
        <w:tabs>
          <w:tab w:val="left" w:pos="4860"/>
        </w:tabs>
        <w:spacing w:line="360" w:lineRule="auto"/>
        <w:ind w:right="1560" w:firstLine="444" w:firstLineChars="200"/>
        <w:jc w:val="center"/>
        <w:rPr>
          <w:rFonts w:ascii="宋体" w:hAnsi="宋体" w:eastAsia="宋体" w:cs="宋体"/>
          <w:color w:val="auto"/>
          <w:spacing w:val="6"/>
          <w:sz w:val="21"/>
          <w:szCs w:val="21"/>
        </w:rPr>
      </w:pPr>
      <w:r>
        <w:rPr>
          <w:rFonts w:hint="eastAsia" w:ascii="宋体" w:hAnsi="宋体" w:eastAsia="宋体" w:cs="宋体"/>
          <w:color w:val="auto"/>
          <w:spacing w:val="6"/>
          <w:sz w:val="21"/>
          <w:szCs w:val="21"/>
        </w:rPr>
        <w:t xml:space="preserve">         </w:t>
      </w:r>
    </w:p>
    <w:p>
      <w:pPr>
        <w:tabs>
          <w:tab w:val="left" w:pos="4860"/>
        </w:tabs>
        <w:spacing w:line="360" w:lineRule="auto"/>
        <w:ind w:right="1560" w:firstLine="444" w:firstLineChars="200"/>
        <w:jc w:val="center"/>
        <w:rPr>
          <w:rFonts w:ascii="宋体" w:hAnsi="宋体" w:eastAsia="宋体" w:cs="宋体"/>
          <w:color w:val="auto"/>
          <w:spacing w:val="6"/>
          <w:sz w:val="21"/>
          <w:szCs w:val="21"/>
        </w:rPr>
      </w:pPr>
      <w:r>
        <w:rPr>
          <w:rFonts w:hint="eastAsia" w:ascii="宋体" w:hAnsi="宋体" w:eastAsia="宋体" w:cs="宋体"/>
          <w:color w:val="auto"/>
          <w:spacing w:val="6"/>
          <w:sz w:val="21"/>
          <w:szCs w:val="21"/>
        </w:rPr>
        <w:t xml:space="preserve">    企业名称（盖章）：</w:t>
      </w:r>
    </w:p>
    <w:p>
      <w:pPr>
        <w:tabs>
          <w:tab w:val="left" w:pos="4860"/>
        </w:tabs>
        <w:spacing w:line="360" w:lineRule="auto"/>
        <w:ind w:right="1560" w:firstLine="444" w:firstLineChars="200"/>
        <w:jc w:val="center"/>
        <w:rPr>
          <w:rFonts w:ascii="宋体" w:hAnsi="宋体" w:eastAsia="宋体" w:cs="宋体"/>
          <w:color w:val="auto"/>
          <w:sz w:val="21"/>
          <w:szCs w:val="21"/>
        </w:rPr>
      </w:pPr>
      <w:r>
        <w:rPr>
          <w:rFonts w:hint="eastAsia" w:ascii="宋体" w:hAnsi="宋体" w:eastAsia="宋体" w:cs="宋体"/>
          <w:color w:val="auto"/>
          <w:spacing w:val="6"/>
          <w:sz w:val="21"/>
          <w:szCs w:val="21"/>
        </w:rPr>
        <w:t xml:space="preserve">            日  期：</w:t>
      </w:r>
    </w:p>
    <w:p>
      <w:pPr>
        <w:spacing w:after="120" w:line="360" w:lineRule="auto"/>
        <w:rPr>
          <w:rFonts w:ascii="宋体" w:hAnsi="宋体" w:eastAsia="宋体" w:cs="宋体"/>
          <w:color w:val="auto"/>
          <w:sz w:val="21"/>
          <w:szCs w:val="21"/>
        </w:rPr>
      </w:pPr>
      <w:r>
        <w:rPr>
          <w:rFonts w:hint="eastAsia" w:ascii="宋体" w:hAnsi="宋体" w:eastAsia="宋体" w:cs="宋体"/>
          <w:color w:val="auto"/>
          <w:sz w:val="21"/>
          <w:szCs w:val="21"/>
        </w:rPr>
        <w:t>－－－－－－－－－－－－－－－－－－－－－－－－－－－－－－－－－－－－</w:t>
      </w:r>
    </w:p>
    <w:p>
      <w:pPr>
        <w:spacing w:before="120" w:beforeLines="50" w:after="120" w:afterLines="50" w:line="360" w:lineRule="auto"/>
        <w:jc w:val="center"/>
        <w:rPr>
          <w:rFonts w:ascii="宋体" w:hAnsi="宋体" w:eastAsia="宋体" w:cs="宋体"/>
          <w:b/>
          <w:bCs/>
          <w:color w:val="auto"/>
          <w:sz w:val="21"/>
          <w:szCs w:val="21"/>
          <w:lang w:val="en-GB"/>
        </w:rPr>
      </w:pPr>
      <w:r>
        <w:rPr>
          <w:rFonts w:hint="eastAsia" w:ascii="宋体" w:hAnsi="宋体" w:eastAsia="宋体" w:cs="宋体"/>
          <w:b/>
          <w:bCs/>
          <w:color w:val="auto"/>
          <w:sz w:val="21"/>
          <w:szCs w:val="21"/>
          <w:lang w:val="en-GB"/>
        </w:rPr>
        <w:t>（</w:t>
      </w:r>
      <w:r>
        <w:rPr>
          <w:rFonts w:hint="eastAsia" w:ascii="宋体" w:hAnsi="宋体" w:eastAsia="宋体" w:cs="宋体"/>
          <w:b/>
          <w:bCs/>
          <w:color w:val="auto"/>
          <w:sz w:val="21"/>
          <w:szCs w:val="21"/>
        </w:rPr>
        <w:t>3</w:t>
      </w:r>
      <w:r>
        <w:rPr>
          <w:rFonts w:hint="eastAsia" w:ascii="宋体" w:hAnsi="宋体" w:eastAsia="宋体" w:cs="宋体"/>
          <w:b/>
          <w:bCs/>
          <w:color w:val="auto"/>
          <w:sz w:val="21"/>
          <w:szCs w:val="21"/>
          <w:lang w:val="en-GB"/>
        </w:rPr>
        <w:t>）监狱企业</w:t>
      </w:r>
      <w:r>
        <w:rPr>
          <w:rFonts w:hint="eastAsia" w:ascii="宋体" w:hAnsi="宋体" w:eastAsia="宋体" w:cs="宋体"/>
          <w:b/>
          <w:bCs/>
          <w:i/>
          <w:color w:val="auto"/>
          <w:sz w:val="21"/>
          <w:szCs w:val="21"/>
        </w:rPr>
        <w:t>（如有）</w:t>
      </w:r>
    </w:p>
    <w:p>
      <w:pPr>
        <w:spacing w:line="360" w:lineRule="auto"/>
        <w:ind w:firstLine="420" w:firstLineChars="200"/>
        <w:rPr>
          <w:color w:val="auto"/>
        </w:rPr>
        <w:sectPr>
          <w:pgSz w:w="11906" w:h="16838"/>
          <w:pgMar w:top="1440" w:right="1440" w:bottom="1440" w:left="1440" w:header="851" w:footer="992" w:gutter="0"/>
          <w:cols w:space="720" w:num="1"/>
          <w:docGrid w:linePitch="312" w:charSpace="0"/>
        </w:sectPr>
      </w:pPr>
      <w:r>
        <w:rPr>
          <w:rFonts w:hint="eastAsia" w:ascii="宋体" w:hAnsi="宋体" w:eastAsia="宋体" w:cs="宋体"/>
          <w:color w:val="auto"/>
          <w:sz w:val="21"/>
          <w:szCs w:val="21"/>
          <w:lang w:val="zh-CN"/>
        </w:rPr>
        <w:t>监狱企业参加政府采购活动时，应当提供由省级以上监狱管理局、戒毒管理局（含新疆生产建设兵团）出具的</w:t>
      </w:r>
      <w:r>
        <w:rPr>
          <w:rFonts w:hint="eastAsia" w:ascii="宋体" w:hAnsi="宋体" w:eastAsia="宋体" w:cs="宋体"/>
          <w:b/>
          <w:color w:val="auto"/>
          <w:sz w:val="21"/>
          <w:szCs w:val="21"/>
          <w:u w:val="single"/>
          <w:lang w:val="zh-CN"/>
        </w:rPr>
        <w:t>属于监狱企业的证明文件，视同小型、微型企业</w:t>
      </w:r>
      <w:bookmarkEnd w:id="622"/>
      <w:r>
        <w:rPr>
          <w:rFonts w:hint="eastAsia" w:ascii="宋体" w:hAnsi="宋体" w:eastAsia="宋体" w:cs="宋体"/>
          <w:b/>
          <w:color w:val="auto"/>
          <w:sz w:val="21"/>
          <w:szCs w:val="21"/>
          <w:u w:val="single"/>
          <w:lang w:val="zh-CN"/>
        </w:rPr>
        <w:t>。</w:t>
      </w:r>
    </w:p>
    <w:p>
      <w:pPr>
        <w:pStyle w:val="5"/>
        <w:spacing w:before="240" w:beforeLines="100" w:after="0" w:line="360" w:lineRule="auto"/>
        <w:rPr>
          <w:rFonts w:ascii="宋体" w:hAnsi="宋体" w:eastAsia="宋体"/>
          <w:bCs w:val="0"/>
          <w:color w:val="auto"/>
        </w:rPr>
      </w:pPr>
    </w:p>
    <w:p>
      <w:pPr>
        <w:pStyle w:val="5"/>
        <w:spacing w:before="240" w:beforeLines="100" w:after="0" w:line="360" w:lineRule="auto"/>
        <w:ind w:left="720" w:leftChars="200" w:firstLine="2249" w:firstLineChars="700"/>
        <w:rPr>
          <w:rFonts w:ascii="宋体" w:hAnsi="宋体" w:eastAsia="宋体"/>
          <w:bCs w:val="0"/>
          <w:color w:val="auto"/>
        </w:rPr>
      </w:pPr>
    </w:p>
    <w:p>
      <w:pPr>
        <w:pStyle w:val="5"/>
        <w:spacing w:before="240" w:beforeLines="100" w:after="0" w:line="360" w:lineRule="auto"/>
        <w:ind w:left="720" w:leftChars="200" w:firstLine="2249" w:firstLineChars="700"/>
        <w:rPr>
          <w:rFonts w:ascii="宋体" w:hAnsi="宋体" w:eastAsia="宋体"/>
          <w:bCs w:val="0"/>
          <w:color w:val="auto"/>
        </w:rPr>
      </w:pPr>
    </w:p>
    <w:p>
      <w:pPr>
        <w:pStyle w:val="5"/>
        <w:spacing w:before="240" w:beforeLines="100" w:after="0" w:line="360" w:lineRule="auto"/>
        <w:ind w:left="720" w:leftChars="200" w:firstLine="2249" w:firstLineChars="700"/>
        <w:rPr>
          <w:rFonts w:ascii="宋体" w:hAnsi="宋体" w:eastAsia="宋体"/>
          <w:bCs w:val="0"/>
          <w:color w:val="auto"/>
          <w:lang w:val="zh-CN"/>
        </w:rPr>
      </w:pPr>
      <w:r>
        <w:rPr>
          <w:rFonts w:hint="eastAsia" w:ascii="宋体" w:hAnsi="宋体" w:eastAsia="宋体"/>
          <w:bCs w:val="0"/>
          <w:color w:val="auto"/>
        </w:rPr>
        <w:t>2、</w:t>
      </w:r>
      <w:r>
        <w:rPr>
          <w:rFonts w:hint="eastAsia" w:ascii="宋体" w:hAnsi="宋体" w:eastAsia="宋体"/>
          <w:bCs w:val="0"/>
          <w:color w:val="auto"/>
          <w:lang w:val="zh-CN"/>
        </w:rPr>
        <w:t>商务与技术文件格式</w:t>
      </w:r>
    </w:p>
    <w:p>
      <w:pPr>
        <w:spacing w:before="100" w:beforeAutospacing="1" w:line="360" w:lineRule="auto"/>
        <w:jc w:val="center"/>
        <w:rPr>
          <w:rFonts w:ascii="宋体" w:hAnsi="宋体"/>
          <w:b/>
          <w:bCs/>
          <w:color w:val="auto"/>
          <w:sz w:val="32"/>
          <w:szCs w:val="32"/>
        </w:rPr>
      </w:pPr>
      <w:r>
        <w:rPr>
          <w:rFonts w:hint="eastAsia" w:ascii="宋体" w:hAnsi="宋体"/>
          <w:b/>
          <w:bCs/>
          <w:color w:val="auto"/>
          <w:sz w:val="32"/>
          <w:szCs w:val="32"/>
        </w:rPr>
        <w:t>目  录</w:t>
      </w:r>
    </w:p>
    <w:p>
      <w:pPr>
        <w:pStyle w:val="9"/>
        <w:spacing w:line="360" w:lineRule="auto"/>
        <w:ind w:firstLine="960" w:firstLineChars="400"/>
        <w:jc w:val="left"/>
        <w:rPr>
          <w:rFonts w:ascii="宋体" w:hAnsi="宋体" w:eastAsia="宋体" w:cs="宋体"/>
          <w:b/>
          <w:bCs/>
          <w:color w:val="auto"/>
          <w:sz w:val="24"/>
          <w:szCs w:val="24"/>
        </w:rPr>
      </w:pPr>
      <w:r>
        <w:rPr>
          <w:rFonts w:hint="eastAsia" w:ascii="宋体" w:hAnsi="宋体"/>
          <w:color w:val="auto"/>
          <w:sz w:val="24"/>
        </w:rPr>
        <w:t>（按照“第三部分 磋商须知”有关</w:t>
      </w:r>
      <w:r>
        <w:rPr>
          <w:rFonts w:hint="eastAsia" w:ascii="宋体" w:hAnsi="宋体"/>
          <w:color w:val="auto"/>
          <w:sz w:val="24"/>
          <w:lang w:val="zh-CN"/>
        </w:rPr>
        <w:t>商务与技术文件组成</w:t>
      </w:r>
      <w:r>
        <w:rPr>
          <w:rFonts w:hint="eastAsia" w:ascii="宋体" w:hAnsi="宋体"/>
          <w:color w:val="auto"/>
          <w:sz w:val="24"/>
        </w:rPr>
        <w:t>要求编排）</w:t>
      </w:r>
    </w:p>
    <w:p>
      <w:pPr>
        <w:spacing w:line="360" w:lineRule="auto"/>
        <w:ind w:firstLine="5760" w:firstLineChars="2400"/>
        <w:jc w:val="left"/>
        <w:rPr>
          <w:rFonts w:ascii="宋体" w:hAnsi="宋体" w:cs="宋体"/>
          <w:color w:val="auto"/>
          <w:sz w:val="24"/>
        </w:rPr>
      </w:pPr>
    </w:p>
    <w:p>
      <w:pPr>
        <w:pStyle w:val="12"/>
        <w:adjustRightInd w:val="0"/>
        <w:snapToGrid w:val="0"/>
        <w:spacing w:before="120" w:after="120"/>
        <w:rPr>
          <w:rFonts w:hAnsi="宋体" w:eastAsia="宋体" w:cs="宋体"/>
          <w:b/>
          <w:bCs/>
          <w:color w:val="auto"/>
          <w:sz w:val="24"/>
          <w:szCs w:val="24"/>
        </w:rPr>
      </w:pPr>
    </w:p>
    <w:p>
      <w:pPr>
        <w:pStyle w:val="12"/>
        <w:adjustRightInd w:val="0"/>
        <w:snapToGrid w:val="0"/>
        <w:spacing w:before="120" w:after="120"/>
        <w:jc w:val="center"/>
        <w:rPr>
          <w:rFonts w:hAnsi="宋体" w:eastAsia="宋体" w:cs="宋体"/>
          <w:b/>
          <w:bCs/>
          <w:color w:val="auto"/>
          <w:sz w:val="24"/>
          <w:szCs w:val="24"/>
        </w:rPr>
      </w:pPr>
    </w:p>
    <w:p>
      <w:pPr>
        <w:pStyle w:val="12"/>
        <w:adjustRightInd w:val="0"/>
        <w:snapToGrid w:val="0"/>
        <w:spacing w:before="120" w:after="120"/>
        <w:jc w:val="center"/>
        <w:rPr>
          <w:rFonts w:hAnsi="宋体" w:eastAsia="宋体" w:cs="宋体"/>
          <w:b/>
          <w:bCs/>
          <w:color w:val="auto"/>
          <w:sz w:val="24"/>
          <w:szCs w:val="24"/>
        </w:rPr>
      </w:pPr>
    </w:p>
    <w:p>
      <w:pPr>
        <w:pStyle w:val="12"/>
        <w:adjustRightInd w:val="0"/>
        <w:snapToGrid w:val="0"/>
        <w:spacing w:before="120" w:after="120"/>
        <w:jc w:val="center"/>
        <w:rPr>
          <w:rFonts w:hAnsi="宋体" w:eastAsia="宋体" w:cs="宋体"/>
          <w:b/>
          <w:bCs/>
          <w:color w:val="auto"/>
          <w:sz w:val="24"/>
          <w:szCs w:val="24"/>
        </w:rPr>
      </w:pPr>
    </w:p>
    <w:p>
      <w:pPr>
        <w:pStyle w:val="12"/>
        <w:adjustRightInd w:val="0"/>
        <w:snapToGrid w:val="0"/>
        <w:spacing w:before="120" w:after="120"/>
        <w:jc w:val="center"/>
        <w:rPr>
          <w:rFonts w:hAnsi="宋体" w:eastAsia="宋体" w:cs="宋体"/>
          <w:b/>
          <w:bCs/>
          <w:color w:val="auto"/>
          <w:sz w:val="24"/>
          <w:szCs w:val="24"/>
        </w:rPr>
      </w:pPr>
    </w:p>
    <w:p>
      <w:pPr>
        <w:pStyle w:val="12"/>
        <w:adjustRightInd w:val="0"/>
        <w:snapToGrid w:val="0"/>
        <w:spacing w:before="120" w:after="120"/>
        <w:jc w:val="center"/>
        <w:rPr>
          <w:rFonts w:hAnsi="宋体" w:eastAsia="宋体" w:cs="宋体"/>
          <w:b/>
          <w:bCs/>
          <w:color w:val="auto"/>
          <w:sz w:val="24"/>
          <w:szCs w:val="24"/>
        </w:rPr>
      </w:pPr>
    </w:p>
    <w:p>
      <w:pPr>
        <w:pStyle w:val="12"/>
        <w:adjustRightInd w:val="0"/>
        <w:snapToGrid w:val="0"/>
        <w:spacing w:before="120" w:after="120"/>
        <w:jc w:val="center"/>
        <w:rPr>
          <w:rFonts w:hAnsi="宋体" w:eastAsia="宋体" w:cs="宋体"/>
          <w:b/>
          <w:bCs/>
          <w:color w:val="auto"/>
          <w:sz w:val="24"/>
          <w:szCs w:val="24"/>
        </w:rPr>
      </w:pPr>
    </w:p>
    <w:p>
      <w:pPr>
        <w:pStyle w:val="12"/>
        <w:adjustRightInd w:val="0"/>
        <w:snapToGrid w:val="0"/>
        <w:spacing w:before="120" w:after="120"/>
        <w:jc w:val="center"/>
        <w:rPr>
          <w:rFonts w:hAnsi="宋体" w:eastAsia="宋体" w:cs="宋体"/>
          <w:b/>
          <w:bCs/>
          <w:color w:val="auto"/>
          <w:sz w:val="24"/>
          <w:szCs w:val="24"/>
        </w:rPr>
      </w:pPr>
    </w:p>
    <w:p>
      <w:pPr>
        <w:pStyle w:val="12"/>
        <w:adjustRightInd w:val="0"/>
        <w:snapToGrid w:val="0"/>
        <w:spacing w:before="120" w:after="120"/>
        <w:jc w:val="center"/>
        <w:rPr>
          <w:rFonts w:hAnsi="宋体" w:eastAsia="宋体" w:cs="宋体"/>
          <w:b/>
          <w:bCs/>
          <w:color w:val="auto"/>
          <w:sz w:val="24"/>
          <w:szCs w:val="24"/>
        </w:rPr>
      </w:pPr>
    </w:p>
    <w:p>
      <w:pPr>
        <w:pStyle w:val="12"/>
        <w:adjustRightInd w:val="0"/>
        <w:snapToGrid w:val="0"/>
        <w:spacing w:before="120" w:after="120"/>
        <w:jc w:val="center"/>
        <w:rPr>
          <w:rFonts w:hAnsi="宋体" w:eastAsia="宋体" w:cs="宋体"/>
          <w:b/>
          <w:bCs/>
          <w:color w:val="auto"/>
          <w:sz w:val="24"/>
          <w:szCs w:val="24"/>
        </w:rPr>
      </w:pPr>
    </w:p>
    <w:p>
      <w:pPr>
        <w:pStyle w:val="12"/>
        <w:adjustRightInd w:val="0"/>
        <w:snapToGrid w:val="0"/>
        <w:spacing w:before="120" w:after="120"/>
        <w:jc w:val="center"/>
        <w:rPr>
          <w:rFonts w:hAnsi="宋体" w:eastAsia="宋体" w:cs="宋体"/>
          <w:b/>
          <w:bCs/>
          <w:color w:val="auto"/>
          <w:sz w:val="24"/>
          <w:szCs w:val="24"/>
        </w:rPr>
      </w:pPr>
    </w:p>
    <w:p>
      <w:pPr>
        <w:pStyle w:val="12"/>
        <w:adjustRightInd w:val="0"/>
        <w:snapToGrid w:val="0"/>
        <w:spacing w:before="120" w:after="120"/>
        <w:jc w:val="center"/>
        <w:rPr>
          <w:rFonts w:hAnsi="宋体" w:eastAsia="宋体" w:cs="宋体"/>
          <w:b/>
          <w:bCs/>
          <w:color w:val="auto"/>
          <w:sz w:val="24"/>
          <w:szCs w:val="24"/>
        </w:rPr>
      </w:pPr>
    </w:p>
    <w:p>
      <w:pPr>
        <w:pStyle w:val="12"/>
        <w:adjustRightInd w:val="0"/>
        <w:snapToGrid w:val="0"/>
        <w:spacing w:before="120" w:after="120"/>
        <w:jc w:val="center"/>
        <w:rPr>
          <w:rFonts w:hAnsi="宋体" w:eastAsia="宋体" w:cs="宋体"/>
          <w:b/>
          <w:bCs/>
          <w:color w:val="auto"/>
          <w:sz w:val="24"/>
          <w:szCs w:val="24"/>
        </w:rPr>
      </w:pPr>
    </w:p>
    <w:p>
      <w:pPr>
        <w:pStyle w:val="12"/>
        <w:adjustRightInd w:val="0"/>
        <w:snapToGrid w:val="0"/>
        <w:spacing w:before="120" w:after="120"/>
        <w:jc w:val="center"/>
        <w:rPr>
          <w:rFonts w:hAnsi="宋体" w:eastAsia="宋体" w:cs="宋体"/>
          <w:b/>
          <w:bCs/>
          <w:color w:val="auto"/>
          <w:sz w:val="24"/>
          <w:szCs w:val="24"/>
        </w:rPr>
      </w:pPr>
    </w:p>
    <w:p>
      <w:pPr>
        <w:pStyle w:val="12"/>
        <w:adjustRightInd w:val="0"/>
        <w:snapToGrid w:val="0"/>
        <w:spacing w:before="120" w:after="120"/>
        <w:jc w:val="center"/>
        <w:rPr>
          <w:rFonts w:hAnsi="宋体" w:eastAsia="宋体" w:cs="宋体"/>
          <w:b/>
          <w:bCs/>
          <w:color w:val="auto"/>
          <w:sz w:val="24"/>
          <w:szCs w:val="24"/>
        </w:rPr>
      </w:pPr>
    </w:p>
    <w:p>
      <w:pPr>
        <w:pStyle w:val="12"/>
        <w:adjustRightInd w:val="0"/>
        <w:snapToGrid w:val="0"/>
        <w:spacing w:before="120" w:after="120"/>
        <w:jc w:val="center"/>
        <w:rPr>
          <w:rFonts w:hAnsi="宋体" w:eastAsia="宋体" w:cs="宋体"/>
          <w:b/>
          <w:bCs/>
          <w:color w:val="auto"/>
          <w:sz w:val="24"/>
          <w:szCs w:val="24"/>
        </w:rPr>
      </w:pPr>
    </w:p>
    <w:p>
      <w:pPr>
        <w:pStyle w:val="12"/>
        <w:adjustRightInd w:val="0"/>
        <w:snapToGrid w:val="0"/>
        <w:spacing w:before="120" w:after="120"/>
        <w:jc w:val="left"/>
        <w:rPr>
          <w:rFonts w:hAnsi="宋体" w:eastAsia="宋体" w:cs="宋体"/>
          <w:b/>
          <w:bCs/>
          <w:color w:val="auto"/>
          <w:sz w:val="24"/>
          <w:szCs w:val="24"/>
        </w:rPr>
      </w:pPr>
    </w:p>
    <w:p>
      <w:pPr>
        <w:pStyle w:val="39"/>
        <w:spacing w:line="360" w:lineRule="auto"/>
        <w:rPr>
          <w:rFonts w:ascii="宋体" w:hAnsi="宋体" w:cs="宋体"/>
          <w:b/>
          <w:bCs/>
          <w:color w:val="auto"/>
          <w:sz w:val="24"/>
        </w:rPr>
      </w:pPr>
    </w:p>
    <w:p>
      <w:pPr>
        <w:pStyle w:val="4"/>
        <w:spacing w:before="0" w:after="0" w:line="360" w:lineRule="auto"/>
        <w:rPr>
          <w:rFonts w:ascii="宋体" w:hAnsi="宋体" w:eastAsia="宋体" w:cs="宋体"/>
          <w:color w:val="auto"/>
          <w:sz w:val="24"/>
          <w:szCs w:val="24"/>
        </w:rPr>
        <w:sectPr>
          <w:pgSz w:w="11906" w:h="16838"/>
          <w:pgMar w:top="1440" w:right="1440" w:bottom="1440" w:left="1440" w:header="851" w:footer="992" w:gutter="0"/>
          <w:cols w:space="720" w:num="1"/>
          <w:docGrid w:linePitch="312" w:charSpace="0"/>
        </w:sectPr>
      </w:pPr>
    </w:p>
    <w:p>
      <w:pPr>
        <w:pStyle w:val="4"/>
        <w:spacing w:before="0" w:after="0" w:line="360" w:lineRule="auto"/>
        <w:rPr>
          <w:rFonts w:ascii="宋体" w:hAnsi="宋体" w:eastAsia="宋体" w:cs="宋体"/>
          <w:color w:val="auto"/>
          <w:sz w:val="24"/>
          <w:szCs w:val="24"/>
        </w:rPr>
      </w:pPr>
      <w:r>
        <w:rPr>
          <w:rFonts w:hint="eastAsia" w:ascii="宋体" w:hAnsi="宋体" w:eastAsia="宋体" w:cs="宋体"/>
          <w:color w:val="auto"/>
          <w:sz w:val="24"/>
          <w:szCs w:val="24"/>
          <w:lang w:val="zh-CN"/>
        </w:rPr>
        <w:t>附件</w:t>
      </w:r>
      <w:r>
        <w:rPr>
          <w:rFonts w:hint="eastAsia" w:ascii="宋体" w:hAnsi="宋体" w:eastAsia="宋体" w:cs="宋体"/>
          <w:color w:val="auto"/>
          <w:sz w:val="24"/>
          <w:szCs w:val="24"/>
        </w:rPr>
        <w:t>八：</w:t>
      </w:r>
    </w:p>
    <w:p>
      <w:pPr>
        <w:pStyle w:val="39"/>
        <w:spacing w:line="360" w:lineRule="auto"/>
        <w:jc w:val="center"/>
        <w:rPr>
          <w:rFonts w:ascii="宋体" w:hAnsi="宋体" w:cs="宋体"/>
          <w:b/>
          <w:bCs/>
          <w:color w:val="auto"/>
          <w:sz w:val="24"/>
        </w:rPr>
      </w:pPr>
      <w:r>
        <w:rPr>
          <w:rFonts w:hint="eastAsia" w:ascii="宋体" w:hAnsi="宋体" w:cs="宋体"/>
          <w:b/>
          <w:bCs/>
          <w:color w:val="auto"/>
          <w:sz w:val="24"/>
        </w:rPr>
        <w:t>投标人基本情况表</w:t>
      </w:r>
    </w:p>
    <w:p>
      <w:pPr>
        <w:widowControl/>
        <w:adjustRightInd w:val="0"/>
        <w:rPr>
          <w:b/>
          <w:color w:val="auto"/>
          <w:kern w:val="0"/>
          <w:sz w:val="24"/>
        </w:rPr>
      </w:pPr>
    </w:p>
    <w:tbl>
      <w:tblPr>
        <w:tblStyle w:val="24"/>
        <w:tblW w:w="0" w:type="auto"/>
        <w:jc w:val="center"/>
        <w:tblLayout w:type="fixed"/>
        <w:tblCellMar>
          <w:top w:w="0" w:type="dxa"/>
          <w:left w:w="108" w:type="dxa"/>
          <w:bottom w:w="0" w:type="dxa"/>
          <w:right w:w="108" w:type="dxa"/>
        </w:tblCellMar>
      </w:tblPr>
      <w:tblGrid>
        <w:gridCol w:w="1510"/>
        <w:gridCol w:w="830"/>
        <w:gridCol w:w="1573"/>
        <w:gridCol w:w="690"/>
        <w:gridCol w:w="645"/>
        <w:gridCol w:w="1485"/>
        <w:gridCol w:w="1140"/>
        <w:gridCol w:w="1620"/>
      </w:tblGrid>
      <w:tr>
        <w:tblPrEx>
          <w:tblCellMar>
            <w:top w:w="0" w:type="dxa"/>
            <w:left w:w="108" w:type="dxa"/>
            <w:bottom w:w="0" w:type="dxa"/>
            <w:right w:w="108" w:type="dxa"/>
          </w:tblCellMar>
        </w:tblPrEx>
        <w:trPr>
          <w:trHeight w:val="410" w:hRule="atLeast"/>
          <w:jc w:val="center"/>
        </w:trPr>
        <w:tc>
          <w:tcPr>
            <w:tcW w:w="1510"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r>
              <w:rPr>
                <w:rFonts w:hint="eastAsia" w:ascii="宋体" w:hAnsi="宋体" w:eastAsia="宋体" w:cs="宋体"/>
                <w:color w:val="auto"/>
                <w:sz w:val="21"/>
                <w:szCs w:val="21"/>
              </w:rPr>
              <w:t>投标人名称</w:t>
            </w:r>
          </w:p>
        </w:tc>
        <w:tc>
          <w:tcPr>
            <w:tcW w:w="7983" w:type="dxa"/>
            <w:gridSpan w:val="7"/>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p>
        </w:tc>
      </w:tr>
      <w:tr>
        <w:tblPrEx>
          <w:tblCellMar>
            <w:top w:w="0" w:type="dxa"/>
            <w:left w:w="108" w:type="dxa"/>
            <w:bottom w:w="0" w:type="dxa"/>
            <w:right w:w="108" w:type="dxa"/>
          </w:tblCellMar>
        </w:tblPrEx>
        <w:trPr>
          <w:trHeight w:val="410" w:hRule="atLeast"/>
          <w:jc w:val="center"/>
        </w:trPr>
        <w:tc>
          <w:tcPr>
            <w:tcW w:w="1510"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r>
              <w:rPr>
                <w:rFonts w:hint="eastAsia" w:ascii="宋体" w:hAnsi="宋体" w:eastAsia="宋体" w:cs="宋体"/>
                <w:color w:val="auto"/>
                <w:sz w:val="21"/>
                <w:szCs w:val="21"/>
              </w:rPr>
              <w:t>注册地址</w:t>
            </w:r>
          </w:p>
        </w:tc>
        <w:tc>
          <w:tcPr>
            <w:tcW w:w="5223" w:type="dxa"/>
            <w:gridSpan w:val="5"/>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p>
        </w:tc>
        <w:tc>
          <w:tcPr>
            <w:tcW w:w="1140"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r>
              <w:rPr>
                <w:rFonts w:hint="eastAsia" w:ascii="宋体" w:hAnsi="宋体" w:eastAsia="宋体" w:cs="宋体"/>
                <w:color w:val="auto"/>
                <w:sz w:val="21"/>
                <w:szCs w:val="21"/>
              </w:rPr>
              <w:t>邮政编码</w:t>
            </w:r>
          </w:p>
        </w:tc>
        <w:tc>
          <w:tcPr>
            <w:tcW w:w="1620"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p>
        </w:tc>
      </w:tr>
      <w:tr>
        <w:tblPrEx>
          <w:tblCellMar>
            <w:top w:w="0" w:type="dxa"/>
            <w:left w:w="108" w:type="dxa"/>
            <w:bottom w:w="0" w:type="dxa"/>
            <w:right w:w="108" w:type="dxa"/>
          </w:tblCellMar>
        </w:tblPrEx>
        <w:trPr>
          <w:trHeight w:val="410" w:hRule="atLeast"/>
          <w:jc w:val="center"/>
        </w:trPr>
        <w:tc>
          <w:tcPr>
            <w:tcW w:w="1510" w:type="dxa"/>
            <w:vMerge w:val="restart"/>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r>
              <w:rPr>
                <w:rFonts w:hint="eastAsia" w:ascii="宋体" w:hAnsi="宋体" w:eastAsia="宋体" w:cs="宋体"/>
                <w:color w:val="auto"/>
                <w:sz w:val="21"/>
                <w:szCs w:val="21"/>
              </w:rPr>
              <w:t>联系方式</w:t>
            </w:r>
          </w:p>
        </w:tc>
        <w:tc>
          <w:tcPr>
            <w:tcW w:w="830"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r>
              <w:rPr>
                <w:rFonts w:hint="eastAsia" w:ascii="宋体" w:hAnsi="宋体" w:eastAsia="宋体" w:cs="宋体"/>
                <w:color w:val="auto"/>
                <w:sz w:val="21"/>
                <w:szCs w:val="21"/>
              </w:rPr>
              <w:t>联系人</w:t>
            </w:r>
          </w:p>
        </w:tc>
        <w:tc>
          <w:tcPr>
            <w:tcW w:w="2908" w:type="dxa"/>
            <w:gridSpan w:val="3"/>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p>
        </w:tc>
        <w:tc>
          <w:tcPr>
            <w:tcW w:w="1485"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r>
              <w:rPr>
                <w:rFonts w:hint="eastAsia" w:ascii="宋体" w:hAnsi="宋体" w:eastAsia="宋体" w:cs="宋体"/>
                <w:color w:val="auto"/>
                <w:sz w:val="21"/>
                <w:szCs w:val="21"/>
              </w:rPr>
              <w:t>电话</w:t>
            </w:r>
          </w:p>
        </w:tc>
        <w:tc>
          <w:tcPr>
            <w:tcW w:w="2760" w:type="dxa"/>
            <w:gridSpan w:val="2"/>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p>
        </w:tc>
      </w:tr>
      <w:tr>
        <w:tblPrEx>
          <w:tblCellMar>
            <w:top w:w="0" w:type="dxa"/>
            <w:left w:w="108" w:type="dxa"/>
            <w:bottom w:w="0" w:type="dxa"/>
            <w:right w:w="108" w:type="dxa"/>
          </w:tblCellMar>
        </w:tblPrEx>
        <w:trPr>
          <w:trHeight w:val="410" w:hRule="atLeast"/>
          <w:jc w:val="center"/>
        </w:trPr>
        <w:tc>
          <w:tcPr>
            <w:tcW w:w="1510" w:type="dxa"/>
            <w:vMerge w:val="continue"/>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p>
        </w:tc>
        <w:tc>
          <w:tcPr>
            <w:tcW w:w="830"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r>
              <w:rPr>
                <w:rFonts w:hint="eastAsia" w:ascii="宋体" w:hAnsi="宋体" w:eastAsia="宋体" w:cs="宋体"/>
                <w:color w:val="auto"/>
                <w:sz w:val="21"/>
                <w:szCs w:val="21"/>
              </w:rPr>
              <w:t>传真</w:t>
            </w:r>
          </w:p>
        </w:tc>
        <w:tc>
          <w:tcPr>
            <w:tcW w:w="2908" w:type="dxa"/>
            <w:gridSpan w:val="3"/>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p>
        </w:tc>
        <w:tc>
          <w:tcPr>
            <w:tcW w:w="1485"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r>
              <w:rPr>
                <w:rFonts w:hint="eastAsia" w:ascii="宋体" w:hAnsi="宋体" w:eastAsia="宋体" w:cs="宋体"/>
                <w:color w:val="auto"/>
                <w:sz w:val="21"/>
                <w:szCs w:val="21"/>
              </w:rPr>
              <w:t>网址</w:t>
            </w:r>
          </w:p>
        </w:tc>
        <w:tc>
          <w:tcPr>
            <w:tcW w:w="2760" w:type="dxa"/>
            <w:gridSpan w:val="2"/>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p>
        </w:tc>
      </w:tr>
      <w:tr>
        <w:tblPrEx>
          <w:tblCellMar>
            <w:top w:w="0" w:type="dxa"/>
            <w:left w:w="108" w:type="dxa"/>
            <w:bottom w:w="0" w:type="dxa"/>
            <w:right w:w="108" w:type="dxa"/>
          </w:tblCellMar>
        </w:tblPrEx>
        <w:trPr>
          <w:trHeight w:val="410" w:hRule="atLeast"/>
          <w:jc w:val="center"/>
        </w:trPr>
        <w:tc>
          <w:tcPr>
            <w:tcW w:w="1510"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r>
              <w:rPr>
                <w:rFonts w:hint="eastAsia" w:ascii="宋体" w:hAnsi="宋体" w:eastAsia="宋体" w:cs="宋体"/>
                <w:color w:val="auto"/>
                <w:sz w:val="21"/>
                <w:szCs w:val="21"/>
              </w:rPr>
              <w:t>法定代表人</w:t>
            </w:r>
          </w:p>
        </w:tc>
        <w:tc>
          <w:tcPr>
            <w:tcW w:w="830"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r>
              <w:rPr>
                <w:rFonts w:hint="eastAsia" w:ascii="宋体" w:hAnsi="宋体" w:eastAsia="宋体" w:cs="宋体"/>
                <w:color w:val="auto"/>
                <w:sz w:val="21"/>
                <w:szCs w:val="21"/>
              </w:rPr>
              <w:t>姓名</w:t>
            </w:r>
          </w:p>
        </w:tc>
        <w:tc>
          <w:tcPr>
            <w:tcW w:w="1573"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p>
        </w:tc>
        <w:tc>
          <w:tcPr>
            <w:tcW w:w="1335" w:type="dxa"/>
            <w:gridSpan w:val="2"/>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r>
              <w:rPr>
                <w:rFonts w:hint="eastAsia" w:ascii="宋体" w:hAnsi="宋体" w:eastAsia="宋体" w:cs="宋体"/>
                <w:color w:val="auto"/>
                <w:sz w:val="21"/>
                <w:szCs w:val="21"/>
              </w:rPr>
              <w:t>技术职称</w:t>
            </w:r>
          </w:p>
        </w:tc>
        <w:tc>
          <w:tcPr>
            <w:tcW w:w="1485"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p>
        </w:tc>
        <w:tc>
          <w:tcPr>
            <w:tcW w:w="1140"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r>
              <w:rPr>
                <w:rFonts w:hint="eastAsia" w:ascii="宋体" w:hAnsi="宋体" w:eastAsia="宋体" w:cs="宋体"/>
                <w:color w:val="auto"/>
                <w:sz w:val="21"/>
                <w:szCs w:val="21"/>
              </w:rPr>
              <w:t>电话</w:t>
            </w:r>
          </w:p>
        </w:tc>
        <w:tc>
          <w:tcPr>
            <w:tcW w:w="1620"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p>
        </w:tc>
      </w:tr>
      <w:tr>
        <w:tblPrEx>
          <w:tblCellMar>
            <w:top w:w="0" w:type="dxa"/>
            <w:left w:w="108" w:type="dxa"/>
            <w:bottom w:w="0" w:type="dxa"/>
            <w:right w:w="108" w:type="dxa"/>
          </w:tblCellMar>
        </w:tblPrEx>
        <w:trPr>
          <w:trHeight w:val="410" w:hRule="atLeast"/>
          <w:jc w:val="center"/>
        </w:trPr>
        <w:tc>
          <w:tcPr>
            <w:tcW w:w="1510"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r>
              <w:rPr>
                <w:rFonts w:hint="eastAsia" w:ascii="宋体" w:hAnsi="宋体" w:eastAsia="宋体" w:cs="宋体"/>
                <w:color w:val="auto"/>
                <w:sz w:val="21"/>
                <w:szCs w:val="21"/>
              </w:rPr>
              <w:t>技术负责人</w:t>
            </w:r>
          </w:p>
        </w:tc>
        <w:tc>
          <w:tcPr>
            <w:tcW w:w="830"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r>
              <w:rPr>
                <w:rFonts w:hint="eastAsia" w:ascii="宋体" w:hAnsi="宋体" w:eastAsia="宋体" w:cs="宋体"/>
                <w:color w:val="auto"/>
                <w:sz w:val="21"/>
                <w:szCs w:val="21"/>
              </w:rPr>
              <w:t>姓名</w:t>
            </w:r>
          </w:p>
        </w:tc>
        <w:tc>
          <w:tcPr>
            <w:tcW w:w="1573"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p>
        </w:tc>
        <w:tc>
          <w:tcPr>
            <w:tcW w:w="1335" w:type="dxa"/>
            <w:gridSpan w:val="2"/>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r>
              <w:rPr>
                <w:rFonts w:hint="eastAsia" w:ascii="宋体" w:hAnsi="宋体" w:eastAsia="宋体" w:cs="宋体"/>
                <w:color w:val="auto"/>
                <w:sz w:val="21"/>
                <w:szCs w:val="21"/>
              </w:rPr>
              <w:t>技术职称</w:t>
            </w:r>
          </w:p>
        </w:tc>
        <w:tc>
          <w:tcPr>
            <w:tcW w:w="1485"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p>
        </w:tc>
        <w:tc>
          <w:tcPr>
            <w:tcW w:w="1140"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r>
              <w:rPr>
                <w:rFonts w:hint="eastAsia" w:ascii="宋体" w:hAnsi="宋体" w:eastAsia="宋体" w:cs="宋体"/>
                <w:color w:val="auto"/>
                <w:sz w:val="21"/>
                <w:szCs w:val="21"/>
              </w:rPr>
              <w:t>电话</w:t>
            </w:r>
          </w:p>
        </w:tc>
        <w:tc>
          <w:tcPr>
            <w:tcW w:w="1620"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p>
        </w:tc>
      </w:tr>
      <w:tr>
        <w:tblPrEx>
          <w:tblCellMar>
            <w:top w:w="0" w:type="dxa"/>
            <w:left w:w="108" w:type="dxa"/>
            <w:bottom w:w="0" w:type="dxa"/>
            <w:right w:w="108" w:type="dxa"/>
          </w:tblCellMar>
        </w:tblPrEx>
        <w:trPr>
          <w:trHeight w:val="410" w:hRule="atLeast"/>
          <w:jc w:val="center"/>
        </w:trPr>
        <w:tc>
          <w:tcPr>
            <w:tcW w:w="1510"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r>
              <w:rPr>
                <w:rFonts w:hint="eastAsia" w:ascii="宋体" w:hAnsi="宋体" w:eastAsia="宋体" w:cs="宋体"/>
                <w:color w:val="auto"/>
                <w:sz w:val="21"/>
                <w:szCs w:val="21"/>
              </w:rPr>
              <w:t>成立时间</w:t>
            </w:r>
          </w:p>
        </w:tc>
        <w:tc>
          <w:tcPr>
            <w:tcW w:w="2403" w:type="dxa"/>
            <w:gridSpan w:val="2"/>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p>
        </w:tc>
        <w:tc>
          <w:tcPr>
            <w:tcW w:w="2820" w:type="dxa"/>
            <w:gridSpan w:val="3"/>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r>
              <w:rPr>
                <w:rFonts w:hint="eastAsia" w:ascii="宋体" w:hAnsi="宋体" w:eastAsia="宋体" w:cs="宋体"/>
                <w:color w:val="auto"/>
                <w:sz w:val="21"/>
                <w:szCs w:val="21"/>
              </w:rPr>
              <w:t>员工总人数</w:t>
            </w:r>
          </w:p>
        </w:tc>
        <w:tc>
          <w:tcPr>
            <w:tcW w:w="2760" w:type="dxa"/>
            <w:gridSpan w:val="2"/>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r>
              <w:rPr>
                <w:rFonts w:hint="eastAsia" w:ascii="宋体" w:hAnsi="宋体" w:eastAsia="宋体" w:cs="宋体"/>
                <w:color w:val="auto"/>
                <w:sz w:val="21"/>
                <w:szCs w:val="21"/>
              </w:rPr>
              <w:t>人</w:t>
            </w:r>
          </w:p>
        </w:tc>
      </w:tr>
      <w:tr>
        <w:tblPrEx>
          <w:tblCellMar>
            <w:top w:w="0" w:type="dxa"/>
            <w:left w:w="108" w:type="dxa"/>
            <w:bottom w:w="0" w:type="dxa"/>
            <w:right w:w="108" w:type="dxa"/>
          </w:tblCellMar>
        </w:tblPrEx>
        <w:trPr>
          <w:trHeight w:val="410" w:hRule="atLeast"/>
          <w:jc w:val="center"/>
        </w:trPr>
        <w:tc>
          <w:tcPr>
            <w:tcW w:w="1510"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r>
              <w:rPr>
                <w:rFonts w:hint="eastAsia" w:ascii="宋体" w:hAnsi="宋体" w:eastAsia="宋体" w:cs="宋体"/>
                <w:color w:val="auto"/>
                <w:sz w:val="21"/>
                <w:szCs w:val="21"/>
              </w:rPr>
              <w:t>企业资质等级</w:t>
            </w:r>
          </w:p>
        </w:tc>
        <w:tc>
          <w:tcPr>
            <w:tcW w:w="2403" w:type="dxa"/>
            <w:gridSpan w:val="2"/>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p>
        </w:tc>
        <w:tc>
          <w:tcPr>
            <w:tcW w:w="690" w:type="dxa"/>
            <w:vMerge w:val="restart"/>
            <w:tcBorders>
              <w:top w:val="single" w:color="auto" w:sz="4" w:space="0"/>
              <w:left w:val="single" w:color="auto" w:sz="4" w:space="0"/>
              <w:right w:val="single" w:color="auto" w:sz="4" w:space="0"/>
            </w:tcBorders>
            <w:vAlign w:val="center"/>
          </w:tcPr>
          <w:p>
            <w:pPr>
              <w:adjustRightInd w:val="0"/>
              <w:jc w:val="center"/>
              <w:rPr>
                <w:rFonts w:ascii="宋体" w:hAnsi="宋体" w:eastAsia="宋体" w:cs="宋体"/>
                <w:color w:val="auto"/>
                <w:sz w:val="21"/>
                <w:szCs w:val="21"/>
              </w:rPr>
            </w:pPr>
            <w:r>
              <w:rPr>
                <w:rFonts w:hint="eastAsia" w:ascii="宋体" w:hAnsi="宋体" w:eastAsia="宋体" w:cs="宋体"/>
                <w:color w:val="auto"/>
                <w:sz w:val="21"/>
                <w:szCs w:val="21"/>
              </w:rPr>
              <w:t>其中</w:t>
            </w:r>
          </w:p>
        </w:tc>
        <w:tc>
          <w:tcPr>
            <w:tcW w:w="2130" w:type="dxa"/>
            <w:gridSpan w:val="2"/>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r>
              <w:rPr>
                <w:rFonts w:hint="eastAsia" w:ascii="宋体" w:hAnsi="宋体" w:eastAsia="宋体" w:cs="宋体"/>
                <w:color w:val="auto"/>
                <w:sz w:val="21"/>
                <w:szCs w:val="21"/>
              </w:rPr>
              <w:t>项目经理</w:t>
            </w:r>
          </w:p>
        </w:tc>
        <w:tc>
          <w:tcPr>
            <w:tcW w:w="2760" w:type="dxa"/>
            <w:gridSpan w:val="2"/>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r>
              <w:rPr>
                <w:rFonts w:hint="eastAsia" w:ascii="宋体" w:hAnsi="宋体" w:eastAsia="宋体" w:cs="宋体"/>
                <w:color w:val="auto"/>
                <w:sz w:val="21"/>
                <w:szCs w:val="21"/>
              </w:rPr>
              <w:t>人</w:t>
            </w:r>
          </w:p>
        </w:tc>
      </w:tr>
      <w:tr>
        <w:tblPrEx>
          <w:tblCellMar>
            <w:top w:w="0" w:type="dxa"/>
            <w:left w:w="108" w:type="dxa"/>
            <w:bottom w:w="0" w:type="dxa"/>
            <w:right w:w="108" w:type="dxa"/>
          </w:tblCellMar>
        </w:tblPrEx>
        <w:trPr>
          <w:trHeight w:val="410" w:hRule="atLeast"/>
          <w:jc w:val="center"/>
        </w:trPr>
        <w:tc>
          <w:tcPr>
            <w:tcW w:w="1510"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r>
              <w:rPr>
                <w:rFonts w:hint="eastAsia" w:ascii="宋体" w:hAnsi="宋体" w:eastAsia="宋体" w:cs="宋体"/>
                <w:color w:val="auto"/>
                <w:sz w:val="21"/>
                <w:szCs w:val="21"/>
              </w:rPr>
              <w:t>营业执照号</w:t>
            </w:r>
          </w:p>
        </w:tc>
        <w:tc>
          <w:tcPr>
            <w:tcW w:w="2403" w:type="dxa"/>
            <w:gridSpan w:val="2"/>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p>
        </w:tc>
        <w:tc>
          <w:tcPr>
            <w:tcW w:w="690" w:type="dxa"/>
            <w:vMerge w:val="continue"/>
            <w:tcBorders>
              <w:left w:val="single" w:color="auto" w:sz="4" w:space="0"/>
              <w:right w:val="single" w:color="auto" w:sz="4" w:space="0"/>
            </w:tcBorders>
            <w:vAlign w:val="center"/>
          </w:tcPr>
          <w:p>
            <w:pPr>
              <w:adjustRightInd w:val="0"/>
              <w:jc w:val="center"/>
              <w:rPr>
                <w:rFonts w:ascii="宋体" w:hAnsi="宋体" w:eastAsia="宋体" w:cs="宋体"/>
                <w:color w:val="auto"/>
                <w:sz w:val="21"/>
                <w:szCs w:val="21"/>
              </w:rPr>
            </w:pPr>
          </w:p>
        </w:tc>
        <w:tc>
          <w:tcPr>
            <w:tcW w:w="2130" w:type="dxa"/>
            <w:gridSpan w:val="2"/>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r>
              <w:rPr>
                <w:rFonts w:hint="eastAsia" w:ascii="宋体" w:hAnsi="宋体" w:eastAsia="宋体" w:cs="宋体"/>
                <w:color w:val="auto"/>
                <w:sz w:val="21"/>
                <w:szCs w:val="21"/>
              </w:rPr>
              <w:t>高级职称人员</w:t>
            </w:r>
          </w:p>
        </w:tc>
        <w:tc>
          <w:tcPr>
            <w:tcW w:w="2760" w:type="dxa"/>
            <w:gridSpan w:val="2"/>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r>
              <w:rPr>
                <w:rFonts w:hint="eastAsia" w:ascii="宋体" w:hAnsi="宋体" w:eastAsia="宋体" w:cs="宋体"/>
                <w:color w:val="auto"/>
                <w:sz w:val="21"/>
                <w:szCs w:val="21"/>
              </w:rPr>
              <w:t>人</w:t>
            </w:r>
          </w:p>
        </w:tc>
      </w:tr>
      <w:tr>
        <w:tblPrEx>
          <w:tblCellMar>
            <w:top w:w="0" w:type="dxa"/>
            <w:left w:w="108" w:type="dxa"/>
            <w:bottom w:w="0" w:type="dxa"/>
            <w:right w:w="108" w:type="dxa"/>
          </w:tblCellMar>
        </w:tblPrEx>
        <w:trPr>
          <w:trHeight w:val="410" w:hRule="atLeast"/>
          <w:jc w:val="center"/>
        </w:trPr>
        <w:tc>
          <w:tcPr>
            <w:tcW w:w="1510"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r>
              <w:rPr>
                <w:rFonts w:hint="eastAsia" w:ascii="宋体" w:hAnsi="宋体" w:eastAsia="宋体" w:cs="宋体"/>
                <w:color w:val="auto"/>
                <w:sz w:val="21"/>
                <w:szCs w:val="21"/>
              </w:rPr>
              <w:t>注册资金</w:t>
            </w:r>
          </w:p>
        </w:tc>
        <w:tc>
          <w:tcPr>
            <w:tcW w:w="2403" w:type="dxa"/>
            <w:gridSpan w:val="2"/>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p>
        </w:tc>
        <w:tc>
          <w:tcPr>
            <w:tcW w:w="690" w:type="dxa"/>
            <w:vMerge w:val="continue"/>
            <w:tcBorders>
              <w:left w:val="single" w:color="auto" w:sz="4" w:space="0"/>
              <w:right w:val="single" w:color="auto" w:sz="4" w:space="0"/>
            </w:tcBorders>
            <w:vAlign w:val="center"/>
          </w:tcPr>
          <w:p>
            <w:pPr>
              <w:adjustRightInd w:val="0"/>
              <w:jc w:val="center"/>
              <w:rPr>
                <w:rFonts w:ascii="宋体" w:hAnsi="宋体" w:eastAsia="宋体" w:cs="宋体"/>
                <w:color w:val="auto"/>
                <w:sz w:val="21"/>
                <w:szCs w:val="21"/>
              </w:rPr>
            </w:pPr>
          </w:p>
        </w:tc>
        <w:tc>
          <w:tcPr>
            <w:tcW w:w="2130" w:type="dxa"/>
            <w:gridSpan w:val="2"/>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r>
              <w:rPr>
                <w:rFonts w:hint="eastAsia" w:ascii="宋体" w:hAnsi="宋体" w:eastAsia="宋体" w:cs="宋体"/>
                <w:color w:val="auto"/>
                <w:sz w:val="21"/>
                <w:szCs w:val="21"/>
              </w:rPr>
              <w:t>中级职称人员</w:t>
            </w:r>
          </w:p>
        </w:tc>
        <w:tc>
          <w:tcPr>
            <w:tcW w:w="2760" w:type="dxa"/>
            <w:gridSpan w:val="2"/>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r>
              <w:rPr>
                <w:rFonts w:hint="eastAsia" w:ascii="宋体" w:hAnsi="宋体" w:eastAsia="宋体" w:cs="宋体"/>
                <w:color w:val="auto"/>
                <w:sz w:val="21"/>
                <w:szCs w:val="21"/>
              </w:rPr>
              <w:t>人</w:t>
            </w:r>
          </w:p>
        </w:tc>
      </w:tr>
      <w:tr>
        <w:tblPrEx>
          <w:tblCellMar>
            <w:top w:w="0" w:type="dxa"/>
            <w:left w:w="108" w:type="dxa"/>
            <w:bottom w:w="0" w:type="dxa"/>
            <w:right w:w="108" w:type="dxa"/>
          </w:tblCellMar>
        </w:tblPrEx>
        <w:trPr>
          <w:trHeight w:val="410" w:hRule="atLeast"/>
          <w:jc w:val="center"/>
        </w:trPr>
        <w:tc>
          <w:tcPr>
            <w:tcW w:w="1510"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r>
              <w:rPr>
                <w:rFonts w:hint="eastAsia" w:ascii="宋体" w:hAnsi="宋体" w:eastAsia="宋体" w:cs="宋体"/>
                <w:color w:val="auto"/>
                <w:sz w:val="21"/>
                <w:szCs w:val="21"/>
              </w:rPr>
              <w:t>开户银行</w:t>
            </w:r>
          </w:p>
        </w:tc>
        <w:tc>
          <w:tcPr>
            <w:tcW w:w="2403" w:type="dxa"/>
            <w:gridSpan w:val="2"/>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p>
        </w:tc>
        <w:tc>
          <w:tcPr>
            <w:tcW w:w="690" w:type="dxa"/>
            <w:vMerge w:val="continue"/>
            <w:tcBorders>
              <w:left w:val="single" w:color="auto" w:sz="4" w:space="0"/>
              <w:right w:val="single" w:color="auto" w:sz="4" w:space="0"/>
            </w:tcBorders>
            <w:vAlign w:val="center"/>
          </w:tcPr>
          <w:p>
            <w:pPr>
              <w:adjustRightInd w:val="0"/>
              <w:jc w:val="center"/>
              <w:rPr>
                <w:rFonts w:ascii="宋体" w:hAnsi="宋体" w:eastAsia="宋体" w:cs="宋体"/>
                <w:color w:val="auto"/>
                <w:sz w:val="21"/>
                <w:szCs w:val="21"/>
              </w:rPr>
            </w:pPr>
          </w:p>
        </w:tc>
        <w:tc>
          <w:tcPr>
            <w:tcW w:w="2130" w:type="dxa"/>
            <w:gridSpan w:val="2"/>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r>
              <w:rPr>
                <w:rFonts w:hint="eastAsia" w:ascii="宋体" w:hAnsi="宋体" w:eastAsia="宋体" w:cs="宋体"/>
                <w:color w:val="auto"/>
                <w:sz w:val="21"/>
                <w:szCs w:val="21"/>
              </w:rPr>
              <w:t>初级职称人员</w:t>
            </w:r>
          </w:p>
        </w:tc>
        <w:tc>
          <w:tcPr>
            <w:tcW w:w="2760" w:type="dxa"/>
            <w:gridSpan w:val="2"/>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r>
              <w:rPr>
                <w:rFonts w:hint="eastAsia" w:ascii="宋体" w:hAnsi="宋体" w:eastAsia="宋体" w:cs="宋体"/>
                <w:color w:val="auto"/>
                <w:sz w:val="21"/>
                <w:szCs w:val="21"/>
              </w:rPr>
              <w:t>人</w:t>
            </w:r>
          </w:p>
        </w:tc>
      </w:tr>
      <w:tr>
        <w:tblPrEx>
          <w:tblCellMar>
            <w:top w:w="0" w:type="dxa"/>
            <w:left w:w="108" w:type="dxa"/>
            <w:bottom w:w="0" w:type="dxa"/>
            <w:right w:w="108" w:type="dxa"/>
          </w:tblCellMar>
        </w:tblPrEx>
        <w:trPr>
          <w:trHeight w:val="410" w:hRule="atLeast"/>
          <w:jc w:val="center"/>
        </w:trPr>
        <w:tc>
          <w:tcPr>
            <w:tcW w:w="1510"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r>
              <w:rPr>
                <w:rFonts w:hint="eastAsia" w:ascii="宋体" w:hAnsi="宋体" w:eastAsia="宋体" w:cs="宋体"/>
                <w:color w:val="auto"/>
                <w:sz w:val="21"/>
                <w:szCs w:val="21"/>
              </w:rPr>
              <w:t>账号</w:t>
            </w:r>
          </w:p>
        </w:tc>
        <w:tc>
          <w:tcPr>
            <w:tcW w:w="2403" w:type="dxa"/>
            <w:gridSpan w:val="2"/>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p>
        </w:tc>
        <w:tc>
          <w:tcPr>
            <w:tcW w:w="690" w:type="dxa"/>
            <w:vMerge w:val="continue"/>
            <w:tcBorders>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p>
        </w:tc>
        <w:tc>
          <w:tcPr>
            <w:tcW w:w="2130" w:type="dxa"/>
            <w:gridSpan w:val="2"/>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r>
              <w:rPr>
                <w:rFonts w:hint="eastAsia" w:ascii="宋体" w:hAnsi="宋体" w:eastAsia="宋体" w:cs="宋体"/>
                <w:color w:val="auto"/>
                <w:sz w:val="21"/>
                <w:szCs w:val="21"/>
              </w:rPr>
              <w:t>技工</w:t>
            </w:r>
          </w:p>
        </w:tc>
        <w:tc>
          <w:tcPr>
            <w:tcW w:w="2760" w:type="dxa"/>
            <w:gridSpan w:val="2"/>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r>
              <w:rPr>
                <w:rFonts w:hint="eastAsia" w:ascii="宋体" w:hAnsi="宋体" w:eastAsia="宋体" w:cs="宋体"/>
                <w:color w:val="auto"/>
                <w:sz w:val="21"/>
                <w:szCs w:val="21"/>
              </w:rPr>
              <w:t>人</w:t>
            </w:r>
          </w:p>
        </w:tc>
      </w:tr>
      <w:tr>
        <w:tblPrEx>
          <w:tblCellMar>
            <w:top w:w="0" w:type="dxa"/>
            <w:left w:w="108" w:type="dxa"/>
            <w:bottom w:w="0" w:type="dxa"/>
            <w:right w:w="108" w:type="dxa"/>
          </w:tblCellMar>
        </w:tblPrEx>
        <w:trPr>
          <w:trHeight w:val="2390" w:hRule="atLeast"/>
          <w:jc w:val="center"/>
        </w:trPr>
        <w:tc>
          <w:tcPr>
            <w:tcW w:w="1510"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r>
              <w:rPr>
                <w:rFonts w:hint="eastAsia" w:ascii="宋体" w:hAnsi="宋体" w:eastAsia="宋体" w:cs="宋体"/>
                <w:color w:val="auto"/>
                <w:sz w:val="21"/>
                <w:szCs w:val="21"/>
              </w:rPr>
              <w:t>经营范围</w:t>
            </w:r>
          </w:p>
        </w:tc>
        <w:tc>
          <w:tcPr>
            <w:tcW w:w="7983" w:type="dxa"/>
            <w:gridSpan w:val="7"/>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p>
        </w:tc>
      </w:tr>
      <w:tr>
        <w:tblPrEx>
          <w:tblCellMar>
            <w:top w:w="0" w:type="dxa"/>
            <w:left w:w="108" w:type="dxa"/>
            <w:bottom w:w="0" w:type="dxa"/>
            <w:right w:w="108" w:type="dxa"/>
          </w:tblCellMar>
        </w:tblPrEx>
        <w:trPr>
          <w:trHeight w:val="1565" w:hRule="atLeast"/>
          <w:jc w:val="center"/>
        </w:trPr>
        <w:tc>
          <w:tcPr>
            <w:tcW w:w="1510"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r>
              <w:rPr>
                <w:rFonts w:hint="eastAsia" w:ascii="宋体" w:hAnsi="宋体" w:eastAsia="宋体" w:cs="宋体"/>
                <w:color w:val="auto"/>
                <w:sz w:val="21"/>
                <w:szCs w:val="21"/>
              </w:rPr>
              <w:t>备注</w:t>
            </w:r>
          </w:p>
        </w:tc>
        <w:tc>
          <w:tcPr>
            <w:tcW w:w="7983" w:type="dxa"/>
            <w:gridSpan w:val="7"/>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eastAsia="宋体" w:cs="宋体"/>
                <w:color w:val="auto"/>
                <w:sz w:val="21"/>
                <w:szCs w:val="21"/>
              </w:rPr>
            </w:pPr>
          </w:p>
        </w:tc>
      </w:tr>
    </w:tbl>
    <w:p>
      <w:pPr>
        <w:widowControl/>
        <w:adjustRightInd w:val="0"/>
        <w:rPr>
          <w:rFonts w:ascii="宋体" w:hAnsi="宋体" w:eastAsia="宋体" w:cs="宋体"/>
          <w:b/>
          <w:color w:val="auto"/>
          <w:kern w:val="0"/>
          <w:sz w:val="21"/>
          <w:szCs w:val="21"/>
        </w:rPr>
      </w:pPr>
    </w:p>
    <w:p>
      <w:pPr>
        <w:widowControl/>
        <w:adjustRightInd w:val="0"/>
        <w:rPr>
          <w:color w:val="auto"/>
          <w:kern w:val="0"/>
          <w:sz w:val="24"/>
        </w:rPr>
      </w:pPr>
    </w:p>
    <w:p>
      <w:pPr>
        <w:adjustRightInd w:val="0"/>
        <w:snapToGrid w:val="0"/>
        <w:spacing w:line="360" w:lineRule="auto"/>
        <w:rPr>
          <w:rFonts w:ascii="宋体" w:hAnsi="宋体" w:eastAsia="宋体" w:cs="宋体"/>
          <w:color w:val="auto"/>
          <w:kern w:val="0"/>
          <w:sz w:val="21"/>
          <w:szCs w:val="21"/>
          <w:lang w:val="zh-CN"/>
        </w:rPr>
      </w:pPr>
      <w:r>
        <w:rPr>
          <w:rFonts w:hint="eastAsia" w:ascii="宋体" w:hAnsi="宋体" w:eastAsia="宋体" w:cs="宋体"/>
          <w:color w:val="auto"/>
          <w:kern w:val="0"/>
          <w:sz w:val="21"/>
          <w:szCs w:val="21"/>
          <w:lang w:val="zh-CN"/>
        </w:rPr>
        <w:t>磋商供应商(公章)：</w:t>
      </w:r>
      <w:r>
        <w:rPr>
          <w:rFonts w:hint="eastAsia" w:ascii="宋体" w:hAnsi="宋体" w:eastAsia="宋体" w:cs="宋体"/>
          <w:color w:val="auto"/>
          <w:kern w:val="0"/>
          <w:sz w:val="21"/>
          <w:szCs w:val="21"/>
        </w:rPr>
        <w:t xml:space="preserve">                             </w:t>
      </w:r>
      <w:r>
        <w:rPr>
          <w:rFonts w:hint="eastAsia" w:ascii="宋体" w:hAnsi="宋体" w:eastAsia="宋体" w:cs="宋体"/>
          <w:color w:val="auto"/>
          <w:kern w:val="0"/>
          <w:sz w:val="21"/>
          <w:szCs w:val="21"/>
          <w:lang w:val="zh-CN"/>
        </w:rPr>
        <w:t xml:space="preserve"> 法定代表人或授权委托人(签字</w:t>
      </w:r>
      <w:r>
        <w:rPr>
          <w:rFonts w:hint="eastAsia" w:ascii="宋体" w:hAnsi="宋体" w:eastAsia="宋体" w:cs="宋体"/>
          <w:color w:val="auto"/>
          <w:kern w:val="0"/>
          <w:sz w:val="21"/>
          <w:szCs w:val="21"/>
        </w:rPr>
        <w:t>或盖章</w:t>
      </w:r>
      <w:r>
        <w:rPr>
          <w:rFonts w:hint="eastAsia" w:ascii="宋体" w:hAnsi="宋体" w:eastAsia="宋体" w:cs="宋体"/>
          <w:color w:val="auto"/>
          <w:kern w:val="0"/>
          <w:sz w:val="21"/>
          <w:szCs w:val="21"/>
          <w:lang w:val="zh-CN"/>
        </w:rPr>
        <w:t>)：</w:t>
      </w:r>
    </w:p>
    <w:p>
      <w:pPr>
        <w:pStyle w:val="12"/>
        <w:adjustRightInd w:val="0"/>
        <w:snapToGrid w:val="0"/>
        <w:spacing w:before="120" w:after="120" w:line="360" w:lineRule="auto"/>
        <w:jc w:val="center"/>
        <w:rPr>
          <w:rFonts w:hAnsi="宋体" w:eastAsia="宋体" w:cs="宋体"/>
          <w:color w:val="auto"/>
          <w:kern w:val="0"/>
          <w:szCs w:val="21"/>
        </w:rPr>
      </w:pPr>
      <w:r>
        <w:rPr>
          <w:rFonts w:hint="eastAsia" w:hAnsi="宋体" w:eastAsia="宋体" w:cs="宋体"/>
          <w:color w:val="auto"/>
          <w:kern w:val="0"/>
          <w:szCs w:val="21"/>
          <w:lang w:val="zh-CN"/>
        </w:rPr>
        <w:t xml:space="preserve">                             </w:t>
      </w:r>
      <w:r>
        <w:rPr>
          <w:rFonts w:hint="eastAsia" w:hAnsi="宋体" w:eastAsia="宋体" w:cs="宋体"/>
          <w:color w:val="auto"/>
          <w:kern w:val="0"/>
          <w:szCs w:val="21"/>
        </w:rPr>
        <w:t xml:space="preserve">       </w:t>
      </w:r>
    </w:p>
    <w:p>
      <w:pPr>
        <w:pStyle w:val="12"/>
        <w:adjustRightInd w:val="0"/>
        <w:snapToGrid w:val="0"/>
        <w:spacing w:before="120" w:after="120" w:line="360" w:lineRule="auto"/>
        <w:jc w:val="center"/>
        <w:rPr>
          <w:rFonts w:hAnsi="宋体" w:eastAsia="宋体" w:cs="宋体"/>
          <w:color w:val="auto"/>
          <w:kern w:val="0"/>
          <w:szCs w:val="21"/>
        </w:rPr>
      </w:pPr>
    </w:p>
    <w:p>
      <w:pPr>
        <w:pStyle w:val="12"/>
        <w:adjustRightInd w:val="0"/>
        <w:snapToGrid w:val="0"/>
        <w:spacing w:before="120" w:after="120" w:line="360" w:lineRule="auto"/>
        <w:jc w:val="center"/>
        <w:rPr>
          <w:rFonts w:hAnsi="宋体" w:eastAsia="宋体" w:cs="宋体"/>
          <w:color w:val="auto"/>
          <w:kern w:val="0"/>
          <w:szCs w:val="21"/>
          <w:lang w:val="zh-CN"/>
        </w:rPr>
      </w:pPr>
      <w:r>
        <w:rPr>
          <w:rFonts w:hint="eastAsia" w:hAnsi="宋体" w:eastAsia="宋体" w:cs="宋体"/>
          <w:color w:val="auto"/>
          <w:kern w:val="0"/>
          <w:szCs w:val="21"/>
        </w:rPr>
        <w:t xml:space="preserve">                                             </w:t>
      </w:r>
      <w:r>
        <w:rPr>
          <w:rFonts w:hint="eastAsia" w:hAnsi="宋体" w:eastAsia="宋体" w:cs="宋体"/>
          <w:color w:val="auto"/>
          <w:kern w:val="0"/>
          <w:szCs w:val="21"/>
          <w:lang w:val="zh-CN"/>
        </w:rPr>
        <w:t xml:space="preserve">     日期：</w:t>
      </w:r>
      <w:r>
        <w:rPr>
          <w:rFonts w:hint="eastAsia" w:hAnsi="宋体" w:eastAsia="宋体" w:cs="宋体"/>
          <w:color w:val="auto"/>
          <w:kern w:val="0"/>
          <w:szCs w:val="21"/>
        </w:rPr>
        <w:t xml:space="preserve">       </w:t>
      </w:r>
      <w:r>
        <w:rPr>
          <w:rFonts w:hint="eastAsia" w:hAnsi="宋体" w:eastAsia="宋体" w:cs="宋体"/>
          <w:color w:val="auto"/>
          <w:kern w:val="0"/>
          <w:szCs w:val="21"/>
          <w:lang w:val="zh-CN"/>
        </w:rPr>
        <w:t>年  月   日</w:t>
      </w:r>
    </w:p>
    <w:p>
      <w:pPr>
        <w:pStyle w:val="13"/>
        <w:ind w:left="9000"/>
        <w:rPr>
          <w:color w:val="auto"/>
        </w:rPr>
      </w:pPr>
    </w:p>
    <w:p>
      <w:pPr>
        <w:pStyle w:val="4"/>
        <w:spacing w:before="0" w:after="0" w:line="360" w:lineRule="auto"/>
        <w:rPr>
          <w:rFonts w:eastAsia="宋体"/>
          <w:color w:val="auto"/>
          <w:kern w:val="0"/>
          <w:sz w:val="24"/>
        </w:rPr>
      </w:pPr>
      <w:r>
        <w:rPr>
          <w:rFonts w:hint="eastAsia" w:ascii="宋体" w:hAnsi="宋体" w:eastAsia="宋体" w:cs="宋体"/>
          <w:color w:val="auto"/>
          <w:sz w:val="24"/>
          <w:szCs w:val="24"/>
        </w:rPr>
        <w:t>附件</w:t>
      </w:r>
      <w:r>
        <w:rPr>
          <w:rFonts w:hint="eastAsia" w:hAnsi="宋体" w:cs="宋体"/>
          <w:color w:val="auto"/>
          <w:sz w:val="24"/>
          <w:szCs w:val="24"/>
        </w:rPr>
        <w:t>九</w:t>
      </w:r>
      <w:r>
        <w:rPr>
          <w:rFonts w:hint="eastAsia" w:ascii="宋体" w:hAnsi="宋体" w:eastAsia="宋体" w:cs="宋体"/>
          <w:color w:val="auto"/>
          <w:sz w:val="24"/>
          <w:szCs w:val="24"/>
        </w:rPr>
        <w:t>：</w:t>
      </w:r>
    </w:p>
    <w:p>
      <w:pPr>
        <w:widowControl/>
        <w:adjustRightInd w:val="0"/>
        <w:jc w:val="center"/>
        <w:rPr>
          <w:rFonts w:ascii="宋体" w:hAnsi="宋体" w:eastAsia="宋体"/>
          <w:b/>
          <w:color w:val="auto"/>
          <w:sz w:val="32"/>
          <w:szCs w:val="32"/>
        </w:rPr>
      </w:pPr>
      <w:r>
        <w:rPr>
          <w:rFonts w:hint="eastAsia" w:ascii="宋体" w:hAnsi="宋体" w:eastAsia="宋体"/>
          <w:b/>
          <w:color w:val="auto"/>
          <w:sz w:val="32"/>
          <w:szCs w:val="32"/>
        </w:rPr>
        <w:t>商务响应承诺函</w:t>
      </w:r>
    </w:p>
    <w:p>
      <w:pPr>
        <w:widowControl/>
        <w:adjustRightInd w:val="0"/>
        <w:rPr>
          <w:b/>
          <w:color w:val="auto"/>
          <w:kern w:val="0"/>
          <w:sz w:val="24"/>
        </w:rPr>
      </w:pPr>
    </w:p>
    <w:p>
      <w:pPr>
        <w:pStyle w:val="12"/>
        <w:spacing w:before="60" w:after="60" w:line="500" w:lineRule="exact"/>
        <w:rPr>
          <w:rFonts w:hAnsi="宋体" w:cs="宋体"/>
          <w:b/>
          <w:bCs/>
          <w:color w:val="auto"/>
          <w:sz w:val="24"/>
          <w:u w:val="single"/>
        </w:rPr>
      </w:pPr>
      <w:r>
        <w:rPr>
          <w:rFonts w:hint="eastAsia" w:hAnsi="宋体" w:eastAsia="宋体"/>
          <w:color w:val="auto"/>
          <w:sz w:val="24"/>
          <w:szCs w:val="24"/>
          <w:u w:val="single"/>
        </w:rPr>
        <w:t>仙居县人民医院、浙江广通工程咨询有限公司</w:t>
      </w:r>
      <w:r>
        <w:rPr>
          <w:rFonts w:hint="eastAsia" w:hAnsi="宋体" w:cs="宋体"/>
          <w:color w:val="auto"/>
          <w:sz w:val="24"/>
          <w:u w:val="single"/>
        </w:rPr>
        <w:t>：</w:t>
      </w:r>
    </w:p>
    <w:p>
      <w:pPr>
        <w:pStyle w:val="12"/>
        <w:spacing w:before="60" w:after="60" w:line="500" w:lineRule="exact"/>
        <w:ind w:firstLine="480" w:firstLineChars="200"/>
        <w:rPr>
          <w:rFonts w:hAnsi="宋体" w:eastAsia="宋体" w:cs="宋体"/>
          <w:color w:val="auto"/>
          <w:sz w:val="24"/>
        </w:rPr>
      </w:pPr>
      <w:r>
        <w:rPr>
          <w:rFonts w:hint="eastAsia" w:hAnsi="宋体" w:cs="宋体"/>
          <w:color w:val="auto"/>
          <w:sz w:val="24"/>
        </w:rPr>
        <w:t>我方参与的</w:t>
      </w:r>
      <w:r>
        <w:rPr>
          <w:rFonts w:hint="eastAsia" w:hAnsi="宋体" w:cs="宋体"/>
          <w:color w:val="auto"/>
          <w:sz w:val="24"/>
          <w:u w:val="single"/>
        </w:rPr>
        <w:t xml:space="preserve"> </w:t>
      </w:r>
      <w:r>
        <w:rPr>
          <w:rFonts w:hint="eastAsia" w:hAnsi="宋体" w:eastAsia="宋体" w:cs="宋体"/>
          <w:color w:val="auto"/>
          <w:sz w:val="24"/>
          <w:u w:val="single"/>
          <w:lang w:eastAsia="zh-CN"/>
        </w:rPr>
        <w:t>仙居县人民医院病理科改造项目（重新招标）</w:t>
      </w:r>
      <w:r>
        <w:rPr>
          <w:rFonts w:hint="eastAsia" w:hAnsi="宋体" w:cs="宋体"/>
          <w:color w:val="auto"/>
          <w:sz w:val="24"/>
          <w:u w:val="single"/>
        </w:rPr>
        <w:t>[项目编号：</w:t>
      </w:r>
      <w:r>
        <w:rPr>
          <w:rFonts w:hint="eastAsia" w:hAnsi="宋体" w:eastAsia="宋体" w:cs="宋体"/>
          <w:color w:val="auto"/>
          <w:sz w:val="24"/>
          <w:u w:val="single"/>
          <w:lang w:eastAsia="zh-CN"/>
        </w:rPr>
        <w:t>GTXJ（采购）-22001-1</w:t>
      </w:r>
      <w:r>
        <w:rPr>
          <w:rFonts w:hint="eastAsia" w:hAnsi="宋体" w:cs="宋体"/>
          <w:color w:val="auto"/>
          <w:sz w:val="24"/>
          <w:u w:val="single"/>
        </w:rPr>
        <w:t xml:space="preserve">] </w:t>
      </w:r>
      <w:r>
        <w:rPr>
          <w:rFonts w:hint="eastAsia" w:hAnsi="宋体" w:cs="宋体"/>
          <w:color w:val="auto"/>
          <w:sz w:val="24"/>
        </w:rPr>
        <w:t xml:space="preserve"> 的磋商活动，我方郑重承诺，我方承诺</w:t>
      </w:r>
      <w:r>
        <w:rPr>
          <w:rFonts w:hint="eastAsia" w:hAnsi="宋体" w:eastAsia="宋体" w:cs="宋体"/>
          <w:color w:val="auto"/>
          <w:sz w:val="24"/>
        </w:rPr>
        <w:t>对磋商文件中的商务要求完全响应。</w:t>
      </w:r>
    </w:p>
    <w:p>
      <w:pPr>
        <w:widowControl/>
        <w:adjustRightInd w:val="0"/>
        <w:ind w:firstLine="480" w:firstLineChars="200"/>
        <w:rPr>
          <w:rFonts w:hAnsi="宋体" w:cs="宋体"/>
          <w:color w:val="auto"/>
          <w:sz w:val="24"/>
        </w:rPr>
      </w:pPr>
      <w:r>
        <w:rPr>
          <w:rFonts w:hint="eastAsia" w:hAnsi="宋体" w:cs="宋体"/>
          <w:color w:val="auto"/>
          <w:sz w:val="24"/>
        </w:rPr>
        <w:t>如本公司对以上条款提供虚假承诺，愿承担一切法律责任。</w:t>
      </w:r>
    </w:p>
    <w:p>
      <w:pPr>
        <w:adjustRightInd w:val="0"/>
        <w:snapToGrid w:val="0"/>
        <w:spacing w:line="360" w:lineRule="auto"/>
        <w:ind w:firstLine="4095" w:firstLineChars="1950"/>
        <w:rPr>
          <w:rFonts w:ascii="宋体" w:hAnsi="宋体" w:eastAsia="宋体" w:cs="宋体"/>
          <w:color w:val="auto"/>
          <w:kern w:val="0"/>
          <w:sz w:val="21"/>
          <w:szCs w:val="21"/>
          <w:lang w:val="zh-CN"/>
        </w:rPr>
      </w:pPr>
    </w:p>
    <w:p>
      <w:pPr>
        <w:adjustRightInd w:val="0"/>
        <w:snapToGrid w:val="0"/>
        <w:spacing w:line="360" w:lineRule="auto"/>
        <w:ind w:firstLine="4095" w:firstLineChars="1950"/>
        <w:rPr>
          <w:rFonts w:ascii="宋体" w:hAnsi="宋体" w:eastAsia="宋体" w:cs="宋体"/>
          <w:color w:val="auto"/>
          <w:kern w:val="0"/>
          <w:sz w:val="21"/>
          <w:szCs w:val="21"/>
          <w:lang w:val="zh-CN"/>
        </w:rPr>
      </w:pPr>
      <w:r>
        <w:rPr>
          <w:rFonts w:hint="eastAsia" w:ascii="宋体" w:hAnsi="宋体" w:eastAsia="宋体" w:cs="宋体"/>
          <w:color w:val="auto"/>
          <w:kern w:val="0"/>
          <w:sz w:val="21"/>
          <w:szCs w:val="21"/>
          <w:lang w:val="zh-CN"/>
        </w:rPr>
        <w:t>磋商供应商(公章)：</w:t>
      </w:r>
    </w:p>
    <w:p>
      <w:pPr>
        <w:pStyle w:val="32"/>
        <w:rPr>
          <w:color w:val="auto"/>
          <w:lang w:val="zh-CN"/>
        </w:rPr>
      </w:pPr>
    </w:p>
    <w:p>
      <w:pPr>
        <w:adjustRightInd w:val="0"/>
        <w:snapToGrid w:val="0"/>
        <w:spacing w:line="360" w:lineRule="auto"/>
        <w:rPr>
          <w:rFonts w:ascii="宋体" w:hAnsi="宋体" w:eastAsia="宋体" w:cs="宋体"/>
          <w:color w:val="auto"/>
          <w:kern w:val="0"/>
          <w:sz w:val="21"/>
          <w:szCs w:val="21"/>
          <w:lang w:val="zh-CN"/>
        </w:rPr>
      </w:pPr>
      <w:r>
        <w:rPr>
          <w:rFonts w:hint="eastAsia" w:ascii="宋体" w:hAnsi="宋体" w:eastAsia="宋体" w:cs="宋体"/>
          <w:color w:val="auto"/>
          <w:kern w:val="0"/>
          <w:sz w:val="21"/>
          <w:szCs w:val="21"/>
          <w:lang w:val="zh-CN"/>
        </w:rPr>
        <w:t xml:space="preserve">                                 法定代表人或授权委托人(签字</w:t>
      </w:r>
      <w:r>
        <w:rPr>
          <w:rFonts w:hint="eastAsia" w:ascii="宋体" w:hAnsi="宋体" w:eastAsia="宋体" w:cs="宋体"/>
          <w:color w:val="auto"/>
          <w:kern w:val="0"/>
          <w:sz w:val="21"/>
          <w:szCs w:val="21"/>
        </w:rPr>
        <w:t>或盖章</w:t>
      </w:r>
      <w:r>
        <w:rPr>
          <w:rFonts w:hint="eastAsia" w:ascii="宋体" w:hAnsi="宋体" w:eastAsia="宋体" w:cs="宋体"/>
          <w:color w:val="auto"/>
          <w:kern w:val="0"/>
          <w:sz w:val="21"/>
          <w:szCs w:val="21"/>
          <w:lang w:val="zh-CN"/>
        </w:rPr>
        <w:t>)：</w:t>
      </w:r>
    </w:p>
    <w:p>
      <w:pPr>
        <w:pStyle w:val="12"/>
        <w:adjustRightInd w:val="0"/>
        <w:snapToGrid w:val="0"/>
        <w:spacing w:before="120" w:after="120" w:line="360" w:lineRule="auto"/>
        <w:jc w:val="center"/>
        <w:rPr>
          <w:rFonts w:hAnsi="宋体" w:eastAsia="宋体" w:cs="宋体"/>
          <w:color w:val="auto"/>
          <w:kern w:val="0"/>
          <w:szCs w:val="21"/>
          <w:lang w:val="zh-CN"/>
        </w:rPr>
      </w:pPr>
      <w:r>
        <w:rPr>
          <w:rFonts w:hint="eastAsia" w:hAnsi="宋体" w:eastAsia="宋体" w:cs="宋体"/>
          <w:color w:val="auto"/>
          <w:kern w:val="0"/>
          <w:szCs w:val="21"/>
          <w:lang w:val="zh-CN"/>
        </w:rPr>
        <w:t xml:space="preserve">                                  日期：</w:t>
      </w:r>
      <w:r>
        <w:rPr>
          <w:rFonts w:hint="eastAsia" w:hAnsi="宋体" w:eastAsia="宋体" w:cs="宋体"/>
          <w:color w:val="auto"/>
          <w:kern w:val="0"/>
          <w:szCs w:val="21"/>
        </w:rPr>
        <w:t xml:space="preserve">       </w:t>
      </w:r>
      <w:r>
        <w:rPr>
          <w:rFonts w:hint="eastAsia" w:hAnsi="宋体" w:eastAsia="宋体" w:cs="宋体"/>
          <w:color w:val="auto"/>
          <w:kern w:val="0"/>
          <w:szCs w:val="21"/>
          <w:lang w:val="zh-CN"/>
        </w:rPr>
        <w:t>年  月   日</w:t>
      </w:r>
    </w:p>
    <w:p>
      <w:pPr>
        <w:pStyle w:val="12"/>
        <w:spacing w:line="560" w:lineRule="exact"/>
        <w:rPr>
          <w:rFonts w:hAnsi="宋体" w:eastAsia="宋体" w:cs="宋体"/>
          <w:color w:val="auto"/>
          <w:szCs w:val="21"/>
          <w:lang w:val="zh-CN"/>
        </w:rPr>
      </w:pPr>
    </w:p>
    <w:p>
      <w:pPr>
        <w:spacing w:line="450" w:lineRule="atLeast"/>
        <w:rPr>
          <w:rFonts w:ascii="宋体" w:hAnsi="宋体" w:eastAsia="宋体" w:cs="宋体"/>
          <w:b/>
          <w:color w:val="auto"/>
          <w:sz w:val="21"/>
          <w:szCs w:val="21"/>
        </w:rPr>
      </w:pPr>
      <w:r>
        <w:rPr>
          <w:rFonts w:hint="eastAsia" w:ascii="宋体" w:hAnsi="宋体" w:eastAsia="宋体" w:cs="宋体"/>
          <w:color w:val="auto"/>
          <w:sz w:val="21"/>
          <w:szCs w:val="21"/>
          <w:lang w:val="zh-CN"/>
        </w:rPr>
        <w:t xml:space="preserve">                                                   </w:t>
      </w:r>
      <w:r>
        <w:rPr>
          <w:rFonts w:hint="eastAsia" w:ascii="宋体" w:hAnsi="宋体" w:eastAsia="宋体" w:cs="宋体"/>
          <w:color w:val="auto"/>
          <w:sz w:val="21"/>
          <w:szCs w:val="21"/>
        </w:rPr>
        <w:t xml:space="preserve">      </w:t>
      </w:r>
    </w:p>
    <w:p>
      <w:pPr>
        <w:pStyle w:val="39"/>
        <w:spacing w:line="360" w:lineRule="auto"/>
        <w:rPr>
          <w:rFonts w:ascii="宋体" w:hAnsi="宋体" w:cs="宋体"/>
          <w:b/>
          <w:bCs/>
          <w:color w:val="auto"/>
          <w:sz w:val="24"/>
        </w:rPr>
      </w:pPr>
    </w:p>
    <w:p>
      <w:pPr>
        <w:pStyle w:val="39"/>
        <w:spacing w:line="360" w:lineRule="auto"/>
        <w:rPr>
          <w:rFonts w:ascii="宋体" w:hAnsi="宋体" w:cs="宋体"/>
          <w:b/>
          <w:bCs/>
          <w:color w:val="auto"/>
          <w:sz w:val="24"/>
        </w:rPr>
      </w:pPr>
    </w:p>
    <w:p>
      <w:pPr>
        <w:pStyle w:val="39"/>
        <w:spacing w:line="360" w:lineRule="auto"/>
        <w:rPr>
          <w:rFonts w:ascii="宋体" w:hAnsi="宋体" w:cs="宋体"/>
          <w:b/>
          <w:bCs/>
          <w:color w:val="auto"/>
          <w:sz w:val="24"/>
        </w:rPr>
      </w:pPr>
    </w:p>
    <w:p>
      <w:pPr>
        <w:pStyle w:val="39"/>
        <w:spacing w:line="360" w:lineRule="auto"/>
        <w:rPr>
          <w:rFonts w:ascii="宋体" w:hAnsi="宋体" w:cs="宋体"/>
          <w:b/>
          <w:bCs/>
          <w:color w:val="auto"/>
          <w:sz w:val="24"/>
        </w:rPr>
      </w:pPr>
    </w:p>
    <w:p>
      <w:pPr>
        <w:pStyle w:val="39"/>
        <w:spacing w:line="360" w:lineRule="auto"/>
        <w:rPr>
          <w:rFonts w:ascii="宋体" w:hAnsi="宋体" w:cs="宋体"/>
          <w:b/>
          <w:bCs/>
          <w:color w:val="auto"/>
          <w:sz w:val="24"/>
        </w:rPr>
      </w:pPr>
    </w:p>
    <w:p>
      <w:pPr>
        <w:pStyle w:val="39"/>
        <w:spacing w:line="360" w:lineRule="auto"/>
        <w:rPr>
          <w:rFonts w:ascii="宋体" w:hAnsi="宋体" w:cs="宋体"/>
          <w:b/>
          <w:bCs/>
          <w:color w:val="auto"/>
          <w:sz w:val="24"/>
        </w:rPr>
      </w:pPr>
    </w:p>
    <w:p>
      <w:pPr>
        <w:pStyle w:val="39"/>
        <w:spacing w:line="360" w:lineRule="auto"/>
        <w:rPr>
          <w:rFonts w:ascii="宋体" w:hAnsi="宋体" w:cs="宋体"/>
          <w:b/>
          <w:bCs/>
          <w:color w:val="auto"/>
          <w:sz w:val="24"/>
        </w:rPr>
      </w:pPr>
    </w:p>
    <w:p>
      <w:pPr>
        <w:pStyle w:val="39"/>
        <w:spacing w:line="360" w:lineRule="auto"/>
        <w:rPr>
          <w:rFonts w:ascii="宋体" w:hAnsi="宋体" w:cs="宋体"/>
          <w:b/>
          <w:bCs/>
          <w:color w:val="auto"/>
          <w:sz w:val="24"/>
        </w:rPr>
      </w:pPr>
    </w:p>
    <w:p>
      <w:pPr>
        <w:pStyle w:val="39"/>
        <w:spacing w:line="360" w:lineRule="auto"/>
        <w:rPr>
          <w:rFonts w:ascii="宋体" w:hAnsi="宋体" w:cs="宋体"/>
          <w:b/>
          <w:bCs/>
          <w:color w:val="auto"/>
          <w:sz w:val="24"/>
        </w:rPr>
      </w:pPr>
    </w:p>
    <w:p>
      <w:pPr>
        <w:pStyle w:val="39"/>
        <w:spacing w:line="360" w:lineRule="auto"/>
        <w:rPr>
          <w:rFonts w:ascii="宋体" w:hAnsi="宋体" w:cs="宋体"/>
          <w:b/>
          <w:bCs/>
          <w:color w:val="auto"/>
          <w:sz w:val="24"/>
        </w:rPr>
      </w:pPr>
    </w:p>
    <w:p>
      <w:pPr>
        <w:pStyle w:val="39"/>
        <w:spacing w:line="360" w:lineRule="auto"/>
        <w:rPr>
          <w:rFonts w:ascii="宋体" w:hAnsi="宋体" w:cs="宋体"/>
          <w:b/>
          <w:bCs/>
          <w:color w:val="auto"/>
          <w:sz w:val="24"/>
        </w:rPr>
      </w:pPr>
    </w:p>
    <w:p>
      <w:pPr>
        <w:pStyle w:val="39"/>
        <w:spacing w:line="360" w:lineRule="auto"/>
        <w:rPr>
          <w:rFonts w:ascii="宋体" w:hAnsi="宋体" w:cs="宋体"/>
          <w:b/>
          <w:bCs/>
          <w:color w:val="auto"/>
          <w:sz w:val="24"/>
        </w:rPr>
      </w:pPr>
    </w:p>
    <w:p>
      <w:pPr>
        <w:pStyle w:val="39"/>
        <w:spacing w:line="360" w:lineRule="auto"/>
        <w:rPr>
          <w:rFonts w:ascii="宋体" w:hAnsi="宋体" w:cs="宋体"/>
          <w:b/>
          <w:bCs/>
          <w:color w:val="auto"/>
          <w:sz w:val="24"/>
        </w:rPr>
      </w:pPr>
    </w:p>
    <w:p>
      <w:pPr>
        <w:pStyle w:val="39"/>
        <w:spacing w:line="360" w:lineRule="auto"/>
        <w:rPr>
          <w:rFonts w:ascii="宋体" w:hAnsi="宋体" w:cs="宋体"/>
          <w:b/>
          <w:bCs/>
          <w:color w:val="auto"/>
          <w:sz w:val="24"/>
        </w:rPr>
      </w:pPr>
    </w:p>
    <w:p>
      <w:pPr>
        <w:pStyle w:val="39"/>
        <w:spacing w:line="360" w:lineRule="auto"/>
        <w:rPr>
          <w:rFonts w:ascii="宋体" w:hAnsi="宋体" w:cs="宋体"/>
          <w:b/>
          <w:bCs/>
          <w:color w:val="auto"/>
          <w:sz w:val="24"/>
        </w:rPr>
      </w:pPr>
    </w:p>
    <w:p>
      <w:pPr>
        <w:pStyle w:val="39"/>
        <w:spacing w:line="360" w:lineRule="auto"/>
        <w:rPr>
          <w:rFonts w:ascii="宋体" w:hAnsi="宋体" w:cs="宋体"/>
          <w:b/>
          <w:bCs/>
          <w:color w:val="auto"/>
          <w:sz w:val="24"/>
        </w:rPr>
      </w:pPr>
    </w:p>
    <w:p>
      <w:pPr>
        <w:pStyle w:val="4"/>
        <w:spacing w:before="0" w:after="0" w:line="360" w:lineRule="auto"/>
        <w:rPr>
          <w:rFonts w:eastAsia="宋体"/>
          <w:color w:val="auto"/>
          <w:kern w:val="0"/>
          <w:sz w:val="24"/>
        </w:rPr>
      </w:pPr>
      <w:r>
        <w:rPr>
          <w:rFonts w:hint="eastAsia" w:ascii="宋体" w:hAnsi="宋体" w:eastAsia="宋体" w:cs="宋体"/>
          <w:color w:val="auto"/>
          <w:sz w:val="24"/>
          <w:szCs w:val="24"/>
        </w:rPr>
        <w:t>附件十：</w:t>
      </w:r>
    </w:p>
    <w:p>
      <w:pPr>
        <w:jc w:val="center"/>
        <w:rPr>
          <w:rFonts w:ascii="宋体"/>
          <w:b/>
          <w:color w:val="auto"/>
          <w:sz w:val="24"/>
          <w:lang w:val="zh-CN"/>
        </w:rPr>
      </w:pPr>
      <w:r>
        <w:rPr>
          <w:rFonts w:hint="eastAsia" w:ascii="宋体" w:hAnsi="宋体" w:cs="宋体"/>
          <w:b/>
          <w:bCs/>
          <w:color w:val="auto"/>
          <w:kern w:val="0"/>
          <w:sz w:val="32"/>
          <w:szCs w:val="32"/>
          <w:lang w:val="zh-CN"/>
        </w:rPr>
        <w:t>技术响应表</w:t>
      </w:r>
    </w:p>
    <w:p>
      <w:pPr>
        <w:pStyle w:val="12"/>
        <w:spacing w:line="320" w:lineRule="exact"/>
        <w:rPr>
          <w:rFonts w:hAnsi="宋体"/>
          <w:b/>
          <w:color w:val="auto"/>
          <w:sz w:val="24"/>
        </w:rPr>
      </w:pPr>
    </w:p>
    <w:tbl>
      <w:tblPr>
        <w:tblStyle w:val="24"/>
        <w:tblW w:w="0" w:type="auto"/>
        <w:tblInd w:w="0" w:type="dxa"/>
        <w:tblLayout w:type="fixed"/>
        <w:tblCellMar>
          <w:top w:w="0" w:type="dxa"/>
          <w:left w:w="108" w:type="dxa"/>
          <w:bottom w:w="0" w:type="dxa"/>
          <w:right w:w="108" w:type="dxa"/>
        </w:tblCellMar>
      </w:tblPr>
      <w:tblGrid>
        <w:gridCol w:w="900"/>
        <w:gridCol w:w="888"/>
        <w:gridCol w:w="2259"/>
        <w:gridCol w:w="2571"/>
        <w:gridCol w:w="1470"/>
        <w:gridCol w:w="735"/>
      </w:tblGrid>
      <w:tr>
        <w:tblPrEx>
          <w:tblCellMar>
            <w:top w:w="0" w:type="dxa"/>
            <w:left w:w="108" w:type="dxa"/>
            <w:bottom w:w="0" w:type="dxa"/>
            <w:right w:w="108" w:type="dxa"/>
          </w:tblCellMar>
        </w:tblPrEx>
        <w:trPr>
          <w:trHeight w:val="587" w:hRule="atLeast"/>
        </w:trPr>
        <w:tc>
          <w:tcPr>
            <w:tcW w:w="900" w:type="dxa"/>
            <w:tcBorders>
              <w:top w:val="single" w:color="auto" w:sz="6" w:space="0"/>
              <w:left w:val="single" w:color="auto" w:sz="6" w:space="0"/>
              <w:bottom w:val="single" w:color="auto" w:sz="6" w:space="0"/>
              <w:right w:val="single" w:color="auto" w:sz="6" w:space="0"/>
            </w:tcBorders>
            <w:vAlign w:val="center"/>
          </w:tcPr>
          <w:p>
            <w:pPr>
              <w:pStyle w:val="12"/>
              <w:spacing w:line="400" w:lineRule="atLeast"/>
              <w:jc w:val="center"/>
              <w:rPr>
                <w:rFonts w:hAnsi="宋体"/>
                <w:color w:val="auto"/>
                <w:sz w:val="24"/>
              </w:rPr>
            </w:pPr>
            <w:r>
              <w:rPr>
                <w:rFonts w:hAnsi="宋体"/>
                <w:color w:val="auto"/>
                <w:sz w:val="24"/>
              </w:rPr>
              <w:t>序号</w:t>
            </w:r>
          </w:p>
        </w:tc>
        <w:tc>
          <w:tcPr>
            <w:tcW w:w="888" w:type="dxa"/>
            <w:tcBorders>
              <w:top w:val="single" w:color="auto" w:sz="6" w:space="0"/>
              <w:left w:val="single" w:color="auto" w:sz="6" w:space="0"/>
              <w:bottom w:val="single" w:color="auto" w:sz="6" w:space="0"/>
              <w:right w:val="single" w:color="auto" w:sz="4" w:space="0"/>
            </w:tcBorders>
            <w:vAlign w:val="center"/>
          </w:tcPr>
          <w:p>
            <w:pPr>
              <w:pStyle w:val="12"/>
              <w:spacing w:line="400" w:lineRule="atLeast"/>
              <w:jc w:val="center"/>
              <w:rPr>
                <w:rFonts w:hAnsi="宋体"/>
                <w:color w:val="auto"/>
                <w:sz w:val="24"/>
              </w:rPr>
            </w:pPr>
            <w:r>
              <w:rPr>
                <w:rFonts w:hint="eastAsia" w:hAnsi="宋体"/>
                <w:color w:val="auto"/>
                <w:sz w:val="24"/>
              </w:rPr>
              <w:t>产品名称</w:t>
            </w:r>
          </w:p>
        </w:tc>
        <w:tc>
          <w:tcPr>
            <w:tcW w:w="2259" w:type="dxa"/>
            <w:tcBorders>
              <w:top w:val="single" w:color="auto" w:sz="6" w:space="0"/>
              <w:left w:val="single" w:color="auto" w:sz="4" w:space="0"/>
              <w:bottom w:val="single" w:color="auto" w:sz="6" w:space="0"/>
              <w:right w:val="single" w:color="auto" w:sz="6" w:space="0"/>
            </w:tcBorders>
            <w:vAlign w:val="center"/>
          </w:tcPr>
          <w:p>
            <w:pPr>
              <w:pStyle w:val="12"/>
              <w:spacing w:line="400" w:lineRule="atLeast"/>
              <w:jc w:val="center"/>
              <w:rPr>
                <w:rFonts w:hAnsi="宋体"/>
                <w:color w:val="auto"/>
                <w:sz w:val="24"/>
              </w:rPr>
            </w:pPr>
            <w:r>
              <w:rPr>
                <w:rFonts w:hAnsi="宋体"/>
                <w:color w:val="auto"/>
                <w:sz w:val="24"/>
              </w:rPr>
              <w:t>招标文件要求</w:t>
            </w:r>
          </w:p>
        </w:tc>
        <w:tc>
          <w:tcPr>
            <w:tcW w:w="2571" w:type="dxa"/>
            <w:tcBorders>
              <w:top w:val="single" w:color="auto" w:sz="6" w:space="0"/>
              <w:left w:val="single" w:color="auto" w:sz="6" w:space="0"/>
              <w:bottom w:val="single" w:color="auto" w:sz="6" w:space="0"/>
              <w:right w:val="single" w:color="auto" w:sz="6" w:space="0"/>
            </w:tcBorders>
            <w:vAlign w:val="center"/>
          </w:tcPr>
          <w:p>
            <w:pPr>
              <w:pStyle w:val="12"/>
              <w:spacing w:line="400" w:lineRule="atLeast"/>
              <w:jc w:val="center"/>
              <w:rPr>
                <w:rFonts w:hAnsi="宋体"/>
                <w:color w:val="auto"/>
                <w:sz w:val="24"/>
              </w:rPr>
            </w:pPr>
            <w:r>
              <w:rPr>
                <w:rFonts w:hint="eastAsia" w:hAnsi="宋体"/>
                <w:color w:val="auto"/>
                <w:sz w:val="24"/>
              </w:rPr>
              <w:t>磋商响应文件</w:t>
            </w:r>
            <w:r>
              <w:rPr>
                <w:rFonts w:hAnsi="宋体"/>
                <w:color w:val="auto"/>
                <w:sz w:val="24"/>
              </w:rPr>
              <w:t>响应</w:t>
            </w:r>
          </w:p>
        </w:tc>
        <w:tc>
          <w:tcPr>
            <w:tcW w:w="1470" w:type="dxa"/>
            <w:tcBorders>
              <w:top w:val="single" w:color="auto" w:sz="6" w:space="0"/>
              <w:left w:val="single" w:color="auto" w:sz="6" w:space="0"/>
              <w:bottom w:val="single" w:color="auto" w:sz="6" w:space="0"/>
              <w:right w:val="single" w:color="auto" w:sz="4" w:space="0"/>
            </w:tcBorders>
            <w:vAlign w:val="center"/>
          </w:tcPr>
          <w:p>
            <w:pPr>
              <w:pStyle w:val="12"/>
              <w:spacing w:line="400" w:lineRule="atLeast"/>
              <w:jc w:val="center"/>
              <w:rPr>
                <w:rFonts w:hAnsi="宋体"/>
                <w:color w:val="auto"/>
                <w:sz w:val="24"/>
              </w:rPr>
            </w:pPr>
            <w:r>
              <w:rPr>
                <w:rFonts w:hint="eastAsia" w:hAnsi="宋体"/>
                <w:color w:val="auto"/>
                <w:sz w:val="24"/>
              </w:rPr>
              <w:t>对应页码</w:t>
            </w:r>
          </w:p>
        </w:tc>
        <w:tc>
          <w:tcPr>
            <w:tcW w:w="735" w:type="dxa"/>
            <w:tcBorders>
              <w:top w:val="single" w:color="auto" w:sz="6" w:space="0"/>
              <w:left w:val="single" w:color="auto" w:sz="4" w:space="0"/>
              <w:bottom w:val="single" w:color="auto" w:sz="6" w:space="0"/>
              <w:right w:val="single" w:color="auto" w:sz="6" w:space="0"/>
            </w:tcBorders>
            <w:vAlign w:val="center"/>
          </w:tcPr>
          <w:p>
            <w:pPr>
              <w:pStyle w:val="12"/>
              <w:spacing w:line="400" w:lineRule="atLeast"/>
              <w:jc w:val="center"/>
              <w:rPr>
                <w:rFonts w:hAnsi="宋体"/>
                <w:color w:val="auto"/>
                <w:sz w:val="24"/>
              </w:rPr>
            </w:pPr>
            <w:r>
              <w:rPr>
                <w:rFonts w:hAnsi="宋体"/>
                <w:color w:val="auto"/>
                <w:sz w:val="24"/>
              </w:rPr>
              <w:t>偏离情况</w:t>
            </w:r>
          </w:p>
        </w:tc>
      </w:tr>
      <w:tr>
        <w:tblPrEx>
          <w:tblCellMar>
            <w:top w:w="0" w:type="dxa"/>
            <w:left w:w="108" w:type="dxa"/>
            <w:bottom w:w="0" w:type="dxa"/>
            <w:right w:w="108" w:type="dxa"/>
          </w:tblCellMar>
        </w:tblPrEx>
        <w:trPr>
          <w:trHeight w:val="549" w:hRule="atLeast"/>
        </w:trPr>
        <w:tc>
          <w:tcPr>
            <w:tcW w:w="900" w:type="dxa"/>
            <w:tcBorders>
              <w:top w:val="single" w:color="auto" w:sz="6" w:space="0"/>
              <w:left w:val="single" w:color="auto" w:sz="6" w:space="0"/>
              <w:bottom w:val="single" w:color="auto" w:sz="6" w:space="0"/>
              <w:right w:val="single" w:color="auto" w:sz="6" w:space="0"/>
            </w:tcBorders>
          </w:tcPr>
          <w:p>
            <w:pPr>
              <w:pStyle w:val="12"/>
              <w:spacing w:line="400" w:lineRule="atLeast"/>
              <w:rPr>
                <w:rFonts w:hAnsi="宋体"/>
                <w:color w:val="auto"/>
                <w:sz w:val="24"/>
              </w:rPr>
            </w:pPr>
          </w:p>
        </w:tc>
        <w:tc>
          <w:tcPr>
            <w:tcW w:w="888" w:type="dxa"/>
            <w:tcBorders>
              <w:top w:val="single" w:color="auto" w:sz="6" w:space="0"/>
              <w:left w:val="single" w:color="auto" w:sz="6" w:space="0"/>
              <w:bottom w:val="single" w:color="auto" w:sz="6" w:space="0"/>
              <w:right w:val="single" w:color="auto" w:sz="4" w:space="0"/>
            </w:tcBorders>
            <w:vAlign w:val="center"/>
          </w:tcPr>
          <w:p>
            <w:pPr>
              <w:pStyle w:val="12"/>
              <w:spacing w:line="400" w:lineRule="atLeast"/>
              <w:jc w:val="center"/>
              <w:rPr>
                <w:rFonts w:hAnsi="宋体"/>
                <w:color w:val="auto"/>
                <w:sz w:val="24"/>
              </w:rPr>
            </w:pPr>
          </w:p>
        </w:tc>
        <w:tc>
          <w:tcPr>
            <w:tcW w:w="2259" w:type="dxa"/>
            <w:tcBorders>
              <w:top w:val="single" w:color="auto" w:sz="6" w:space="0"/>
              <w:left w:val="single" w:color="auto" w:sz="4" w:space="0"/>
              <w:bottom w:val="single" w:color="auto" w:sz="6" w:space="0"/>
              <w:right w:val="single" w:color="auto" w:sz="6" w:space="0"/>
            </w:tcBorders>
            <w:vAlign w:val="center"/>
          </w:tcPr>
          <w:p>
            <w:pPr>
              <w:pStyle w:val="12"/>
              <w:spacing w:line="400" w:lineRule="atLeast"/>
              <w:jc w:val="center"/>
              <w:rPr>
                <w:rFonts w:hAnsi="宋体"/>
                <w:color w:val="auto"/>
                <w:sz w:val="24"/>
              </w:rPr>
            </w:pPr>
          </w:p>
        </w:tc>
        <w:tc>
          <w:tcPr>
            <w:tcW w:w="2571" w:type="dxa"/>
            <w:tcBorders>
              <w:top w:val="single" w:color="auto" w:sz="6" w:space="0"/>
              <w:left w:val="single" w:color="auto" w:sz="6" w:space="0"/>
              <w:bottom w:val="single" w:color="auto" w:sz="6" w:space="0"/>
              <w:right w:val="single" w:color="auto" w:sz="6" w:space="0"/>
            </w:tcBorders>
          </w:tcPr>
          <w:p>
            <w:pPr>
              <w:pStyle w:val="12"/>
              <w:spacing w:line="400" w:lineRule="atLeast"/>
              <w:jc w:val="center"/>
              <w:rPr>
                <w:rFonts w:hAnsi="宋体"/>
                <w:color w:val="auto"/>
                <w:sz w:val="24"/>
              </w:rPr>
            </w:pPr>
          </w:p>
        </w:tc>
        <w:tc>
          <w:tcPr>
            <w:tcW w:w="1470" w:type="dxa"/>
            <w:tcBorders>
              <w:top w:val="single" w:color="auto" w:sz="6" w:space="0"/>
              <w:left w:val="single" w:color="auto" w:sz="6" w:space="0"/>
              <w:bottom w:val="single" w:color="auto" w:sz="6" w:space="0"/>
              <w:right w:val="single" w:color="auto" w:sz="4" w:space="0"/>
            </w:tcBorders>
          </w:tcPr>
          <w:p>
            <w:pPr>
              <w:pStyle w:val="12"/>
              <w:spacing w:line="400" w:lineRule="atLeast"/>
              <w:jc w:val="center"/>
              <w:rPr>
                <w:rFonts w:hAnsi="宋体"/>
                <w:color w:val="auto"/>
                <w:sz w:val="24"/>
              </w:rPr>
            </w:pPr>
          </w:p>
        </w:tc>
        <w:tc>
          <w:tcPr>
            <w:tcW w:w="735" w:type="dxa"/>
            <w:tcBorders>
              <w:top w:val="single" w:color="auto" w:sz="6" w:space="0"/>
              <w:left w:val="single" w:color="auto" w:sz="4" w:space="0"/>
              <w:bottom w:val="single" w:color="auto" w:sz="6" w:space="0"/>
              <w:right w:val="single" w:color="auto" w:sz="6" w:space="0"/>
            </w:tcBorders>
          </w:tcPr>
          <w:p>
            <w:pPr>
              <w:pStyle w:val="12"/>
              <w:spacing w:line="400" w:lineRule="atLeast"/>
              <w:jc w:val="center"/>
              <w:rPr>
                <w:rFonts w:hAnsi="宋体"/>
                <w:color w:val="auto"/>
                <w:sz w:val="24"/>
              </w:rPr>
            </w:pPr>
          </w:p>
        </w:tc>
      </w:tr>
      <w:tr>
        <w:tblPrEx>
          <w:tblCellMar>
            <w:top w:w="0" w:type="dxa"/>
            <w:left w:w="108" w:type="dxa"/>
            <w:bottom w:w="0" w:type="dxa"/>
            <w:right w:w="108" w:type="dxa"/>
          </w:tblCellMar>
        </w:tblPrEx>
        <w:trPr>
          <w:trHeight w:val="599" w:hRule="atLeast"/>
        </w:trPr>
        <w:tc>
          <w:tcPr>
            <w:tcW w:w="900" w:type="dxa"/>
            <w:tcBorders>
              <w:top w:val="single" w:color="auto" w:sz="6" w:space="0"/>
              <w:left w:val="single" w:color="auto" w:sz="6" w:space="0"/>
              <w:bottom w:val="single" w:color="auto" w:sz="6" w:space="0"/>
              <w:right w:val="single" w:color="auto" w:sz="6" w:space="0"/>
            </w:tcBorders>
          </w:tcPr>
          <w:p>
            <w:pPr>
              <w:pStyle w:val="12"/>
              <w:spacing w:line="400" w:lineRule="atLeast"/>
              <w:rPr>
                <w:rFonts w:hAnsi="宋体"/>
                <w:color w:val="auto"/>
                <w:sz w:val="24"/>
              </w:rPr>
            </w:pPr>
          </w:p>
        </w:tc>
        <w:tc>
          <w:tcPr>
            <w:tcW w:w="888" w:type="dxa"/>
            <w:tcBorders>
              <w:top w:val="single" w:color="auto" w:sz="6" w:space="0"/>
              <w:left w:val="single" w:color="auto" w:sz="6" w:space="0"/>
              <w:bottom w:val="single" w:color="auto" w:sz="6" w:space="0"/>
              <w:right w:val="single" w:color="auto" w:sz="4" w:space="0"/>
            </w:tcBorders>
            <w:vAlign w:val="center"/>
          </w:tcPr>
          <w:p>
            <w:pPr>
              <w:pStyle w:val="12"/>
              <w:spacing w:line="400" w:lineRule="atLeast"/>
              <w:jc w:val="center"/>
              <w:rPr>
                <w:rFonts w:hAnsi="宋体"/>
                <w:color w:val="auto"/>
                <w:sz w:val="24"/>
              </w:rPr>
            </w:pPr>
          </w:p>
        </w:tc>
        <w:tc>
          <w:tcPr>
            <w:tcW w:w="2259" w:type="dxa"/>
            <w:tcBorders>
              <w:top w:val="single" w:color="auto" w:sz="6" w:space="0"/>
              <w:left w:val="single" w:color="auto" w:sz="4" w:space="0"/>
              <w:bottom w:val="single" w:color="auto" w:sz="6" w:space="0"/>
              <w:right w:val="single" w:color="auto" w:sz="6" w:space="0"/>
            </w:tcBorders>
            <w:vAlign w:val="center"/>
          </w:tcPr>
          <w:p>
            <w:pPr>
              <w:pStyle w:val="12"/>
              <w:spacing w:line="400" w:lineRule="atLeast"/>
              <w:jc w:val="center"/>
              <w:rPr>
                <w:rFonts w:hAnsi="宋体"/>
                <w:color w:val="auto"/>
                <w:sz w:val="24"/>
              </w:rPr>
            </w:pPr>
          </w:p>
        </w:tc>
        <w:tc>
          <w:tcPr>
            <w:tcW w:w="2571" w:type="dxa"/>
            <w:tcBorders>
              <w:top w:val="single" w:color="auto" w:sz="6" w:space="0"/>
              <w:left w:val="single" w:color="auto" w:sz="6" w:space="0"/>
              <w:bottom w:val="single" w:color="auto" w:sz="6" w:space="0"/>
              <w:right w:val="single" w:color="auto" w:sz="6" w:space="0"/>
            </w:tcBorders>
          </w:tcPr>
          <w:p>
            <w:pPr>
              <w:pStyle w:val="12"/>
              <w:spacing w:line="400" w:lineRule="atLeast"/>
              <w:rPr>
                <w:rFonts w:hAnsi="宋体"/>
                <w:color w:val="auto"/>
                <w:sz w:val="24"/>
              </w:rPr>
            </w:pPr>
          </w:p>
        </w:tc>
        <w:tc>
          <w:tcPr>
            <w:tcW w:w="1470" w:type="dxa"/>
            <w:tcBorders>
              <w:top w:val="single" w:color="auto" w:sz="6" w:space="0"/>
              <w:left w:val="single" w:color="auto" w:sz="6" w:space="0"/>
              <w:bottom w:val="single" w:color="auto" w:sz="6" w:space="0"/>
              <w:right w:val="single" w:color="auto" w:sz="4" w:space="0"/>
            </w:tcBorders>
          </w:tcPr>
          <w:p>
            <w:pPr>
              <w:pStyle w:val="12"/>
              <w:spacing w:line="400" w:lineRule="atLeast"/>
              <w:rPr>
                <w:rFonts w:hAnsi="宋体"/>
                <w:color w:val="auto"/>
                <w:sz w:val="24"/>
              </w:rPr>
            </w:pPr>
          </w:p>
        </w:tc>
        <w:tc>
          <w:tcPr>
            <w:tcW w:w="735" w:type="dxa"/>
            <w:tcBorders>
              <w:top w:val="single" w:color="auto" w:sz="6" w:space="0"/>
              <w:left w:val="single" w:color="auto" w:sz="4" w:space="0"/>
              <w:bottom w:val="single" w:color="auto" w:sz="6" w:space="0"/>
              <w:right w:val="single" w:color="auto" w:sz="6" w:space="0"/>
            </w:tcBorders>
          </w:tcPr>
          <w:p>
            <w:pPr>
              <w:pStyle w:val="12"/>
              <w:spacing w:line="400" w:lineRule="atLeast"/>
              <w:rPr>
                <w:rFonts w:hAnsi="宋体"/>
                <w:color w:val="auto"/>
                <w:sz w:val="24"/>
              </w:rPr>
            </w:pPr>
          </w:p>
        </w:tc>
      </w:tr>
      <w:tr>
        <w:tblPrEx>
          <w:tblCellMar>
            <w:top w:w="0" w:type="dxa"/>
            <w:left w:w="108" w:type="dxa"/>
            <w:bottom w:w="0" w:type="dxa"/>
            <w:right w:w="108" w:type="dxa"/>
          </w:tblCellMar>
        </w:tblPrEx>
        <w:trPr>
          <w:trHeight w:val="599" w:hRule="atLeast"/>
        </w:trPr>
        <w:tc>
          <w:tcPr>
            <w:tcW w:w="900" w:type="dxa"/>
            <w:tcBorders>
              <w:top w:val="single" w:color="auto" w:sz="6" w:space="0"/>
              <w:left w:val="single" w:color="auto" w:sz="6" w:space="0"/>
              <w:bottom w:val="single" w:color="auto" w:sz="6" w:space="0"/>
              <w:right w:val="single" w:color="auto" w:sz="6" w:space="0"/>
            </w:tcBorders>
          </w:tcPr>
          <w:p>
            <w:pPr>
              <w:pStyle w:val="12"/>
              <w:spacing w:line="400" w:lineRule="atLeast"/>
              <w:rPr>
                <w:rFonts w:hAnsi="宋体"/>
                <w:color w:val="auto"/>
                <w:sz w:val="24"/>
              </w:rPr>
            </w:pPr>
          </w:p>
        </w:tc>
        <w:tc>
          <w:tcPr>
            <w:tcW w:w="888" w:type="dxa"/>
            <w:tcBorders>
              <w:top w:val="single" w:color="auto" w:sz="6" w:space="0"/>
              <w:left w:val="single" w:color="auto" w:sz="6" w:space="0"/>
              <w:bottom w:val="single" w:color="auto" w:sz="6" w:space="0"/>
              <w:right w:val="single" w:color="auto" w:sz="4" w:space="0"/>
            </w:tcBorders>
            <w:vAlign w:val="center"/>
          </w:tcPr>
          <w:p>
            <w:pPr>
              <w:pStyle w:val="12"/>
              <w:spacing w:line="400" w:lineRule="atLeast"/>
              <w:jc w:val="center"/>
              <w:rPr>
                <w:rFonts w:hAnsi="宋体"/>
                <w:color w:val="auto"/>
                <w:sz w:val="24"/>
              </w:rPr>
            </w:pPr>
          </w:p>
        </w:tc>
        <w:tc>
          <w:tcPr>
            <w:tcW w:w="2259" w:type="dxa"/>
            <w:tcBorders>
              <w:top w:val="single" w:color="auto" w:sz="6" w:space="0"/>
              <w:left w:val="single" w:color="auto" w:sz="4" w:space="0"/>
              <w:bottom w:val="single" w:color="auto" w:sz="6" w:space="0"/>
              <w:right w:val="single" w:color="auto" w:sz="6" w:space="0"/>
            </w:tcBorders>
            <w:vAlign w:val="center"/>
          </w:tcPr>
          <w:p>
            <w:pPr>
              <w:pStyle w:val="12"/>
              <w:spacing w:line="400" w:lineRule="atLeast"/>
              <w:jc w:val="center"/>
              <w:rPr>
                <w:rFonts w:hAnsi="宋体"/>
                <w:color w:val="auto"/>
                <w:sz w:val="24"/>
              </w:rPr>
            </w:pPr>
          </w:p>
        </w:tc>
        <w:tc>
          <w:tcPr>
            <w:tcW w:w="2571" w:type="dxa"/>
            <w:tcBorders>
              <w:top w:val="single" w:color="auto" w:sz="6" w:space="0"/>
              <w:left w:val="single" w:color="auto" w:sz="6" w:space="0"/>
              <w:bottom w:val="single" w:color="auto" w:sz="6" w:space="0"/>
              <w:right w:val="single" w:color="auto" w:sz="6" w:space="0"/>
            </w:tcBorders>
          </w:tcPr>
          <w:p>
            <w:pPr>
              <w:pStyle w:val="12"/>
              <w:spacing w:line="400" w:lineRule="atLeast"/>
              <w:rPr>
                <w:rFonts w:hAnsi="宋体"/>
                <w:color w:val="auto"/>
                <w:sz w:val="24"/>
              </w:rPr>
            </w:pPr>
          </w:p>
        </w:tc>
        <w:tc>
          <w:tcPr>
            <w:tcW w:w="1470" w:type="dxa"/>
            <w:tcBorders>
              <w:top w:val="single" w:color="auto" w:sz="6" w:space="0"/>
              <w:left w:val="single" w:color="auto" w:sz="6" w:space="0"/>
              <w:bottom w:val="single" w:color="auto" w:sz="6" w:space="0"/>
              <w:right w:val="single" w:color="auto" w:sz="4" w:space="0"/>
            </w:tcBorders>
          </w:tcPr>
          <w:p>
            <w:pPr>
              <w:pStyle w:val="12"/>
              <w:spacing w:line="400" w:lineRule="atLeast"/>
              <w:rPr>
                <w:rFonts w:hAnsi="宋体"/>
                <w:color w:val="auto"/>
                <w:sz w:val="24"/>
              </w:rPr>
            </w:pPr>
          </w:p>
        </w:tc>
        <w:tc>
          <w:tcPr>
            <w:tcW w:w="735" w:type="dxa"/>
            <w:tcBorders>
              <w:top w:val="single" w:color="auto" w:sz="6" w:space="0"/>
              <w:left w:val="single" w:color="auto" w:sz="4" w:space="0"/>
              <w:bottom w:val="single" w:color="auto" w:sz="6" w:space="0"/>
              <w:right w:val="single" w:color="auto" w:sz="6" w:space="0"/>
            </w:tcBorders>
          </w:tcPr>
          <w:p>
            <w:pPr>
              <w:pStyle w:val="12"/>
              <w:spacing w:line="400" w:lineRule="atLeast"/>
              <w:rPr>
                <w:rFonts w:hAnsi="宋体"/>
                <w:color w:val="auto"/>
                <w:sz w:val="24"/>
              </w:rPr>
            </w:pPr>
          </w:p>
        </w:tc>
      </w:tr>
      <w:tr>
        <w:tblPrEx>
          <w:tblCellMar>
            <w:top w:w="0" w:type="dxa"/>
            <w:left w:w="108" w:type="dxa"/>
            <w:bottom w:w="0" w:type="dxa"/>
            <w:right w:w="108" w:type="dxa"/>
          </w:tblCellMar>
        </w:tblPrEx>
        <w:trPr>
          <w:trHeight w:val="599" w:hRule="atLeast"/>
        </w:trPr>
        <w:tc>
          <w:tcPr>
            <w:tcW w:w="900" w:type="dxa"/>
            <w:tcBorders>
              <w:top w:val="single" w:color="auto" w:sz="6" w:space="0"/>
              <w:left w:val="single" w:color="auto" w:sz="6" w:space="0"/>
              <w:bottom w:val="single" w:color="auto" w:sz="6" w:space="0"/>
              <w:right w:val="single" w:color="auto" w:sz="6" w:space="0"/>
            </w:tcBorders>
          </w:tcPr>
          <w:p>
            <w:pPr>
              <w:pStyle w:val="12"/>
              <w:spacing w:line="400" w:lineRule="atLeast"/>
              <w:rPr>
                <w:rFonts w:hAnsi="宋体"/>
                <w:color w:val="auto"/>
                <w:sz w:val="24"/>
              </w:rPr>
            </w:pPr>
          </w:p>
        </w:tc>
        <w:tc>
          <w:tcPr>
            <w:tcW w:w="888" w:type="dxa"/>
            <w:tcBorders>
              <w:top w:val="single" w:color="auto" w:sz="6" w:space="0"/>
              <w:left w:val="single" w:color="auto" w:sz="6" w:space="0"/>
              <w:bottom w:val="single" w:color="auto" w:sz="6" w:space="0"/>
              <w:right w:val="single" w:color="auto" w:sz="4" w:space="0"/>
            </w:tcBorders>
            <w:vAlign w:val="center"/>
          </w:tcPr>
          <w:p>
            <w:pPr>
              <w:pStyle w:val="12"/>
              <w:spacing w:line="400" w:lineRule="atLeast"/>
              <w:jc w:val="center"/>
              <w:rPr>
                <w:rFonts w:hAnsi="宋体"/>
                <w:color w:val="auto"/>
                <w:sz w:val="24"/>
              </w:rPr>
            </w:pPr>
          </w:p>
        </w:tc>
        <w:tc>
          <w:tcPr>
            <w:tcW w:w="2259" w:type="dxa"/>
            <w:tcBorders>
              <w:top w:val="single" w:color="auto" w:sz="6" w:space="0"/>
              <w:left w:val="single" w:color="auto" w:sz="4" w:space="0"/>
              <w:bottom w:val="single" w:color="auto" w:sz="6" w:space="0"/>
              <w:right w:val="single" w:color="auto" w:sz="6" w:space="0"/>
            </w:tcBorders>
            <w:vAlign w:val="center"/>
          </w:tcPr>
          <w:p>
            <w:pPr>
              <w:pStyle w:val="12"/>
              <w:spacing w:line="400" w:lineRule="atLeast"/>
              <w:jc w:val="center"/>
              <w:rPr>
                <w:rFonts w:hAnsi="宋体"/>
                <w:color w:val="auto"/>
                <w:sz w:val="24"/>
              </w:rPr>
            </w:pPr>
          </w:p>
        </w:tc>
        <w:tc>
          <w:tcPr>
            <w:tcW w:w="2571" w:type="dxa"/>
            <w:tcBorders>
              <w:top w:val="single" w:color="auto" w:sz="6" w:space="0"/>
              <w:left w:val="single" w:color="auto" w:sz="6" w:space="0"/>
              <w:bottom w:val="single" w:color="auto" w:sz="6" w:space="0"/>
              <w:right w:val="single" w:color="auto" w:sz="6" w:space="0"/>
            </w:tcBorders>
          </w:tcPr>
          <w:p>
            <w:pPr>
              <w:pStyle w:val="12"/>
              <w:spacing w:line="400" w:lineRule="atLeast"/>
              <w:rPr>
                <w:rFonts w:hAnsi="宋体"/>
                <w:color w:val="auto"/>
                <w:sz w:val="24"/>
              </w:rPr>
            </w:pPr>
          </w:p>
        </w:tc>
        <w:tc>
          <w:tcPr>
            <w:tcW w:w="1470" w:type="dxa"/>
            <w:tcBorders>
              <w:top w:val="single" w:color="auto" w:sz="6" w:space="0"/>
              <w:left w:val="single" w:color="auto" w:sz="6" w:space="0"/>
              <w:bottom w:val="single" w:color="auto" w:sz="6" w:space="0"/>
              <w:right w:val="single" w:color="auto" w:sz="4" w:space="0"/>
            </w:tcBorders>
          </w:tcPr>
          <w:p>
            <w:pPr>
              <w:pStyle w:val="12"/>
              <w:spacing w:line="400" w:lineRule="atLeast"/>
              <w:rPr>
                <w:rFonts w:hAnsi="宋体"/>
                <w:color w:val="auto"/>
                <w:sz w:val="24"/>
              </w:rPr>
            </w:pPr>
          </w:p>
        </w:tc>
        <w:tc>
          <w:tcPr>
            <w:tcW w:w="735" w:type="dxa"/>
            <w:tcBorders>
              <w:top w:val="single" w:color="auto" w:sz="6" w:space="0"/>
              <w:left w:val="single" w:color="auto" w:sz="4" w:space="0"/>
              <w:bottom w:val="single" w:color="auto" w:sz="6" w:space="0"/>
              <w:right w:val="single" w:color="auto" w:sz="6" w:space="0"/>
            </w:tcBorders>
          </w:tcPr>
          <w:p>
            <w:pPr>
              <w:pStyle w:val="12"/>
              <w:spacing w:line="400" w:lineRule="atLeast"/>
              <w:rPr>
                <w:rFonts w:hAnsi="宋体"/>
                <w:color w:val="auto"/>
                <w:sz w:val="24"/>
              </w:rPr>
            </w:pPr>
          </w:p>
        </w:tc>
      </w:tr>
      <w:tr>
        <w:tblPrEx>
          <w:tblCellMar>
            <w:top w:w="0" w:type="dxa"/>
            <w:left w:w="108" w:type="dxa"/>
            <w:bottom w:w="0" w:type="dxa"/>
            <w:right w:w="108" w:type="dxa"/>
          </w:tblCellMar>
        </w:tblPrEx>
        <w:trPr>
          <w:trHeight w:val="599" w:hRule="atLeast"/>
        </w:trPr>
        <w:tc>
          <w:tcPr>
            <w:tcW w:w="900" w:type="dxa"/>
            <w:tcBorders>
              <w:top w:val="single" w:color="auto" w:sz="6" w:space="0"/>
              <w:left w:val="single" w:color="auto" w:sz="6" w:space="0"/>
              <w:bottom w:val="single" w:color="auto" w:sz="6" w:space="0"/>
              <w:right w:val="single" w:color="auto" w:sz="6" w:space="0"/>
            </w:tcBorders>
          </w:tcPr>
          <w:p>
            <w:pPr>
              <w:pStyle w:val="12"/>
              <w:spacing w:line="400" w:lineRule="atLeast"/>
              <w:rPr>
                <w:rFonts w:hAnsi="宋体"/>
                <w:color w:val="auto"/>
                <w:sz w:val="24"/>
              </w:rPr>
            </w:pPr>
          </w:p>
        </w:tc>
        <w:tc>
          <w:tcPr>
            <w:tcW w:w="888" w:type="dxa"/>
            <w:tcBorders>
              <w:top w:val="single" w:color="auto" w:sz="6" w:space="0"/>
              <w:left w:val="single" w:color="auto" w:sz="6" w:space="0"/>
              <w:bottom w:val="single" w:color="auto" w:sz="6" w:space="0"/>
              <w:right w:val="single" w:color="auto" w:sz="4" w:space="0"/>
            </w:tcBorders>
            <w:vAlign w:val="center"/>
          </w:tcPr>
          <w:p>
            <w:pPr>
              <w:pStyle w:val="12"/>
              <w:spacing w:line="400" w:lineRule="atLeast"/>
              <w:jc w:val="center"/>
              <w:rPr>
                <w:rFonts w:hAnsi="宋体"/>
                <w:color w:val="auto"/>
                <w:sz w:val="24"/>
              </w:rPr>
            </w:pPr>
          </w:p>
        </w:tc>
        <w:tc>
          <w:tcPr>
            <w:tcW w:w="2259" w:type="dxa"/>
            <w:tcBorders>
              <w:top w:val="single" w:color="auto" w:sz="6" w:space="0"/>
              <w:left w:val="single" w:color="auto" w:sz="4" w:space="0"/>
              <w:bottom w:val="single" w:color="auto" w:sz="6" w:space="0"/>
              <w:right w:val="single" w:color="auto" w:sz="6" w:space="0"/>
            </w:tcBorders>
            <w:vAlign w:val="center"/>
          </w:tcPr>
          <w:p>
            <w:pPr>
              <w:pStyle w:val="12"/>
              <w:spacing w:line="400" w:lineRule="atLeast"/>
              <w:jc w:val="center"/>
              <w:rPr>
                <w:rFonts w:hAnsi="宋体"/>
                <w:color w:val="auto"/>
                <w:sz w:val="24"/>
              </w:rPr>
            </w:pPr>
          </w:p>
        </w:tc>
        <w:tc>
          <w:tcPr>
            <w:tcW w:w="2571" w:type="dxa"/>
            <w:tcBorders>
              <w:top w:val="single" w:color="auto" w:sz="6" w:space="0"/>
              <w:left w:val="single" w:color="auto" w:sz="6" w:space="0"/>
              <w:bottom w:val="single" w:color="auto" w:sz="6" w:space="0"/>
              <w:right w:val="single" w:color="auto" w:sz="6" w:space="0"/>
            </w:tcBorders>
          </w:tcPr>
          <w:p>
            <w:pPr>
              <w:pStyle w:val="12"/>
              <w:spacing w:line="400" w:lineRule="atLeast"/>
              <w:rPr>
                <w:rFonts w:hAnsi="宋体"/>
                <w:color w:val="auto"/>
                <w:sz w:val="24"/>
              </w:rPr>
            </w:pPr>
          </w:p>
        </w:tc>
        <w:tc>
          <w:tcPr>
            <w:tcW w:w="1470" w:type="dxa"/>
            <w:tcBorders>
              <w:top w:val="single" w:color="auto" w:sz="6" w:space="0"/>
              <w:left w:val="single" w:color="auto" w:sz="6" w:space="0"/>
              <w:bottom w:val="single" w:color="auto" w:sz="6" w:space="0"/>
              <w:right w:val="single" w:color="auto" w:sz="4" w:space="0"/>
            </w:tcBorders>
          </w:tcPr>
          <w:p>
            <w:pPr>
              <w:pStyle w:val="12"/>
              <w:spacing w:line="400" w:lineRule="atLeast"/>
              <w:rPr>
                <w:rFonts w:hAnsi="宋体"/>
                <w:color w:val="auto"/>
                <w:sz w:val="24"/>
              </w:rPr>
            </w:pPr>
          </w:p>
        </w:tc>
        <w:tc>
          <w:tcPr>
            <w:tcW w:w="735" w:type="dxa"/>
            <w:tcBorders>
              <w:top w:val="single" w:color="auto" w:sz="6" w:space="0"/>
              <w:left w:val="single" w:color="auto" w:sz="4" w:space="0"/>
              <w:bottom w:val="single" w:color="auto" w:sz="6" w:space="0"/>
              <w:right w:val="single" w:color="auto" w:sz="6" w:space="0"/>
            </w:tcBorders>
          </w:tcPr>
          <w:p>
            <w:pPr>
              <w:pStyle w:val="12"/>
              <w:spacing w:line="400" w:lineRule="atLeast"/>
              <w:rPr>
                <w:rFonts w:hAnsi="宋体"/>
                <w:color w:val="auto"/>
                <w:sz w:val="24"/>
              </w:rPr>
            </w:pPr>
          </w:p>
        </w:tc>
      </w:tr>
      <w:tr>
        <w:tblPrEx>
          <w:tblCellMar>
            <w:top w:w="0" w:type="dxa"/>
            <w:left w:w="108" w:type="dxa"/>
            <w:bottom w:w="0" w:type="dxa"/>
            <w:right w:w="108" w:type="dxa"/>
          </w:tblCellMar>
        </w:tblPrEx>
        <w:trPr>
          <w:trHeight w:val="599" w:hRule="atLeast"/>
        </w:trPr>
        <w:tc>
          <w:tcPr>
            <w:tcW w:w="900" w:type="dxa"/>
            <w:tcBorders>
              <w:top w:val="single" w:color="auto" w:sz="6" w:space="0"/>
              <w:left w:val="single" w:color="auto" w:sz="6" w:space="0"/>
              <w:bottom w:val="single" w:color="auto" w:sz="6" w:space="0"/>
              <w:right w:val="single" w:color="auto" w:sz="6" w:space="0"/>
            </w:tcBorders>
          </w:tcPr>
          <w:p>
            <w:pPr>
              <w:pStyle w:val="12"/>
              <w:spacing w:line="400" w:lineRule="atLeast"/>
              <w:rPr>
                <w:rFonts w:hAnsi="宋体"/>
                <w:color w:val="auto"/>
                <w:sz w:val="24"/>
              </w:rPr>
            </w:pPr>
          </w:p>
        </w:tc>
        <w:tc>
          <w:tcPr>
            <w:tcW w:w="888" w:type="dxa"/>
            <w:tcBorders>
              <w:top w:val="single" w:color="auto" w:sz="6" w:space="0"/>
              <w:left w:val="single" w:color="auto" w:sz="6" w:space="0"/>
              <w:bottom w:val="single" w:color="auto" w:sz="6" w:space="0"/>
              <w:right w:val="single" w:color="auto" w:sz="4" w:space="0"/>
            </w:tcBorders>
            <w:vAlign w:val="center"/>
          </w:tcPr>
          <w:p>
            <w:pPr>
              <w:pStyle w:val="12"/>
              <w:spacing w:line="400" w:lineRule="atLeast"/>
              <w:jc w:val="center"/>
              <w:rPr>
                <w:rFonts w:hAnsi="宋体"/>
                <w:color w:val="auto"/>
                <w:sz w:val="24"/>
              </w:rPr>
            </w:pPr>
          </w:p>
        </w:tc>
        <w:tc>
          <w:tcPr>
            <w:tcW w:w="2259" w:type="dxa"/>
            <w:tcBorders>
              <w:top w:val="single" w:color="auto" w:sz="6" w:space="0"/>
              <w:left w:val="single" w:color="auto" w:sz="4" w:space="0"/>
              <w:bottom w:val="single" w:color="auto" w:sz="6" w:space="0"/>
              <w:right w:val="single" w:color="auto" w:sz="6" w:space="0"/>
            </w:tcBorders>
            <w:vAlign w:val="center"/>
          </w:tcPr>
          <w:p>
            <w:pPr>
              <w:pStyle w:val="12"/>
              <w:spacing w:line="400" w:lineRule="atLeast"/>
              <w:jc w:val="center"/>
              <w:rPr>
                <w:rFonts w:hAnsi="宋体"/>
                <w:color w:val="auto"/>
                <w:sz w:val="24"/>
              </w:rPr>
            </w:pPr>
          </w:p>
        </w:tc>
        <w:tc>
          <w:tcPr>
            <w:tcW w:w="2571" w:type="dxa"/>
            <w:tcBorders>
              <w:top w:val="single" w:color="auto" w:sz="6" w:space="0"/>
              <w:left w:val="single" w:color="auto" w:sz="6" w:space="0"/>
              <w:bottom w:val="single" w:color="auto" w:sz="6" w:space="0"/>
              <w:right w:val="single" w:color="auto" w:sz="6" w:space="0"/>
            </w:tcBorders>
          </w:tcPr>
          <w:p>
            <w:pPr>
              <w:pStyle w:val="12"/>
              <w:spacing w:line="400" w:lineRule="atLeast"/>
              <w:rPr>
                <w:rFonts w:hAnsi="宋体"/>
                <w:color w:val="auto"/>
                <w:sz w:val="24"/>
              </w:rPr>
            </w:pPr>
          </w:p>
        </w:tc>
        <w:tc>
          <w:tcPr>
            <w:tcW w:w="1470" w:type="dxa"/>
            <w:tcBorders>
              <w:top w:val="single" w:color="auto" w:sz="6" w:space="0"/>
              <w:left w:val="single" w:color="auto" w:sz="6" w:space="0"/>
              <w:bottom w:val="single" w:color="auto" w:sz="6" w:space="0"/>
              <w:right w:val="single" w:color="auto" w:sz="4" w:space="0"/>
            </w:tcBorders>
          </w:tcPr>
          <w:p>
            <w:pPr>
              <w:pStyle w:val="12"/>
              <w:spacing w:line="400" w:lineRule="atLeast"/>
              <w:rPr>
                <w:rFonts w:hAnsi="宋体"/>
                <w:color w:val="auto"/>
                <w:sz w:val="24"/>
              </w:rPr>
            </w:pPr>
          </w:p>
        </w:tc>
        <w:tc>
          <w:tcPr>
            <w:tcW w:w="735" w:type="dxa"/>
            <w:tcBorders>
              <w:top w:val="single" w:color="auto" w:sz="6" w:space="0"/>
              <w:left w:val="single" w:color="auto" w:sz="4" w:space="0"/>
              <w:bottom w:val="single" w:color="auto" w:sz="6" w:space="0"/>
              <w:right w:val="single" w:color="auto" w:sz="6" w:space="0"/>
            </w:tcBorders>
          </w:tcPr>
          <w:p>
            <w:pPr>
              <w:pStyle w:val="12"/>
              <w:spacing w:line="400" w:lineRule="atLeast"/>
              <w:rPr>
                <w:rFonts w:hAnsi="宋体"/>
                <w:color w:val="auto"/>
                <w:sz w:val="24"/>
              </w:rPr>
            </w:pPr>
          </w:p>
        </w:tc>
      </w:tr>
      <w:tr>
        <w:tblPrEx>
          <w:tblCellMar>
            <w:top w:w="0" w:type="dxa"/>
            <w:left w:w="108" w:type="dxa"/>
            <w:bottom w:w="0" w:type="dxa"/>
            <w:right w:w="108" w:type="dxa"/>
          </w:tblCellMar>
        </w:tblPrEx>
        <w:trPr>
          <w:trHeight w:val="599" w:hRule="atLeast"/>
        </w:trPr>
        <w:tc>
          <w:tcPr>
            <w:tcW w:w="900" w:type="dxa"/>
            <w:tcBorders>
              <w:top w:val="single" w:color="auto" w:sz="6" w:space="0"/>
              <w:left w:val="single" w:color="auto" w:sz="6" w:space="0"/>
              <w:bottom w:val="single" w:color="auto" w:sz="6" w:space="0"/>
              <w:right w:val="single" w:color="auto" w:sz="6" w:space="0"/>
            </w:tcBorders>
          </w:tcPr>
          <w:p>
            <w:pPr>
              <w:pStyle w:val="12"/>
              <w:spacing w:line="400" w:lineRule="atLeast"/>
              <w:rPr>
                <w:rFonts w:hAnsi="宋体"/>
                <w:color w:val="auto"/>
                <w:sz w:val="24"/>
              </w:rPr>
            </w:pPr>
          </w:p>
        </w:tc>
        <w:tc>
          <w:tcPr>
            <w:tcW w:w="888" w:type="dxa"/>
            <w:tcBorders>
              <w:top w:val="single" w:color="auto" w:sz="6" w:space="0"/>
              <w:left w:val="single" w:color="auto" w:sz="6" w:space="0"/>
              <w:bottom w:val="single" w:color="auto" w:sz="6" w:space="0"/>
              <w:right w:val="single" w:color="auto" w:sz="4" w:space="0"/>
            </w:tcBorders>
            <w:vAlign w:val="center"/>
          </w:tcPr>
          <w:p>
            <w:pPr>
              <w:pStyle w:val="12"/>
              <w:spacing w:line="400" w:lineRule="atLeast"/>
              <w:jc w:val="center"/>
              <w:rPr>
                <w:rFonts w:hAnsi="宋体"/>
                <w:color w:val="auto"/>
                <w:sz w:val="24"/>
              </w:rPr>
            </w:pPr>
          </w:p>
        </w:tc>
        <w:tc>
          <w:tcPr>
            <w:tcW w:w="2259" w:type="dxa"/>
            <w:tcBorders>
              <w:top w:val="single" w:color="auto" w:sz="6" w:space="0"/>
              <w:left w:val="single" w:color="auto" w:sz="4" w:space="0"/>
              <w:bottom w:val="single" w:color="auto" w:sz="6" w:space="0"/>
              <w:right w:val="single" w:color="auto" w:sz="6" w:space="0"/>
            </w:tcBorders>
            <w:vAlign w:val="center"/>
          </w:tcPr>
          <w:p>
            <w:pPr>
              <w:pStyle w:val="12"/>
              <w:spacing w:line="400" w:lineRule="atLeast"/>
              <w:jc w:val="center"/>
              <w:rPr>
                <w:rFonts w:hAnsi="宋体"/>
                <w:color w:val="auto"/>
                <w:sz w:val="24"/>
              </w:rPr>
            </w:pPr>
          </w:p>
        </w:tc>
        <w:tc>
          <w:tcPr>
            <w:tcW w:w="2571" w:type="dxa"/>
            <w:tcBorders>
              <w:top w:val="single" w:color="auto" w:sz="6" w:space="0"/>
              <w:left w:val="single" w:color="auto" w:sz="6" w:space="0"/>
              <w:bottom w:val="single" w:color="auto" w:sz="6" w:space="0"/>
              <w:right w:val="single" w:color="auto" w:sz="6" w:space="0"/>
            </w:tcBorders>
          </w:tcPr>
          <w:p>
            <w:pPr>
              <w:pStyle w:val="12"/>
              <w:spacing w:line="400" w:lineRule="atLeast"/>
              <w:rPr>
                <w:rFonts w:hAnsi="宋体"/>
                <w:color w:val="auto"/>
                <w:sz w:val="24"/>
              </w:rPr>
            </w:pPr>
          </w:p>
        </w:tc>
        <w:tc>
          <w:tcPr>
            <w:tcW w:w="1470" w:type="dxa"/>
            <w:tcBorders>
              <w:top w:val="single" w:color="auto" w:sz="6" w:space="0"/>
              <w:left w:val="single" w:color="auto" w:sz="6" w:space="0"/>
              <w:bottom w:val="single" w:color="auto" w:sz="6" w:space="0"/>
              <w:right w:val="single" w:color="auto" w:sz="4" w:space="0"/>
            </w:tcBorders>
          </w:tcPr>
          <w:p>
            <w:pPr>
              <w:pStyle w:val="12"/>
              <w:spacing w:line="400" w:lineRule="atLeast"/>
              <w:rPr>
                <w:rFonts w:hAnsi="宋体"/>
                <w:color w:val="auto"/>
                <w:sz w:val="24"/>
              </w:rPr>
            </w:pPr>
          </w:p>
        </w:tc>
        <w:tc>
          <w:tcPr>
            <w:tcW w:w="735" w:type="dxa"/>
            <w:tcBorders>
              <w:top w:val="single" w:color="auto" w:sz="6" w:space="0"/>
              <w:left w:val="single" w:color="auto" w:sz="4" w:space="0"/>
              <w:bottom w:val="single" w:color="auto" w:sz="6" w:space="0"/>
              <w:right w:val="single" w:color="auto" w:sz="6" w:space="0"/>
            </w:tcBorders>
          </w:tcPr>
          <w:p>
            <w:pPr>
              <w:pStyle w:val="12"/>
              <w:spacing w:line="400" w:lineRule="atLeast"/>
              <w:rPr>
                <w:rFonts w:hAnsi="宋体"/>
                <w:color w:val="auto"/>
                <w:sz w:val="24"/>
              </w:rPr>
            </w:pPr>
          </w:p>
        </w:tc>
      </w:tr>
      <w:tr>
        <w:tblPrEx>
          <w:tblCellMar>
            <w:top w:w="0" w:type="dxa"/>
            <w:left w:w="108" w:type="dxa"/>
            <w:bottom w:w="0" w:type="dxa"/>
            <w:right w:w="108" w:type="dxa"/>
          </w:tblCellMar>
        </w:tblPrEx>
        <w:trPr>
          <w:trHeight w:val="599" w:hRule="atLeast"/>
        </w:trPr>
        <w:tc>
          <w:tcPr>
            <w:tcW w:w="900" w:type="dxa"/>
            <w:tcBorders>
              <w:top w:val="single" w:color="auto" w:sz="6" w:space="0"/>
              <w:left w:val="single" w:color="auto" w:sz="6" w:space="0"/>
              <w:bottom w:val="single" w:color="auto" w:sz="6" w:space="0"/>
              <w:right w:val="single" w:color="auto" w:sz="6" w:space="0"/>
            </w:tcBorders>
          </w:tcPr>
          <w:p>
            <w:pPr>
              <w:pStyle w:val="12"/>
              <w:spacing w:line="400" w:lineRule="atLeast"/>
              <w:rPr>
                <w:rFonts w:hAnsi="宋体"/>
                <w:color w:val="auto"/>
                <w:sz w:val="24"/>
              </w:rPr>
            </w:pPr>
          </w:p>
        </w:tc>
        <w:tc>
          <w:tcPr>
            <w:tcW w:w="888" w:type="dxa"/>
            <w:tcBorders>
              <w:top w:val="single" w:color="auto" w:sz="6" w:space="0"/>
              <w:left w:val="single" w:color="auto" w:sz="6" w:space="0"/>
              <w:bottom w:val="single" w:color="auto" w:sz="6" w:space="0"/>
              <w:right w:val="single" w:color="auto" w:sz="4" w:space="0"/>
            </w:tcBorders>
            <w:vAlign w:val="center"/>
          </w:tcPr>
          <w:p>
            <w:pPr>
              <w:pStyle w:val="12"/>
              <w:spacing w:line="400" w:lineRule="atLeast"/>
              <w:jc w:val="center"/>
              <w:rPr>
                <w:rFonts w:hAnsi="宋体"/>
                <w:color w:val="auto"/>
                <w:sz w:val="24"/>
              </w:rPr>
            </w:pPr>
          </w:p>
        </w:tc>
        <w:tc>
          <w:tcPr>
            <w:tcW w:w="2259" w:type="dxa"/>
            <w:tcBorders>
              <w:top w:val="single" w:color="auto" w:sz="6" w:space="0"/>
              <w:left w:val="single" w:color="auto" w:sz="4" w:space="0"/>
              <w:bottom w:val="single" w:color="auto" w:sz="6" w:space="0"/>
              <w:right w:val="single" w:color="auto" w:sz="6" w:space="0"/>
            </w:tcBorders>
            <w:vAlign w:val="center"/>
          </w:tcPr>
          <w:p>
            <w:pPr>
              <w:pStyle w:val="12"/>
              <w:spacing w:line="400" w:lineRule="atLeast"/>
              <w:jc w:val="center"/>
              <w:rPr>
                <w:rFonts w:hAnsi="宋体"/>
                <w:color w:val="auto"/>
                <w:sz w:val="24"/>
              </w:rPr>
            </w:pPr>
          </w:p>
        </w:tc>
        <w:tc>
          <w:tcPr>
            <w:tcW w:w="2571" w:type="dxa"/>
            <w:tcBorders>
              <w:top w:val="single" w:color="auto" w:sz="6" w:space="0"/>
              <w:left w:val="single" w:color="auto" w:sz="6" w:space="0"/>
              <w:bottom w:val="single" w:color="auto" w:sz="6" w:space="0"/>
              <w:right w:val="single" w:color="auto" w:sz="6" w:space="0"/>
            </w:tcBorders>
          </w:tcPr>
          <w:p>
            <w:pPr>
              <w:pStyle w:val="12"/>
              <w:spacing w:line="400" w:lineRule="atLeast"/>
              <w:rPr>
                <w:rFonts w:hAnsi="宋体"/>
                <w:color w:val="auto"/>
                <w:sz w:val="24"/>
              </w:rPr>
            </w:pPr>
          </w:p>
        </w:tc>
        <w:tc>
          <w:tcPr>
            <w:tcW w:w="1470" w:type="dxa"/>
            <w:tcBorders>
              <w:top w:val="single" w:color="auto" w:sz="6" w:space="0"/>
              <w:left w:val="single" w:color="auto" w:sz="6" w:space="0"/>
              <w:bottom w:val="single" w:color="auto" w:sz="6" w:space="0"/>
              <w:right w:val="single" w:color="auto" w:sz="4" w:space="0"/>
            </w:tcBorders>
          </w:tcPr>
          <w:p>
            <w:pPr>
              <w:pStyle w:val="12"/>
              <w:spacing w:line="400" w:lineRule="atLeast"/>
              <w:rPr>
                <w:rFonts w:hAnsi="宋体"/>
                <w:color w:val="auto"/>
                <w:sz w:val="24"/>
              </w:rPr>
            </w:pPr>
          </w:p>
        </w:tc>
        <w:tc>
          <w:tcPr>
            <w:tcW w:w="735" w:type="dxa"/>
            <w:tcBorders>
              <w:top w:val="single" w:color="auto" w:sz="6" w:space="0"/>
              <w:left w:val="single" w:color="auto" w:sz="4" w:space="0"/>
              <w:bottom w:val="single" w:color="auto" w:sz="6" w:space="0"/>
              <w:right w:val="single" w:color="auto" w:sz="6" w:space="0"/>
            </w:tcBorders>
          </w:tcPr>
          <w:p>
            <w:pPr>
              <w:pStyle w:val="12"/>
              <w:spacing w:line="400" w:lineRule="atLeast"/>
              <w:rPr>
                <w:rFonts w:hAnsi="宋体"/>
                <w:color w:val="auto"/>
                <w:sz w:val="24"/>
              </w:rPr>
            </w:pPr>
          </w:p>
        </w:tc>
      </w:tr>
      <w:tr>
        <w:tblPrEx>
          <w:tblCellMar>
            <w:top w:w="0" w:type="dxa"/>
            <w:left w:w="108" w:type="dxa"/>
            <w:bottom w:w="0" w:type="dxa"/>
            <w:right w:w="108" w:type="dxa"/>
          </w:tblCellMar>
        </w:tblPrEx>
        <w:trPr>
          <w:trHeight w:val="599" w:hRule="atLeast"/>
        </w:trPr>
        <w:tc>
          <w:tcPr>
            <w:tcW w:w="900" w:type="dxa"/>
            <w:tcBorders>
              <w:top w:val="single" w:color="auto" w:sz="6" w:space="0"/>
              <w:left w:val="single" w:color="auto" w:sz="6" w:space="0"/>
              <w:bottom w:val="single" w:color="auto" w:sz="6" w:space="0"/>
              <w:right w:val="single" w:color="auto" w:sz="6" w:space="0"/>
            </w:tcBorders>
          </w:tcPr>
          <w:p>
            <w:pPr>
              <w:pStyle w:val="12"/>
              <w:spacing w:line="400" w:lineRule="atLeast"/>
              <w:rPr>
                <w:rFonts w:hAnsi="宋体"/>
                <w:color w:val="auto"/>
                <w:sz w:val="24"/>
              </w:rPr>
            </w:pPr>
          </w:p>
        </w:tc>
        <w:tc>
          <w:tcPr>
            <w:tcW w:w="888" w:type="dxa"/>
            <w:tcBorders>
              <w:top w:val="single" w:color="auto" w:sz="6" w:space="0"/>
              <w:left w:val="single" w:color="auto" w:sz="6" w:space="0"/>
              <w:bottom w:val="single" w:color="auto" w:sz="6" w:space="0"/>
              <w:right w:val="single" w:color="auto" w:sz="4" w:space="0"/>
            </w:tcBorders>
            <w:vAlign w:val="center"/>
          </w:tcPr>
          <w:p>
            <w:pPr>
              <w:pStyle w:val="12"/>
              <w:spacing w:line="400" w:lineRule="atLeast"/>
              <w:jc w:val="center"/>
              <w:rPr>
                <w:rFonts w:hAnsi="宋体"/>
                <w:color w:val="auto"/>
                <w:sz w:val="24"/>
              </w:rPr>
            </w:pPr>
          </w:p>
        </w:tc>
        <w:tc>
          <w:tcPr>
            <w:tcW w:w="2259" w:type="dxa"/>
            <w:tcBorders>
              <w:top w:val="single" w:color="auto" w:sz="6" w:space="0"/>
              <w:left w:val="single" w:color="auto" w:sz="4" w:space="0"/>
              <w:bottom w:val="single" w:color="auto" w:sz="6" w:space="0"/>
              <w:right w:val="single" w:color="auto" w:sz="6" w:space="0"/>
            </w:tcBorders>
            <w:vAlign w:val="center"/>
          </w:tcPr>
          <w:p>
            <w:pPr>
              <w:pStyle w:val="12"/>
              <w:spacing w:line="400" w:lineRule="atLeast"/>
              <w:jc w:val="center"/>
              <w:rPr>
                <w:rFonts w:hAnsi="宋体"/>
                <w:color w:val="auto"/>
                <w:sz w:val="24"/>
              </w:rPr>
            </w:pPr>
          </w:p>
        </w:tc>
        <w:tc>
          <w:tcPr>
            <w:tcW w:w="2571" w:type="dxa"/>
            <w:tcBorders>
              <w:top w:val="single" w:color="auto" w:sz="6" w:space="0"/>
              <w:left w:val="single" w:color="auto" w:sz="6" w:space="0"/>
              <w:bottom w:val="single" w:color="auto" w:sz="6" w:space="0"/>
              <w:right w:val="single" w:color="auto" w:sz="6" w:space="0"/>
            </w:tcBorders>
          </w:tcPr>
          <w:p>
            <w:pPr>
              <w:pStyle w:val="12"/>
              <w:spacing w:line="400" w:lineRule="atLeast"/>
              <w:rPr>
                <w:rFonts w:hAnsi="宋体"/>
                <w:color w:val="auto"/>
                <w:sz w:val="24"/>
              </w:rPr>
            </w:pPr>
          </w:p>
        </w:tc>
        <w:tc>
          <w:tcPr>
            <w:tcW w:w="1470" w:type="dxa"/>
            <w:tcBorders>
              <w:top w:val="single" w:color="auto" w:sz="6" w:space="0"/>
              <w:left w:val="single" w:color="auto" w:sz="6" w:space="0"/>
              <w:bottom w:val="single" w:color="auto" w:sz="6" w:space="0"/>
              <w:right w:val="single" w:color="auto" w:sz="4" w:space="0"/>
            </w:tcBorders>
          </w:tcPr>
          <w:p>
            <w:pPr>
              <w:pStyle w:val="12"/>
              <w:spacing w:line="400" w:lineRule="atLeast"/>
              <w:rPr>
                <w:rFonts w:hAnsi="宋体"/>
                <w:color w:val="auto"/>
                <w:sz w:val="24"/>
              </w:rPr>
            </w:pPr>
          </w:p>
        </w:tc>
        <w:tc>
          <w:tcPr>
            <w:tcW w:w="735" w:type="dxa"/>
            <w:tcBorders>
              <w:top w:val="single" w:color="auto" w:sz="6" w:space="0"/>
              <w:left w:val="single" w:color="auto" w:sz="4" w:space="0"/>
              <w:bottom w:val="single" w:color="auto" w:sz="6" w:space="0"/>
              <w:right w:val="single" w:color="auto" w:sz="6" w:space="0"/>
            </w:tcBorders>
          </w:tcPr>
          <w:p>
            <w:pPr>
              <w:pStyle w:val="12"/>
              <w:spacing w:line="400" w:lineRule="atLeast"/>
              <w:rPr>
                <w:rFonts w:hAnsi="宋体"/>
                <w:color w:val="auto"/>
                <w:sz w:val="24"/>
              </w:rPr>
            </w:pPr>
          </w:p>
        </w:tc>
      </w:tr>
      <w:tr>
        <w:tblPrEx>
          <w:tblCellMar>
            <w:top w:w="0" w:type="dxa"/>
            <w:left w:w="108" w:type="dxa"/>
            <w:bottom w:w="0" w:type="dxa"/>
            <w:right w:w="108" w:type="dxa"/>
          </w:tblCellMar>
        </w:tblPrEx>
        <w:trPr>
          <w:trHeight w:val="599" w:hRule="atLeast"/>
        </w:trPr>
        <w:tc>
          <w:tcPr>
            <w:tcW w:w="900" w:type="dxa"/>
            <w:tcBorders>
              <w:top w:val="single" w:color="auto" w:sz="6" w:space="0"/>
              <w:left w:val="single" w:color="auto" w:sz="6" w:space="0"/>
              <w:bottom w:val="single" w:color="auto" w:sz="6" w:space="0"/>
              <w:right w:val="single" w:color="auto" w:sz="6" w:space="0"/>
            </w:tcBorders>
          </w:tcPr>
          <w:p>
            <w:pPr>
              <w:pStyle w:val="12"/>
              <w:spacing w:line="400" w:lineRule="atLeast"/>
              <w:rPr>
                <w:rFonts w:hAnsi="宋体"/>
                <w:color w:val="auto"/>
                <w:sz w:val="24"/>
              </w:rPr>
            </w:pPr>
            <w:r>
              <w:rPr>
                <w:rFonts w:hint="eastAsia" w:hAnsi="宋体"/>
                <w:color w:val="auto"/>
                <w:sz w:val="24"/>
              </w:rPr>
              <w:t>……</w:t>
            </w:r>
          </w:p>
        </w:tc>
        <w:tc>
          <w:tcPr>
            <w:tcW w:w="888" w:type="dxa"/>
            <w:tcBorders>
              <w:top w:val="single" w:color="auto" w:sz="6" w:space="0"/>
              <w:left w:val="single" w:color="auto" w:sz="6" w:space="0"/>
              <w:bottom w:val="single" w:color="auto" w:sz="6" w:space="0"/>
              <w:right w:val="single" w:color="auto" w:sz="4" w:space="0"/>
            </w:tcBorders>
            <w:vAlign w:val="center"/>
          </w:tcPr>
          <w:p>
            <w:pPr>
              <w:pStyle w:val="12"/>
              <w:spacing w:line="400" w:lineRule="atLeast"/>
              <w:jc w:val="center"/>
              <w:rPr>
                <w:rFonts w:hAnsi="宋体"/>
                <w:color w:val="auto"/>
                <w:sz w:val="24"/>
              </w:rPr>
            </w:pPr>
          </w:p>
        </w:tc>
        <w:tc>
          <w:tcPr>
            <w:tcW w:w="2259" w:type="dxa"/>
            <w:tcBorders>
              <w:top w:val="single" w:color="auto" w:sz="6" w:space="0"/>
              <w:left w:val="single" w:color="auto" w:sz="4" w:space="0"/>
              <w:bottom w:val="single" w:color="auto" w:sz="6" w:space="0"/>
              <w:right w:val="single" w:color="auto" w:sz="6" w:space="0"/>
            </w:tcBorders>
            <w:vAlign w:val="center"/>
          </w:tcPr>
          <w:p>
            <w:pPr>
              <w:pStyle w:val="12"/>
              <w:spacing w:line="400" w:lineRule="atLeast"/>
              <w:jc w:val="center"/>
              <w:rPr>
                <w:rFonts w:hAnsi="宋体"/>
                <w:color w:val="auto"/>
                <w:sz w:val="24"/>
              </w:rPr>
            </w:pPr>
          </w:p>
        </w:tc>
        <w:tc>
          <w:tcPr>
            <w:tcW w:w="2571" w:type="dxa"/>
            <w:tcBorders>
              <w:top w:val="single" w:color="auto" w:sz="6" w:space="0"/>
              <w:left w:val="single" w:color="auto" w:sz="6" w:space="0"/>
              <w:bottom w:val="single" w:color="auto" w:sz="6" w:space="0"/>
              <w:right w:val="single" w:color="auto" w:sz="6" w:space="0"/>
            </w:tcBorders>
          </w:tcPr>
          <w:p>
            <w:pPr>
              <w:pStyle w:val="12"/>
              <w:spacing w:line="400" w:lineRule="atLeast"/>
              <w:rPr>
                <w:rFonts w:hAnsi="宋体"/>
                <w:color w:val="auto"/>
                <w:sz w:val="24"/>
              </w:rPr>
            </w:pPr>
          </w:p>
        </w:tc>
        <w:tc>
          <w:tcPr>
            <w:tcW w:w="1470" w:type="dxa"/>
            <w:tcBorders>
              <w:top w:val="single" w:color="auto" w:sz="6" w:space="0"/>
              <w:left w:val="single" w:color="auto" w:sz="6" w:space="0"/>
              <w:bottom w:val="single" w:color="auto" w:sz="6" w:space="0"/>
              <w:right w:val="single" w:color="auto" w:sz="4" w:space="0"/>
            </w:tcBorders>
          </w:tcPr>
          <w:p>
            <w:pPr>
              <w:pStyle w:val="12"/>
              <w:spacing w:line="400" w:lineRule="atLeast"/>
              <w:rPr>
                <w:rFonts w:hAnsi="宋体"/>
                <w:color w:val="auto"/>
                <w:sz w:val="24"/>
              </w:rPr>
            </w:pPr>
          </w:p>
        </w:tc>
        <w:tc>
          <w:tcPr>
            <w:tcW w:w="735" w:type="dxa"/>
            <w:tcBorders>
              <w:top w:val="single" w:color="auto" w:sz="6" w:space="0"/>
              <w:left w:val="single" w:color="auto" w:sz="4" w:space="0"/>
              <w:bottom w:val="single" w:color="auto" w:sz="6" w:space="0"/>
              <w:right w:val="single" w:color="auto" w:sz="6" w:space="0"/>
            </w:tcBorders>
          </w:tcPr>
          <w:p>
            <w:pPr>
              <w:pStyle w:val="12"/>
              <w:spacing w:line="400" w:lineRule="atLeast"/>
              <w:rPr>
                <w:rFonts w:hAnsi="宋体"/>
                <w:color w:val="auto"/>
                <w:sz w:val="24"/>
              </w:rPr>
            </w:pPr>
          </w:p>
        </w:tc>
      </w:tr>
    </w:tbl>
    <w:p>
      <w:pPr>
        <w:pStyle w:val="12"/>
        <w:spacing w:line="360" w:lineRule="auto"/>
        <w:ind w:firstLine="480" w:firstLineChars="200"/>
        <w:rPr>
          <w:rFonts w:hAnsi="宋体"/>
          <w:b/>
          <w:bCs/>
          <w:color w:val="auto"/>
          <w:kern w:val="0"/>
          <w:sz w:val="24"/>
        </w:rPr>
      </w:pPr>
      <w:r>
        <w:rPr>
          <w:rFonts w:hint="eastAsia" w:hAnsi="宋体"/>
          <w:b/>
          <w:bCs/>
          <w:color w:val="auto"/>
          <w:kern w:val="0"/>
          <w:sz w:val="24"/>
        </w:rPr>
        <w:t>如有正负偏离，应按实写明正负偏离情况。否则视为完全满足磋商需求指标，并作为今后产品的验收依据。</w:t>
      </w:r>
    </w:p>
    <w:p>
      <w:pPr>
        <w:spacing w:line="320" w:lineRule="exact"/>
        <w:ind w:left="420"/>
        <w:jc w:val="center"/>
        <w:rPr>
          <w:rFonts w:ascii="宋体" w:hAnsi="宋体" w:cs="宋体"/>
          <w:color w:val="auto"/>
          <w:sz w:val="24"/>
        </w:rPr>
      </w:pPr>
    </w:p>
    <w:p>
      <w:pPr>
        <w:spacing w:line="320" w:lineRule="exact"/>
        <w:ind w:left="420"/>
        <w:jc w:val="center"/>
        <w:rPr>
          <w:rFonts w:ascii="宋体" w:hAnsi="宋体" w:cs="宋体"/>
          <w:color w:val="auto"/>
          <w:sz w:val="24"/>
        </w:rPr>
      </w:pPr>
    </w:p>
    <w:p>
      <w:pPr>
        <w:adjustRightInd w:val="0"/>
        <w:snapToGrid w:val="0"/>
        <w:spacing w:line="360" w:lineRule="auto"/>
        <w:ind w:firstLine="4095" w:firstLineChars="1950"/>
        <w:rPr>
          <w:rFonts w:ascii="宋体" w:hAnsi="宋体" w:eastAsia="宋体" w:cs="宋体"/>
          <w:color w:val="auto"/>
          <w:kern w:val="0"/>
          <w:sz w:val="21"/>
          <w:szCs w:val="21"/>
          <w:lang w:val="zh-CN"/>
        </w:rPr>
      </w:pPr>
      <w:r>
        <w:rPr>
          <w:rFonts w:hint="eastAsia" w:ascii="宋体" w:hAnsi="宋体" w:eastAsia="宋体" w:cs="宋体"/>
          <w:color w:val="auto"/>
          <w:kern w:val="0"/>
          <w:sz w:val="21"/>
          <w:szCs w:val="21"/>
          <w:lang w:val="zh-CN"/>
        </w:rPr>
        <w:t>磋商供应商(公章)：</w:t>
      </w:r>
    </w:p>
    <w:p>
      <w:pPr>
        <w:pStyle w:val="32"/>
        <w:rPr>
          <w:color w:val="auto"/>
          <w:lang w:val="zh-CN"/>
        </w:rPr>
      </w:pPr>
    </w:p>
    <w:p>
      <w:pPr>
        <w:adjustRightInd w:val="0"/>
        <w:snapToGrid w:val="0"/>
        <w:spacing w:line="360" w:lineRule="auto"/>
        <w:rPr>
          <w:rFonts w:ascii="宋体" w:hAnsi="宋体" w:eastAsia="宋体" w:cs="宋体"/>
          <w:color w:val="auto"/>
          <w:kern w:val="0"/>
          <w:sz w:val="21"/>
          <w:szCs w:val="21"/>
          <w:lang w:val="zh-CN"/>
        </w:rPr>
      </w:pPr>
      <w:r>
        <w:rPr>
          <w:rFonts w:hint="eastAsia" w:ascii="宋体" w:hAnsi="宋体" w:eastAsia="宋体" w:cs="宋体"/>
          <w:color w:val="auto"/>
          <w:kern w:val="0"/>
          <w:sz w:val="21"/>
          <w:szCs w:val="21"/>
          <w:lang w:val="zh-CN"/>
        </w:rPr>
        <w:t xml:space="preserve">                                 法定代表人或授权委托人(签字</w:t>
      </w:r>
      <w:r>
        <w:rPr>
          <w:rFonts w:hint="eastAsia" w:ascii="宋体" w:hAnsi="宋体" w:eastAsia="宋体" w:cs="宋体"/>
          <w:color w:val="auto"/>
          <w:kern w:val="0"/>
          <w:sz w:val="21"/>
          <w:szCs w:val="21"/>
        </w:rPr>
        <w:t>或盖章</w:t>
      </w:r>
      <w:r>
        <w:rPr>
          <w:rFonts w:hint="eastAsia" w:ascii="宋体" w:hAnsi="宋体" w:eastAsia="宋体" w:cs="宋体"/>
          <w:color w:val="auto"/>
          <w:kern w:val="0"/>
          <w:sz w:val="21"/>
          <w:szCs w:val="21"/>
          <w:lang w:val="zh-CN"/>
        </w:rPr>
        <w:t>)：</w:t>
      </w:r>
    </w:p>
    <w:p>
      <w:pPr>
        <w:pStyle w:val="12"/>
        <w:adjustRightInd w:val="0"/>
        <w:snapToGrid w:val="0"/>
        <w:spacing w:before="120" w:after="120" w:line="360" w:lineRule="auto"/>
        <w:jc w:val="center"/>
        <w:rPr>
          <w:rFonts w:hAnsi="宋体" w:eastAsia="宋体" w:cs="宋体"/>
          <w:color w:val="auto"/>
          <w:kern w:val="0"/>
          <w:szCs w:val="21"/>
          <w:lang w:val="zh-CN"/>
        </w:rPr>
      </w:pPr>
      <w:r>
        <w:rPr>
          <w:rFonts w:hint="eastAsia" w:hAnsi="宋体" w:eastAsia="宋体" w:cs="宋体"/>
          <w:color w:val="auto"/>
          <w:kern w:val="0"/>
          <w:szCs w:val="21"/>
          <w:lang w:val="zh-CN"/>
        </w:rPr>
        <w:t xml:space="preserve">                                  日期：</w:t>
      </w:r>
      <w:r>
        <w:rPr>
          <w:rFonts w:hint="eastAsia" w:hAnsi="宋体" w:eastAsia="宋体" w:cs="宋体"/>
          <w:color w:val="auto"/>
          <w:kern w:val="0"/>
          <w:szCs w:val="21"/>
        </w:rPr>
        <w:t xml:space="preserve">       </w:t>
      </w:r>
      <w:r>
        <w:rPr>
          <w:rFonts w:hint="eastAsia" w:hAnsi="宋体" w:eastAsia="宋体" w:cs="宋体"/>
          <w:color w:val="auto"/>
          <w:kern w:val="0"/>
          <w:szCs w:val="21"/>
          <w:lang w:val="zh-CN"/>
        </w:rPr>
        <w:t>年  月   日</w:t>
      </w:r>
    </w:p>
    <w:p>
      <w:pPr>
        <w:widowControl/>
        <w:jc w:val="center"/>
        <w:rPr>
          <w:rFonts w:hAnsi="宋体"/>
          <w:color w:val="auto"/>
          <w:sz w:val="24"/>
          <w:lang w:val="zh-CN"/>
        </w:rPr>
      </w:pPr>
    </w:p>
    <w:p>
      <w:pPr>
        <w:pStyle w:val="39"/>
        <w:spacing w:line="360" w:lineRule="auto"/>
        <w:rPr>
          <w:rFonts w:ascii="宋体" w:hAnsi="宋体" w:cs="宋体"/>
          <w:b/>
          <w:bCs/>
          <w:color w:val="auto"/>
          <w:sz w:val="24"/>
        </w:rPr>
      </w:pPr>
      <w:r>
        <w:rPr>
          <w:rFonts w:hAnsi="宋体"/>
          <w:color w:val="auto"/>
          <w:sz w:val="24"/>
          <w:lang w:val="zh-CN"/>
        </w:rPr>
        <w:br w:type="page"/>
      </w:r>
    </w:p>
    <w:p>
      <w:pPr>
        <w:pStyle w:val="39"/>
        <w:spacing w:line="360" w:lineRule="auto"/>
        <w:rPr>
          <w:rFonts w:ascii="宋体" w:hAnsi="宋体" w:cs="宋体"/>
          <w:b/>
          <w:bCs/>
          <w:color w:val="auto"/>
          <w:sz w:val="24"/>
        </w:rPr>
      </w:pPr>
      <w:r>
        <w:rPr>
          <w:rFonts w:hint="eastAsia" w:ascii="宋体" w:hAnsi="宋体" w:cs="宋体"/>
          <w:b/>
          <w:bCs/>
          <w:color w:val="auto"/>
          <w:sz w:val="24"/>
        </w:rPr>
        <w:t>附件</w:t>
      </w:r>
      <w:r>
        <w:rPr>
          <w:rFonts w:hint="eastAsia" w:hAnsi="宋体" w:cs="宋体"/>
          <w:b/>
          <w:bCs/>
          <w:color w:val="auto"/>
          <w:sz w:val="24"/>
        </w:rPr>
        <w:t>十一</w:t>
      </w:r>
      <w:r>
        <w:rPr>
          <w:rFonts w:hint="eastAsia" w:ascii="宋体" w:hAnsi="宋体" w:cs="宋体"/>
          <w:b/>
          <w:bCs/>
          <w:color w:val="auto"/>
          <w:sz w:val="24"/>
        </w:rPr>
        <w:t>：</w:t>
      </w:r>
    </w:p>
    <w:p>
      <w:pPr>
        <w:pStyle w:val="39"/>
        <w:spacing w:line="360" w:lineRule="auto"/>
        <w:rPr>
          <w:rFonts w:ascii="宋体" w:hAnsi="宋体" w:cs="宋体"/>
          <w:b/>
          <w:bCs/>
          <w:color w:val="auto"/>
          <w:sz w:val="24"/>
        </w:rPr>
      </w:pPr>
    </w:p>
    <w:p>
      <w:pPr>
        <w:pStyle w:val="39"/>
        <w:spacing w:line="360" w:lineRule="auto"/>
        <w:jc w:val="center"/>
        <w:rPr>
          <w:rFonts w:ascii="仿宋_GB2312" w:eastAsia="仿宋_GB2312"/>
          <w:b/>
          <w:color w:val="auto"/>
          <w:sz w:val="28"/>
          <w:szCs w:val="28"/>
        </w:rPr>
      </w:pPr>
      <w:r>
        <w:rPr>
          <w:rFonts w:hint="eastAsia" w:ascii="宋体" w:hAnsi="宋体"/>
          <w:b/>
          <w:color w:val="auto"/>
          <w:sz w:val="28"/>
          <w:szCs w:val="28"/>
        </w:rPr>
        <w:t>类似项目业绩一览表</w:t>
      </w:r>
    </w:p>
    <w:tbl>
      <w:tblPr>
        <w:tblStyle w:val="24"/>
        <w:tblW w:w="954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44"/>
        <w:gridCol w:w="1200"/>
        <w:gridCol w:w="1464"/>
        <w:gridCol w:w="1260"/>
        <w:gridCol w:w="1452"/>
        <w:gridCol w:w="1383"/>
        <w:gridCol w:w="203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16" w:hRule="atLeast"/>
          <w:jc w:val="center"/>
        </w:trPr>
        <w:tc>
          <w:tcPr>
            <w:tcW w:w="744" w:type="dxa"/>
            <w:tcBorders>
              <w:top w:val="single" w:color="auto" w:sz="6" w:space="0"/>
              <w:left w:val="single" w:color="auto" w:sz="6" w:space="0"/>
              <w:bottom w:val="single" w:color="auto" w:sz="6" w:space="0"/>
              <w:right w:val="single" w:color="auto" w:sz="6" w:space="0"/>
            </w:tcBorders>
            <w:vAlign w:val="center"/>
          </w:tcPr>
          <w:p>
            <w:pPr>
              <w:pStyle w:val="39"/>
              <w:spacing w:line="360" w:lineRule="auto"/>
              <w:jc w:val="center"/>
              <w:rPr>
                <w:rFonts w:ascii="宋体" w:hAnsi="宋体" w:cs="Arial"/>
                <w:b/>
                <w:bCs/>
                <w:color w:val="auto"/>
                <w:sz w:val="24"/>
              </w:rPr>
            </w:pPr>
            <w:r>
              <w:rPr>
                <w:rFonts w:hint="eastAsia" w:ascii="宋体" w:hAnsi="宋体" w:cs="Arial"/>
                <w:b/>
                <w:bCs/>
                <w:color w:val="auto"/>
                <w:sz w:val="24"/>
              </w:rPr>
              <w:t>序号</w:t>
            </w:r>
          </w:p>
        </w:tc>
        <w:tc>
          <w:tcPr>
            <w:tcW w:w="1200" w:type="dxa"/>
            <w:tcBorders>
              <w:top w:val="single" w:color="auto" w:sz="6" w:space="0"/>
              <w:left w:val="single" w:color="auto" w:sz="6" w:space="0"/>
              <w:bottom w:val="single" w:color="auto" w:sz="6" w:space="0"/>
              <w:right w:val="single" w:color="auto" w:sz="6" w:space="0"/>
            </w:tcBorders>
            <w:vAlign w:val="center"/>
          </w:tcPr>
          <w:p>
            <w:pPr>
              <w:pStyle w:val="39"/>
              <w:spacing w:line="360" w:lineRule="auto"/>
              <w:jc w:val="center"/>
              <w:rPr>
                <w:rFonts w:ascii="宋体" w:hAnsi="宋体" w:cs="Arial"/>
                <w:b/>
                <w:bCs/>
                <w:color w:val="auto"/>
                <w:sz w:val="24"/>
              </w:rPr>
            </w:pPr>
            <w:r>
              <w:rPr>
                <w:rFonts w:hint="eastAsia" w:ascii="宋体" w:hAnsi="宋体" w:cs="Arial"/>
                <w:b/>
                <w:bCs/>
                <w:color w:val="auto"/>
                <w:sz w:val="24"/>
              </w:rPr>
              <w:t>项目名称</w:t>
            </w:r>
          </w:p>
        </w:tc>
        <w:tc>
          <w:tcPr>
            <w:tcW w:w="1464" w:type="dxa"/>
            <w:tcBorders>
              <w:top w:val="single" w:color="auto" w:sz="6" w:space="0"/>
              <w:left w:val="single" w:color="auto" w:sz="6" w:space="0"/>
              <w:bottom w:val="single" w:color="auto" w:sz="6" w:space="0"/>
              <w:right w:val="single" w:color="auto" w:sz="6" w:space="0"/>
            </w:tcBorders>
            <w:vAlign w:val="center"/>
          </w:tcPr>
          <w:p>
            <w:pPr>
              <w:pStyle w:val="39"/>
              <w:spacing w:line="360" w:lineRule="auto"/>
              <w:jc w:val="center"/>
              <w:rPr>
                <w:rFonts w:ascii="宋体" w:hAnsi="宋体" w:cs="Arial"/>
                <w:b/>
                <w:bCs/>
                <w:color w:val="auto"/>
                <w:sz w:val="24"/>
              </w:rPr>
            </w:pPr>
            <w:r>
              <w:rPr>
                <w:rFonts w:hint="eastAsia" w:ascii="宋体" w:hAnsi="宋体" w:cs="Arial"/>
                <w:b/>
                <w:bCs/>
                <w:color w:val="auto"/>
                <w:sz w:val="24"/>
              </w:rPr>
              <w:t>项目地址</w:t>
            </w:r>
          </w:p>
        </w:tc>
        <w:tc>
          <w:tcPr>
            <w:tcW w:w="1260" w:type="dxa"/>
            <w:tcBorders>
              <w:top w:val="single" w:color="auto" w:sz="6" w:space="0"/>
              <w:left w:val="single" w:color="auto" w:sz="6" w:space="0"/>
              <w:bottom w:val="single" w:color="auto" w:sz="6" w:space="0"/>
              <w:right w:val="single" w:color="auto" w:sz="6" w:space="0"/>
            </w:tcBorders>
            <w:vAlign w:val="center"/>
          </w:tcPr>
          <w:p>
            <w:pPr>
              <w:pStyle w:val="39"/>
              <w:spacing w:line="360" w:lineRule="auto"/>
              <w:jc w:val="center"/>
              <w:rPr>
                <w:rFonts w:ascii="宋体" w:hAnsi="宋体" w:cs="Arial"/>
                <w:b/>
                <w:bCs/>
                <w:color w:val="auto"/>
                <w:sz w:val="24"/>
              </w:rPr>
            </w:pPr>
            <w:r>
              <w:rPr>
                <w:rFonts w:hint="eastAsia" w:ascii="宋体" w:hAnsi="宋体" w:cs="Arial"/>
                <w:b/>
                <w:bCs/>
                <w:color w:val="auto"/>
                <w:sz w:val="24"/>
              </w:rPr>
              <w:t>合同总价</w:t>
            </w:r>
          </w:p>
        </w:tc>
        <w:tc>
          <w:tcPr>
            <w:tcW w:w="1452" w:type="dxa"/>
            <w:tcBorders>
              <w:top w:val="single" w:color="auto" w:sz="6" w:space="0"/>
              <w:left w:val="single" w:color="auto" w:sz="6" w:space="0"/>
              <w:bottom w:val="single" w:color="auto" w:sz="6" w:space="0"/>
              <w:right w:val="single" w:color="auto" w:sz="6" w:space="0"/>
            </w:tcBorders>
            <w:vAlign w:val="center"/>
          </w:tcPr>
          <w:p>
            <w:pPr>
              <w:pStyle w:val="39"/>
              <w:spacing w:line="360" w:lineRule="auto"/>
              <w:jc w:val="center"/>
              <w:rPr>
                <w:rFonts w:ascii="宋体" w:hAnsi="宋体" w:cs="Arial"/>
                <w:b/>
                <w:bCs/>
                <w:color w:val="auto"/>
                <w:sz w:val="24"/>
              </w:rPr>
            </w:pPr>
            <w:r>
              <w:rPr>
                <w:rFonts w:hint="eastAsia" w:ascii="宋体" w:hAnsi="宋体" w:cs="Arial"/>
                <w:b/>
                <w:bCs/>
                <w:color w:val="auto"/>
                <w:sz w:val="24"/>
              </w:rPr>
              <w:t>实施时间</w:t>
            </w:r>
          </w:p>
        </w:tc>
        <w:tc>
          <w:tcPr>
            <w:tcW w:w="1383" w:type="dxa"/>
            <w:tcBorders>
              <w:top w:val="single" w:color="auto" w:sz="6" w:space="0"/>
              <w:left w:val="single" w:color="auto" w:sz="6" w:space="0"/>
              <w:bottom w:val="single" w:color="auto" w:sz="6" w:space="0"/>
              <w:right w:val="single" w:color="auto" w:sz="6" w:space="0"/>
            </w:tcBorders>
            <w:vAlign w:val="center"/>
          </w:tcPr>
          <w:p>
            <w:pPr>
              <w:pStyle w:val="39"/>
              <w:spacing w:line="360" w:lineRule="auto"/>
              <w:jc w:val="center"/>
              <w:rPr>
                <w:rFonts w:ascii="宋体" w:hAnsi="宋体" w:cs="Arial"/>
                <w:b/>
                <w:bCs/>
                <w:color w:val="auto"/>
                <w:sz w:val="24"/>
              </w:rPr>
            </w:pPr>
            <w:r>
              <w:rPr>
                <w:rFonts w:hint="eastAsia" w:ascii="宋体" w:hAnsi="宋体" w:cs="Arial"/>
                <w:b/>
                <w:bCs/>
                <w:color w:val="auto"/>
                <w:sz w:val="24"/>
              </w:rPr>
              <w:t>项目质量</w:t>
            </w:r>
          </w:p>
        </w:tc>
        <w:tc>
          <w:tcPr>
            <w:tcW w:w="2037" w:type="dxa"/>
            <w:tcBorders>
              <w:top w:val="single" w:color="auto" w:sz="6" w:space="0"/>
              <w:left w:val="single" w:color="auto" w:sz="6" w:space="0"/>
              <w:bottom w:val="single" w:color="auto" w:sz="6" w:space="0"/>
              <w:right w:val="single" w:color="auto" w:sz="6" w:space="0"/>
            </w:tcBorders>
            <w:vAlign w:val="center"/>
          </w:tcPr>
          <w:p>
            <w:pPr>
              <w:pStyle w:val="39"/>
              <w:spacing w:line="360" w:lineRule="auto"/>
              <w:jc w:val="center"/>
              <w:rPr>
                <w:rFonts w:ascii="宋体" w:hAnsi="宋体" w:cs="Arial"/>
                <w:b/>
                <w:bCs/>
                <w:color w:val="auto"/>
                <w:sz w:val="24"/>
              </w:rPr>
            </w:pPr>
            <w:r>
              <w:rPr>
                <w:rFonts w:hint="eastAsia" w:ascii="宋体" w:hAnsi="宋体" w:cs="Arial"/>
                <w:b/>
                <w:bCs/>
                <w:color w:val="auto"/>
                <w:sz w:val="24"/>
              </w:rPr>
              <w:t>项目单位名称及其联系人电话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3" w:hRule="atLeast"/>
          <w:jc w:val="center"/>
        </w:trPr>
        <w:tc>
          <w:tcPr>
            <w:tcW w:w="744" w:type="dxa"/>
            <w:tcBorders>
              <w:top w:val="single" w:color="auto" w:sz="6" w:space="0"/>
              <w:left w:val="single" w:color="auto" w:sz="6" w:space="0"/>
              <w:bottom w:val="single" w:color="auto" w:sz="6" w:space="0"/>
              <w:right w:val="single" w:color="auto" w:sz="6" w:space="0"/>
            </w:tcBorders>
          </w:tcPr>
          <w:p>
            <w:pPr>
              <w:pStyle w:val="39"/>
              <w:spacing w:line="360" w:lineRule="auto"/>
              <w:jc w:val="center"/>
              <w:rPr>
                <w:rFonts w:ascii="宋体" w:hAnsi="宋体" w:cs="Arial"/>
                <w:color w:val="auto"/>
                <w:sz w:val="24"/>
              </w:rPr>
            </w:pPr>
            <w:r>
              <w:rPr>
                <w:rFonts w:hint="eastAsia" w:ascii="宋体" w:hAnsi="宋体" w:cs="Arial"/>
                <w:color w:val="auto"/>
                <w:sz w:val="24"/>
              </w:rPr>
              <w:t>1</w:t>
            </w:r>
          </w:p>
        </w:tc>
        <w:tc>
          <w:tcPr>
            <w:tcW w:w="1200" w:type="dxa"/>
            <w:tcBorders>
              <w:top w:val="single" w:color="auto" w:sz="6" w:space="0"/>
              <w:left w:val="single" w:color="auto" w:sz="6" w:space="0"/>
              <w:bottom w:val="single" w:color="auto" w:sz="6" w:space="0"/>
              <w:right w:val="single" w:color="auto" w:sz="6" w:space="0"/>
            </w:tcBorders>
          </w:tcPr>
          <w:p>
            <w:pPr>
              <w:pStyle w:val="39"/>
              <w:spacing w:line="360" w:lineRule="auto"/>
              <w:rPr>
                <w:rFonts w:ascii="宋体" w:hAnsi="宋体" w:cs="Arial"/>
                <w:color w:val="auto"/>
                <w:sz w:val="24"/>
              </w:rPr>
            </w:pPr>
          </w:p>
        </w:tc>
        <w:tc>
          <w:tcPr>
            <w:tcW w:w="1464" w:type="dxa"/>
            <w:tcBorders>
              <w:top w:val="single" w:color="auto" w:sz="6" w:space="0"/>
              <w:left w:val="single" w:color="auto" w:sz="6" w:space="0"/>
              <w:bottom w:val="single" w:color="auto" w:sz="6" w:space="0"/>
              <w:right w:val="single" w:color="auto" w:sz="6" w:space="0"/>
            </w:tcBorders>
          </w:tcPr>
          <w:p>
            <w:pPr>
              <w:pStyle w:val="39"/>
              <w:spacing w:line="360" w:lineRule="auto"/>
              <w:rPr>
                <w:rFonts w:ascii="宋体" w:hAnsi="宋体" w:cs="Arial"/>
                <w:color w:val="auto"/>
                <w:sz w:val="24"/>
              </w:rPr>
            </w:pPr>
          </w:p>
        </w:tc>
        <w:tc>
          <w:tcPr>
            <w:tcW w:w="1260" w:type="dxa"/>
            <w:tcBorders>
              <w:top w:val="single" w:color="auto" w:sz="6" w:space="0"/>
              <w:left w:val="single" w:color="auto" w:sz="6" w:space="0"/>
              <w:bottom w:val="single" w:color="auto" w:sz="6" w:space="0"/>
              <w:right w:val="single" w:color="auto" w:sz="6" w:space="0"/>
            </w:tcBorders>
          </w:tcPr>
          <w:p>
            <w:pPr>
              <w:pStyle w:val="39"/>
              <w:spacing w:line="360" w:lineRule="auto"/>
              <w:rPr>
                <w:rFonts w:ascii="宋体" w:hAnsi="宋体" w:cs="Arial"/>
                <w:color w:val="auto"/>
                <w:sz w:val="24"/>
              </w:rPr>
            </w:pPr>
          </w:p>
        </w:tc>
        <w:tc>
          <w:tcPr>
            <w:tcW w:w="1452" w:type="dxa"/>
            <w:tcBorders>
              <w:top w:val="single" w:color="auto" w:sz="6" w:space="0"/>
              <w:left w:val="single" w:color="auto" w:sz="6" w:space="0"/>
              <w:bottom w:val="single" w:color="auto" w:sz="6" w:space="0"/>
              <w:right w:val="single" w:color="auto" w:sz="6" w:space="0"/>
            </w:tcBorders>
          </w:tcPr>
          <w:p>
            <w:pPr>
              <w:pStyle w:val="39"/>
              <w:spacing w:line="360" w:lineRule="auto"/>
              <w:rPr>
                <w:rFonts w:ascii="宋体" w:hAnsi="宋体" w:cs="Arial"/>
                <w:color w:val="auto"/>
                <w:sz w:val="24"/>
              </w:rPr>
            </w:pPr>
          </w:p>
        </w:tc>
        <w:tc>
          <w:tcPr>
            <w:tcW w:w="1383" w:type="dxa"/>
            <w:tcBorders>
              <w:top w:val="single" w:color="auto" w:sz="6" w:space="0"/>
              <w:left w:val="single" w:color="auto" w:sz="6" w:space="0"/>
              <w:bottom w:val="single" w:color="auto" w:sz="6" w:space="0"/>
              <w:right w:val="single" w:color="auto" w:sz="6" w:space="0"/>
            </w:tcBorders>
          </w:tcPr>
          <w:p>
            <w:pPr>
              <w:pStyle w:val="39"/>
              <w:spacing w:line="360" w:lineRule="auto"/>
              <w:rPr>
                <w:rFonts w:ascii="宋体" w:hAnsi="宋体" w:cs="Arial"/>
                <w:color w:val="auto"/>
                <w:sz w:val="24"/>
              </w:rPr>
            </w:pPr>
          </w:p>
        </w:tc>
        <w:tc>
          <w:tcPr>
            <w:tcW w:w="2037" w:type="dxa"/>
            <w:tcBorders>
              <w:top w:val="single" w:color="auto" w:sz="6" w:space="0"/>
              <w:left w:val="single" w:color="auto" w:sz="6" w:space="0"/>
              <w:bottom w:val="single" w:color="auto" w:sz="6" w:space="0"/>
              <w:right w:val="single" w:color="auto" w:sz="6" w:space="0"/>
            </w:tcBorders>
          </w:tcPr>
          <w:p>
            <w:pPr>
              <w:pStyle w:val="39"/>
              <w:spacing w:line="360" w:lineRule="auto"/>
              <w:rPr>
                <w:rFonts w:ascii="宋体" w:hAnsi="宋体" w:cs="Arial"/>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4" w:hRule="atLeast"/>
          <w:jc w:val="center"/>
        </w:trPr>
        <w:tc>
          <w:tcPr>
            <w:tcW w:w="744" w:type="dxa"/>
            <w:tcBorders>
              <w:top w:val="single" w:color="auto" w:sz="6" w:space="0"/>
              <w:left w:val="single" w:color="auto" w:sz="6" w:space="0"/>
              <w:bottom w:val="single" w:color="auto" w:sz="6" w:space="0"/>
              <w:right w:val="single" w:color="auto" w:sz="6" w:space="0"/>
            </w:tcBorders>
          </w:tcPr>
          <w:p>
            <w:pPr>
              <w:pStyle w:val="39"/>
              <w:spacing w:line="360" w:lineRule="auto"/>
              <w:jc w:val="center"/>
              <w:rPr>
                <w:rFonts w:ascii="宋体" w:hAnsi="宋体" w:cs="Arial"/>
                <w:color w:val="auto"/>
                <w:sz w:val="24"/>
              </w:rPr>
            </w:pPr>
            <w:r>
              <w:rPr>
                <w:rFonts w:hint="eastAsia" w:ascii="宋体" w:hAnsi="宋体" w:cs="Arial"/>
                <w:color w:val="auto"/>
                <w:sz w:val="24"/>
              </w:rPr>
              <w:t>2</w:t>
            </w:r>
          </w:p>
        </w:tc>
        <w:tc>
          <w:tcPr>
            <w:tcW w:w="1200" w:type="dxa"/>
            <w:tcBorders>
              <w:top w:val="single" w:color="auto" w:sz="6" w:space="0"/>
              <w:left w:val="single" w:color="auto" w:sz="6" w:space="0"/>
              <w:bottom w:val="single" w:color="auto" w:sz="6" w:space="0"/>
              <w:right w:val="single" w:color="auto" w:sz="6" w:space="0"/>
            </w:tcBorders>
          </w:tcPr>
          <w:p>
            <w:pPr>
              <w:pStyle w:val="39"/>
              <w:spacing w:line="360" w:lineRule="auto"/>
              <w:rPr>
                <w:rFonts w:ascii="宋体" w:hAnsi="宋体" w:cs="Arial"/>
                <w:color w:val="auto"/>
                <w:sz w:val="24"/>
              </w:rPr>
            </w:pPr>
          </w:p>
        </w:tc>
        <w:tc>
          <w:tcPr>
            <w:tcW w:w="1464" w:type="dxa"/>
            <w:tcBorders>
              <w:top w:val="single" w:color="auto" w:sz="6" w:space="0"/>
              <w:left w:val="single" w:color="auto" w:sz="6" w:space="0"/>
              <w:bottom w:val="single" w:color="auto" w:sz="6" w:space="0"/>
              <w:right w:val="single" w:color="auto" w:sz="6" w:space="0"/>
            </w:tcBorders>
          </w:tcPr>
          <w:p>
            <w:pPr>
              <w:pStyle w:val="39"/>
              <w:spacing w:line="360" w:lineRule="auto"/>
              <w:rPr>
                <w:rFonts w:ascii="宋体" w:hAnsi="宋体" w:cs="Arial"/>
                <w:color w:val="auto"/>
                <w:sz w:val="24"/>
              </w:rPr>
            </w:pPr>
          </w:p>
        </w:tc>
        <w:tc>
          <w:tcPr>
            <w:tcW w:w="1260" w:type="dxa"/>
            <w:tcBorders>
              <w:top w:val="single" w:color="auto" w:sz="6" w:space="0"/>
              <w:left w:val="single" w:color="auto" w:sz="6" w:space="0"/>
              <w:bottom w:val="single" w:color="auto" w:sz="6" w:space="0"/>
              <w:right w:val="single" w:color="auto" w:sz="6" w:space="0"/>
            </w:tcBorders>
          </w:tcPr>
          <w:p>
            <w:pPr>
              <w:pStyle w:val="39"/>
              <w:spacing w:line="360" w:lineRule="auto"/>
              <w:rPr>
                <w:rFonts w:ascii="宋体" w:hAnsi="宋体" w:cs="Arial"/>
                <w:color w:val="auto"/>
                <w:sz w:val="24"/>
              </w:rPr>
            </w:pPr>
          </w:p>
        </w:tc>
        <w:tc>
          <w:tcPr>
            <w:tcW w:w="1452" w:type="dxa"/>
            <w:tcBorders>
              <w:top w:val="single" w:color="auto" w:sz="6" w:space="0"/>
              <w:left w:val="single" w:color="auto" w:sz="6" w:space="0"/>
              <w:bottom w:val="single" w:color="auto" w:sz="6" w:space="0"/>
              <w:right w:val="single" w:color="auto" w:sz="6" w:space="0"/>
            </w:tcBorders>
          </w:tcPr>
          <w:p>
            <w:pPr>
              <w:pStyle w:val="39"/>
              <w:spacing w:line="360" w:lineRule="auto"/>
              <w:rPr>
                <w:rFonts w:ascii="宋体" w:hAnsi="宋体" w:cs="Arial"/>
                <w:color w:val="auto"/>
                <w:sz w:val="24"/>
              </w:rPr>
            </w:pPr>
          </w:p>
        </w:tc>
        <w:tc>
          <w:tcPr>
            <w:tcW w:w="1383" w:type="dxa"/>
            <w:tcBorders>
              <w:top w:val="single" w:color="auto" w:sz="6" w:space="0"/>
              <w:left w:val="single" w:color="auto" w:sz="6" w:space="0"/>
              <w:bottom w:val="single" w:color="auto" w:sz="6" w:space="0"/>
              <w:right w:val="single" w:color="auto" w:sz="6" w:space="0"/>
            </w:tcBorders>
          </w:tcPr>
          <w:p>
            <w:pPr>
              <w:pStyle w:val="39"/>
              <w:spacing w:line="360" w:lineRule="auto"/>
              <w:rPr>
                <w:rFonts w:ascii="宋体" w:hAnsi="宋体" w:cs="Arial"/>
                <w:color w:val="auto"/>
                <w:sz w:val="24"/>
              </w:rPr>
            </w:pPr>
          </w:p>
        </w:tc>
        <w:tc>
          <w:tcPr>
            <w:tcW w:w="2037" w:type="dxa"/>
            <w:tcBorders>
              <w:top w:val="single" w:color="auto" w:sz="6" w:space="0"/>
              <w:left w:val="single" w:color="auto" w:sz="6" w:space="0"/>
              <w:bottom w:val="single" w:color="auto" w:sz="6" w:space="0"/>
              <w:right w:val="single" w:color="auto" w:sz="6" w:space="0"/>
            </w:tcBorders>
          </w:tcPr>
          <w:p>
            <w:pPr>
              <w:pStyle w:val="39"/>
              <w:spacing w:line="360" w:lineRule="auto"/>
              <w:rPr>
                <w:rFonts w:ascii="宋体" w:hAnsi="宋体" w:cs="Arial"/>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9" w:hRule="atLeast"/>
          <w:jc w:val="center"/>
        </w:trPr>
        <w:tc>
          <w:tcPr>
            <w:tcW w:w="744" w:type="dxa"/>
            <w:tcBorders>
              <w:top w:val="single" w:color="auto" w:sz="6" w:space="0"/>
              <w:left w:val="single" w:color="auto" w:sz="6" w:space="0"/>
              <w:bottom w:val="single" w:color="auto" w:sz="6" w:space="0"/>
              <w:right w:val="single" w:color="auto" w:sz="6" w:space="0"/>
            </w:tcBorders>
          </w:tcPr>
          <w:p>
            <w:pPr>
              <w:pStyle w:val="39"/>
              <w:spacing w:line="360" w:lineRule="auto"/>
              <w:jc w:val="center"/>
              <w:rPr>
                <w:rFonts w:ascii="宋体" w:hAnsi="宋体" w:cs="Arial"/>
                <w:color w:val="auto"/>
                <w:sz w:val="24"/>
              </w:rPr>
            </w:pPr>
            <w:r>
              <w:rPr>
                <w:rFonts w:hint="eastAsia" w:ascii="宋体" w:hAnsi="宋体" w:cs="Arial"/>
                <w:color w:val="auto"/>
                <w:sz w:val="24"/>
              </w:rPr>
              <w:t>3</w:t>
            </w:r>
          </w:p>
        </w:tc>
        <w:tc>
          <w:tcPr>
            <w:tcW w:w="1200" w:type="dxa"/>
            <w:tcBorders>
              <w:top w:val="single" w:color="auto" w:sz="6" w:space="0"/>
              <w:left w:val="single" w:color="auto" w:sz="6" w:space="0"/>
              <w:bottom w:val="single" w:color="auto" w:sz="6" w:space="0"/>
              <w:right w:val="single" w:color="auto" w:sz="6" w:space="0"/>
            </w:tcBorders>
          </w:tcPr>
          <w:p>
            <w:pPr>
              <w:pStyle w:val="39"/>
              <w:spacing w:line="360" w:lineRule="auto"/>
              <w:rPr>
                <w:rFonts w:ascii="宋体" w:hAnsi="宋体" w:cs="Arial"/>
                <w:color w:val="auto"/>
                <w:sz w:val="24"/>
              </w:rPr>
            </w:pPr>
          </w:p>
        </w:tc>
        <w:tc>
          <w:tcPr>
            <w:tcW w:w="1464" w:type="dxa"/>
            <w:tcBorders>
              <w:top w:val="single" w:color="auto" w:sz="6" w:space="0"/>
              <w:left w:val="single" w:color="auto" w:sz="6" w:space="0"/>
              <w:bottom w:val="single" w:color="auto" w:sz="6" w:space="0"/>
              <w:right w:val="single" w:color="auto" w:sz="6" w:space="0"/>
            </w:tcBorders>
          </w:tcPr>
          <w:p>
            <w:pPr>
              <w:pStyle w:val="39"/>
              <w:spacing w:line="360" w:lineRule="auto"/>
              <w:rPr>
                <w:rFonts w:ascii="宋体" w:hAnsi="宋体" w:cs="Arial"/>
                <w:color w:val="auto"/>
                <w:sz w:val="24"/>
              </w:rPr>
            </w:pPr>
          </w:p>
        </w:tc>
        <w:tc>
          <w:tcPr>
            <w:tcW w:w="1260" w:type="dxa"/>
            <w:tcBorders>
              <w:top w:val="single" w:color="auto" w:sz="6" w:space="0"/>
              <w:left w:val="single" w:color="auto" w:sz="6" w:space="0"/>
              <w:bottom w:val="single" w:color="auto" w:sz="6" w:space="0"/>
              <w:right w:val="single" w:color="auto" w:sz="6" w:space="0"/>
            </w:tcBorders>
          </w:tcPr>
          <w:p>
            <w:pPr>
              <w:pStyle w:val="39"/>
              <w:spacing w:line="360" w:lineRule="auto"/>
              <w:rPr>
                <w:rFonts w:ascii="宋体" w:hAnsi="宋体" w:cs="Arial"/>
                <w:color w:val="auto"/>
                <w:sz w:val="24"/>
              </w:rPr>
            </w:pPr>
          </w:p>
        </w:tc>
        <w:tc>
          <w:tcPr>
            <w:tcW w:w="1452" w:type="dxa"/>
            <w:tcBorders>
              <w:top w:val="single" w:color="auto" w:sz="6" w:space="0"/>
              <w:left w:val="single" w:color="auto" w:sz="6" w:space="0"/>
              <w:bottom w:val="single" w:color="auto" w:sz="6" w:space="0"/>
              <w:right w:val="single" w:color="auto" w:sz="6" w:space="0"/>
            </w:tcBorders>
          </w:tcPr>
          <w:p>
            <w:pPr>
              <w:pStyle w:val="39"/>
              <w:spacing w:line="360" w:lineRule="auto"/>
              <w:rPr>
                <w:rFonts w:ascii="宋体" w:hAnsi="宋体" w:cs="Arial"/>
                <w:color w:val="auto"/>
                <w:sz w:val="24"/>
              </w:rPr>
            </w:pPr>
          </w:p>
        </w:tc>
        <w:tc>
          <w:tcPr>
            <w:tcW w:w="1383" w:type="dxa"/>
            <w:tcBorders>
              <w:top w:val="single" w:color="auto" w:sz="6" w:space="0"/>
              <w:left w:val="single" w:color="auto" w:sz="6" w:space="0"/>
              <w:bottom w:val="single" w:color="auto" w:sz="6" w:space="0"/>
              <w:right w:val="single" w:color="auto" w:sz="6" w:space="0"/>
            </w:tcBorders>
          </w:tcPr>
          <w:p>
            <w:pPr>
              <w:pStyle w:val="39"/>
              <w:spacing w:line="360" w:lineRule="auto"/>
              <w:rPr>
                <w:rFonts w:ascii="宋体" w:hAnsi="宋体" w:cs="Arial"/>
                <w:color w:val="auto"/>
                <w:sz w:val="24"/>
              </w:rPr>
            </w:pPr>
          </w:p>
        </w:tc>
        <w:tc>
          <w:tcPr>
            <w:tcW w:w="2037" w:type="dxa"/>
            <w:tcBorders>
              <w:top w:val="single" w:color="auto" w:sz="6" w:space="0"/>
              <w:left w:val="single" w:color="auto" w:sz="6" w:space="0"/>
              <w:bottom w:val="single" w:color="auto" w:sz="6" w:space="0"/>
              <w:right w:val="single" w:color="auto" w:sz="6" w:space="0"/>
            </w:tcBorders>
          </w:tcPr>
          <w:p>
            <w:pPr>
              <w:pStyle w:val="39"/>
              <w:spacing w:line="360" w:lineRule="auto"/>
              <w:rPr>
                <w:rFonts w:ascii="宋体" w:hAnsi="宋体" w:cs="Arial"/>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1" w:hRule="atLeast"/>
          <w:jc w:val="center"/>
        </w:trPr>
        <w:tc>
          <w:tcPr>
            <w:tcW w:w="744" w:type="dxa"/>
            <w:tcBorders>
              <w:top w:val="single" w:color="auto" w:sz="6" w:space="0"/>
              <w:left w:val="single" w:color="auto" w:sz="6" w:space="0"/>
              <w:bottom w:val="single" w:color="auto" w:sz="6" w:space="0"/>
              <w:right w:val="single" w:color="auto" w:sz="6" w:space="0"/>
            </w:tcBorders>
          </w:tcPr>
          <w:p>
            <w:pPr>
              <w:pStyle w:val="39"/>
              <w:spacing w:line="360" w:lineRule="auto"/>
              <w:rPr>
                <w:rFonts w:ascii="宋体" w:hAnsi="宋体" w:cs="Arial"/>
                <w:color w:val="auto"/>
                <w:sz w:val="24"/>
              </w:rPr>
            </w:pPr>
            <w:r>
              <w:rPr>
                <w:rFonts w:hint="eastAsia" w:ascii="宋体" w:hAnsi="宋体" w:cs="Arial"/>
                <w:color w:val="auto"/>
                <w:sz w:val="24"/>
              </w:rPr>
              <w:t>…</w:t>
            </w:r>
          </w:p>
        </w:tc>
        <w:tc>
          <w:tcPr>
            <w:tcW w:w="1200" w:type="dxa"/>
            <w:tcBorders>
              <w:top w:val="single" w:color="auto" w:sz="6" w:space="0"/>
              <w:left w:val="single" w:color="auto" w:sz="6" w:space="0"/>
              <w:bottom w:val="single" w:color="auto" w:sz="6" w:space="0"/>
              <w:right w:val="single" w:color="auto" w:sz="6" w:space="0"/>
            </w:tcBorders>
          </w:tcPr>
          <w:p>
            <w:pPr>
              <w:pStyle w:val="39"/>
              <w:spacing w:line="360" w:lineRule="auto"/>
              <w:rPr>
                <w:rFonts w:ascii="宋体" w:hAnsi="宋体" w:cs="Arial"/>
                <w:color w:val="auto"/>
                <w:sz w:val="24"/>
              </w:rPr>
            </w:pPr>
          </w:p>
        </w:tc>
        <w:tc>
          <w:tcPr>
            <w:tcW w:w="1464" w:type="dxa"/>
            <w:tcBorders>
              <w:top w:val="single" w:color="auto" w:sz="6" w:space="0"/>
              <w:left w:val="single" w:color="auto" w:sz="6" w:space="0"/>
              <w:bottom w:val="single" w:color="auto" w:sz="6" w:space="0"/>
              <w:right w:val="single" w:color="auto" w:sz="6" w:space="0"/>
            </w:tcBorders>
          </w:tcPr>
          <w:p>
            <w:pPr>
              <w:pStyle w:val="39"/>
              <w:spacing w:line="360" w:lineRule="auto"/>
              <w:rPr>
                <w:rFonts w:ascii="宋体" w:hAnsi="宋体" w:cs="Arial"/>
                <w:color w:val="auto"/>
                <w:sz w:val="24"/>
              </w:rPr>
            </w:pPr>
          </w:p>
        </w:tc>
        <w:tc>
          <w:tcPr>
            <w:tcW w:w="1260" w:type="dxa"/>
            <w:tcBorders>
              <w:top w:val="single" w:color="auto" w:sz="6" w:space="0"/>
              <w:left w:val="single" w:color="auto" w:sz="6" w:space="0"/>
              <w:bottom w:val="single" w:color="auto" w:sz="6" w:space="0"/>
              <w:right w:val="single" w:color="auto" w:sz="6" w:space="0"/>
            </w:tcBorders>
          </w:tcPr>
          <w:p>
            <w:pPr>
              <w:pStyle w:val="39"/>
              <w:spacing w:line="360" w:lineRule="auto"/>
              <w:rPr>
                <w:rFonts w:ascii="宋体" w:hAnsi="宋体" w:cs="Arial"/>
                <w:color w:val="auto"/>
                <w:sz w:val="24"/>
              </w:rPr>
            </w:pPr>
          </w:p>
        </w:tc>
        <w:tc>
          <w:tcPr>
            <w:tcW w:w="1452" w:type="dxa"/>
            <w:tcBorders>
              <w:top w:val="single" w:color="auto" w:sz="6" w:space="0"/>
              <w:left w:val="single" w:color="auto" w:sz="6" w:space="0"/>
              <w:bottom w:val="single" w:color="auto" w:sz="6" w:space="0"/>
              <w:right w:val="single" w:color="auto" w:sz="6" w:space="0"/>
            </w:tcBorders>
          </w:tcPr>
          <w:p>
            <w:pPr>
              <w:pStyle w:val="39"/>
              <w:spacing w:line="360" w:lineRule="auto"/>
              <w:rPr>
                <w:rFonts w:ascii="宋体" w:hAnsi="宋体" w:cs="Arial"/>
                <w:color w:val="auto"/>
                <w:sz w:val="24"/>
              </w:rPr>
            </w:pPr>
          </w:p>
        </w:tc>
        <w:tc>
          <w:tcPr>
            <w:tcW w:w="1383" w:type="dxa"/>
            <w:tcBorders>
              <w:top w:val="single" w:color="auto" w:sz="6" w:space="0"/>
              <w:left w:val="single" w:color="auto" w:sz="6" w:space="0"/>
              <w:bottom w:val="single" w:color="auto" w:sz="6" w:space="0"/>
              <w:right w:val="single" w:color="auto" w:sz="6" w:space="0"/>
            </w:tcBorders>
          </w:tcPr>
          <w:p>
            <w:pPr>
              <w:pStyle w:val="39"/>
              <w:spacing w:line="360" w:lineRule="auto"/>
              <w:rPr>
                <w:rFonts w:ascii="宋体" w:hAnsi="宋体" w:cs="Arial"/>
                <w:color w:val="auto"/>
                <w:sz w:val="24"/>
              </w:rPr>
            </w:pPr>
          </w:p>
        </w:tc>
        <w:tc>
          <w:tcPr>
            <w:tcW w:w="2037" w:type="dxa"/>
            <w:tcBorders>
              <w:top w:val="single" w:color="auto" w:sz="6" w:space="0"/>
              <w:left w:val="single" w:color="auto" w:sz="6" w:space="0"/>
              <w:bottom w:val="single" w:color="auto" w:sz="6" w:space="0"/>
              <w:right w:val="single" w:color="auto" w:sz="6" w:space="0"/>
            </w:tcBorders>
          </w:tcPr>
          <w:p>
            <w:pPr>
              <w:pStyle w:val="39"/>
              <w:spacing w:line="360" w:lineRule="auto"/>
              <w:rPr>
                <w:rFonts w:ascii="宋体" w:hAnsi="宋体" w:cs="Arial"/>
                <w:color w:val="auto"/>
                <w:sz w:val="24"/>
              </w:rPr>
            </w:pPr>
          </w:p>
        </w:tc>
      </w:tr>
    </w:tbl>
    <w:p>
      <w:pPr>
        <w:spacing w:line="360" w:lineRule="auto"/>
        <w:rPr>
          <w:rFonts w:ascii="宋体" w:hAnsi="宋体" w:eastAsia="宋体" w:cs="宋体"/>
          <w:bCs/>
          <w:color w:val="auto"/>
          <w:kern w:val="0"/>
          <w:sz w:val="21"/>
          <w:szCs w:val="21"/>
        </w:rPr>
      </w:pPr>
      <w:r>
        <w:rPr>
          <w:rFonts w:hint="eastAsia" w:ascii="宋体" w:hAnsi="宋体" w:eastAsia="宋体" w:cs="宋体"/>
          <w:bCs/>
          <w:color w:val="auto"/>
          <w:kern w:val="0"/>
          <w:sz w:val="21"/>
          <w:szCs w:val="21"/>
        </w:rPr>
        <w:t>注：1、表中业绩参照“第四部分 评标办法及评分标准”中要求提供，并附上每个业绩相关材料；</w:t>
      </w:r>
    </w:p>
    <w:p>
      <w:pPr>
        <w:numPr>
          <w:ilvl w:val="0"/>
          <w:numId w:val="10"/>
        </w:numPr>
        <w:spacing w:line="360" w:lineRule="auto"/>
        <w:ind w:firstLine="420" w:firstLineChars="200"/>
        <w:rPr>
          <w:rFonts w:ascii="宋体" w:hAnsi="宋体" w:eastAsia="宋体" w:cs="宋体"/>
          <w:bCs/>
          <w:color w:val="auto"/>
          <w:kern w:val="0"/>
          <w:sz w:val="21"/>
          <w:szCs w:val="21"/>
        </w:rPr>
      </w:pPr>
      <w:r>
        <w:rPr>
          <w:rFonts w:hint="eastAsia" w:ascii="宋体" w:hAnsi="宋体" w:eastAsia="宋体" w:cs="宋体"/>
          <w:bCs/>
          <w:color w:val="auto"/>
          <w:kern w:val="0"/>
          <w:sz w:val="21"/>
          <w:szCs w:val="21"/>
        </w:rPr>
        <w:t>供应商承诺提供的上述业绩相关材料真实不假，否则作为磋商响应文件提供虚假材料，按照采购文件相关条款处理，承担一切责任。</w:t>
      </w:r>
    </w:p>
    <w:p>
      <w:pPr>
        <w:adjustRightInd w:val="0"/>
        <w:snapToGrid w:val="0"/>
        <w:spacing w:line="360" w:lineRule="auto"/>
        <w:ind w:firstLine="4680" w:firstLineChars="1950"/>
        <w:rPr>
          <w:rFonts w:ascii="宋体" w:hAnsi="宋体" w:eastAsia="宋体" w:cs="宋体"/>
          <w:color w:val="auto"/>
          <w:kern w:val="0"/>
          <w:sz w:val="21"/>
          <w:szCs w:val="21"/>
          <w:lang w:val="zh-CN"/>
        </w:rPr>
      </w:pPr>
      <w:r>
        <w:rPr>
          <w:rFonts w:hint="eastAsia" w:ascii="宋体" w:hAnsi="宋体" w:eastAsia="宋体" w:cs="宋体"/>
          <w:color w:val="auto"/>
          <w:sz w:val="24"/>
        </w:rPr>
        <w:t xml:space="preserve">      </w:t>
      </w:r>
      <w:r>
        <w:rPr>
          <w:rFonts w:hint="eastAsia" w:ascii="宋体" w:hAnsi="宋体" w:eastAsia="宋体" w:cs="宋体"/>
          <w:color w:val="auto"/>
          <w:kern w:val="0"/>
          <w:sz w:val="21"/>
          <w:szCs w:val="21"/>
          <w:lang w:val="zh-CN"/>
        </w:rPr>
        <w:t>磋商供应商(公章)：</w:t>
      </w:r>
    </w:p>
    <w:p>
      <w:pPr>
        <w:adjustRightInd w:val="0"/>
        <w:snapToGrid w:val="0"/>
        <w:spacing w:line="360" w:lineRule="auto"/>
        <w:rPr>
          <w:rFonts w:ascii="宋体" w:hAnsi="宋体" w:eastAsia="宋体" w:cs="宋体"/>
          <w:color w:val="auto"/>
          <w:kern w:val="0"/>
          <w:sz w:val="21"/>
          <w:szCs w:val="21"/>
          <w:lang w:val="zh-CN"/>
        </w:rPr>
      </w:pPr>
      <w:r>
        <w:rPr>
          <w:rFonts w:hint="eastAsia" w:ascii="宋体" w:hAnsi="宋体" w:eastAsia="宋体" w:cs="宋体"/>
          <w:color w:val="auto"/>
          <w:kern w:val="0"/>
          <w:sz w:val="21"/>
          <w:szCs w:val="21"/>
          <w:lang w:val="zh-CN"/>
        </w:rPr>
        <w:t xml:space="preserve">                                 法定代表人或授权委托人(签字</w:t>
      </w:r>
      <w:r>
        <w:rPr>
          <w:rFonts w:hint="eastAsia" w:ascii="宋体" w:hAnsi="宋体" w:eastAsia="宋体" w:cs="宋体"/>
          <w:color w:val="auto"/>
          <w:kern w:val="0"/>
          <w:sz w:val="21"/>
          <w:szCs w:val="21"/>
        </w:rPr>
        <w:t>或盖章</w:t>
      </w:r>
      <w:r>
        <w:rPr>
          <w:rFonts w:hint="eastAsia" w:ascii="宋体" w:hAnsi="宋体" w:eastAsia="宋体" w:cs="宋体"/>
          <w:color w:val="auto"/>
          <w:kern w:val="0"/>
          <w:sz w:val="21"/>
          <w:szCs w:val="21"/>
          <w:lang w:val="zh-CN"/>
        </w:rPr>
        <w:t>)：</w:t>
      </w:r>
    </w:p>
    <w:p>
      <w:pPr>
        <w:pStyle w:val="12"/>
        <w:adjustRightInd w:val="0"/>
        <w:snapToGrid w:val="0"/>
        <w:spacing w:before="120" w:after="120" w:line="360" w:lineRule="auto"/>
        <w:jc w:val="center"/>
        <w:rPr>
          <w:rFonts w:hAnsi="宋体" w:eastAsia="宋体" w:cs="宋体"/>
          <w:color w:val="auto"/>
          <w:kern w:val="0"/>
          <w:szCs w:val="21"/>
          <w:lang w:val="zh-CN"/>
        </w:rPr>
      </w:pPr>
      <w:r>
        <w:rPr>
          <w:rFonts w:hint="eastAsia" w:hAnsi="宋体" w:eastAsia="宋体" w:cs="宋体"/>
          <w:color w:val="auto"/>
          <w:kern w:val="0"/>
          <w:szCs w:val="21"/>
          <w:lang w:val="zh-CN"/>
        </w:rPr>
        <w:t xml:space="preserve">                                  日期：</w:t>
      </w:r>
      <w:r>
        <w:rPr>
          <w:rFonts w:hint="eastAsia" w:hAnsi="宋体" w:eastAsia="宋体" w:cs="宋体"/>
          <w:color w:val="auto"/>
          <w:kern w:val="0"/>
          <w:szCs w:val="21"/>
        </w:rPr>
        <w:t xml:space="preserve">       </w:t>
      </w:r>
      <w:r>
        <w:rPr>
          <w:rFonts w:hint="eastAsia" w:hAnsi="宋体" w:eastAsia="宋体" w:cs="宋体"/>
          <w:color w:val="auto"/>
          <w:kern w:val="0"/>
          <w:szCs w:val="21"/>
          <w:lang w:val="zh-CN"/>
        </w:rPr>
        <w:t>年  月   日</w:t>
      </w:r>
    </w:p>
    <w:p>
      <w:pPr>
        <w:pStyle w:val="5"/>
        <w:spacing w:before="240" w:beforeLines="100" w:after="0" w:line="360" w:lineRule="auto"/>
        <w:rPr>
          <w:rFonts w:ascii="宋体" w:hAnsi="宋体" w:eastAsia="宋体"/>
          <w:bCs w:val="0"/>
          <w:color w:val="auto"/>
          <w:lang w:val="zh-CN"/>
        </w:rPr>
      </w:pPr>
    </w:p>
    <w:p>
      <w:pPr>
        <w:spacing w:line="450" w:lineRule="atLeast"/>
        <w:rPr>
          <w:rFonts w:ascii="宋体" w:hAnsi="宋体" w:eastAsia="宋体" w:cs="宋体"/>
          <w:b/>
          <w:color w:val="auto"/>
          <w:sz w:val="21"/>
          <w:szCs w:val="21"/>
        </w:rPr>
      </w:pPr>
    </w:p>
    <w:p>
      <w:pPr>
        <w:rPr>
          <w:rFonts w:ascii="宋体" w:hAnsi="宋体" w:eastAsia="宋体" w:cs="宋体"/>
          <w:b/>
          <w:color w:val="auto"/>
          <w:sz w:val="24"/>
        </w:rPr>
      </w:pPr>
    </w:p>
    <w:p>
      <w:pPr>
        <w:pStyle w:val="12"/>
        <w:adjustRightInd w:val="0"/>
        <w:snapToGrid w:val="0"/>
        <w:spacing w:before="156" w:after="156"/>
        <w:rPr>
          <w:rFonts w:hAnsi="宋体" w:eastAsia="宋体" w:cs="宋体"/>
          <w:b/>
          <w:bCs/>
          <w:color w:val="auto"/>
          <w:sz w:val="24"/>
          <w:szCs w:val="24"/>
        </w:rPr>
      </w:pPr>
      <w:bookmarkStart w:id="623" w:name="_Toc528578415"/>
      <w:bookmarkStart w:id="624" w:name="_Toc528927457"/>
    </w:p>
    <w:p>
      <w:pPr>
        <w:pStyle w:val="12"/>
        <w:adjustRightInd w:val="0"/>
        <w:snapToGrid w:val="0"/>
        <w:spacing w:before="156" w:after="156"/>
        <w:rPr>
          <w:rFonts w:hAnsi="宋体" w:eastAsia="宋体" w:cs="宋体"/>
          <w:b/>
          <w:bCs/>
          <w:color w:val="auto"/>
          <w:sz w:val="24"/>
          <w:szCs w:val="24"/>
        </w:rPr>
      </w:pPr>
    </w:p>
    <w:p>
      <w:pPr>
        <w:pStyle w:val="12"/>
        <w:adjustRightInd w:val="0"/>
        <w:snapToGrid w:val="0"/>
        <w:spacing w:before="156" w:after="156"/>
        <w:rPr>
          <w:rFonts w:hAnsi="宋体" w:eastAsia="宋体" w:cs="宋体"/>
          <w:b/>
          <w:bCs/>
          <w:color w:val="auto"/>
          <w:sz w:val="24"/>
          <w:szCs w:val="24"/>
        </w:rPr>
      </w:pPr>
    </w:p>
    <w:p>
      <w:pPr>
        <w:pStyle w:val="12"/>
        <w:adjustRightInd w:val="0"/>
        <w:snapToGrid w:val="0"/>
        <w:spacing w:before="156" w:after="156"/>
        <w:rPr>
          <w:rFonts w:hAnsi="宋体" w:eastAsia="宋体" w:cs="宋体"/>
          <w:b/>
          <w:bCs/>
          <w:color w:val="auto"/>
          <w:sz w:val="24"/>
          <w:szCs w:val="24"/>
        </w:rPr>
      </w:pPr>
    </w:p>
    <w:p>
      <w:pPr>
        <w:pStyle w:val="12"/>
        <w:adjustRightInd w:val="0"/>
        <w:snapToGrid w:val="0"/>
        <w:spacing w:before="156" w:after="156"/>
        <w:rPr>
          <w:rFonts w:hAnsi="宋体" w:eastAsia="宋体" w:cs="宋体"/>
          <w:b/>
          <w:bCs/>
          <w:color w:val="auto"/>
          <w:sz w:val="24"/>
          <w:szCs w:val="24"/>
        </w:rPr>
      </w:pPr>
    </w:p>
    <w:p>
      <w:pPr>
        <w:pStyle w:val="12"/>
        <w:adjustRightInd w:val="0"/>
        <w:snapToGrid w:val="0"/>
        <w:spacing w:before="156" w:after="156"/>
        <w:rPr>
          <w:rFonts w:hAnsi="宋体" w:eastAsia="宋体" w:cs="宋体"/>
          <w:b/>
          <w:bCs/>
          <w:color w:val="auto"/>
          <w:sz w:val="24"/>
          <w:szCs w:val="24"/>
        </w:rPr>
      </w:pPr>
    </w:p>
    <w:p>
      <w:pPr>
        <w:pStyle w:val="12"/>
        <w:adjustRightInd w:val="0"/>
        <w:snapToGrid w:val="0"/>
        <w:spacing w:before="156" w:after="156"/>
        <w:rPr>
          <w:rFonts w:hAnsi="宋体" w:eastAsia="宋体" w:cs="宋体"/>
          <w:b/>
          <w:bCs/>
          <w:color w:val="auto"/>
          <w:sz w:val="24"/>
          <w:szCs w:val="24"/>
        </w:rPr>
      </w:pPr>
    </w:p>
    <w:p>
      <w:pPr>
        <w:pStyle w:val="12"/>
        <w:adjustRightInd w:val="0"/>
        <w:snapToGrid w:val="0"/>
        <w:spacing w:before="156" w:after="156"/>
        <w:rPr>
          <w:rFonts w:hAnsi="宋体" w:eastAsia="宋体" w:cs="宋体"/>
          <w:b/>
          <w:bCs/>
          <w:color w:val="auto"/>
          <w:sz w:val="24"/>
          <w:szCs w:val="24"/>
        </w:rPr>
      </w:pPr>
    </w:p>
    <w:p>
      <w:pPr>
        <w:pStyle w:val="12"/>
        <w:adjustRightInd w:val="0"/>
        <w:snapToGrid w:val="0"/>
        <w:spacing w:before="156" w:after="156"/>
        <w:rPr>
          <w:rFonts w:hAnsi="宋体" w:eastAsia="宋体" w:cs="宋体"/>
          <w:b/>
          <w:bCs/>
          <w:color w:val="auto"/>
          <w:sz w:val="24"/>
          <w:szCs w:val="24"/>
        </w:rPr>
      </w:pPr>
    </w:p>
    <w:p>
      <w:pPr>
        <w:pStyle w:val="12"/>
        <w:spacing w:line="360" w:lineRule="auto"/>
        <w:jc w:val="left"/>
        <w:rPr>
          <w:rFonts w:hAnsi="宋体" w:cs="宋体"/>
          <w:b/>
          <w:color w:val="auto"/>
          <w:sz w:val="24"/>
          <w:szCs w:val="24"/>
        </w:rPr>
      </w:pPr>
      <w:bookmarkStart w:id="625" w:name="_Toc28261_WPSOffice_Level2"/>
      <w:bookmarkStart w:id="626" w:name="_Toc8165"/>
      <w:bookmarkStart w:id="627" w:name="_Toc10701_WPSOffice_Level2"/>
      <w:bookmarkStart w:id="628" w:name="_Toc10163_WPSOffice_Level2"/>
    </w:p>
    <w:p>
      <w:pPr>
        <w:pStyle w:val="12"/>
        <w:spacing w:line="360" w:lineRule="auto"/>
        <w:jc w:val="left"/>
        <w:rPr>
          <w:rFonts w:hAnsi="宋体" w:eastAsia="宋体" w:cs="宋体"/>
          <w:b/>
          <w:color w:val="auto"/>
          <w:sz w:val="24"/>
          <w:szCs w:val="24"/>
        </w:rPr>
      </w:pPr>
      <w:r>
        <w:rPr>
          <w:rFonts w:hint="eastAsia" w:hAnsi="宋体" w:cs="宋体"/>
          <w:b/>
          <w:color w:val="auto"/>
          <w:sz w:val="24"/>
          <w:szCs w:val="24"/>
        </w:rPr>
        <w:t>附表</w:t>
      </w:r>
      <w:r>
        <w:rPr>
          <w:rFonts w:hint="eastAsia" w:hAnsi="宋体" w:eastAsia="宋体" w:cs="宋体"/>
          <w:b/>
          <w:color w:val="auto"/>
          <w:sz w:val="24"/>
          <w:szCs w:val="24"/>
        </w:rPr>
        <w:t>十二</w:t>
      </w:r>
      <w:r>
        <w:rPr>
          <w:rFonts w:hint="eastAsia" w:hAnsi="宋体" w:cs="宋体"/>
          <w:b/>
          <w:color w:val="auto"/>
          <w:sz w:val="24"/>
          <w:szCs w:val="24"/>
        </w:rPr>
        <w:t>：</w:t>
      </w:r>
      <w:bookmarkEnd w:id="625"/>
      <w:bookmarkEnd w:id="626"/>
      <w:bookmarkEnd w:id="627"/>
      <w:bookmarkEnd w:id="628"/>
      <w:r>
        <w:rPr>
          <w:rFonts w:hint="eastAsia" w:hAnsi="宋体" w:eastAsia="宋体" w:cs="宋体"/>
          <w:b/>
          <w:color w:val="auto"/>
          <w:sz w:val="24"/>
          <w:szCs w:val="24"/>
        </w:rPr>
        <w:t xml:space="preserve">                 </w:t>
      </w:r>
    </w:p>
    <w:p>
      <w:pPr>
        <w:pStyle w:val="12"/>
        <w:spacing w:line="360" w:lineRule="auto"/>
        <w:jc w:val="center"/>
        <w:rPr>
          <w:rFonts w:hAnsi="宋体" w:eastAsia="宋体" w:cs="宋体" w:asciiTheme="minorHAnsi"/>
          <w:b/>
          <w:color w:val="auto"/>
          <w:sz w:val="32"/>
          <w:szCs w:val="32"/>
        </w:rPr>
      </w:pPr>
      <w:r>
        <w:rPr>
          <w:rFonts w:hint="eastAsia" w:hAnsi="宋体" w:eastAsia="宋体" w:cs="宋体" w:asciiTheme="minorHAnsi"/>
          <w:b/>
          <w:color w:val="auto"/>
          <w:sz w:val="32"/>
          <w:szCs w:val="32"/>
        </w:rPr>
        <w:t>项目负责人简历表</w:t>
      </w:r>
    </w:p>
    <w:tbl>
      <w:tblPr>
        <w:tblStyle w:val="24"/>
        <w:tblW w:w="94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9"/>
        <w:gridCol w:w="1550"/>
        <w:gridCol w:w="1549"/>
        <w:gridCol w:w="1686"/>
        <w:gridCol w:w="1550"/>
        <w:gridCol w:w="1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549" w:type="dxa"/>
            <w:vAlign w:val="center"/>
          </w:tcPr>
          <w:p>
            <w:pPr>
              <w:spacing w:line="240" w:lineRule="atLeast"/>
              <w:jc w:val="center"/>
              <w:rPr>
                <w:rFonts w:ascii="宋体" w:hAnsi="宋体" w:eastAsia="宋体" w:cs="宋体"/>
                <w:color w:val="auto"/>
                <w:sz w:val="21"/>
                <w:szCs w:val="21"/>
              </w:rPr>
            </w:pPr>
            <w:r>
              <w:rPr>
                <w:rFonts w:hint="eastAsia" w:ascii="宋体" w:hAnsi="宋体" w:eastAsia="宋体" w:cs="宋体"/>
                <w:color w:val="auto"/>
                <w:sz w:val="21"/>
                <w:szCs w:val="21"/>
              </w:rPr>
              <w:t>姓名</w:t>
            </w:r>
          </w:p>
        </w:tc>
        <w:tc>
          <w:tcPr>
            <w:tcW w:w="1550" w:type="dxa"/>
            <w:vAlign w:val="center"/>
          </w:tcPr>
          <w:p>
            <w:pPr>
              <w:spacing w:line="240" w:lineRule="atLeast"/>
              <w:jc w:val="center"/>
              <w:rPr>
                <w:rFonts w:ascii="宋体" w:hAnsi="宋体" w:eastAsia="宋体" w:cs="宋体"/>
                <w:color w:val="auto"/>
                <w:sz w:val="21"/>
                <w:szCs w:val="21"/>
              </w:rPr>
            </w:pPr>
          </w:p>
        </w:tc>
        <w:tc>
          <w:tcPr>
            <w:tcW w:w="1549" w:type="dxa"/>
            <w:vAlign w:val="center"/>
          </w:tcPr>
          <w:p>
            <w:pPr>
              <w:spacing w:line="240" w:lineRule="atLeast"/>
              <w:jc w:val="center"/>
              <w:rPr>
                <w:rFonts w:ascii="宋体" w:hAnsi="宋体" w:eastAsia="宋体" w:cs="宋体"/>
                <w:color w:val="auto"/>
                <w:sz w:val="21"/>
                <w:szCs w:val="21"/>
              </w:rPr>
            </w:pPr>
            <w:r>
              <w:rPr>
                <w:rFonts w:hint="eastAsia" w:ascii="宋体" w:hAnsi="宋体" w:eastAsia="宋体" w:cs="宋体"/>
                <w:color w:val="auto"/>
                <w:sz w:val="21"/>
                <w:szCs w:val="21"/>
              </w:rPr>
              <w:t>性别</w:t>
            </w:r>
          </w:p>
        </w:tc>
        <w:tc>
          <w:tcPr>
            <w:tcW w:w="1686" w:type="dxa"/>
            <w:vAlign w:val="center"/>
          </w:tcPr>
          <w:p>
            <w:pPr>
              <w:spacing w:line="240" w:lineRule="atLeast"/>
              <w:jc w:val="center"/>
              <w:rPr>
                <w:rFonts w:ascii="宋体" w:hAnsi="宋体" w:eastAsia="宋体" w:cs="宋体"/>
                <w:color w:val="auto"/>
                <w:sz w:val="21"/>
                <w:szCs w:val="21"/>
              </w:rPr>
            </w:pPr>
          </w:p>
        </w:tc>
        <w:tc>
          <w:tcPr>
            <w:tcW w:w="1550" w:type="dxa"/>
            <w:vAlign w:val="center"/>
          </w:tcPr>
          <w:p>
            <w:pPr>
              <w:spacing w:line="240" w:lineRule="atLeast"/>
              <w:jc w:val="center"/>
              <w:rPr>
                <w:rFonts w:ascii="宋体" w:hAnsi="宋体" w:eastAsia="宋体" w:cs="宋体"/>
                <w:color w:val="auto"/>
                <w:sz w:val="21"/>
                <w:szCs w:val="21"/>
              </w:rPr>
            </w:pPr>
            <w:r>
              <w:rPr>
                <w:rFonts w:hint="eastAsia" w:ascii="宋体" w:hAnsi="宋体" w:eastAsia="宋体" w:cs="宋体"/>
                <w:color w:val="auto"/>
                <w:sz w:val="21"/>
                <w:szCs w:val="21"/>
              </w:rPr>
              <w:t>年龄</w:t>
            </w:r>
          </w:p>
        </w:tc>
        <w:tc>
          <w:tcPr>
            <w:tcW w:w="1551" w:type="dxa"/>
            <w:vAlign w:val="center"/>
          </w:tcPr>
          <w:p>
            <w:pPr>
              <w:spacing w:line="240" w:lineRule="atLeast"/>
              <w:jc w:val="center"/>
              <w:rPr>
                <w:rFonts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549" w:type="dxa"/>
            <w:vAlign w:val="center"/>
          </w:tcPr>
          <w:p>
            <w:pPr>
              <w:spacing w:line="240" w:lineRule="atLeast"/>
              <w:jc w:val="center"/>
              <w:rPr>
                <w:rFonts w:ascii="宋体" w:hAnsi="宋体" w:eastAsia="宋体" w:cs="宋体"/>
                <w:color w:val="auto"/>
                <w:sz w:val="21"/>
                <w:szCs w:val="21"/>
              </w:rPr>
            </w:pPr>
            <w:r>
              <w:rPr>
                <w:rFonts w:hint="eastAsia" w:ascii="宋体" w:hAnsi="宋体" w:eastAsia="宋体" w:cs="宋体"/>
                <w:color w:val="auto"/>
                <w:sz w:val="21"/>
                <w:szCs w:val="21"/>
              </w:rPr>
              <w:t>职务</w:t>
            </w:r>
          </w:p>
        </w:tc>
        <w:tc>
          <w:tcPr>
            <w:tcW w:w="1550" w:type="dxa"/>
            <w:vAlign w:val="center"/>
          </w:tcPr>
          <w:p>
            <w:pPr>
              <w:spacing w:line="240" w:lineRule="atLeast"/>
              <w:jc w:val="center"/>
              <w:rPr>
                <w:rFonts w:ascii="宋体" w:hAnsi="宋体" w:eastAsia="宋体" w:cs="宋体"/>
                <w:color w:val="auto"/>
                <w:sz w:val="21"/>
                <w:szCs w:val="21"/>
              </w:rPr>
            </w:pPr>
          </w:p>
        </w:tc>
        <w:tc>
          <w:tcPr>
            <w:tcW w:w="1549" w:type="dxa"/>
            <w:vAlign w:val="center"/>
          </w:tcPr>
          <w:p>
            <w:pPr>
              <w:spacing w:line="240" w:lineRule="atLeast"/>
              <w:jc w:val="center"/>
              <w:rPr>
                <w:rFonts w:ascii="宋体" w:hAnsi="宋体" w:eastAsia="宋体" w:cs="宋体"/>
                <w:color w:val="auto"/>
                <w:sz w:val="21"/>
                <w:szCs w:val="21"/>
              </w:rPr>
            </w:pPr>
            <w:r>
              <w:rPr>
                <w:rFonts w:hint="eastAsia" w:ascii="宋体" w:hAnsi="宋体" w:eastAsia="宋体" w:cs="宋体"/>
                <w:color w:val="auto"/>
                <w:sz w:val="21"/>
                <w:szCs w:val="21"/>
              </w:rPr>
              <w:t>职称</w:t>
            </w:r>
          </w:p>
        </w:tc>
        <w:tc>
          <w:tcPr>
            <w:tcW w:w="1686" w:type="dxa"/>
            <w:vAlign w:val="center"/>
          </w:tcPr>
          <w:p>
            <w:pPr>
              <w:spacing w:line="240" w:lineRule="atLeast"/>
              <w:jc w:val="center"/>
              <w:rPr>
                <w:rFonts w:ascii="宋体" w:hAnsi="宋体" w:eastAsia="宋体" w:cs="宋体"/>
                <w:color w:val="auto"/>
                <w:sz w:val="21"/>
                <w:szCs w:val="21"/>
              </w:rPr>
            </w:pPr>
          </w:p>
        </w:tc>
        <w:tc>
          <w:tcPr>
            <w:tcW w:w="1550" w:type="dxa"/>
            <w:vAlign w:val="center"/>
          </w:tcPr>
          <w:p>
            <w:pPr>
              <w:spacing w:line="240" w:lineRule="atLeast"/>
              <w:jc w:val="center"/>
              <w:rPr>
                <w:rFonts w:ascii="宋体" w:hAnsi="宋体" w:eastAsia="宋体" w:cs="宋体"/>
                <w:color w:val="auto"/>
                <w:sz w:val="21"/>
                <w:szCs w:val="21"/>
              </w:rPr>
            </w:pPr>
            <w:r>
              <w:rPr>
                <w:rFonts w:hint="eastAsia" w:ascii="宋体" w:hAnsi="宋体" w:eastAsia="宋体" w:cs="宋体"/>
                <w:color w:val="auto"/>
                <w:sz w:val="21"/>
                <w:szCs w:val="21"/>
              </w:rPr>
              <w:t>学历</w:t>
            </w:r>
          </w:p>
        </w:tc>
        <w:tc>
          <w:tcPr>
            <w:tcW w:w="1551" w:type="dxa"/>
            <w:vAlign w:val="center"/>
          </w:tcPr>
          <w:p>
            <w:pPr>
              <w:spacing w:line="240" w:lineRule="atLeast"/>
              <w:jc w:val="center"/>
              <w:rPr>
                <w:rFonts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3099" w:type="dxa"/>
            <w:gridSpan w:val="2"/>
            <w:vAlign w:val="center"/>
          </w:tcPr>
          <w:p>
            <w:pPr>
              <w:spacing w:line="240" w:lineRule="atLeast"/>
              <w:jc w:val="center"/>
              <w:rPr>
                <w:rFonts w:ascii="宋体" w:hAnsi="宋体" w:eastAsia="宋体" w:cs="宋体"/>
                <w:color w:val="auto"/>
                <w:sz w:val="21"/>
                <w:szCs w:val="21"/>
              </w:rPr>
            </w:pPr>
            <w:r>
              <w:rPr>
                <w:rFonts w:hint="eastAsia" w:ascii="宋体" w:hAnsi="宋体" w:eastAsia="宋体" w:cs="宋体"/>
                <w:color w:val="auto"/>
                <w:sz w:val="21"/>
                <w:szCs w:val="21"/>
              </w:rPr>
              <w:t>参加工作时间</w:t>
            </w:r>
          </w:p>
        </w:tc>
        <w:tc>
          <w:tcPr>
            <w:tcW w:w="1549" w:type="dxa"/>
            <w:vAlign w:val="center"/>
          </w:tcPr>
          <w:p>
            <w:pPr>
              <w:spacing w:line="240" w:lineRule="atLeast"/>
              <w:jc w:val="center"/>
              <w:rPr>
                <w:rFonts w:ascii="宋体" w:hAnsi="宋体" w:eastAsia="宋体" w:cs="宋体"/>
                <w:color w:val="auto"/>
                <w:sz w:val="21"/>
                <w:szCs w:val="21"/>
              </w:rPr>
            </w:pPr>
          </w:p>
        </w:tc>
        <w:tc>
          <w:tcPr>
            <w:tcW w:w="3236" w:type="dxa"/>
            <w:gridSpan w:val="2"/>
            <w:vAlign w:val="center"/>
          </w:tcPr>
          <w:p>
            <w:pPr>
              <w:spacing w:line="240" w:lineRule="atLeast"/>
              <w:jc w:val="center"/>
              <w:rPr>
                <w:rFonts w:ascii="宋体" w:hAnsi="宋体" w:eastAsia="宋体" w:cs="宋体"/>
                <w:color w:val="auto"/>
                <w:sz w:val="21"/>
                <w:szCs w:val="21"/>
              </w:rPr>
            </w:pPr>
            <w:r>
              <w:rPr>
                <w:rFonts w:hint="eastAsia" w:ascii="宋体" w:hAnsi="宋体" w:eastAsia="宋体" w:cs="宋体"/>
                <w:color w:val="auto"/>
                <w:sz w:val="21"/>
                <w:szCs w:val="21"/>
              </w:rPr>
              <w:t>从事项目负责人年限</w:t>
            </w:r>
          </w:p>
        </w:tc>
        <w:tc>
          <w:tcPr>
            <w:tcW w:w="1551" w:type="dxa"/>
            <w:vAlign w:val="center"/>
          </w:tcPr>
          <w:p>
            <w:pPr>
              <w:spacing w:line="240" w:lineRule="atLeast"/>
              <w:jc w:val="center"/>
              <w:rPr>
                <w:rFonts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3099" w:type="dxa"/>
            <w:gridSpan w:val="2"/>
            <w:vAlign w:val="center"/>
          </w:tcPr>
          <w:p>
            <w:pPr>
              <w:spacing w:line="240" w:lineRule="atLeast"/>
              <w:jc w:val="center"/>
              <w:rPr>
                <w:rFonts w:ascii="宋体" w:hAnsi="宋体" w:eastAsia="宋体" w:cs="宋体"/>
                <w:color w:val="auto"/>
                <w:sz w:val="21"/>
                <w:szCs w:val="21"/>
              </w:rPr>
            </w:pPr>
            <w:r>
              <w:rPr>
                <w:rFonts w:hint="eastAsia" w:ascii="宋体" w:hAnsi="宋体" w:eastAsia="宋体" w:cs="宋体"/>
                <w:color w:val="auto"/>
                <w:sz w:val="21"/>
                <w:szCs w:val="21"/>
              </w:rPr>
              <w:t>项目负责人资格证书编号</w:t>
            </w:r>
          </w:p>
        </w:tc>
        <w:tc>
          <w:tcPr>
            <w:tcW w:w="6336" w:type="dxa"/>
            <w:gridSpan w:val="4"/>
            <w:vAlign w:val="center"/>
          </w:tcPr>
          <w:p>
            <w:pPr>
              <w:spacing w:line="240" w:lineRule="atLeast"/>
              <w:jc w:val="center"/>
              <w:rPr>
                <w:rFonts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9435" w:type="dxa"/>
            <w:gridSpan w:val="6"/>
            <w:vAlign w:val="center"/>
          </w:tcPr>
          <w:p>
            <w:pPr>
              <w:spacing w:line="240" w:lineRule="atLeast"/>
              <w:jc w:val="center"/>
              <w:rPr>
                <w:rFonts w:ascii="宋体" w:hAnsi="宋体" w:eastAsia="宋体" w:cs="宋体"/>
                <w:color w:val="auto"/>
                <w:sz w:val="21"/>
                <w:szCs w:val="21"/>
              </w:rPr>
            </w:pPr>
            <w:r>
              <w:rPr>
                <w:rFonts w:hint="eastAsia" w:ascii="宋体" w:hAnsi="宋体" w:eastAsia="宋体" w:cs="宋体"/>
                <w:color w:val="auto"/>
                <w:sz w:val="21"/>
                <w:szCs w:val="21"/>
              </w:rPr>
              <w:t>项目负责人类似业绩一览表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549" w:type="dxa"/>
            <w:vAlign w:val="center"/>
          </w:tcPr>
          <w:p>
            <w:pPr>
              <w:spacing w:line="240" w:lineRule="atLeast"/>
              <w:jc w:val="center"/>
              <w:rPr>
                <w:rFonts w:ascii="宋体" w:hAnsi="宋体" w:eastAsia="宋体" w:cs="宋体"/>
                <w:color w:val="auto"/>
                <w:sz w:val="21"/>
                <w:szCs w:val="21"/>
              </w:rPr>
            </w:pPr>
            <w:r>
              <w:rPr>
                <w:rFonts w:hint="eastAsia" w:ascii="宋体" w:hAnsi="宋体" w:eastAsia="宋体" w:cs="宋体"/>
                <w:color w:val="auto"/>
                <w:sz w:val="21"/>
                <w:szCs w:val="21"/>
              </w:rPr>
              <w:t>序号</w:t>
            </w:r>
          </w:p>
        </w:tc>
        <w:tc>
          <w:tcPr>
            <w:tcW w:w="1550" w:type="dxa"/>
            <w:vAlign w:val="center"/>
          </w:tcPr>
          <w:p>
            <w:pPr>
              <w:spacing w:line="240" w:lineRule="atLeast"/>
              <w:jc w:val="center"/>
              <w:rPr>
                <w:rFonts w:ascii="宋体" w:hAnsi="宋体" w:eastAsia="宋体" w:cs="宋体"/>
                <w:color w:val="auto"/>
                <w:sz w:val="21"/>
                <w:szCs w:val="21"/>
              </w:rPr>
            </w:pPr>
            <w:r>
              <w:rPr>
                <w:rFonts w:hint="eastAsia" w:ascii="宋体" w:hAnsi="宋体" w:eastAsia="宋体" w:cs="宋体"/>
                <w:color w:val="auto"/>
                <w:sz w:val="21"/>
                <w:szCs w:val="21"/>
              </w:rPr>
              <w:t>项目名称</w:t>
            </w:r>
          </w:p>
        </w:tc>
        <w:tc>
          <w:tcPr>
            <w:tcW w:w="1549" w:type="dxa"/>
            <w:vAlign w:val="center"/>
          </w:tcPr>
          <w:p>
            <w:pPr>
              <w:spacing w:line="240" w:lineRule="atLeast"/>
              <w:jc w:val="center"/>
              <w:rPr>
                <w:rFonts w:ascii="宋体" w:hAnsi="宋体" w:eastAsia="宋体" w:cs="宋体"/>
                <w:color w:val="auto"/>
                <w:sz w:val="21"/>
                <w:szCs w:val="21"/>
              </w:rPr>
            </w:pPr>
            <w:r>
              <w:rPr>
                <w:rFonts w:hint="eastAsia" w:ascii="宋体" w:hAnsi="宋体" w:eastAsia="宋体" w:cs="宋体"/>
                <w:color w:val="auto"/>
                <w:sz w:val="21"/>
                <w:szCs w:val="21"/>
              </w:rPr>
              <w:t>项目地址</w:t>
            </w:r>
          </w:p>
        </w:tc>
        <w:tc>
          <w:tcPr>
            <w:tcW w:w="1686" w:type="dxa"/>
            <w:vAlign w:val="center"/>
          </w:tcPr>
          <w:p>
            <w:pPr>
              <w:spacing w:line="240" w:lineRule="atLeast"/>
              <w:jc w:val="center"/>
              <w:rPr>
                <w:rFonts w:ascii="宋体" w:hAnsi="宋体" w:eastAsia="宋体" w:cs="宋体"/>
                <w:color w:val="auto"/>
                <w:sz w:val="21"/>
                <w:szCs w:val="21"/>
              </w:rPr>
            </w:pPr>
            <w:r>
              <w:rPr>
                <w:rFonts w:hint="eastAsia" w:ascii="宋体" w:hAnsi="宋体" w:eastAsia="宋体" w:cs="宋体"/>
                <w:color w:val="auto"/>
                <w:sz w:val="21"/>
                <w:szCs w:val="21"/>
              </w:rPr>
              <w:t>合同总价</w:t>
            </w:r>
          </w:p>
        </w:tc>
        <w:tc>
          <w:tcPr>
            <w:tcW w:w="1550" w:type="dxa"/>
            <w:vAlign w:val="center"/>
          </w:tcPr>
          <w:p>
            <w:pPr>
              <w:spacing w:line="240" w:lineRule="atLeast"/>
              <w:jc w:val="center"/>
              <w:rPr>
                <w:rFonts w:ascii="宋体" w:hAnsi="宋体" w:eastAsia="宋体" w:cs="宋体"/>
                <w:color w:val="auto"/>
                <w:sz w:val="21"/>
                <w:szCs w:val="21"/>
              </w:rPr>
            </w:pPr>
            <w:r>
              <w:rPr>
                <w:rFonts w:hint="eastAsia" w:ascii="宋体" w:hAnsi="宋体" w:eastAsia="宋体" w:cs="宋体"/>
                <w:color w:val="auto"/>
                <w:sz w:val="21"/>
                <w:szCs w:val="21"/>
              </w:rPr>
              <w:t>合同签订时间</w:t>
            </w:r>
          </w:p>
        </w:tc>
        <w:tc>
          <w:tcPr>
            <w:tcW w:w="1551" w:type="dxa"/>
            <w:vAlign w:val="center"/>
          </w:tcPr>
          <w:p>
            <w:pPr>
              <w:spacing w:line="240" w:lineRule="atLeast"/>
              <w:jc w:val="center"/>
              <w:rPr>
                <w:rFonts w:ascii="宋体" w:hAnsi="宋体" w:eastAsia="宋体" w:cs="宋体"/>
                <w:color w:val="auto"/>
                <w:sz w:val="21"/>
                <w:szCs w:val="21"/>
              </w:rPr>
            </w:pPr>
            <w:r>
              <w:rPr>
                <w:rFonts w:hint="eastAsia" w:ascii="宋体" w:hAnsi="宋体" w:eastAsia="宋体" w:cs="宋体"/>
                <w:color w:val="auto"/>
                <w:sz w:val="21"/>
                <w:szCs w:val="21"/>
              </w:rPr>
              <w:t>项目单位名称及其联系人电话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exact"/>
        </w:trPr>
        <w:tc>
          <w:tcPr>
            <w:tcW w:w="1549" w:type="dxa"/>
          </w:tcPr>
          <w:p>
            <w:pPr>
              <w:spacing w:line="360" w:lineRule="auto"/>
              <w:rPr>
                <w:rFonts w:ascii="宋体" w:hAnsi="宋体" w:eastAsia="宋体" w:cs="宋体"/>
                <w:color w:val="auto"/>
                <w:sz w:val="21"/>
                <w:szCs w:val="21"/>
              </w:rPr>
            </w:pPr>
          </w:p>
        </w:tc>
        <w:tc>
          <w:tcPr>
            <w:tcW w:w="1550" w:type="dxa"/>
          </w:tcPr>
          <w:p>
            <w:pPr>
              <w:spacing w:line="360" w:lineRule="auto"/>
              <w:rPr>
                <w:rFonts w:ascii="宋体" w:hAnsi="宋体" w:eastAsia="宋体" w:cs="宋体"/>
                <w:color w:val="auto"/>
                <w:sz w:val="21"/>
                <w:szCs w:val="21"/>
              </w:rPr>
            </w:pPr>
          </w:p>
        </w:tc>
        <w:tc>
          <w:tcPr>
            <w:tcW w:w="1549" w:type="dxa"/>
          </w:tcPr>
          <w:p>
            <w:pPr>
              <w:spacing w:line="360" w:lineRule="auto"/>
              <w:rPr>
                <w:rFonts w:ascii="宋体" w:hAnsi="宋体" w:eastAsia="宋体" w:cs="宋体"/>
                <w:color w:val="auto"/>
                <w:sz w:val="21"/>
                <w:szCs w:val="21"/>
              </w:rPr>
            </w:pPr>
          </w:p>
        </w:tc>
        <w:tc>
          <w:tcPr>
            <w:tcW w:w="1686" w:type="dxa"/>
          </w:tcPr>
          <w:p>
            <w:pPr>
              <w:spacing w:line="360" w:lineRule="auto"/>
              <w:rPr>
                <w:rFonts w:ascii="宋体" w:hAnsi="宋体" w:eastAsia="宋体" w:cs="宋体"/>
                <w:color w:val="auto"/>
                <w:sz w:val="21"/>
                <w:szCs w:val="21"/>
              </w:rPr>
            </w:pPr>
          </w:p>
        </w:tc>
        <w:tc>
          <w:tcPr>
            <w:tcW w:w="1550" w:type="dxa"/>
          </w:tcPr>
          <w:p>
            <w:pPr>
              <w:spacing w:line="360" w:lineRule="auto"/>
              <w:rPr>
                <w:rFonts w:ascii="宋体" w:hAnsi="宋体" w:eastAsia="宋体" w:cs="宋体"/>
                <w:color w:val="auto"/>
                <w:sz w:val="21"/>
                <w:szCs w:val="21"/>
              </w:rPr>
            </w:pPr>
          </w:p>
        </w:tc>
        <w:tc>
          <w:tcPr>
            <w:tcW w:w="1551" w:type="dxa"/>
          </w:tcPr>
          <w:p>
            <w:pPr>
              <w:spacing w:line="360" w:lineRule="auto"/>
              <w:rPr>
                <w:rFonts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exact"/>
        </w:trPr>
        <w:tc>
          <w:tcPr>
            <w:tcW w:w="1549" w:type="dxa"/>
          </w:tcPr>
          <w:p>
            <w:pPr>
              <w:spacing w:line="360" w:lineRule="auto"/>
              <w:rPr>
                <w:rFonts w:ascii="宋体" w:hAnsi="宋体" w:eastAsia="宋体" w:cs="宋体"/>
                <w:color w:val="auto"/>
                <w:sz w:val="21"/>
                <w:szCs w:val="21"/>
              </w:rPr>
            </w:pPr>
          </w:p>
        </w:tc>
        <w:tc>
          <w:tcPr>
            <w:tcW w:w="1550" w:type="dxa"/>
          </w:tcPr>
          <w:p>
            <w:pPr>
              <w:spacing w:line="360" w:lineRule="auto"/>
              <w:rPr>
                <w:rFonts w:ascii="宋体" w:hAnsi="宋体" w:eastAsia="宋体" w:cs="宋体"/>
                <w:color w:val="auto"/>
                <w:sz w:val="21"/>
                <w:szCs w:val="21"/>
              </w:rPr>
            </w:pPr>
          </w:p>
        </w:tc>
        <w:tc>
          <w:tcPr>
            <w:tcW w:w="1549" w:type="dxa"/>
          </w:tcPr>
          <w:p>
            <w:pPr>
              <w:spacing w:line="360" w:lineRule="auto"/>
              <w:rPr>
                <w:rFonts w:ascii="宋体" w:hAnsi="宋体" w:eastAsia="宋体" w:cs="宋体"/>
                <w:color w:val="auto"/>
                <w:sz w:val="21"/>
                <w:szCs w:val="21"/>
              </w:rPr>
            </w:pPr>
          </w:p>
        </w:tc>
        <w:tc>
          <w:tcPr>
            <w:tcW w:w="1686" w:type="dxa"/>
          </w:tcPr>
          <w:p>
            <w:pPr>
              <w:spacing w:line="360" w:lineRule="auto"/>
              <w:rPr>
                <w:rFonts w:ascii="宋体" w:hAnsi="宋体" w:eastAsia="宋体" w:cs="宋体"/>
                <w:color w:val="auto"/>
                <w:sz w:val="21"/>
                <w:szCs w:val="21"/>
              </w:rPr>
            </w:pPr>
          </w:p>
        </w:tc>
        <w:tc>
          <w:tcPr>
            <w:tcW w:w="1550" w:type="dxa"/>
          </w:tcPr>
          <w:p>
            <w:pPr>
              <w:spacing w:line="360" w:lineRule="auto"/>
              <w:rPr>
                <w:rFonts w:ascii="宋体" w:hAnsi="宋体" w:eastAsia="宋体" w:cs="宋体"/>
                <w:color w:val="auto"/>
                <w:sz w:val="21"/>
                <w:szCs w:val="21"/>
              </w:rPr>
            </w:pPr>
          </w:p>
        </w:tc>
        <w:tc>
          <w:tcPr>
            <w:tcW w:w="1551" w:type="dxa"/>
          </w:tcPr>
          <w:p>
            <w:pPr>
              <w:spacing w:line="360" w:lineRule="auto"/>
              <w:rPr>
                <w:rFonts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exact"/>
        </w:trPr>
        <w:tc>
          <w:tcPr>
            <w:tcW w:w="1549" w:type="dxa"/>
          </w:tcPr>
          <w:p>
            <w:pPr>
              <w:spacing w:line="360" w:lineRule="auto"/>
              <w:rPr>
                <w:rFonts w:ascii="宋体" w:hAnsi="宋体" w:eastAsia="宋体" w:cs="宋体"/>
                <w:color w:val="auto"/>
                <w:sz w:val="21"/>
                <w:szCs w:val="21"/>
              </w:rPr>
            </w:pPr>
          </w:p>
        </w:tc>
        <w:tc>
          <w:tcPr>
            <w:tcW w:w="1550" w:type="dxa"/>
          </w:tcPr>
          <w:p>
            <w:pPr>
              <w:spacing w:line="360" w:lineRule="auto"/>
              <w:rPr>
                <w:rFonts w:ascii="宋体" w:hAnsi="宋体" w:eastAsia="宋体" w:cs="宋体"/>
                <w:color w:val="auto"/>
                <w:sz w:val="21"/>
                <w:szCs w:val="21"/>
              </w:rPr>
            </w:pPr>
          </w:p>
        </w:tc>
        <w:tc>
          <w:tcPr>
            <w:tcW w:w="1549" w:type="dxa"/>
          </w:tcPr>
          <w:p>
            <w:pPr>
              <w:spacing w:line="360" w:lineRule="auto"/>
              <w:rPr>
                <w:rFonts w:ascii="宋体" w:hAnsi="宋体" w:eastAsia="宋体" w:cs="宋体"/>
                <w:color w:val="auto"/>
                <w:sz w:val="21"/>
                <w:szCs w:val="21"/>
              </w:rPr>
            </w:pPr>
          </w:p>
        </w:tc>
        <w:tc>
          <w:tcPr>
            <w:tcW w:w="1686" w:type="dxa"/>
          </w:tcPr>
          <w:p>
            <w:pPr>
              <w:spacing w:line="360" w:lineRule="auto"/>
              <w:rPr>
                <w:rFonts w:ascii="宋体" w:hAnsi="宋体" w:eastAsia="宋体" w:cs="宋体"/>
                <w:color w:val="auto"/>
                <w:sz w:val="21"/>
                <w:szCs w:val="21"/>
              </w:rPr>
            </w:pPr>
          </w:p>
        </w:tc>
        <w:tc>
          <w:tcPr>
            <w:tcW w:w="1550" w:type="dxa"/>
          </w:tcPr>
          <w:p>
            <w:pPr>
              <w:spacing w:line="360" w:lineRule="auto"/>
              <w:rPr>
                <w:rFonts w:ascii="宋体" w:hAnsi="宋体" w:eastAsia="宋体" w:cs="宋体"/>
                <w:color w:val="auto"/>
                <w:sz w:val="21"/>
                <w:szCs w:val="21"/>
              </w:rPr>
            </w:pPr>
          </w:p>
        </w:tc>
        <w:tc>
          <w:tcPr>
            <w:tcW w:w="1551" w:type="dxa"/>
          </w:tcPr>
          <w:p>
            <w:pPr>
              <w:spacing w:line="360" w:lineRule="auto"/>
              <w:rPr>
                <w:rFonts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549" w:type="dxa"/>
          </w:tcPr>
          <w:p>
            <w:pPr>
              <w:spacing w:line="360" w:lineRule="auto"/>
              <w:rPr>
                <w:rFonts w:ascii="宋体" w:hAnsi="宋体" w:eastAsia="宋体" w:cs="宋体"/>
                <w:color w:val="auto"/>
                <w:sz w:val="21"/>
                <w:szCs w:val="21"/>
              </w:rPr>
            </w:pPr>
          </w:p>
        </w:tc>
        <w:tc>
          <w:tcPr>
            <w:tcW w:w="1550" w:type="dxa"/>
          </w:tcPr>
          <w:p>
            <w:pPr>
              <w:spacing w:line="360" w:lineRule="auto"/>
              <w:rPr>
                <w:rFonts w:ascii="宋体" w:hAnsi="宋体" w:eastAsia="宋体" w:cs="宋体"/>
                <w:color w:val="auto"/>
                <w:sz w:val="21"/>
                <w:szCs w:val="21"/>
              </w:rPr>
            </w:pPr>
          </w:p>
        </w:tc>
        <w:tc>
          <w:tcPr>
            <w:tcW w:w="1549" w:type="dxa"/>
          </w:tcPr>
          <w:p>
            <w:pPr>
              <w:spacing w:line="360" w:lineRule="auto"/>
              <w:rPr>
                <w:rFonts w:ascii="宋体" w:hAnsi="宋体" w:eastAsia="宋体" w:cs="宋体"/>
                <w:color w:val="auto"/>
                <w:sz w:val="21"/>
                <w:szCs w:val="21"/>
              </w:rPr>
            </w:pPr>
          </w:p>
        </w:tc>
        <w:tc>
          <w:tcPr>
            <w:tcW w:w="1686" w:type="dxa"/>
          </w:tcPr>
          <w:p>
            <w:pPr>
              <w:spacing w:line="360" w:lineRule="auto"/>
              <w:rPr>
                <w:rFonts w:ascii="宋体" w:hAnsi="宋体" w:eastAsia="宋体" w:cs="宋体"/>
                <w:color w:val="auto"/>
                <w:sz w:val="21"/>
                <w:szCs w:val="21"/>
              </w:rPr>
            </w:pPr>
          </w:p>
        </w:tc>
        <w:tc>
          <w:tcPr>
            <w:tcW w:w="1550" w:type="dxa"/>
          </w:tcPr>
          <w:p>
            <w:pPr>
              <w:spacing w:line="360" w:lineRule="auto"/>
              <w:rPr>
                <w:rFonts w:ascii="宋体" w:hAnsi="宋体" w:eastAsia="宋体" w:cs="宋体"/>
                <w:color w:val="auto"/>
                <w:sz w:val="21"/>
                <w:szCs w:val="21"/>
              </w:rPr>
            </w:pPr>
          </w:p>
        </w:tc>
        <w:tc>
          <w:tcPr>
            <w:tcW w:w="1551" w:type="dxa"/>
          </w:tcPr>
          <w:p>
            <w:pPr>
              <w:spacing w:line="360" w:lineRule="auto"/>
              <w:rPr>
                <w:rFonts w:ascii="宋体" w:hAnsi="宋体" w:eastAsia="宋体" w:cs="宋体"/>
                <w:color w:val="auto"/>
                <w:sz w:val="21"/>
                <w:szCs w:val="21"/>
              </w:rPr>
            </w:pPr>
          </w:p>
        </w:tc>
      </w:tr>
    </w:tbl>
    <w:p>
      <w:pPr>
        <w:spacing w:line="360" w:lineRule="auto"/>
        <w:rPr>
          <w:rFonts w:ascii="宋体" w:hAnsi="宋体" w:eastAsia="宋体" w:cs="宋体"/>
          <w:color w:val="auto"/>
          <w:sz w:val="21"/>
          <w:szCs w:val="21"/>
        </w:rPr>
      </w:pPr>
      <w:r>
        <w:rPr>
          <w:rFonts w:hint="eastAsia" w:ascii="宋体" w:hAnsi="宋体" w:eastAsia="宋体" w:cs="宋体"/>
          <w:color w:val="auto"/>
          <w:sz w:val="21"/>
          <w:szCs w:val="21"/>
        </w:rPr>
        <w:t>备注：</w:t>
      </w:r>
    </w:p>
    <w:p>
      <w:pPr>
        <w:spacing w:line="360" w:lineRule="auto"/>
        <w:ind w:firstLine="422" w:firstLineChars="200"/>
        <w:rPr>
          <w:rFonts w:ascii="宋体" w:hAnsi="宋体" w:eastAsia="宋体" w:cs="宋体"/>
          <w:b/>
          <w:color w:val="auto"/>
          <w:sz w:val="21"/>
          <w:szCs w:val="21"/>
        </w:rPr>
      </w:pPr>
      <w:r>
        <w:rPr>
          <w:rFonts w:hint="eastAsia" w:ascii="宋体" w:hAnsi="宋体" w:eastAsia="宋体" w:cs="宋体"/>
          <w:b/>
          <w:color w:val="auto"/>
          <w:kern w:val="0"/>
          <w:sz w:val="21"/>
          <w:szCs w:val="21"/>
        </w:rPr>
        <w:t>1、表中业绩参照“第四部分 评标办法及评分标准”中要求提供，并附上每个业绩相关材料；</w:t>
      </w:r>
    </w:p>
    <w:p>
      <w:pPr>
        <w:spacing w:line="360" w:lineRule="auto"/>
        <w:ind w:firstLine="420" w:firstLineChars="200"/>
        <w:rPr>
          <w:rFonts w:ascii="宋体" w:hAnsi="宋体" w:eastAsia="宋体" w:cs="宋体"/>
          <w:color w:val="auto"/>
          <w:sz w:val="21"/>
          <w:szCs w:val="21"/>
        </w:rPr>
      </w:pPr>
      <w:r>
        <w:rPr>
          <w:rFonts w:hint="eastAsia" w:ascii="宋体" w:hAnsi="宋体" w:eastAsia="宋体" w:cs="宋体"/>
          <w:bCs/>
          <w:color w:val="auto"/>
          <w:kern w:val="0"/>
          <w:sz w:val="21"/>
          <w:szCs w:val="21"/>
        </w:rPr>
        <w:t>2、供应商承诺提供的上述业绩相关材料真实不假，否则作为磋商响应文件提供虚假材料，按照采购文件相关条款处理，承担一切责任。</w:t>
      </w:r>
    </w:p>
    <w:p>
      <w:pPr>
        <w:spacing w:line="360" w:lineRule="auto"/>
        <w:ind w:firstLine="4320" w:firstLineChars="1800"/>
        <w:rPr>
          <w:rFonts w:ascii="宋体" w:hAnsi="宋体" w:eastAsia="宋体" w:cs="宋体"/>
          <w:color w:val="auto"/>
          <w:sz w:val="24"/>
        </w:rPr>
      </w:pPr>
    </w:p>
    <w:p>
      <w:pPr>
        <w:adjustRightInd w:val="0"/>
        <w:snapToGrid w:val="0"/>
        <w:spacing w:line="360" w:lineRule="auto"/>
        <w:ind w:firstLine="4680" w:firstLineChars="1950"/>
        <w:rPr>
          <w:rFonts w:ascii="宋体" w:hAnsi="宋体" w:eastAsia="宋体" w:cs="宋体"/>
          <w:color w:val="auto"/>
          <w:kern w:val="0"/>
          <w:sz w:val="21"/>
          <w:szCs w:val="21"/>
          <w:lang w:val="zh-CN"/>
        </w:rPr>
      </w:pPr>
      <w:r>
        <w:rPr>
          <w:rFonts w:hint="eastAsia" w:ascii="宋体" w:hAnsi="宋体" w:eastAsia="宋体" w:cs="宋体"/>
          <w:color w:val="auto"/>
          <w:sz w:val="24"/>
        </w:rPr>
        <w:t xml:space="preserve">     </w:t>
      </w:r>
      <w:r>
        <w:rPr>
          <w:rFonts w:hint="eastAsia" w:ascii="宋体" w:hAnsi="宋体" w:eastAsia="宋体" w:cs="宋体"/>
          <w:color w:val="auto"/>
          <w:kern w:val="0"/>
          <w:sz w:val="21"/>
          <w:szCs w:val="21"/>
          <w:lang w:val="zh-CN"/>
        </w:rPr>
        <w:t>磋商供应商(公章)：</w:t>
      </w:r>
    </w:p>
    <w:p>
      <w:pPr>
        <w:adjustRightInd w:val="0"/>
        <w:snapToGrid w:val="0"/>
        <w:spacing w:line="360" w:lineRule="auto"/>
        <w:rPr>
          <w:rFonts w:ascii="宋体" w:hAnsi="宋体" w:eastAsia="宋体" w:cs="宋体"/>
          <w:color w:val="auto"/>
          <w:kern w:val="0"/>
          <w:sz w:val="21"/>
          <w:szCs w:val="21"/>
          <w:lang w:val="zh-CN"/>
        </w:rPr>
      </w:pPr>
      <w:r>
        <w:rPr>
          <w:rFonts w:hint="eastAsia" w:ascii="宋体" w:hAnsi="宋体" w:eastAsia="宋体" w:cs="宋体"/>
          <w:color w:val="auto"/>
          <w:kern w:val="0"/>
          <w:sz w:val="21"/>
          <w:szCs w:val="21"/>
          <w:lang w:val="zh-CN"/>
        </w:rPr>
        <w:t xml:space="preserve">                                 法定代表人或授权委托人(签字</w:t>
      </w:r>
      <w:r>
        <w:rPr>
          <w:rFonts w:hint="eastAsia" w:ascii="宋体" w:hAnsi="宋体" w:eastAsia="宋体" w:cs="宋体"/>
          <w:color w:val="auto"/>
          <w:kern w:val="0"/>
          <w:sz w:val="21"/>
          <w:szCs w:val="21"/>
        </w:rPr>
        <w:t>或盖章</w:t>
      </w:r>
      <w:r>
        <w:rPr>
          <w:rFonts w:hint="eastAsia" w:ascii="宋体" w:hAnsi="宋体" w:eastAsia="宋体" w:cs="宋体"/>
          <w:color w:val="auto"/>
          <w:kern w:val="0"/>
          <w:sz w:val="21"/>
          <w:szCs w:val="21"/>
          <w:lang w:val="zh-CN"/>
        </w:rPr>
        <w:t>)：</w:t>
      </w:r>
    </w:p>
    <w:p>
      <w:pPr>
        <w:pStyle w:val="5"/>
        <w:spacing w:before="240" w:beforeLines="100" w:after="0" w:line="360" w:lineRule="auto"/>
        <w:rPr>
          <w:rFonts w:ascii="宋体" w:hAnsi="宋体" w:eastAsia="宋体"/>
          <w:bCs w:val="0"/>
          <w:color w:val="auto"/>
        </w:rPr>
      </w:pPr>
      <w:r>
        <w:rPr>
          <w:rFonts w:hint="eastAsia" w:ascii="宋体" w:hAnsi="宋体" w:eastAsia="宋体" w:cs="宋体"/>
          <w:color w:val="auto"/>
          <w:kern w:val="0"/>
          <w:sz w:val="21"/>
          <w:szCs w:val="21"/>
          <w:lang w:val="zh-CN"/>
        </w:rPr>
        <w:t xml:space="preserve">                                  </w:t>
      </w:r>
      <w:r>
        <w:rPr>
          <w:rFonts w:hint="eastAsia" w:ascii="宋体" w:hAnsi="宋体" w:eastAsia="宋体" w:cs="宋体"/>
          <w:color w:val="auto"/>
          <w:kern w:val="0"/>
          <w:sz w:val="21"/>
          <w:szCs w:val="21"/>
        </w:rPr>
        <w:t xml:space="preserve">                   </w:t>
      </w:r>
      <w:r>
        <w:rPr>
          <w:rFonts w:hint="eastAsia" w:ascii="宋体" w:hAnsi="宋体" w:eastAsia="宋体" w:cs="宋体"/>
          <w:b w:val="0"/>
          <w:bCs w:val="0"/>
          <w:color w:val="auto"/>
          <w:kern w:val="0"/>
          <w:sz w:val="21"/>
          <w:szCs w:val="21"/>
        </w:rPr>
        <w:t xml:space="preserve">      </w:t>
      </w:r>
      <w:r>
        <w:rPr>
          <w:rFonts w:hint="eastAsia" w:ascii="宋体" w:hAnsi="宋体" w:eastAsia="宋体" w:cs="宋体"/>
          <w:b w:val="0"/>
          <w:bCs w:val="0"/>
          <w:color w:val="auto"/>
          <w:kern w:val="0"/>
          <w:sz w:val="21"/>
          <w:szCs w:val="21"/>
          <w:lang w:val="zh-CN"/>
        </w:rPr>
        <w:t>日期</w:t>
      </w:r>
      <w:r>
        <w:rPr>
          <w:rFonts w:hint="eastAsia" w:ascii="宋体" w:hAnsi="宋体" w:eastAsia="宋体" w:cs="宋体"/>
          <w:b w:val="0"/>
          <w:bCs w:val="0"/>
          <w:color w:val="auto"/>
          <w:kern w:val="0"/>
          <w:sz w:val="21"/>
          <w:szCs w:val="21"/>
        </w:rPr>
        <w:t xml:space="preserve">：       </w:t>
      </w:r>
      <w:r>
        <w:rPr>
          <w:rFonts w:hint="eastAsia" w:ascii="宋体" w:hAnsi="宋体" w:eastAsia="宋体" w:cs="宋体"/>
          <w:b w:val="0"/>
          <w:bCs w:val="0"/>
          <w:color w:val="auto"/>
          <w:kern w:val="0"/>
          <w:sz w:val="21"/>
          <w:szCs w:val="21"/>
          <w:lang w:val="zh-CN"/>
        </w:rPr>
        <w:t>年</w:t>
      </w:r>
      <w:r>
        <w:rPr>
          <w:rFonts w:hint="eastAsia" w:ascii="宋体" w:hAnsi="宋体" w:eastAsia="宋体" w:cs="宋体"/>
          <w:b w:val="0"/>
          <w:bCs w:val="0"/>
          <w:color w:val="auto"/>
          <w:kern w:val="0"/>
          <w:sz w:val="21"/>
          <w:szCs w:val="21"/>
        </w:rPr>
        <w:t xml:space="preserve">  </w:t>
      </w:r>
      <w:r>
        <w:rPr>
          <w:rFonts w:hint="eastAsia" w:ascii="宋体" w:hAnsi="宋体" w:eastAsia="宋体" w:cs="宋体"/>
          <w:b w:val="0"/>
          <w:bCs w:val="0"/>
          <w:color w:val="auto"/>
          <w:kern w:val="0"/>
          <w:sz w:val="21"/>
          <w:szCs w:val="21"/>
          <w:lang w:val="zh-CN"/>
        </w:rPr>
        <w:t>月</w:t>
      </w:r>
      <w:r>
        <w:rPr>
          <w:rFonts w:hint="eastAsia" w:ascii="宋体" w:hAnsi="宋体" w:eastAsia="宋体" w:cs="宋体"/>
          <w:b w:val="0"/>
          <w:bCs w:val="0"/>
          <w:color w:val="auto"/>
          <w:kern w:val="0"/>
          <w:sz w:val="21"/>
          <w:szCs w:val="21"/>
        </w:rPr>
        <w:t xml:space="preserve">   </w:t>
      </w:r>
      <w:r>
        <w:rPr>
          <w:rFonts w:hint="eastAsia" w:ascii="宋体" w:hAnsi="宋体" w:eastAsia="宋体" w:cs="宋体"/>
          <w:b w:val="0"/>
          <w:bCs w:val="0"/>
          <w:color w:val="auto"/>
          <w:kern w:val="0"/>
          <w:sz w:val="21"/>
          <w:szCs w:val="21"/>
          <w:lang w:val="zh-CN"/>
        </w:rPr>
        <w:t>日</w:t>
      </w:r>
    </w:p>
    <w:p>
      <w:pPr>
        <w:spacing w:line="440" w:lineRule="exact"/>
        <w:rPr>
          <w:rFonts w:ascii="宋体" w:hAnsi="宋体" w:cs="宋体"/>
          <w:color w:val="auto"/>
          <w:sz w:val="20"/>
        </w:rPr>
      </w:pPr>
    </w:p>
    <w:p>
      <w:pPr>
        <w:tabs>
          <w:tab w:val="left" w:pos="720"/>
        </w:tabs>
        <w:spacing w:line="360" w:lineRule="auto"/>
        <w:outlineLvl w:val="0"/>
        <w:rPr>
          <w:rFonts w:ascii="宋体" w:hAnsi="宋体" w:cs="宋体"/>
          <w:b/>
          <w:color w:val="auto"/>
          <w:sz w:val="24"/>
        </w:rPr>
      </w:pPr>
      <w:bookmarkStart w:id="629" w:name="_Toc23409_WPSOffice_Level2"/>
      <w:bookmarkStart w:id="630" w:name="_Toc26491_WPSOffice_Level2"/>
      <w:bookmarkStart w:id="631" w:name="_Toc13628_WPSOffice_Level2"/>
      <w:bookmarkStart w:id="632" w:name="_Toc28889"/>
    </w:p>
    <w:p>
      <w:pPr>
        <w:pStyle w:val="33"/>
        <w:rPr>
          <w:rFonts w:ascii="宋体" w:hAnsi="宋体" w:cs="宋体"/>
          <w:b/>
          <w:color w:val="auto"/>
          <w:sz w:val="24"/>
          <w:lang w:val="en-US"/>
        </w:rPr>
      </w:pPr>
    </w:p>
    <w:p>
      <w:pPr>
        <w:pStyle w:val="33"/>
        <w:rPr>
          <w:rFonts w:ascii="宋体" w:hAnsi="宋体" w:cs="宋体"/>
          <w:b/>
          <w:color w:val="auto"/>
          <w:sz w:val="24"/>
          <w:lang w:val="en-US"/>
        </w:rPr>
      </w:pPr>
    </w:p>
    <w:p>
      <w:pPr>
        <w:pStyle w:val="33"/>
        <w:rPr>
          <w:rFonts w:ascii="宋体" w:hAnsi="宋体" w:cs="宋体"/>
          <w:b/>
          <w:color w:val="auto"/>
          <w:sz w:val="24"/>
          <w:lang w:val="en-US"/>
        </w:rPr>
      </w:pPr>
    </w:p>
    <w:p>
      <w:pPr>
        <w:pStyle w:val="33"/>
        <w:rPr>
          <w:rFonts w:ascii="宋体" w:hAnsi="宋体" w:cs="宋体"/>
          <w:b/>
          <w:color w:val="auto"/>
          <w:sz w:val="24"/>
          <w:lang w:val="en-US"/>
        </w:rPr>
      </w:pPr>
    </w:p>
    <w:p>
      <w:pPr>
        <w:pStyle w:val="33"/>
        <w:rPr>
          <w:rFonts w:ascii="宋体" w:hAnsi="宋体" w:cs="宋体"/>
          <w:b/>
          <w:color w:val="auto"/>
          <w:sz w:val="24"/>
          <w:lang w:val="en-US"/>
        </w:rPr>
      </w:pPr>
    </w:p>
    <w:p>
      <w:pPr>
        <w:pStyle w:val="33"/>
        <w:rPr>
          <w:rFonts w:ascii="宋体" w:hAnsi="宋体" w:cs="宋体"/>
          <w:b/>
          <w:color w:val="auto"/>
          <w:sz w:val="24"/>
          <w:lang w:val="en-US"/>
        </w:rPr>
      </w:pPr>
    </w:p>
    <w:p>
      <w:pPr>
        <w:pStyle w:val="33"/>
        <w:rPr>
          <w:rFonts w:ascii="宋体" w:hAnsi="宋体" w:cs="宋体"/>
          <w:b/>
          <w:color w:val="auto"/>
          <w:sz w:val="24"/>
          <w:lang w:val="en-US"/>
        </w:rPr>
      </w:pPr>
    </w:p>
    <w:p>
      <w:pPr>
        <w:pStyle w:val="33"/>
        <w:rPr>
          <w:rFonts w:ascii="宋体" w:hAnsi="宋体" w:cs="宋体"/>
          <w:b/>
          <w:color w:val="auto"/>
          <w:sz w:val="24"/>
          <w:lang w:val="en-US"/>
        </w:rPr>
      </w:pPr>
    </w:p>
    <w:p>
      <w:pPr>
        <w:pStyle w:val="33"/>
        <w:rPr>
          <w:rFonts w:ascii="宋体" w:hAnsi="宋体" w:cs="宋体"/>
          <w:b/>
          <w:color w:val="auto"/>
          <w:sz w:val="24"/>
          <w:lang w:val="en-US"/>
        </w:rPr>
      </w:pPr>
    </w:p>
    <w:p>
      <w:pPr>
        <w:tabs>
          <w:tab w:val="left" w:pos="720"/>
        </w:tabs>
        <w:spacing w:line="360" w:lineRule="auto"/>
        <w:outlineLvl w:val="0"/>
        <w:rPr>
          <w:rFonts w:ascii="宋体" w:hAnsi="宋体" w:eastAsia="宋体" w:cs="宋体"/>
          <w:b/>
          <w:color w:val="auto"/>
          <w:sz w:val="24"/>
        </w:rPr>
      </w:pPr>
    </w:p>
    <w:p>
      <w:pPr>
        <w:tabs>
          <w:tab w:val="left" w:pos="720"/>
        </w:tabs>
        <w:spacing w:line="360" w:lineRule="auto"/>
        <w:outlineLvl w:val="0"/>
        <w:rPr>
          <w:rFonts w:ascii="宋体" w:hAnsi="宋体" w:eastAsia="宋体" w:cs="宋体"/>
          <w:b/>
          <w:color w:val="auto"/>
          <w:sz w:val="24"/>
        </w:rPr>
      </w:pPr>
    </w:p>
    <w:p>
      <w:pPr>
        <w:tabs>
          <w:tab w:val="left" w:pos="720"/>
        </w:tabs>
        <w:spacing w:line="360" w:lineRule="auto"/>
        <w:outlineLvl w:val="0"/>
        <w:rPr>
          <w:rFonts w:ascii="宋体" w:hAnsi="宋体" w:eastAsia="宋体" w:cs="宋体"/>
          <w:b/>
          <w:color w:val="auto"/>
          <w:sz w:val="24"/>
        </w:rPr>
      </w:pPr>
      <w:r>
        <w:rPr>
          <w:rFonts w:hint="eastAsia" w:ascii="宋体" w:hAnsi="宋体" w:eastAsia="宋体" w:cs="宋体"/>
          <w:b/>
          <w:color w:val="auto"/>
          <w:sz w:val="24"/>
        </w:rPr>
        <w:t xml:space="preserve">附件十三：              </w:t>
      </w:r>
    </w:p>
    <w:p>
      <w:pPr>
        <w:tabs>
          <w:tab w:val="left" w:pos="720"/>
        </w:tabs>
        <w:spacing w:line="360" w:lineRule="auto"/>
        <w:jc w:val="center"/>
        <w:outlineLvl w:val="0"/>
        <w:rPr>
          <w:rFonts w:ascii="宋体" w:hAnsi="宋体" w:cs="宋体"/>
          <w:b/>
          <w:color w:val="auto"/>
          <w:sz w:val="24"/>
        </w:rPr>
      </w:pPr>
      <w:r>
        <w:rPr>
          <w:rFonts w:hint="eastAsia" w:ascii="宋体" w:hAnsi="宋体" w:cs="宋体"/>
          <w:b/>
          <w:color w:val="auto"/>
          <w:sz w:val="24"/>
        </w:rPr>
        <w:t>项目管理班子配备情况表</w:t>
      </w:r>
    </w:p>
    <w:tbl>
      <w:tblPr>
        <w:tblStyle w:val="24"/>
        <w:tblW w:w="95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320"/>
        <w:gridCol w:w="1091"/>
        <w:gridCol w:w="792"/>
        <w:gridCol w:w="1215"/>
        <w:gridCol w:w="971"/>
        <w:gridCol w:w="1155"/>
        <w:gridCol w:w="1029"/>
        <w:gridCol w:w="1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8" w:hRule="atLeast"/>
        </w:trPr>
        <w:tc>
          <w:tcPr>
            <w:tcW w:w="675" w:type="dxa"/>
            <w:vMerge w:val="restart"/>
            <w:vAlign w:val="center"/>
          </w:tcPr>
          <w:p>
            <w:pPr>
              <w:jc w:val="center"/>
              <w:rPr>
                <w:rFonts w:ascii="宋体" w:hAnsi="宋体" w:eastAsia="宋体" w:cs="宋体"/>
                <w:color w:val="auto"/>
                <w:sz w:val="21"/>
                <w:szCs w:val="21"/>
              </w:rPr>
            </w:pPr>
            <w:r>
              <w:rPr>
                <w:rFonts w:hint="eastAsia" w:ascii="宋体" w:hAnsi="宋体" w:eastAsia="宋体" w:cs="宋体"/>
                <w:color w:val="auto"/>
                <w:sz w:val="21"/>
                <w:szCs w:val="21"/>
              </w:rPr>
              <w:t>序号</w:t>
            </w:r>
          </w:p>
        </w:tc>
        <w:tc>
          <w:tcPr>
            <w:tcW w:w="1320" w:type="dxa"/>
            <w:vMerge w:val="restart"/>
            <w:vAlign w:val="center"/>
          </w:tcPr>
          <w:p>
            <w:pPr>
              <w:jc w:val="center"/>
              <w:rPr>
                <w:rFonts w:ascii="宋体" w:hAnsi="宋体" w:eastAsia="宋体" w:cs="宋体"/>
                <w:color w:val="auto"/>
                <w:sz w:val="21"/>
                <w:szCs w:val="21"/>
              </w:rPr>
            </w:pPr>
            <w:r>
              <w:rPr>
                <w:rFonts w:hint="eastAsia" w:ascii="宋体" w:hAnsi="宋体" w:eastAsia="宋体" w:cs="宋体"/>
                <w:color w:val="auto"/>
                <w:sz w:val="21"/>
                <w:szCs w:val="21"/>
              </w:rPr>
              <w:t>职务</w:t>
            </w:r>
          </w:p>
        </w:tc>
        <w:tc>
          <w:tcPr>
            <w:tcW w:w="1091" w:type="dxa"/>
            <w:vMerge w:val="restart"/>
            <w:vAlign w:val="center"/>
          </w:tcPr>
          <w:p>
            <w:pPr>
              <w:jc w:val="center"/>
              <w:rPr>
                <w:rFonts w:ascii="宋体" w:hAnsi="宋体" w:eastAsia="宋体" w:cs="宋体"/>
                <w:color w:val="auto"/>
                <w:sz w:val="21"/>
                <w:szCs w:val="21"/>
              </w:rPr>
            </w:pPr>
            <w:r>
              <w:rPr>
                <w:rFonts w:hint="eastAsia" w:ascii="宋体" w:hAnsi="宋体" w:eastAsia="宋体" w:cs="宋体"/>
                <w:color w:val="auto"/>
                <w:sz w:val="21"/>
                <w:szCs w:val="21"/>
              </w:rPr>
              <w:t>姓名</w:t>
            </w:r>
          </w:p>
        </w:tc>
        <w:tc>
          <w:tcPr>
            <w:tcW w:w="792" w:type="dxa"/>
            <w:vMerge w:val="restart"/>
            <w:vAlign w:val="center"/>
          </w:tcPr>
          <w:p>
            <w:pPr>
              <w:jc w:val="center"/>
              <w:rPr>
                <w:rFonts w:ascii="宋体" w:hAnsi="宋体" w:eastAsia="宋体" w:cs="宋体"/>
                <w:color w:val="auto"/>
                <w:sz w:val="21"/>
                <w:szCs w:val="21"/>
              </w:rPr>
            </w:pPr>
            <w:r>
              <w:rPr>
                <w:rFonts w:hint="eastAsia" w:ascii="宋体" w:hAnsi="宋体" w:eastAsia="宋体" w:cs="宋体"/>
                <w:color w:val="auto"/>
                <w:sz w:val="21"/>
                <w:szCs w:val="21"/>
              </w:rPr>
              <w:t>职称</w:t>
            </w:r>
          </w:p>
        </w:tc>
        <w:tc>
          <w:tcPr>
            <w:tcW w:w="4370" w:type="dxa"/>
            <w:gridSpan w:val="4"/>
            <w:vAlign w:val="center"/>
          </w:tcPr>
          <w:p>
            <w:pPr>
              <w:jc w:val="center"/>
              <w:rPr>
                <w:rFonts w:ascii="宋体" w:hAnsi="宋体" w:eastAsia="宋体" w:cs="宋体"/>
                <w:color w:val="auto"/>
                <w:sz w:val="21"/>
                <w:szCs w:val="21"/>
              </w:rPr>
            </w:pPr>
            <w:r>
              <w:rPr>
                <w:rFonts w:hint="eastAsia" w:ascii="宋体" w:hAnsi="宋体" w:eastAsia="宋体" w:cs="宋体"/>
                <w:color w:val="auto"/>
                <w:sz w:val="21"/>
                <w:szCs w:val="21"/>
              </w:rPr>
              <w:t>执业或职业资格证明</w:t>
            </w:r>
          </w:p>
        </w:tc>
        <w:tc>
          <w:tcPr>
            <w:tcW w:w="1269" w:type="dxa"/>
            <w:vMerge w:val="restart"/>
            <w:vAlign w:val="center"/>
          </w:tcPr>
          <w:p>
            <w:pPr>
              <w:jc w:val="center"/>
              <w:rPr>
                <w:rFonts w:ascii="宋体" w:hAnsi="宋体" w:eastAsia="宋体" w:cs="宋体"/>
                <w:color w:val="auto"/>
                <w:sz w:val="21"/>
                <w:szCs w:val="21"/>
              </w:rPr>
            </w:pPr>
            <w:r>
              <w:rPr>
                <w:rFonts w:hint="eastAsia" w:ascii="宋体" w:hAnsi="宋体" w:eastAsia="宋体" w:cs="宋体"/>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4" w:hRule="atLeast"/>
        </w:trPr>
        <w:tc>
          <w:tcPr>
            <w:tcW w:w="675" w:type="dxa"/>
            <w:vMerge w:val="continue"/>
          </w:tcPr>
          <w:p>
            <w:pPr>
              <w:spacing w:line="360" w:lineRule="auto"/>
              <w:rPr>
                <w:rFonts w:ascii="宋体" w:hAnsi="宋体" w:eastAsia="宋体" w:cs="宋体"/>
                <w:color w:val="auto"/>
                <w:sz w:val="21"/>
                <w:szCs w:val="21"/>
              </w:rPr>
            </w:pPr>
          </w:p>
        </w:tc>
        <w:tc>
          <w:tcPr>
            <w:tcW w:w="1320" w:type="dxa"/>
            <w:vMerge w:val="continue"/>
          </w:tcPr>
          <w:p>
            <w:pPr>
              <w:spacing w:line="360" w:lineRule="auto"/>
              <w:rPr>
                <w:rFonts w:ascii="宋体" w:hAnsi="宋体" w:eastAsia="宋体" w:cs="宋体"/>
                <w:color w:val="auto"/>
                <w:sz w:val="21"/>
                <w:szCs w:val="21"/>
              </w:rPr>
            </w:pPr>
          </w:p>
        </w:tc>
        <w:tc>
          <w:tcPr>
            <w:tcW w:w="1091" w:type="dxa"/>
            <w:vMerge w:val="continue"/>
          </w:tcPr>
          <w:p>
            <w:pPr>
              <w:spacing w:line="360" w:lineRule="auto"/>
              <w:rPr>
                <w:rFonts w:ascii="宋体" w:hAnsi="宋体" w:eastAsia="宋体" w:cs="宋体"/>
                <w:color w:val="auto"/>
                <w:sz w:val="21"/>
                <w:szCs w:val="21"/>
              </w:rPr>
            </w:pPr>
          </w:p>
        </w:tc>
        <w:tc>
          <w:tcPr>
            <w:tcW w:w="792" w:type="dxa"/>
            <w:vMerge w:val="continue"/>
          </w:tcPr>
          <w:p>
            <w:pPr>
              <w:spacing w:line="360" w:lineRule="auto"/>
              <w:rPr>
                <w:rFonts w:ascii="宋体" w:hAnsi="宋体" w:eastAsia="宋体" w:cs="宋体"/>
                <w:color w:val="auto"/>
                <w:sz w:val="21"/>
                <w:szCs w:val="21"/>
              </w:rPr>
            </w:pPr>
          </w:p>
        </w:tc>
        <w:tc>
          <w:tcPr>
            <w:tcW w:w="1215" w:type="dxa"/>
            <w:vAlign w:val="center"/>
          </w:tcPr>
          <w:p>
            <w:pPr>
              <w:jc w:val="center"/>
              <w:rPr>
                <w:rFonts w:ascii="宋体" w:hAnsi="宋体" w:eastAsia="宋体" w:cs="宋体"/>
                <w:color w:val="auto"/>
                <w:sz w:val="21"/>
                <w:szCs w:val="21"/>
              </w:rPr>
            </w:pPr>
            <w:r>
              <w:rPr>
                <w:rFonts w:hint="eastAsia" w:ascii="宋体" w:hAnsi="宋体" w:eastAsia="宋体" w:cs="宋体"/>
                <w:color w:val="auto"/>
                <w:sz w:val="21"/>
                <w:szCs w:val="21"/>
              </w:rPr>
              <w:t>证书名称</w:t>
            </w:r>
          </w:p>
        </w:tc>
        <w:tc>
          <w:tcPr>
            <w:tcW w:w="971" w:type="dxa"/>
            <w:vAlign w:val="center"/>
          </w:tcPr>
          <w:p>
            <w:pPr>
              <w:jc w:val="center"/>
              <w:rPr>
                <w:rFonts w:ascii="宋体" w:hAnsi="宋体" w:eastAsia="宋体" w:cs="宋体"/>
                <w:color w:val="auto"/>
                <w:sz w:val="21"/>
                <w:szCs w:val="21"/>
              </w:rPr>
            </w:pPr>
            <w:r>
              <w:rPr>
                <w:rFonts w:hint="eastAsia" w:ascii="宋体" w:hAnsi="宋体" w:eastAsia="宋体" w:cs="宋体"/>
                <w:color w:val="auto"/>
                <w:sz w:val="21"/>
                <w:szCs w:val="21"/>
              </w:rPr>
              <w:t>级别</w:t>
            </w:r>
          </w:p>
        </w:tc>
        <w:tc>
          <w:tcPr>
            <w:tcW w:w="1155" w:type="dxa"/>
            <w:vAlign w:val="center"/>
          </w:tcPr>
          <w:p>
            <w:pPr>
              <w:jc w:val="center"/>
              <w:rPr>
                <w:rFonts w:ascii="宋体" w:hAnsi="宋体" w:eastAsia="宋体" w:cs="宋体"/>
                <w:color w:val="auto"/>
                <w:sz w:val="21"/>
                <w:szCs w:val="21"/>
              </w:rPr>
            </w:pPr>
            <w:r>
              <w:rPr>
                <w:rFonts w:hint="eastAsia" w:ascii="宋体" w:hAnsi="宋体" w:eastAsia="宋体" w:cs="宋体"/>
                <w:color w:val="auto"/>
                <w:sz w:val="21"/>
                <w:szCs w:val="21"/>
              </w:rPr>
              <w:t>证号</w:t>
            </w:r>
          </w:p>
        </w:tc>
        <w:tc>
          <w:tcPr>
            <w:tcW w:w="1029" w:type="dxa"/>
            <w:vAlign w:val="center"/>
          </w:tcPr>
          <w:p>
            <w:pPr>
              <w:jc w:val="center"/>
              <w:rPr>
                <w:rFonts w:ascii="宋体" w:hAnsi="宋体" w:eastAsia="宋体" w:cs="宋体"/>
                <w:color w:val="auto"/>
                <w:sz w:val="21"/>
                <w:szCs w:val="21"/>
              </w:rPr>
            </w:pPr>
            <w:r>
              <w:rPr>
                <w:rFonts w:hint="eastAsia" w:ascii="宋体" w:hAnsi="宋体" w:eastAsia="宋体" w:cs="宋体"/>
                <w:color w:val="auto"/>
                <w:sz w:val="21"/>
                <w:szCs w:val="21"/>
              </w:rPr>
              <w:t>专业</w:t>
            </w:r>
          </w:p>
        </w:tc>
        <w:tc>
          <w:tcPr>
            <w:tcW w:w="1269" w:type="dxa"/>
            <w:vMerge w:val="continue"/>
            <w:vAlign w:val="center"/>
          </w:tcPr>
          <w:p>
            <w:pPr>
              <w:jc w:val="center"/>
              <w:rPr>
                <w:rFonts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exact"/>
        </w:trPr>
        <w:tc>
          <w:tcPr>
            <w:tcW w:w="675" w:type="dxa"/>
            <w:vAlign w:val="center"/>
          </w:tcPr>
          <w:p>
            <w:pPr>
              <w:spacing w:line="360" w:lineRule="auto"/>
              <w:jc w:val="center"/>
              <w:rPr>
                <w:rFonts w:ascii="宋体" w:hAnsi="宋体" w:eastAsia="宋体" w:cs="宋体"/>
                <w:color w:val="auto"/>
                <w:sz w:val="21"/>
                <w:szCs w:val="21"/>
              </w:rPr>
            </w:pPr>
            <w:r>
              <w:rPr>
                <w:rFonts w:hint="eastAsia" w:ascii="宋体" w:hAnsi="宋体" w:eastAsia="宋体" w:cs="宋体"/>
                <w:color w:val="auto"/>
                <w:sz w:val="21"/>
                <w:szCs w:val="21"/>
              </w:rPr>
              <w:t>1</w:t>
            </w:r>
          </w:p>
        </w:tc>
        <w:tc>
          <w:tcPr>
            <w:tcW w:w="1320" w:type="dxa"/>
            <w:vAlign w:val="center"/>
          </w:tcPr>
          <w:p>
            <w:pPr>
              <w:spacing w:line="360" w:lineRule="auto"/>
              <w:rPr>
                <w:rFonts w:ascii="宋体" w:hAnsi="宋体" w:eastAsia="宋体" w:cs="宋体"/>
                <w:color w:val="auto"/>
                <w:sz w:val="21"/>
                <w:szCs w:val="21"/>
              </w:rPr>
            </w:pPr>
          </w:p>
        </w:tc>
        <w:tc>
          <w:tcPr>
            <w:tcW w:w="1091" w:type="dxa"/>
          </w:tcPr>
          <w:p>
            <w:pPr>
              <w:spacing w:line="360" w:lineRule="auto"/>
              <w:rPr>
                <w:rFonts w:ascii="宋体" w:hAnsi="宋体" w:eastAsia="宋体" w:cs="宋体"/>
                <w:color w:val="auto"/>
                <w:sz w:val="21"/>
                <w:szCs w:val="21"/>
              </w:rPr>
            </w:pPr>
          </w:p>
        </w:tc>
        <w:tc>
          <w:tcPr>
            <w:tcW w:w="792" w:type="dxa"/>
          </w:tcPr>
          <w:p>
            <w:pPr>
              <w:spacing w:line="360" w:lineRule="auto"/>
              <w:rPr>
                <w:rFonts w:ascii="宋体" w:hAnsi="宋体" w:eastAsia="宋体" w:cs="宋体"/>
                <w:color w:val="auto"/>
                <w:sz w:val="21"/>
                <w:szCs w:val="21"/>
              </w:rPr>
            </w:pPr>
          </w:p>
        </w:tc>
        <w:tc>
          <w:tcPr>
            <w:tcW w:w="1215" w:type="dxa"/>
          </w:tcPr>
          <w:p>
            <w:pPr>
              <w:spacing w:line="360" w:lineRule="auto"/>
              <w:rPr>
                <w:rFonts w:ascii="宋体" w:hAnsi="宋体" w:eastAsia="宋体" w:cs="宋体"/>
                <w:color w:val="auto"/>
                <w:sz w:val="21"/>
                <w:szCs w:val="21"/>
              </w:rPr>
            </w:pPr>
          </w:p>
        </w:tc>
        <w:tc>
          <w:tcPr>
            <w:tcW w:w="971" w:type="dxa"/>
          </w:tcPr>
          <w:p>
            <w:pPr>
              <w:spacing w:line="360" w:lineRule="auto"/>
              <w:rPr>
                <w:rFonts w:ascii="宋体" w:hAnsi="宋体" w:eastAsia="宋体" w:cs="宋体"/>
                <w:color w:val="auto"/>
                <w:sz w:val="21"/>
                <w:szCs w:val="21"/>
              </w:rPr>
            </w:pPr>
          </w:p>
        </w:tc>
        <w:tc>
          <w:tcPr>
            <w:tcW w:w="1155" w:type="dxa"/>
          </w:tcPr>
          <w:p>
            <w:pPr>
              <w:spacing w:line="360" w:lineRule="auto"/>
              <w:rPr>
                <w:rFonts w:ascii="宋体" w:hAnsi="宋体" w:eastAsia="宋体" w:cs="宋体"/>
                <w:color w:val="auto"/>
                <w:sz w:val="21"/>
                <w:szCs w:val="21"/>
              </w:rPr>
            </w:pPr>
          </w:p>
        </w:tc>
        <w:tc>
          <w:tcPr>
            <w:tcW w:w="1029" w:type="dxa"/>
          </w:tcPr>
          <w:p>
            <w:pPr>
              <w:spacing w:line="360" w:lineRule="auto"/>
              <w:rPr>
                <w:rFonts w:ascii="宋体" w:hAnsi="宋体" w:eastAsia="宋体" w:cs="宋体"/>
                <w:color w:val="auto"/>
                <w:sz w:val="21"/>
                <w:szCs w:val="21"/>
              </w:rPr>
            </w:pPr>
          </w:p>
        </w:tc>
        <w:tc>
          <w:tcPr>
            <w:tcW w:w="1269" w:type="dxa"/>
          </w:tcPr>
          <w:p>
            <w:pPr>
              <w:spacing w:line="360" w:lineRule="auto"/>
              <w:rPr>
                <w:rFonts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exact"/>
        </w:trPr>
        <w:tc>
          <w:tcPr>
            <w:tcW w:w="675" w:type="dxa"/>
            <w:vAlign w:val="center"/>
          </w:tcPr>
          <w:p>
            <w:pPr>
              <w:spacing w:line="360" w:lineRule="auto"/>
              <w:jc w:val="center"/>
              <w:rPr>
                <w:rFonts w:ascii="宋体" w:hAnsi="宋体" w:eastAsia="宋体" w:cs="宋体"/>
                <w:color w:val="auto"/>
                <w:sz w:val="21"/>
                <w:szCs w:val="21"/>
              </w:rPr>
            </w:pPr>
            <w:r>
              <w:rPr>
                <w:rFonts w:hint="eastAsia" w:ascii="宋体" w:hAnsi="宋体" w:eastAsia="宋体" w:cs="宋体"/>
                <w:color w:val="auto"/>
                <w:sz w:val="21"/>
                <w:szCs w:val="21"/>
              </w:rPr>
              <w:t>2</w:t>
            </w:r>
          </w:p>
        </w:tc>
        <w:tc>
          <w:tcPr>
            <w:tcW w:w="1320" w:type="dxa"/>
            <w:vAlign w:val="center"/>
          </w:tcPr>
          <w:p>
            <w:pPr>
              <w:spacing w:line="360" w:lineRule="auto"/>
              <w:rPr>
                <w:rFonts w:ascii="宋体" w:hAnsi="宋体" w:eastAsia="宋体" w:cs="宋体"/>
                <w:color w:val="auto"/>
                <w:sz w:val="21"/>
                <w:szCs w:val="21"/>
              </w:rPr>
            </w:pPr>
          </w:p>
        </w:tc>
        <w:tc>
          <w:tcPr>
            <w:tcW w:w="1091" w:type="dxa"/>
          </w:tcPr>
          <w:p>
            <w:pPr>
              <w:spacing w:line="360" w:lineRule="auto"/>
              <w:rPr>
                <w:rFonts w:ascii="宋体" w:hAnsi="宋体" w:eastAsia="宋体" w:cs="宋体"/>
                <w:color w:val="auto"/>
                <w:sz w:val="21"/>
                <w:szCs w:val="21"/>
              </w:rPr>
            </w:pPr>
          </w:p>
        </w:tc>
        <w:tc>
          <w:tcPr>
            <w:tcW w:w="792" w:type="dxa"/>
          </w:tcPr>
          <w:p>
            <w:pPr>
              <w:spacing w:line="360" w:lineRule="auto"/>
              <w:rPr>
                <w:rFonts w:ascii="宋体" w:hAnsi="宋体" w:eastAsia="宋体" w:cs="宋体"/>
                <w:color w:val="auto"/>
                <w:sz w:val="21"/>
                <w:szCs w:val="21"/>
              </w:rPr>
            </w:pPr>
          </w:p>
        </w:tc>
        <w:tc>
          <w:tcPr>
            <w:tcW w:w="1215" w:type="dxa"/>
          </w:tcPr>
          <w:p>
            <w:pPr>
              <w:spacing w:line="360" w:lineRule="auto"/>
              <w:rPr>
                <w:rFonts w:ascii="宋体" w:hAnsi="宋体" w:eastAsia="宋体" w:cs="宋体"/>
                <w:color w:val="auto"/>
                <w:sz w:val="21"/>
                <w:szCs w:val="21"/>
              </w:rPr>
            </w:pPr>
          </w:p>
        </w:tc>
        <w:tc>
          <w:tcPr>
            <w:tcW w:w="971" w:type="dxa"/>
          </w:tcPr>
          <w:p>
            <w:pPr>
              <w:spacing w:line="360" w:lineRule="auto"/>
              <w:rPr>
                <w:rFonts w:ascii="宋体" w:hAnsi="宋体" w:eastAsia="宋体" w:cs="宋体"/>
                <w:color w:val="auto"/>
                <w:sz w:val="21"/>
                <w:szCs w:val="21"/>
              </w:rPr>
            </w:pPr>
          </w:p>
        </w:tc>
        <w:tc>
          <w:tcPr>
            <w:tcW w:w="1155" w:type="dxa"/>
          </w:tcPr>
          <w:p>
            <w:pPr>
              <w:spacing w:line="360" w:lineRule="auto"/>
              <w:rPr>
                <w:rFonts w:ascii="宋体" w:hAnsi="宋体" w:eastAsia="宋体" w:cs="宋体"/>
                <w:color w:val="auto"/>
                <w:sz w:val="21"/>
                <w:szCs w:val="21"/>
              </w:rPr>
            </w:pPr>
          </w:p>
        </w:tc>
        <w:tc>
          <w:tcPr>
            <w:tcW w:w="1029" w:type="dxa"/>
          </w:tcPr>
          <w:p>
            <w:pPr>
              <w:spacing w:line="360" w:lineRule="auto"/>
              <w:rPr>
                <w:rFonts w:ascii="宋体" w:hAnsi="宋体" w:eastAsia="宋体" w:cs="宋体"/>
                <w:color w:val="auto"/>
                <w:sz w:val="21"/>
                <w:szCs w:val="21"/>
              </w:rPr>
            </w:pPr>
          </w:p>
        </w:tc>
        <w:tc>
          <w:tcPr>
            <w:tcW w:w="1269" w:type="dxa"/>
          </w:tcPr>
          <w:p>
            <w:pPr>
              <w:spacing w:line="360" w:lineRule="auto"/>
              <w:rPr>
                <w:rFonts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exact"/>
        </w:trPr>
        <w:tc>
          <w:tcPr>
            <w:tcW w:w="675" w:type="dxa"/>
            <w:vAlign w:val="center"/>
          </w:tcPr>
          <w:p>
            <w:pPr>
              <w:spacing w:line="360" w:lineRule="auto"/>
              <w:jc w:val="center"/>
              <w:rPr>
                <w:rFonts w:ascii="宋体" w:hAnsi="宋体" w:eastAsia="宋体" w:cs="宋体"/>
                <w:color w:val="auto"/>
                <w:sz w:val="21"/>
                <w:szCs w:val="21"/>
              </w:rPr>
            </w:pPr>
            <w:r>
              <w:rPr>
                <w:rFonts w:hint="eastAsia" w:ascii="宋体" w:hAnsi="宋体" w:eastAsia="宋体" w:cs="宋体"/>
                <w:color w:val="auto"/>
                <w:sz w:val="21"/>
                <w:szCs w:val="21"/>
              </w:rPr>
              <w:t>3</w:t>
            </w:r>
          </w:p>
        </w:tc>
        <w:tc>
          <w:tcPr>
            <w:tcW w:w="1320" w:type="dxa"/>
            <w:vAlign w:val="center"/>
          </w:tcPr>
          <w:p>
            <w:pPr>
              <w:spacing w:line="360" w:lineRule="auto"/>
              <w:rPr>
                <w:rFonts w:ascii="宋体" w:hAnsi="宋体" w:eastAsia="宋体" w:cs="宋体"/>
                <w:color w:val="auto"/>
                <w:sz w:val="21"/>
                <w:szCs w:val="21"/>
              </w:rPr>
            </w:pPr>
          </w:p>
        </w:tc>
        <w:tc>
          <w:tcPr>
            <w:tcW w:w="1091" w:type="dxa"/>
          </w:tcPr>
          <w:p>
            <w:pPr>
              <w:spacing w:line="360" w:lineRule="auto"/>
              <w:rPr>
                <w:rFonts w:ascii="宋体" w:hAnsi="宋体" w:eastAsia="宋体" w:cs="宋体"/>
                <w:color w:val="auto"/>
                <w:sz w:val="21"/>
                <w:szCs w:val="21"/>
              </w:rPr>
            </w:pPr>
          </w:p>
        </w:tc>
        <w:tc>
          <w:tcPr>
            <w:tcW w:w="792" w:type="dxa"/>
          </w:tcPr>
          <w:p>
            <w:pPr>
              <w:spacing w:line="360" w:lineRule="auto"/>
              <w:rPr>
                <w:rFonts w:ascii="宋体" w:hAnsi="宋体" w:eastAsia="宋体" w:cs="宋体"/>
                <w:color w:val="auto"/>
                <w:sz w:val="21"/>
                <w:szCs w:val="21"/>
              </w:rPr>
            </w:pPr>
          </w:p>
        </w:tc>
        <w:tc>
          <w:tcPr>
            <w:tcW w:w="1215" w:type="dxa"/>
          </w:tcPr>
          <w:p>
            <w:pPr>
              <w:spacing w:line="360" w:lineRule="auto"/>
              <w:rPr>
                <w:rFonts w:ascii="宋体" w:hAnsi="宋体" w:eastAsia="宋体" w:cs="宋体"/>
                <w:color w:val="auto"/>
                <w:sz w:val="21"/>
                <w:szCs w:val="21"/>
              </w:rPr>
            </w:pPr>
          </w:p>
        </w:tc>
        <w:tc>
          <w:tcPr>
            <w:tcW w:w="971" w:type="dxa"/>
          </w:tcPr>
          <w:p>
            <w:pPr>
              <w:spacing w:line="360" w:lineRule="auto"/>
              <w:rPr>
                <w:rFonts w:ascii="宋体" w:hAnsi="宋体" w:eastAsia="宋体" w:cs="宋体"/>
                <w:color w:val="auto"/>
                <w:sz w:val="21"/>
                <w:szCs w:val="21"/>
              </w:rPr>
            </w:pPr>
          </w:p>
        </w:tc>
        <w:tc>
          <w:tcPr>
            <w:tcW w:w="1155" w:type="dxa"/>
          </w:tcPr>
          <w:p>
            <w:pPr>
              <w:spacing w:line="360" w:lineRule="auto"/>
              <w:rPr>
                <w:rFonts w:ascii="宋体" w:hAnsi="宋体" w:eastAsia="宋体" w:cs="宋体"/>
                <w:color w:val="auto"/>
                <w:sz w:val="21"/>
                <w:szCs w:val="21"/>
              </w:rPr>
            </w:pPr>
          </w:p>
        </w:tc>
        <w:tc>
          <w:tcPr>
            <w:tcW w:w="1029" w:type="dxa"/>
          </w:tcPr>
          <w:p>
            <w:pPr>
              <w:spacing w:line="360" w:lineRule="auto"/>
              <w:rPr>
                <w:rFonts w:ascii="宋体" w:hAnsi="宋体" w:eastAsia="宋体" w:cs="宋体"/>
                <w:color w:val="auto"/>
                <w:sz w:val="21"/>
                <w:szCs w:val="21"/>
              </w:rPr>
            </w:pPr>
          </w:p>
        </w:tc>
        <w:tc>
          <w:tcPr>
            <w:tcW w:w="1269" w:type="dxa"/>
          </w:tcPr>
          <w:p>
            <w:pPr>
              <w:spacing w:line="360" w:lineRule="auto"/>
              <w:rPr>
                <w:rFonts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exact"/>
        </w:trPr>
        <w:tc>
          <w:tcPr>
            <w:tcW w:w="675" w:type="dxa"/>
          </w:tcPr>
          <w:p>
            <w:pPr>
              <w:spacing w:line="360" w:lineRule="auto"/>
              <w:rPr>
                <w:rFonts w:ascii="宋体" w:hAnsi="宋体" w:eastAsia="宋体" w:cs="宋体"/>
                <w:color w:val="auto"/>
                <w:sz w:val="21"/>
                <w:szCs w:val="21"/>
              </w:rPr>
            </w:pPr>
          </w:p>
        </w:tc>
        <w:tc>
          <w:tcPr>
            <w:tcW w:w="1320" w:type="dxa"/>
            <w:vAlign w:val="center"/>
          </w:tcPr>
          <w:p>
            <w:pPr>
              <w:spacing w:line="360" w:lineRule="auto"/>
              <w:jc w:val="center"/>
              <w:rPr>
                <w:rFonts w:ascii="宋体" w:hAnsi="宋体" w:eastAsia="宋体" w:cs="宋体"/>
                <w:color w:val="auto"/>
                <w:sz w:val="21"/>
                <w:szCs w:val="21"/>
              </w:rPr>
            </w:pPr>
            <w:r>
              <w:rPr>
                <w:rFonts w:hint="eastAsia" w:ascii="宋体" w:hAnsi="宋体" w:eastAsia="宋体" w:cs="宋体"/>
                <w:color w:val="auto"/>
                <w:sz w:val="21"/>
                <w:szCs w:val="21"/>
              </w:rPr>
              <w:t>......</w:t>
            </w:r>
          </w:p>
        </w:tc>
        <w:tc>
          <w:tcPr>
            <w:tcW w:w="1091" w:type="dxa"/>
          </w:tcPr>
          <w:p>
            <w:pPr>
              <w:spacing w:line="360" w:lineRule="auto"/>
              <w:rPr>
                <w:rFonts w:ascii="宋体" w:hAnsi="宋体" w:eastAsia="宋体" w:cs="宋体"/>
                <w:color w:val="auto"/>
                <w:sz w:val="21"/>
                <w:szCs w:val="21"/>
              </w:rPr>
            </w:pPr>
          </w:p>
        </w:tc>
        <w:tc>
          <w:tcPr>
            <w:tcW w:w="792" w:type="dxa"/>
          </w:tcPr>
          <w:p>
            <w:pPr>
              <w:spacing w:line="360" w:lineRule="auto"/>
              <w:rPr>
                <w:rFonts w:ascii="宋体" w:hAnsi="宋体" w:eastAsia="宋体" w:cs="宋体"/>
                <w:color w:val="auto"/>
                <w:sz w:val="21"/>
                <w:szCs w:val="21"/>
              </w:rPr>
            </w:pPr>
          </w:p>
        </w:tc>
        <w:tc>
          <w:tcPr>
            <w:tcW w:w="1215" w:type="dxa"/>
          </w:tcPr>
          <w:p>
            <w:pPr>
              <w:spacing w:line="360" w:lineRule="auto"/>
              <w:rPr>
                <w:rFonts w:ascii="宋体" w:hAnsi="宋体" w:eastAsia="宋体" w:cs="宋体"/>
                <w:color w:val="auto"/>
                <w:sz w:val="21"/>
                <w:szCs w:val="21"/>
              </w:rPr>
            </w:pPr>
          </w:p>
        </w:tc>
        <w:tc>
          <w:tcPr>
            <w:tcW w:w="971" w:type="dxa"/>
          </w:tcPr>
          <w:p>
            <w:pPr>
              <w:spacing w:line="360" w:lineRule="auto"/>
              <w:rPr>
                <w:rFonts w:ascii="宋体" w:hAnsi="宋体" w:eastAsia="宋体" w:cs="宋体"/>
                <w:color w:val="auto"/>
                <w:sz w:val="21"/>
                <w:szCs w:val="21"/>
              </w:rPr>
            </w:pPr>
          </w:p>
        </w:tc>
        <w:tc>
          <w:tcPr>
            <w:tcW w:w="1155" w:type="dxa"/>
          </w:tcPr>
          <w:p>
            <w:pPr>
              <w:spacing w:line="360" w:lineRule="auto"/>
              <w:rPr>
                <w:rFonts w:ascii="宋体" w:hAnsi="宋体" w:eastAsia="宋体" w:cs="宋体"/>
                <w:color w:val="auto"/>
                <w:sz w:val="21"/>
                <w:szCs w:val="21"/>
              </w:rPr>
            </w:pPr>
          </w:p>
        </w:tc>
        <w:tc>
          <w:tcPr>
            <w:tcW w:w="1029" w:type="dxa"/>
          </w:tcPr>
          <w:p>
            <w:pPr>
              <w:spacing w:line="360" w:lineRule="auto"/>
              <w:rPr>
                <w:rFonts w:ascii="宋体" w:hAnsi="宋体" w:eastAsia="宋体" w:cs="宋体"/>
                <w:color w:val="auto"/>
                <w:sz w:val="21"/>
                <w:szCs w:val="21"/>
              </w:rPr>
            </w:pPr>
          </w:p>
        </w:tc>
        <w:tc>
          <w:tcPr>
            <w:tcW w:w="1269" w:type="dxa"/>
          </w:tcPr>
          <w:p>
            <w:pPr>
              <w:spacing w:line="360" w:lineRule="auto"/>
              <w:rPr>
                <w:rFonts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exact"/>
        </w:trPr>
        <w:tc>
          <w:tcPr>
            <w:tcW w:w="675" w:type="dxa"/>
          </w:tcPr>
          <w:p>
            <w:pPr>
              <w:spacing w:line="360" w:lineRule="auto"/>
              <w:rPr>
                <w:rFonts w:ascii="宋体" w:hAnsi="宋体" w:eastAsia="宋体" w:cs="宋体"/>
                <w:color w:val="auto"/>
                <w:sz w:val="21"/>
                <w:szCs w:val="21"/>
              </w:rPr>
            </w:pPr>
          </w:p>
        </w:tc>
        <w:tc>
          <w:tcPr>
            <w:tcW w:w="1320" w:type="dxa"/>
          </w:tcPr>
          <w:p>
            <w:pPr>
              <w:spacing w:line="360" w:lineRule="auto"/>
              <w:rPr>
                <w:rFonts w:ascii="宋体" w:hAnsi="宋体" w:eastAsia="宋体" w:cs="宋体"/>
                <w:color w:val="auto"/>
                <w:sz w:val="21"/>
                <w:szCs w:val="21"/>
              </w:rPr>
            </w:pPr>
          </w:p>
        </w:tc>
        <w:tc>
          <w:tcPr>
            <w:tcW w:w="1091" w:type="dxa"/>
          </w:tcPr>
          <w:p>
            <w:pPr>
              <w:spacing w:line="360" w:lineRule="auto"/>
              <w:rPr>
                <w:rFonts w:ascii="宋体" w:hAnsi="宋体" w:eastAsia="宋体" w:cs="宋体"/>
                <w:color w:val="auto"/>
                <w:sz w:val="21"/>
                <w:szCs w:val="21"/>
              </w:rPr>
            </w:pPr>
          </w:p>
        </w:tc>
        <w:tc>
          <w:tcPr>
            <w:tcW w:w="792" w:type="dxa"/>
          </w:tcPr>
          <w:p>
            <w:pPr>
              <w:spacing w:line="360" w:lineRule="auto"/>
              <w:rPr>
                <w:rFonts w:ascii="宋体" w:hAnsi="宋体" w:eastAsia="宋体" w:cs="宋体"/>
                <w:color w:val="auto"/>
                <w:sz w:val="21"/>
                <w:szCs w:val="21"/>
              </w:rPr>
            </w:pPr>
          </w:p>
        </w:tc>
        <w:tc>
          <w:tcPr>
            <w:tcW w:w="1215" w:type="dxa"/>
          </w:tcPr>
          <w:p>
            <w:pPr>
              <w:spacing w:line="360" w:lineRule="auto"/>
              <w:rPr>
                <w:rFonts w:ascii="宋体" w:hAnsi="宋体" w:eastAsia="宋体" w:cs="宋体"/>
                <w:color w:val="auto"/>
                <w:sz w:val="21"/>
                <w:szCs w:val="21"/>
              </w:rPr>
            </w:pPr>
          </w:p>
        </w:tc>
        <w:tc>
          <w:tcPr>
            <w:tcW w:w="971" w:type="dxa"/>
          </w:tcPr>
          <w:p>
            <w:pPr>
              <w:spacing w:line="360" w:lineRule="auto"/>
              <w:rPr>
                <w:rFonts w:ascii="宋体" w:hAnsi="宋体" w:eastAsia="宋体" w:cs="宋体"/>
                <w:color w:val="auto"/>
                <w:sz w:val="21"/>
                <w:szCs w:val="21"/>
              </w:rPr>
            </w:pPr>
          </w:p>
        </w:tc>
        <w:tc>
          <w:tcPr>
            <w:tcW w:w="1155" w:type="dxa"/>
          </w:tcPr>
          <w:p>
            <w:pPr>
              <w:spacing w:line="360" w:lineRule="auto"/>
              <w:rPr>
                <w:rFonts w:ascii="宋体" w:hAnsi="宋体" w:eastAsia="宋体" w:cs="宋体"/>
                <w:color w:val="auto"/>
                <w:sz w:val="21"/>
                <w:szCs w:val="21"/>
              </w:rPr>
            </w:pPr>
          </w:p>
        </w:tc>
        <w:tc>
          <w:tcPr>
            <w:tcW w:w="1029" w:type="dxa"/>
          </w:tcPr>
          <w:p>
            <w:pPr>
              <w:spacing w:line="360" w:lineRule="auto"/>
              <w:rPr>
                <w:rFonts w:ascii="宋体" w:hAnsi="宋体" w:eastAsia="宋体" w:cs="宋体"/>
                <w:color w:val="auto"/>
                <w:sz w:val="21"/>
                <w:szCs w:val="21"/>
              </w:rPr>
            </w:pPr>
          </w:p>
        </w:tc>
        <w:tc>
          <w:tcPr>
            <w:tcW w:w="1269" w:type="dxa"/>
          </w:tcPr>
          <w:p>
            <w:pPr>
              <w:spacing w:line="360" w:lineRule="auto"/>
              <w:rPr>
                <w:rFonts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exact"/>
        </w:trPr>
        <w:tc>
          <w:tcPr>
            <w:tcW w:w="675" w:type="dxa"/>
          </w:tcPr>
          <w:p>
            <w:pPr>
              <w:spacing w:line="360" w:lineRule="auto"/>
              <w:rPr>
                <w:rFonts w:ascii="宋体" w:hAnsi="宋体" w:cs="宋体"/>
                <w:color w:val="auto"/>
                <w:szCs w:val="21"/>
              </w:rPr>
            </w:pPr>
          </w:p>
        </w:tc>
        <w:tc>
          <w:tcPr>
            <w:tcW w:w="1320" w:type="dxa"/>
          </w:tcPr>
          <w:p>
            <w:pPr>
              <w:spacing w:line="360" w:lineRule="auto"/>
              <w:rPr>
                <w:rFonts w:ascii="宋体" w:hAnsi="宋体" w:cs="宋体"/>
                <w:color w:val="auto"/>
                <w:szCs w:val="21"/>
              </w:rPr>
            </w:pPr>
          </w:p>
        </w:tc>
        <w:tc>
          <w:tcPr>
            <w:tcW w:w="1091" w:type="dxa"/>
          </w:tcPr>
          <w:p>
            <w:pPr>
              <w:spacing w:line="360" w:lineRule="auto"/>
              <w:rPr>
                <w:rFonts w:ascii="宋体" w:hAnsi="宋体" w:cs="宋体"/>
                <w:color w:val="auto"/>
                <w:szCs w:val="21"/>
              </w:rPr>
            </w:pPr>
          </w:p>
        </w:tc>
        <w:tc>
          <w:tcPr>
            <w:tcW w:w="792" w:type="dxa"/>
          </w:tcPr>
          <w:p>
            <w:pPr>
              <w:spacing w:line="360" w:lineRule="auto"/>
              <w:rPr>
                <w:rFonts w:ascii="宋体" w:hAnsi="宋体" w:cs="宋体"/>
                <w:color w:val="auto"/>
                <w:szCs w:val="21"/>
              </w:rPr>
            </w:pPr>
          </w:p>
        </w:tc>
        <w:tc>
          <w:tcPr>
            <w:tcW w:w="1215" w:type="dxa"/>
          </w:tcPr>
          <w:p>
            <w:pPr>
              <w:spacing w:line="360" w:lineRule="auto"/>
              <w:rPr>
                <w:rFonts w:ascii="宋体" w:hAnsi="宋体" w:cs="宋体"/>
                <w:color w:val="auto"/>
                <w:szCs w:val="21"/>
              </w:rPr>
            </w:pPr>
          </w:p>
        </w:tc>
        <w:tc>
          <w:tcPr>
            <w:tcW w:w="971" w:type="dxa"/>
          </w:tcPr>
          <w:p>
            <w:pPr>
              <w:spacing w:line="360" w:lineRule="auto"/>
              <w:rPr>
                <w:rFonts w:ascii="宋体" w:hAnsi="宋体" w:cs="宋体"/>
                <w:color w:val="auto"/>
                <w:szCs w:val="21"/>
              </w:rPr>
            </w:pPr>
          </w:p>
        </w:tc>
        <w:tc>
          <w:tcPr>
            <w:tcW w:w="1155" w:type="dxa"/>
          </w:tcPr>
          <w:p>
            <w:pPr>
              <w:spacing w:line="360" w:lineRule="auto"/>
              <w:rPr>
                <w:rFonts w:ascii="宋体" w:hAnsi="宋体" w:cs="宋体"/>
                <w:color w:val="auto"/>
                <w:szCs w:val="21"/>
              </w:rPr>
            </w:pPr>
          </w:p>
        </w:tc>
        <w:tc>
          <w:tcPr>
            <w:tcW w:w="1029" w:type="dxa"/>
          </w:tcPr>
          <w:p>
            <w:pPr>
              <w:spacing w:line="360" w:lineRule="auto"/>
              <w:rPr>
                <w:rFonts w:ascii="宋体" w:hAnsi="宋体" w:cs="宋体"/>
                <w:color w:val="auto"/>
                <w:szCs w:val="21"/>
              </w:rPr>
            </w:pPr>
          </w:p>
        </w:tc>
        <w:tc>
          <w:tcPr>
            <w:tcW w:w="1269" w:type="dxa"/>
          </w:tcPr>
          <w:p>
            <w:pPr>
              <w:spacing w:line="360" w:lineRule="auto"/>
              <w:rPr>
                <w:rFonts w:ascii="宋体" w:hAnsi="宋体" w:cs="宋体"/>
                <w:color w:val="auto"/>
                <w:szCs w:val="21"/>
              </w:rPr>
            </w:pPr>
          </w:p>
        </w:tc>
      </w:tr>
    </w:tbl>
    <w:p>
      <w:pPr>
        <w:pStyle w:val="12"/>
        <w:spacing w:line="360" w:lineRule="auto"/>
        <w:rPr>
          <w:rFonts w:hAnsi="宋体"/>
          <w:bCs/>
          <w:color w:val="auto"/>
          <w:kern w:val="0"/>
          <w:szCs w:val="21"/>
        </w:rPr>
      </w:pPr>
      <w:r>
        <w:rPr>
          <w:rFonts w:hint="eastAsia" w:hAnsi="宋体"/>
          <w:bCs/>
          <w:color w:val="auto"/>
          <w:kern w:val="0"/>
          <w:szCs w:val="21"/>
        </w:rPr>
        <w:t>要求</w:t>
      </w:r>
      <w:r>
        <w:rPr>
          <w:rFonts w:hAnsi="宋体"/>
          <w:bCs/>
          <w:color w:val="auto"/>
          <w:kern w:val="0"/>
          <w:szCs w:val="21"/>
        </w:rPr>
        <w:t>：</w:t>
      </w:r>
    </w:p>
    <w:p>
      <w:pPr>
        <w:pStyle w:val="12"/>
        <w:spacing w:line="360" w:lineRule="auto"/>
        <w:ind w:firstLine="420" w:firstLineChars="200"/>
        <w:rPr>
          <w:rFonts w:hAnsi="宋体"/>
          <w:bCs/>
          <w:color w:val="auto"/>
          <w:kern w:val="0"/>
          <w:szCs w:val="21"/>
        </w:rPr>
      </w:pPr>
      <w:r>
        <w:rPr>
          <w:rFonts w:hint="eastAsia" w:hAnsi="宋体" w:eastAsia="宋体"/>
          <w:bCs/>
          <w:color w:val="auto"/>
          <w:kern w:val="0"/>
          <w:szCs w:val="21"/>
        </w:rPr>
        <w:t>1.</w:t>
      </w:r>
      <w:r>
        <w:rPr>
          <w:rFonts w:hint="eastAsia" w:hAnsi="宋体" w:eastAsia="宋体"/>
          <w:b/>
          <w:color w:val="auto"/>
          <w:kern w:val="0"/>
          <w:szCs w:val="21"/>
        </w:rPr>
        <w:t>表中拟派岗位人员请参照“第四部分”评标办法及评分标准”中拟派人员要求填写，并附上相关人员的资格证书、社保证明等影响资格评审或评分的材料。</w:t>
      </w:r>
    </w:p>
    <w:p>
      <w:pPr>
        <w:pStyle w:val="12"/>
        <w:spacing w:line="360" w:lineRule="auto"/>
        <w:rPr>
          <w:rFonts w:hAnsi="宋体"/>
          <w:b/>
          <w:bCs/>
          <w:color w:val="auto"/>
          <w:kern w:val="0"/>
          <w:szCs w:val="21"/>
        </w:rPr>
      </w:pPr>
      <w:r>
        <w:rPr>
          <w:rFonts w:hAnsi="宋体"/>
          <w:bCs/>
          <w:color w:val="auto"/>
          <w:kern w:val="0"/>
          <w:szCs w:val="21"/>
        </w:rPr>
        <w:t xml:space="preserve">    </w:t>
      </w:r>
      <w:r>
        <w:rPr>
          <w:rFonts w:hint="eastAsia" w:hAnsi="宋体" w:eastAsia="宋体"/>
          <w:bCs/>
          <w:color w:val="auto"/>
          <w:kern w:val="0"/>
          <w:szCs w:val="21"/>
        </w:rPr>
        <w:t>2</w:t>
      </w:r>
      <w:r>
        <w:rPr>
          <w:rFonts w:hAnsi="宋体"/>
          <w:bCs/>
          <w:color w:val="auto"/>
          <w:kern w:val="0"/>
          <w:szCs w:val="21"/>
        </w:rPr>
        <w:t>.</w:t>
      </w:r>
      <w:r>
        <w:rPr>
          <w:rFonts w:hint="eastAsia" w:hAnsi="宋体"/>
          <w:bCs/>
          <w:color w:val="auto"/>
          <w:kern w:val="0"/>
          <w:szCs w:val="21"/>
        </w:rPr>
        <w:t>供应商可根据自身情况调整表格。</w:t>
      </w:r>
    </w:p>
    <w:p>
      <w:pPr>
        <w:adjustRightInd w:val="0"/>
        <w:snapToGrid w:val="0"/>
        <w:spacing w:line="360" w:lineRule="auto"/>
        <w:ind w:firstLine="4680" w:firstLineChars="1950"/>
        <w:rPr>
          <w:rFonts w:ascii="宋体" w:hAnsi="宋体" w:eastAsia="宋体" w:cs="宋体"/>
          <w:color w:val="auto"/>
          <w:kern w:val="0"/>
          <w:sz w:val="21"/>
          <w:szCs w:val="21"/>
          <w:lang w:val="zh-CN"/>
        </w:rPr>
      </w:pPr>
      <w:r>
        <w:rPr>
          <w:rFonts w:hint="eastAsia" w:ascii="宋体" w:hAnsi="宋体" w:eastAsia="宋体" w:cs="宋体"/>
          <w:color w:val="auto"/>
          <w:sz w:val="24"/>
        </w:rPr>
        <w:t xml:space="preserve">      </w:t>
      </w:r>
      <w:r>
        <w:rPr>
          <w:rFonts w:hint="eastAsia" w:ascii="宋体" w:hAnsi="宋体" w:eastAsia="宋体" w:cs="宋体"/>
          <w:color w:val="auto"/>
          <w:kern w:val="0"/>
          <w:sz w:val="21"/>
          <w:szCs w:val="21"/>
          <w:lang w:val="zh-CN"/>
        </w:rPr>
        <w:t>磋商供应商(公章)：</w:t>
      </w:r>
    </w:p>
    <w:p>
      <w:pPr>
        <w:adjustRightInd w:val="0"/>
        <w:snapToGrid w:val="0"/>
        <w:spacing w:line="360" w:lineRule="auto"/>
        <w:rPr>
          <w:rFonts w:ascii="宋体" w:hAnsi="宋体" w:eastAsia="宋体" w:cs="宋体"/>
          <w:color w:val="auto"/>
          <w:kern w:val="0"/>
          <w:sz w:val="21"/>
          <w:szCs w:val="21"/>
          <w:lang w:val="zh-CN"/>
        </w:rPr>
      </w:pPr>
      <w:r>
        <w:rPr>
          <w:rFonts w:hint="eastAsia" w:ascii="宋体" w:hAnsi="宋体" w:eastAsia="宋体" w:cs="宋体"/>
          <w:color w:val="auto"/>
          <w:kern w:val="0"/>
          <w:sz w:val="21"/>
          <w:szCs w:val="21"/>
          <w:lang w:val="zh-CN"/>
        </w:rPr>
        <w:t xml:space="preserve">                                 法定代表人或授权委托人(签字</w:t>
      </w:r>
      <w:r>
        <w:rPr>
          <w:rFonts w:hint="eastAsia" w:ascii="宋体" w:hAnsi="宋体" w:eastAsia="宋体" w:cs="宋体"/>
          <w:color w:val="auto"/>
          <w:kern w:val="0"/>
          <w:sz w:val="21"/>
          <w:szCs w:val="21"/>
        </w:rPr>
        <w:t>或盖章</w:t>
      </w:r>
      <w:r>
        <w:rPr>
          <w:rFonts w:hint="eastAsia" w:ascii="宋体" w:hAnsi="宋体" w:eastAsia="宋体" w:cs="宋体"/>
          <w:color w:val="auto"/>
          <w:kern w:val="0"/>
          <w:sz w:val="21"/>
          <w:szCs w:val="21"/>
          <w:lang w:val="zh-CN"/>
        </w:rPr>
        <w:t>)：</w:t>
      </w:r>
    </w:p>
    <w:p>
      <w:pPr>
        <w:pStyle w:val="5"/>
        <w:spacing w:before="240" w:beforeLines="100" w:after="0" w:line="360" w:lineRule="auto"/>
        <w:rPr>
          <w:rFonts w:ascii="宋体" w:hAnsi="宋体" w:eastAsia="宋体"/>
          <w:bCs w:val="0"/>
          <w:color w:val="auto"/>
          <w:lang w:val="zh-CN"/>
        </w:rPr>
      </w:pPr>
      <w:r>
        <w:rPr>
          <w:rFonts w:hint="eastAsia" w:ascii="宋体" w:hAnsi="宋体" w:eastAsia="宋体" w:cs="宋体"/>
          <w:color w:val="auto"/>
          <w:kern w:val="0"/>
          <w:sz w:val="21"/>
          <w:szCs w:val="21"/>
          <w:lang w:val="zh-CN"/>
        </w:rPr>
        <w:t xml:space="preserve">                                </w:t>
      </w:r>
      <w:r>
        <w:rPr>
          <w:rFonts w:hint="eastAsia" w:ascii="宋体" w:hAnsi="宋体" w:eastAsia="宋体" w:cs="宋体"/>
          <w:color w:val="auto"/>
          <w:kern w:val="0"/>
          <w:sz w:val="21"/>
          <w:szCs w:val="21"/>
        </w:rPr>
        <w:t xml:space="preserve">                     </w:t>
      </w:r>
      <w:r>
        <w:rPr>
          <w:rFonts w:hint="eastAsia" w:ascii="宋体" w:hAnsi="宋体" w:eastAsia="宋体" w:cs="宋体"/>
          <w:b w:val="0"/>
          <w:bCs w:val="0"/>
          <w:color w:val="auto"/>
          <w:kern w:val="0"/>
          <w:sz w:val="21"/>
          <w:szCs w:val="21"/>
        </w:rPr>
        <w:t xml:space="preserve">       </w:t>
      </w:r>
      <w:r>
        <w:rPr>
          <w:rFonts w:hint="eastAsia" w:ascii="宋体" w:hAnsi="宋体" w:eastAsia="宋体" w:cs="宋体"/>
          <w:b w:val="0"/>
          <w:bCs w:val="0"/>
          <w:color w:val="auto"/>
          <w:kern w:val="0"/>
          <w:sz w:val="21"/>
          <w:szCs w:val="21"/>
          <w:lang w:val="zh-CN"/>
        </w:rPr>
        <w:t xml:space="preserve">  日期：</w:t>
      </w:r>
      <w:r>
        <w:rPr>
          <w:rFonts w:hint="eastAsia" w:ascii="宋体" w:hAnsi="宋体" w:eastAsia="宋体" w:cs="宋体"/>
          <w:b w:val="0"/>
          <w:bCs w:val="0"/>
          <w:color w:val="auto"/>
          <w:kern w:val="0"/>
          <w:sz w:val="21"/>
          <w:szCs w:val="21"/>
        </w:rPr>
        <w:t xml:space="preserve">       </w:t>
      </w:r>
      <w:r>
        <w:rPr>
          <w:rFonts w:hint="eastAsia" w:ascii="宋体" w:hAnsi="宋体" w:eastAsia="宋体" w:cs="宋体"/>
          <w:b w:val="0"/>
          <w:bCs w:val="0"/>
          <w:color w:val="auto"/>
          <w:kern w:val="0"/>
          <w:sz w:val="21"/>
          <w:szCs w:val="21"/>
          <w:lang w:val="zh-CN"/>
        </w:rPr>
        <w:t>年  月   日</w:t>
      </w:r>
    </w:p>
    <w:p>
      <w:pPr>
        <w:pStyle w:val="33"/>
        <w:rPr>
          <w:rFonts w:ascii="宋体" w:hAnsi="宋体" w:cs="宋体"/>
          <w:b/>
          <w:color w:val="auto"/>
          <w:sz w:val="24"/>
        </w:rPr>
      </w:pPr>
    </w:p>
    <w:p>
      <w:pPr>
        <w:pStyle w:val="33"/>
        <w:rPr>
          <w:rFonts w:ascii="宋体" w:hAnsi="宋体" w:cs="宋体"/>
          <w:b/>
          <w:color w:val="auto"/>
          <w:sz w:val="24"/>
        </w:rPr>
      </w:pPr>
    </w:p>
    <w:p>
      <w:pPr>
        <w:pStyle w:val="33"/>
        <w:rPr>
          <w:rFonts w:ascii="宋体" w:hAnsi="宋体" w:cs="宋体"/>
          <w:b/>
          <w:color w:val="auto"/>
          <w:sz w:val="24"/>
        </w:rPr>
      </w:pPr>
    </w:p>
    <w:p>
      <w:pPr>
        <w:tabs>
          <w:tab w:val="left" w:pos="720"/>
        </w:tabs>
        <w:spacing w:line="360" w:lineRule="auto"/>
        <w:outlineLvl w:val="0"/>
        <w:rPr>
          <w:rFonts w:ascii="宋体" w:hAnsi="宋体" w:cs="宋体"/>
          <w:b/>
          <w:color w:val="auto"/>
          <w:sz w:val="24"/>
        </w:rPr>
      </w:pPr>
    </w:p>
    <w:p>
      <w:pPr>
        <w:pStyle w:val="33"/>
        <w:rPr>
          <w:rFonts w:ascii="宋体" w:hAnsi="宋体" w:cs="宋体"/>
          <w:b/>
          <w:color w:val="auto"/>
          <w:sz w:val="24"/>
        </w:rPr>
      </w:pPr>
    </w:p>
    <w:p>
      <w:pPr>
        <w:pStyle w:val="33"/>
        <w:rPr>
          <w:rFonts w:ascii="宋体" w:hAnsi="宋体" w:cs="宋体"/>
          <w:b/>
          <w:color w:val="auto"/>
          <w:sz w:val="24"/>
        </w:rPr>
      </w:pPr>
    </w:p>
    <w:p>
      <w:pPr>
        <w:pStyle w:val="2"/>
        <w:jc w:val="left"/>
        <w:rPr>
          <w:rFonts w:ascii="宋体" w:hAnsi="宋体" w:eastAsia="宋体" w:cs="宋体"/>
          <w:b/>
          <w:color w:val="auto"/>
          <w:sz w:val="24"/>
          <w:szCs w:val="24"/>
        </w:rPr>
      </w:pPr>
      <w:r>
        <w:rPr>
          <w:rFonts w:hint="eastAsia" w:ascii="宋体" w:hAnsi="宋体" w:cs="宋体"/>
          <w:b/>
          <w:color w:val="auto"/>
          <w:sz w:val="24"/>
          <w:szCs w:val="24"/>
        </w:rPr>
        <w:t>附表十</w:t>
      </w:r>
      <w:bookmarkEnd w:id="629"/>
      <w:bookmarkEnd w:id="630"/>
      <w:bookmarkEnd w:id="631"/>
      <w:bookmarkEnd w:id="632"/>
      <w:r>
        <w:rPr>
          <w:rFonts w:hint="eastAsia" w:ascii="宋体" w:hAnsi="宋体" w:eastAsia="宋体" w:cs="宋体"/>
          <w:b/>
          <w:color w:val="auto"/>
          <w:sz w:val="24"/>
          <w:szCs w:val="24"/>
        </w:rPr>
        <w:t xml:space="preserve">四：                </w:t>
      </w:r>
    </w:p>
    <w:p>
      <w:pPr>
        <w:pStyle w:val="2"/>
        <w:jc w:val="center"/>
        <w:rPr>
          <w:rFonts w:ascii="宋体" w:hAnsi="宋体"/>
          <w:b/>
          <w:color w:val="auto"/>
          <w:sz w:val="32"/>
          <w:szCs w:val="32"/>
        </w:rPr>
      </w:pPr>
      <w:r>
        <w:rPr>
          <w:rFonts w:hint="eastAsia" w:ascii="黑体" w:eastAsia="黑体"/>
          <w:b/>
          <w:color w:val="auto"/>
          <w:sz w:val="36"/>
          <w:szCs w:val="36"/>
        </w:rPr>
        <w:t>主要施工机械设备表</w:t>
      </w:r>
    </w:p>
    <w:p>
      <w:pPr>
        <w:pStyle w:val="3"/>
        <w:rPr>
          <w:color w:val="auto"/>
        </w:rPr>
      </w:pPr>
    </w:p>
    <w:tbl>
      <w:tblPr>
        <w:tblStyle w:val="24"/>
        <w:tblW w:w="9558" w:type="dxa"/>
        <w:tblInd w:w="0" w:type="dxa"/>
        <w:tblLayout w:type="fixed"/>
        <w:tblCellMar>
          <w:top w:w="0" w:type="dxa"/>
          <w:left w:w="108" w:type="dxa"/>
          <w:bottom w:w="0" w:type="dxa"/>
          <w:right w:w="108" w:type="dxa"/>
        </w:tblCellMar>
      </w:tblPr>
      <w:tblGrid>
        <w:gridCol w:w="824"/>
        <w:gridCol w:w="1433"/>
        <w:gridCol w:w="1433"/>
        <w:gridCol w:w="1054"/>
        <w:gridCol w:w="1413"/>
        <w:gridCol w:w="2262"/>
        <w:gridCol w:w="1139"/>
      </w:tblGrid>
      <w:tr>
        <w:tblPrEx>
          <w:tblCellMar>
            <w:top w:w="0" w:type="dxa"/>
            <w:left w:w="108" w:type="dxa"/>
            <w:bottom w:w="0" w:type="dxa"/>
            <w:right w:w="108" w:type="dxa"/>
          </w:tblCellMar>
        </w:tblPrEx>
        <w:trPr>
          <w:trHeight w:val="636" w:hRule="atLeast"/>
        </w:trPr>
        <w:tc>
          <w:tcPr>
            <w:tcW w:w="8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r>
              <w:rPr>
                <w:rFonts w:hint="eastAsia" w:cs="宋体"/>
                <w:color w:val="auto"/>
                <w:kern w:val="0"/>
                <w:sz w:val="22"/>
                <w:szCs w:val="22"/>
              </w:rPr>
              <w:t>序号</w:t>
            </w:r>
          </w:p>
        </w:tc>
        <w:tc>
          <w:tcPr>
            <w:tcW w:w="143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r>
              <w:rPr>
                <w:rFonts w:hint="eastAsia" w:cs="宋体"/>
                <w:color w:val="auto"/>
                <w:kern w:val="0"/>
                <w:sz w:val="22"/>
                <w:szCs w:val="22"/>
              </w:rPr>
              <w:t>设备名称</w:t>
            </w:r>
          </w:p>
        </w:tc>
        <w:tc>
          <w:tcPr>
            <w:tcW w:w="143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r>
              <w:rPr>
                <w:rFonts w:hint="eastAsia" w:cs="宋体"/>
                <w:color w:val="auto"/>
                <w:kern w:val="0"/>
                <w:sz w:val="22"/>
                <w:szCs w:val="22"/>
              </w:rPr>
              <w:t>规格型号</w:t>
            </w:r>
          </w:p>
        </w:tc>
        <w:tc>
          <w:tcPr>
            <w:tcW w:w="1054"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r>
              <w:rPr>
                <w:rFonts w:hint="eastAsia" w:cs="宋体"/>
                <w:color w:val="auto"/>
                <w:kern w:val="0"/>
                <w:sz w:val="22"/>
                <w:szCs w:val="22"/>
              </w:rPr>
              <w:t>数量</w:t>
            </w:r>
          </w:p>
        </w:tc>
        <w:tc>
          <w:tcPr>
            <w:tcW w:w="141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r>
              <w:rPr>
                <w:rFonts w:hint="eastAsia" w:cs="宋体"/>
                <w:color w:val="auto"/>
                <w:kern w:val="0"/>
                <w:sz w:val="22"/>
                <w:szCs w:val="22"/>
              </w:rPr>
              <w:t>设备能力</w:t>
            </w:r>
          </w:p>
        </w:tc>
        <w:tc>
          <w:tcPr>
            <w:tcW w:w="2262"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r>
              <w:rPr>
                <w:rFonts w:hint="eastAsia" w:cs="宋体"/>
                <w:color w:val="auto"/>
                <w:kern w:val="0"/>
                <w:sz w:val="22"/>
                <w:szCs w:val="22"/>
              </w:rPr>
              <w:t>进场时间</w:t>
            </w:r>
          </w:p>
        </w:tc>
        <w:tc>
          <w:tcPr>
            <w:tcW w:w="1139"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r>
              <w:rPr>
                <w:rFonts w:hint="eastAsia" w:cs="宋体"/>
                <w:color w:val="auto"/>
                <w:kern w:val="0"/>
                <w:sz w:val="22"/>
                <w:szCs w:val="22"/>
              </w:rPr>
              <w:t>备注</w:t>
            </w:r>
          </w:p>
        </w:tc>
      </w:tr>
      <w:tr>
        <w:tblPrEx>
          <w:tblCellMar>
            <w:top w:w="0" w:type="dxa"/>
            <w:left w:w="108" w:type="dxa"/>
            <w:bottom w:w="0" w:type="dxa"/>
            <w:right w:w="108" w:type="dxa"/>
          </w:tblCellMar>
        </w:tblPrEx>
        <w:trPr>
          <w:trHeight w:val="636" w:hRule="atLeast"/>
        </w:trPr>
        <w:tc>
          <w:tcPr>
            <w:tcW w:w="8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43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43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054"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41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2262"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139"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r>
      <w:tr>
        <w:tblPrEx>
          <w:tblCellMar>
            <w:top w:w="0" w:type="dxa"/>
            <w:left w:w="108" w:type="dxa"/>
            <w:bottom w:w="0" w:type="dxa"/>
            <w:right w:w="108" w:type="dxa"/>
          </w:tblCellMar>
        </w:tblPrEx>
        <w:trPr>
          <w:trHeight w:val="636" w:hRule="atLeast"/>
        </w:trPr>
        <w:tc>
          <w:tcPr>
            <w:tcW w:w="8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43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43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054"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41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2262"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139"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r>
      <w:tr>
        <w:tblPrEx>
          <w:tblCellMar>
            <w:top w:w="0" w:type="dxa"/>
            <w:left w:w="108" w:type="dxa"/>
            <w:bottom w:w="0" w:type="dxa"/>
            <w:right w:w="108" w:type="dxa"/>
          </w:tblCellMar>
        </w:tblPrEx>
        <w:trPr>
          <w:trHeight w:val="636" w:hRule="atLeast"/>
        </w:trPr>
        <w:tc>
          <w:tcPr>
            <w:tcW w:w="8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43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43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054"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41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2262"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139"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r>
      <w:tr>
        <w:tblPrEx>
          <w:tblCellMar>
            <w:top w:w="0" w:type="dxa"/>
            <w:left w:w="108" w:type="dxa"/>
            <w:bottom w:w="0" w:type="dxa"/>
            <w:right w:w="108" w:type="dxa"/>
          </w:tblCellMar>
        </w:tblPrEx>
        <w:trPr>
          <w:trHeight w:val="636" w:hRule="atLeast"/>
        </w:trPr>
        <w:tc>
          <w:tcPr>
            <w:tcW w:w="8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43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43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054"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41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2262"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139"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r>
      <w:tr>
        <w:tblPrEx>
          <w:tblCellMar>
            <w:top w:w="0" w:type="dxa"/>
            <w:left w:w="108" w:type="dxa"/>
            <w:bottom w:w="0" w:type="dxa"/>
            <w:right w:w="108" w:type="dxa"/>
          </w:tblCellMar>
        </w:tblPrEx>
        <w:trPr>
          <w:trHeight w:val="636" w:hRule="atLeast"/>
        </w:trPr>
        <w:tc>
          <w:tcPr>
            <w:tcW w:w="8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43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43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054"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41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2262"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139"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r>
      <w:tr>
        <w:tblPrEx>
          <w:tblCellMar>
            <w:top w:w="0" w:type="dxa"/>
            <w:left w:w="108" w:type="dxa"/>
            <w:bottom w:w="0" w:type="dxa"/>
            <w:right w:w="108" w:type="dxa"/>
          </w:tblCellMar>
        </w:tblPrEx>
        <w:trPr>
          <w:trHeight w:val="636" w:hRule="atLeast"/>
        </w:trPr>
        <w:tc>
          <w:tcPr>
            <w:tcW w:w="8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43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43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054"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41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2262"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139"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r>
      <w:tr>
        <w:tblPrEx>
          <w:tblCellMar>
            <w:top w:w="0" w:type="dxa"/>
            <w:left w:w="108" w:type="dxa"/>
            <w:bottom w:w="0" w:type="dxa"/>
            <w:right w:w="108" w:type="dxa"/>
          </w:tblCellMar>
        </w:tblPrEx>
        <w:trPr>
          <w:trHeight w:val="636" w:hRule="atLeast"/>
        </w:trPr>
        <w:tc>
          <w:tcPr>
            <w:tcW w:w="8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43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43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054"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41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2262"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139"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r>
      <w:tr>
        <w:tblPrEx>
          <w:tblCellMar>
            <w:top w:w="0" w:type="dxa"/>
            <w:left w:w="108" w:type="dxa"/>
            <w:bottom w:w="0" w:type="dxa"/>
            <w:right w:w="108" w:type="dxa"/>
          </w:tblCellMar>
        </w:tblPrEx>
        <w:trPr>
          <w:trHeight w:val="636" w:hRule="atLeast"/>
        </w:trPr>
        <w:tc>
          <w:tcPr>
            <w:tcW w:w="8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43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43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054"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41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2262"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139"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r>
      <w:tr>
        <w:tblPrEx>
          <w:tblCellMar>
            <w:top w:w="0" w:type="dxa"/>
            <w:left w:w="108" w:type="dxa"/>
            <w:bottom w:w="0" w:type="dxa"/>
            <w:right w:w="108" w:type="dxa"/>
          </w:tblCellMar>
        </w:tblPrEx>
        <w:trPr>
          <w:trHeight w:val="636" w:hRule="atLeast"/>
        </w:trPr>
        <w:tc>
          <w:tcPr>
            <w:tcW w:w="8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43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43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054"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41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2262"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139"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r>
      <w:tr>
        <w:tblPrEx>
          <w:tblCellMar>
            <w:top w:w="0" w:type="dxa"/>
            <w:left w:w="108" w:type="dxa"/>
            <w:bottom w:w="0" w:type="dxa"/>
            <w:right w:w="108" w:type="dxa"/>
          </w:tblCellMar>
        </w:tblPrEx>
        <w:trPr>
          <w:trHeight w:val="636" w:hRule="atLeast"/>
        </w:trPr>
        <w:tc>
          <w:tcPr>
            <w:tcW w:w="8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43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43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054"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41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2262"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139"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r>
      <w:tr>
        <w:tblPrEx>
          <w:tblCellMar>
            <w:top w:w="0" w:type="dxa"/>
            <w:left w:w="108" w:type="dxa"/>
            <w:bottom w:w="0" w:type="dxa"/>
            <w:right w:w="108" w:type="dxa"/>
          </w:tblCellMar>
        </w:tblPrEx>
        <w:trPr>
          <w:trHeight w:val="636" w:hRule="atLeast"/>
        </w:trPr>
        <w:tc>
          <w:tcPr>
            <w:tcW w:w="8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43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43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054"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41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2262"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139"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r>
      <w:tr>
        <w:tblPrEx>
          <w:tblCellMar>
            <w:top w:w="0" w:type="dxa"/>
            <w:left w:w="108" w:type="dxa"/>
            <w:bottom w:w="0" w:type="dxa"/>
            <w:right w:w="108" w:type="dxa"/>
          </w:tblCellMar>
        </w:tblPrEx>
        <w:trPr>
          <w:trHeight w:val="636" w:hRule="atLeast"/>
        </w:trPr>
        <w:tc>
          <w:tcPr>
            <w:tcW w:w="8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43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43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054"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41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2262"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139"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r>
      <w:tr>
        <w:tblPrEx>
          <w:tblCellMar>
            <w:top w:w="0" w:type="dxa"/>
            <w:left w:w="108" w:type="dxa"/>
            <w:bottom w:w="0" w:type="dxa"/>
            <w:right w:w="108" w:type="dxa"/>
          </w:tblCellMar>
        </w:tblPrEx>
        <w:trPr>
          <w:trHeight w:val="646" w:hRule="atLeast"/>
        </w:trPr>
        <w:tc>
          <w:tcPr>
            <w:tcW w:w="8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43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43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054"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41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2262"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c>
          <w:tcPr>
            <w:tcW w:w="1139"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rPr>
            </w:pPr>
          </w:p>
        </w:tc>
      </w:tr>
    </w:tbl>
    <w:p>
      <w:pPr>
        <w:spacing w:line="360" w:lineRule="auto"/>
        <w:rPr>
          <w:rFonts w:ascii="宋体" w:hAnsi="宋体" w:eastAsia="宋体" w:cs="宋体"/>
          <w:color w:val="auto"/>
          <w:sz w:val="21"/>
          <w:szCs w:val="21"/>
        </w:rPr>
      </w:pPr>
    </w:p>
    <w:p>
      <w:pPr>
        <w:adjustRightInd w:val="0"/>
        <w:snapToGrid w:val="0"/>
        <w:spacing w:line="360" w:lineRule="auto"/>
        <w:ind w:firstLine="4680" w:firstLineChars="1950"/>
        <w:rPr>
          <w:rFonts w:ascii="宋体" w:hAnsi="宋体" w:eastAsia="宋体" w:cs="宋体"/>
          <w:color w:val="auto"/>
          <w:kern w:val="0"/>
          <w:sz w:val="21"/>
          <w:szCs w:val="21"/>
          <w:lang w:val="zh-CN"/>
        </w:rPr>
      </w:pPr>
      <w:r>
        <w:rPr>
          <w:rFonts w:hint="eastAsia" w:ascii="宋体" w:hAnsi="宋体" w:eastAsia="宋体" w:cs="宋体"/>
          <w:color w:val="auto"/>
          <w:sz w:val="24"/>
        </w:rPr>
        <w:t xml:space="preserve">      </w:t>
      </w:r>
      <w:r>
        <w:rPr>
          <w:rFonts w:hint="eastAsia" w:ascii="宋体" w:hAnsi="宋体" w:eastAsia="宋体" w:cs="宋体"/>
          <w:color w:val="auto"/>
          <w:kern w:val="0"/>
          <w:sz w:val="21"/>
          <w:szCs w:val="21"/>
          <w:lang w:val="zh-CN"/>
        </w:rPr>
        <w:t>磋商供应商(公章)：</w:t>
      </w:r>
    </w:p>
    <w:p>
      <w:pPr>
        <w:adjustRightInd w:val="0"/>
        <w:snapToGrid w:val="0"/>
        <w:spacing w:line="360" w:lineRule="auto"/>
        <w:rPr>
          <w:rFonts w:ascii="宋体" w:hAnsi="宋体" w:eastAsia="宋体" w:cs="宋体"/>
          <w:color w:val="auto"/>
          <w:kern w:val="0"/>
          <w:sz w:val="21"/>
          <w:szCs w:val="21"/>
          <w:lang w:val="zh-CN"/>
        </w:rPr>
      </w:pPr>
      <w:r>
        <w:rPr>
          <w:rFonts w:hint="eastAsia" w:ascii="宋体" w:hAnsi="宋体" w:eastAsia="宋体" w:cs="宋体"/>
          <w:color w:val="auto"/>
          <w:kern w:val="0"/>
          <w:sz w:val="21"/>
          <w:szCs w:val="21"/>
          <w:lang w:val="zh-CN"/>
        </w:rPr>
        <w:t xml:space="preserve">                                 法定代表人或授权委托人(签字</w:t>
      </w:r>
      <w:r>
        <w:rPr>
          <w:rFonts w:hint="eastAsia" w:ascii="宋体" w:hAnsi="宋体" w:eastAsia="宋体" w:cs="宋体"/>
          <w:color w:val="auto"/>
          <w:kern w:val="0"/>
          <w:sz w:val="21"/>
          <w:szCs w:val="21"/>
        </w:rPr>
        <w:t>或盖章</w:t>
      </w:r>
      <w:r>
        <w:rPr>
          <w:rFonts w:hint="eastAsia" w:ascii="宋体" w:hAnsi="宋体" w:eastAsia="宋体" w:cs="宋体"/>
          <w:color w:val="auto"/>
          <w:kern w:val="0"/>
          <w:sz w:val="21"/>
          <w:szCs w:val="21"/>
          <w:lang w:val="zh-CN"/>
        </w:rPr>
        <w:t>)：</w:t>
      </w:r>
    </w:p>
    <w:p>
      <w:pPr>
        <w:pStyle w:val="5"/>
        <w:spacing w:before="240" w:beforeLines="100" w:after="0" w:line="360" w:lineRule="auto"/>
        <w:jc w:val="right"/>
        <w:rPr>
          <w:rFonts w:ascii="宋体" w:hAnsi="宋体" w:eastAsia="宋体"/>
          <w:b w:val="0"/>
          <w:bCs w:val="0"/>
          <w:color w:val="auto"/>
          <w:lang w:val="zh-CN"/>
        </w:rPr>
      </w:pPr>
      <w:r>
        <w:rPr>
          <w:rFonts w:hint="eastAsia" w:ascii="宋体" w:hAnsi="宋体" w:eastAsia="宋体" w:cs="宋体"/>
          <w:color w:val="auto"/>
          <w:kern w:val="0"/>
          <w:sz w:val="21"/>
          <w:szCs w:val="21"/>
          <w:lang w:val="zh-CN"/>
        </w:rPr>
        <w:t xml:space="preserve">                            </w:t>
      </w:r>
      <w:r>
        <w:rPr>
          <w:rFonts w:hint="eastAsia" w:ascii="宋体" w:hAnsi="宋体" w:eastAsia="宋体" w:cs="宋体"/>
          <w:b w:val="0"/>
          <w:bCs w:val="0"/>
          <w:color w:val="auto"/>
          <w:kern w:val="0"/>
          <w:sz w:val="21"/>
          <w:szCs w:val="21"/>
          <w:lang w:val="zh-CN"/>
        </w:rPr>
        <w:t xml:space="preserve">      日期：</w:t>
      </w:r>
      <w:r>
        <w:rPr>
          <w:rFonts w:hint="eastAsia" w:ascii="宋体" w:hAnsi="宋体" w:eastAsia="宋体" w:cs="宋体"/>
          <w:b w:val="0"/>
          <w:bCs w:val="0"/>
          <w:color w:val="auto"/>
          <w:kern w:val="0"/>
          <w:sz w:val="21"/>
          <w:szCs w:val="21"/>
        </w:rPr>
        <w:t xml:space="preserve">       </w:t>
      </w:r>
      <w:r>
        <w:rPr>
          <w:rFonts w:hint="eastAsia" w:ascii="宋体" w:hAnsi="宋体" w:eastAsia="宋体" w:cs="宋体"/>
          <w:b w:val="0"/>
          <w:bCs w:val="0"/>
          <w:color w:val="auto"/>
          <w:kern w:val="0"/>
          <w:sz w:val="21"/>
          <w:szCs w:val="21"/>
          <w:lang w:val="zh-CN"/>
        </w:rPr>
        <w:t>年  月   日</w:t>
      </w:r>
    </w:p>
    <w:p>
      <w:pPr>
        <w:rPr>
          <w:color w:val="auto"/>
          <w:lang w:val="zh-CN"/>
        </w:rPr>
      </w:pPr>
    </w:p>
    <w:p>
      <w:pPr>
        <w:adjustRightInd w:val="0"/>
        <w:snapToGrid w:val="0"/>
        <w:spacing w:line="360" w:lineRule="auto"/>
        <w:rPr>
          <w:rFonts w:ascii="宋体" w:hAnsi="宋体"/>
          <w:color w:val="auto"/>
          <w:sz w:val="28"/>
          <w:szCs w:val="30"/>
        </w:rPr>
      </w:pPr>
    </w:p>
    <w:p>
      <w:pPr>
        <w:pStyle w:val="12"/>
        <w:adjustRightInd w:val="0"/>
        <w:snapToGrid w:val="0"/>
        <w:spacing w:before="156" w:after="156"/>
        <w:rPr>
          <w:rFonts w:hAnsi="宋体" w:eastAsia="宋体" w:cs="宋体"/>
          <w:b/>
          <w:bCs/>
          <w:color w:val="auto"/>
          <w:sz w:val="24"/>
          <w:szCs w:val="24"/>
        </w:rPr>
      </w:pPr>
    </w:p>
    <w:p>
      <w:pPr>
        <w:pStyle w:val="5"/>
        <w:spacing w:before="240" w:beforeLines="100" w:after="0" w:line="360" w:lineRule="auto"/>
        <w:rPr>
          <w:rFonts w:ascii="宋体" w:hAnsi="宋体" w:eastAsia="宋体"/>
          <w:bCs w:val="0"/>
          <w:color w:val="auto"/>
          <w:lang w:val="zh-CN"/>
        </w:rPr>
      </w:pPr>
    </w:p>
    <w:p>
      <w:pPr>
        <w:rPr>
          <w:rFonts w:ascii="宋体" w:hAnsi="宋体" w:eastAsia="宋体"/>
          <w:color w:val="auto"/>
          <w:lang w:val="zh-CN"/>
        </w:rPr>
      </w:pPr>
    </w:p>
    <w:p>
      <w:pPr>
        <w:pStyle w:val="33"/>
        <w:rPr>
          <w:rFonts w:ascii="宋体" w:hAnsi="宋体" w:eastAsia="宋体"/>
          <w:color w:val="auto"/>
        </w:rPr>
      </w:pPr>
    </w:p>
    <w:p>
      <w:pPr>
        <w:pStyle w:val="33"/>
        <w:rPr>
          <w:rFonts w:ascii="宋体" w:hAnsi="宋体" w:eastAsia="宋体"/>
          <w:color w:val="auto"/>
        </w:rPr>
      </w:pPr>
    </w:p>
    <w:p>
      <w:pPr>
        <w:pStyle w:val="33"/>
        <w:rPr>
          <w:rFonts w:ascii="宋体" w:hAnsi="宋体" w:eastAsia="宋体"/>
          <w:color w:val="auto"/>
        </w:rPr>
      </w:pPr>
    </w:p>
    <w:p>
      <w:pPr>
        <w:pStyle w:val="33"/>
        <w:rPr>
          <w:rFonts w:ascii="宋体" w:hAnsi="宋体" w:eastAsia="宋体"/>
          <w:color w:val="auto"/>
        </w:rPr>
      </w:pPr>
    </w:p>
    <w:p>
      <w:pPr>
        <w:pStyle w:val="5"/>
        <w:spacing w:before="240" w:beforeLines="100" w:after="0" w:line="360" w:lineRule="auto"/>
        <w:jc w:val="center"/>
        <w:rPr>
          <w:rFonts w:ascii="宋体" w:hAnsi="宋体" w:eastAsia="宋体"/>
          <w:bCs w:val="0"/>
          <w:color w:val="auto"/>
          <w:lang w:val="zh-CN"/>
        </w:rPr>
      </w:pPr>
      <w:r>
        <w:rPr>
          <w:rFonts w:hint="eastAsia" w:ascii="宋体" w:hAnsi="宋体" w:eastAsia="宋体"/>
          <w:bCs w:val="0"/>
          <w:color w:val="auto"/>
          <w:lang w:val="zh-CN"/>
        </w:rPr>
        <w:t>3、报价文件格式</w:t>
      </w:r>
      <w:bookmarkEnd w:id="623"/>
      <w:bookmarkEnd w:id="624"/>
    </w:p>
    <w:p>
      <w:pPr>
        <w:spacing w:before="100" w:beforeAutospacing="1" w:line="360" w:lineRule="auto"/>
        <w:jc w:val="center"/>
        <w:rPr>
          <w:rFonts w:ascii="宋体" w:hAnsi="宋体"/>
          <w:b/>
          <w:bCs/>
          <w:color w:val="auto"/>
          <w:sz w:val="28"/>
          <w:szCs w:val="28"/>
        </w:rPr>
      </w:pPr>
      <w:r>
        <w:rPr>
          <w:rFonts w:hint="eastAsia" w:ascii="宋体" w:hAnsi="宋体"/>
          <w:b/>
          <w:bCs/>
          <w:color w:val="auto"/>
          <w:sz w:val="28"/>
          <w:szCs w:val="28"/>
        </w:rPr>
        <w:t>目   录</w:t>
      </w:r>
    </w:p>
    <w:p>
      <w:pPr>
        <w:spacing w:line="480" w:lineRule="auto"/>
        <w:jc w:val="center"/>
        <w:rPr>
          <w:rFonts w:ascii="宋体" w:hAnsi="宋体" w:cs="宋体"/>
          <w:color w:val="auto"/>
          <w:sz w:val="24"/>
        </w:rPr>
      </w:pPr>
      <w:r>
        <w:rPr>
          <w:rFonts w:hint="eastAsia" w:ascii="宋体" w:hAnsi="宋体" w:cs="宋体"/>
          <w:color w:val="auto"/>
          <w:sz w:val="24"/>
        </w:rPr>
        <w:t>（供应商可参考采购文件“第三部分 磋商须知”报价文件组成要求编排）</w:t>
      </w:r>
    </w:p>
    <w:p>
      <w:pPr>
        <w:snapToGrid w:val="0"/>
        <w:spacing w:before="50" w:after="50"/>
        <w:jc w:val="center"/>
        <w:rPr>
          <w:rFonts w:ascii="宋体" w:hAnsi="宋体" w:eastAsia="宋体" w:cs="宋体"/>
          <w:b/>
          <w:color w:val="auto"/>
          <w:sz w:val="24"/>
        </w:rPr>
      </w:pPr>
    </w:p>
    <w:p>
      <w:pPr>
        <w:pStyle w:val="22"/>
        <w:ind w:firstLine="241"/>
        <w:rPr>
          <w:rFonts w:ascii="宋体" w:hAnsi="宋体" w:eastAsia="宋体" w:cs="宋体"/>
          <w:b/>
          <w:color w:val="auto"/>
          <w:sz w:val="24"/>
          <w:szCs w:val="24"/>
        </w:rPr>
      </w:pPr>
    </w:p>
    <w:p>
      <w:pPr>
        <w:pStyle w:val="22"/>
        <w:ind w:firstLine="241"/>
        <w:rPr>
          <w:rFonts w:ascii="宋体" w:hAnsi="宋体" w:eastAsia="宋体" w:cs="宋体"/>
          <w:b/>
          <w:color w:val="auto"/>
          <w:sz w:val="24"/>
          <w:szCs w:val="24"/>
        </w:rPr>
      </w:pPr>
    </w:p>
    <w:p>
      <w:pPr>
        <w:pStyle w:val="22"/>
        <w:ind w:firstLine="241"/>
        <w:rPr>
          <w:rFonts w:ascii="宋体" w:hAnsi="宋体" w:eastAsia="宋体" w:cs="宋体"/>
          <w:b/>
          <w:color w:val="auto"/>
          <w:sz w:val="24"/>
          <w:szCs w:val="24"/>
        </w:rPr>
      </w:pPr>
    </w:p>
    <w:p>
      <w:pPr>
        <w:pStyle w:val="22"/>
        <w:ind w:firstLine="241"/>
        <w:rPr>
          <w:rFonts w:ascii="宋体" w:hAnsi="宋体" w:eastAsia="宋体" w:cs="宋体"/>
          <w:b/>
          <w:color w:val="auto"/>
          <w:sz w:val="24"/>
          <w:szCs w:val="24"/>
        </w:rPr>
      </w:pPr>
    </w:p>
    <w:p>
      <w:pPr>
        <w:pStyle w:val="22"/>
        <w:ind w:firstLine="241"/>
        <w:rPr>
          <w:rFonts w:ascii="宋体" w:hAnsi="宋体" w:eastAsia="宋体" w:cs="宋体"/>
          <w:b/>
          <w:color w:val="auto"/>
          <w:sz w:val="24"/>
          <w:szCs w:val="24"/>
        </w:rPr>
      </w:pPr>
    </w:p>
    <w:p>
      <w:pPr>
        <w:pStyle w:val="22"/>
        <w:ind w:firstLine="241"/>
        <w:rPr>
          <w:rFonts w:ascii="宋体" w:hAnsi="宋体" w:eastAsia="宋体" w:cs="宋体"/>
          <w:b/>
          <w:color w:val="auto"/>
          <w:sz w:val="24"/>
          <w:szCs w:val="24"/>
        </w:rPr>
      </w:pPr>
    </w:p>
    <w:p>
      <w:pPr>
        <w:pStyle w:val="22"/>
        <w:ind w:firstLine="241"/>
        <w:rPr>
          <w:rFonts w:ascii="宋体" w:hAnsi="宋体" w:eastAsia="宋体" w:cs="宋体"/>
          <w:b/>
          <w:color w:val="auto"/>
          <w:sz w:val="24"/>
          <w:szCs w:val="24"/>
        </w:rPr>
      </w:pPr>
    </w:p>
    <w:p>
      <w:pPr>
        <w:pStyle w:val="22"/>
        <w:ind w:firstLine="241"/>
        <w:rPr>
          <w:rFonts w:ascii="宋体" w:hAnsi="宋体" w:eastAsia="宋体" w:cs="宋体"/>
          <w:b/>
          <w:color w:val="auto"/>
          <w:sz w:val="24"/>
          <w:szCs w:val="24"/>
        </w:rPr>
      </w:pPr>
    </w:p>
    <w:p>
      <w:pPr>
        <w:pStyle w:val="22"/>
        <w:ind w:firstLine="241"/>
        <w:rPr>
          <w:rFonts w:ascii="宋体" w:hAnsi="宋体" w:eastAsia="宋体" w:cs="宋体"/>
          <w:b/>
          <w:color w:val="auto"/>
          <w:sz w:val="24"/>
          <w:szCs w:val="24"/>
        </w:rPr>
      </w:pPr>
    </w:p>
    <w:p>
      <w:pPr>
        <w:pStyle w:val="22"/>
        <w:ind w:firstLine="241"/>
        <w:rPr>
          <w:rFonts w:ascii="宋体" w:hAnsi="宋体" w:eastAsia="宋体" w:cs="宋体"/>
          <w:b/>
          <w:color w:val="auto"/>
          <w:sz w:val="24"/>
          <w:szCs w:val="24"/>
        </w:rPr>
      </w:pPr>
    </w:p>
    <w:p>
      <w:pPr>
        <w:pStyle w:val="22"/>
        <w:ind w:firstLine="241"/>
        <w:rPr>
          <w:rFonts w:ascii="宋体" w:hAnsi="宋体" w:eastAsia="宋体" w:cs="宋体"/>
          <w:b/>
          <w:color w:val="auto"/>
          <w:sz w:val="24"/>
          <w:szCs w:val="24"/>
        </w:rPr>
      </w:pPr>
    </w:p>
    <w:p>
      <w:pPr>
        <w:pStyle w:val="22"/>
        <w:ind w:firstLine="241"/>
        <w:rPr>
          <w:rFonts w:ascii="宋体" w:hAnsi="宋体" w:eastAsia="宋体" w:cs="宋体"/>
          <w:b/>
          <w:color w:val="auto"/>
          <w:sz w:val="24"/>
          <w:szCs w:val="24"/>
        </w:rPr>
      </w:pPr>
    </w:p>
    <w:p>
      <w:pPr>
        <w:pStyle w:val="22"/>
        <w:ind w:firstLine="241"/>
        <w:rPr>
          <w:rFonts w:ascii="宋体" w:hAnsi="宋体" w:eastAsia="宋体" w:cs="宋体"/>
          <w:b/>
          <w:color w:val="auto"/>
          <w:sz w:val="24"/>
          <w:szCs w:val="24"/>
        </w:rPr>
      </w:pPr>
    </w:p>
    <w:p>
      <w:pPr>
        <w:pStyle w:val="22"/>
        <w:ind w:firstLine="241"/>
        <w:rPr>
          <w:rFonts w:ascii="宋体" w:hAnsi="宋体" w:eastAsia="宋体" w:cs="宋体"/>
          <w:b/>
          <w:color w:val="auto"/>
          <w:sz w:val="24"/>
          <w:szCs w:val="24"/>
        </w:rPr>
      </w:pPr>
    </w:p>
    <w:p>
      <w:pPr>
        <w:pStyle w:val="22"/>
        <w:ind w:firstLine="241"/>
        <w:rPr>
          <w:rFonts w:ascii="宋体" w:hAnsi="宋体" w:eastAsia="宋体" w:cs="宋体"/>
          <w:b/>
          <w:color w:val="auto"/>
          <w:sz w:val="24"/>
          <w:szCs w:val="24"/>
        </w:rPr>
      </w:pPr>
    </w:p>
    <w:p>
      <w:pPr>
        <w:pStyle w:val="22"/>
        <w:ind w:firstLine="241"/>
        <w:rPr>
          <w:rFonts w:ascii="宋体" w:hAnsi="宋体" w:eastAsia="宋体" w:cs="宋体"/>
          <w:b/>
          <w:color w:val="auto"/>
          <w:sz w:val="24"/>
          <w:szCs w:val="24"/>
        </w:rPr>
      </w:pPr>
    </w:p>
    <w:p>
      <w:pPr>
        <w:pStyle w:val="22"/>
        <w:ind w:firstLine="241"/>
        <w:rPr>
          <w:rFonts w:ascii="宋体" w:hAnsi="宋体" w:eastAsia="宋体" w:cs="宋体"/>
          <w:b/>
          <w:color w:val="auto"/>
          <w:sz w:val="24"/>
          <w:szCs w:val="24"/>
        </w:rPr>
      </w:pPr>
    </w:p>
    <w:p>
      <w:pPr>
        <w:pStyle w:val="22"/>
        <w:ind w:firstLine="241"/>
        <w:rPr>
          <w:rFonts w:ascii="宋体" w:hAnsi="宋体" w:eastAsia="宋体" w:cs="宋体"/>
          <w:b/>
          <w:color w:val="auto"/>
          <w:sz w:val="24"/>
          <w:szCs w:val="24"/>
        </w:rPr>
      </w:pPr>
    </w:p>
    <w:p>
      <w:pPr>
        <w:pStyle w:val="22"/>
        <w:ind w:firstLine="0" w:firstLineChars="0"/>
        <w:rPr>
          <w:rFonts w:ascii="宋体" w:hAnsi="宋体" w:eastAsia="宋体" w:cs="宋体"/>
          <w:b/>
          <w:color w:val="auto"/>
          <w:sz w:val="24"/>
          <w:szCs w:val="24"/>
        </w:rPr>
      </w:pPr>
    </w:p>
    <w:p>
      <w:pPr>
        <w:rPr>
          <w:rFonts w:ascii="宋体" w:hAnsi="宋体" w:eastAsia="宋体" w:cs="宋体"/>
          <w:b/>
          <w:color w:val="auto"/>
          <w:sz w:val="24"/>
          <w:lang w:val="zh-CN"/>
        </w:rPr>
      </w:pPr>
      <w:r>
        <w:rPr>
          <w:rFonts w:hint="eastAsia" w:ascii="宋体" w:hAnsi="宋体" w:eastAsia="宋体" w:cs="宋体"/>
          <w:b/>
          <w:color w:val="auto"/>
          <w:sz w:val="24"/>
        </w:rPr>
        <w:t>附件十五：</w:t>
      </w:r>
    </w:p>
    <w:p>
      <w:pPr>
        <w:snapToGrid w:val="0"/>
        <w:spacing w:before="50" w:after="50"/>
        <w:jc w:val="center"/>
        <w:rPr>
          <w:rFonts w:ascii="宋体" w:hAnsi="宋体" w:eastAsia="宋体" w:cs="宋体"/>
          <w:b/>
          <w:color w:val="auto"/>
          <w:sz w:val="24"/>
        </w:rPr>
      </w:pPr>
    </w:p>
    <w:p>
      <w:pPr>
        <w:snapToGrid w:val="0"/>
        <w:spacing w:before="50" w:after="50"/>
        <w:jc w:val="center"/>
        <w:rPr>
          <w:rFonts w:ascii="宋体" w:hAnsi="宋体" w:eastAsia="宋体" w:cs="宋体"/>
          <w:b/>
          <w:color w:val="auto"/>
          <w:sz w:val="24"/>
        </w:rPr>
      </w:pPr>
      <w:r>
        <w:rPr>
          <w:rFonts w:hint="eastAsia" w:ascii="宋体" w:hAnsi="宋体" w:eastAsia="宋体" w:cs="宋体"/>
          <w:b/>
          <w:color w:val="auto"/>
          <w:sz w:val="24"/>
        </w:rPr>
        <w:t>磋商报价一览表</w:t>
      </w:r>
      <w:r>
        <w:rPr>
          <w:rFonts w:hint="eastAsia" w:ascii="宋体" w:hAnsi="宋体" w:eastAsia="宋体" w:cs="宋体"/>
          <w:b/>
          <w:bCs/>
          <w:color w:val="auto"/>
          <w:sz w:val="24"/>
        </w:rPr>
        <w:t>（首次报价）</w:t>
      </w:r>
    </w:p>
    <w:p>
      <w:pPr>
        <w:snapToGrid w:val="0"/>
        <w:spacing w:before="50" w:after="50" w:line="360" w:lineRule="auto"/>
        <w:ind w:right="-1058" w:rightChars="-294"/>
        <w:jc w:val="left"/>
        <w:rPr>
          <w:rFonts w:ascii="宋体" w:hAnsi="宋体" w:eastAsia="宋体" w:cs="宋体"/>
          <w:color w:val="auto"/>
          <w:sz w:val="24"/>
        </w:rPr>
      </w:pPr>
    </w:p>
    <w:p>
      <w:pPr>
        <w:snapToGrid w:val="0"/>
        <w:spacing w:before="50" w:after="50" w:line="360" w:lineRule="auto"/>
        <w:ind w:right="-1058" w:rightChars="-294"/>
        <w:jc w:val="left"/>
        <w:rPr>
          <w:rFonts w:ascii="宋体" w:hAnsi="宋体" w:eastAsia="宋体" w:cs="宋体"/>
          <w:color w:val="auto"/>
          <w:sz w:val="24"/>
        </w:rPr>
      </w:pPr>
      <w:r>
        <w:rPr>
          <w:rFonts w:hint="eastAsia" w:ascii="宋体" w:hAnsi="宋体" w:eastAsia="宋体" w:cs="宋体"/>
          <w:color w:val="auto"/>
          <w:sz w:val="24"/>
        </w:rPr>
        <w:t>项目名称：</w:t>
      </w:r>
      <w:r>
        <w:rPr>
          <w:rFonts w:hint="eastAsia" w:ascii="宋体" w:hAnsi="宋体" w:eastAsia="宋体" w:cs="宋体"/>
          <w:color w:val="auto"/>
          <w:sz w:val="24"/>
          <w:lang w:eastAsia="zh-CN"/>
        </w:rPr>
        <w:t>仙居县人民医院病理科改造项目（重新招标）</w:t>
      </w:r>
      <w:r>
        <w:rPr>
          <w:rFonts w:hint="eastAsia" w:ascii="宋体" w:hAnsi="宋体" w:eastAsia="宋体" w:cs="宋体"/>
          <w:color w:val="auto"/>
          <w:sz w:val="24"/>
        </w:rPr>
        <w:t xml:space="preserve"> </w:t>
      </w:r>
    </w:p>
    <w:tbl>
      <w:tblPr>
        <w:tblStyle w:val="24"/>
        <w:tblW w:w="88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3"/>
        <w:gridCol w:w="982"/>
        <w:gridCol w:w="4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3113" w:type="dxa"/>
            <w:vMerge w:val="restart"/>
            <w:vAlign w:val="center"/>
          </w:tcPr>
          <w:p>
            <w:pPr>
              <w:snapToGrid w:val="0"/>
              <w:spacing w:before="50" w:after="50" w:line="360" w:lineRule="auto"/>
              <w:ind w:right="-1058" w:rightChars="-294" w:firstLine="240" w:firstLineChars="100"/>
              <w:jc w:val="left"/>
              <w:rPr>
                <w:rFonts w:ascii="宋体" w:hAnsi="宋体"/>
                <w:b/>
                <w:bCs/>
                <w:color w:val="auto"/>
                <w:sz w:val="24"/>
              </w:rPr>
            </w:pPr>
            <w:r>
              <w:rPr>
                <w:rFonts w:hint="eastAsia" w:ascii="宋体" w:hAnsi="宋体"/>
                <w:b/>
                <w:bCs/>
                <w:color w:val="auto"/>
                <w:sz w:val="24"/>
              </w:rPr>
              <w:t>磋商总报价（元）</w:t>
            </w:r>
          </w:p>
        </w:tc>
        <w:tc>
          <w:tcPr>
            <w:tcW w:w="982" w:type="dxa"/>
            <w:vAlign w:val="center"/>
          </w:tcPr>
          <w:p>
            <w:pPr>
              <w:snapToGrid w:val="0"/>
              <w:spacing w:before="50" w:after="50" w:line="360" w:lineRule="auto"/>
              <w:ind w:right="-1058" w:rightChars="-294"/>
              <w:jc w:val="left"/>
              <w:rPr>
                <w:rFonts w:ascii="宋体" w:hAnsi="宋体" w:eastAsia="宋体"/>
                <w:b/>
                <w:bCs/>
                <w:color w:val="auto"/>
                <w:sz w:val="21"/>
                <w:szCs w:val="21"/>
              </w:rPr>
            </w:pPr>
            <w:r>
              <w:rPr>
                <w:rFonts w:hint="eastAsia" w:ascii="宋体" w:hAnsi="宋体"/>
                <w:b/>
                <w:bCs/>
                <w:color w:val="auto"/>
                <w:sz w:val="21"/>
                <w:szCs w:val="21"/>
              </w:rPr>
              <w:t>大写：</w:t>
            </w:r>
          </w:p>
        </w:tc>
        <w:tc>
          <w:tcPr>
            <w:tcW w:w="4750" w:type="dxa"/>
            <w:vAlign w:val="center"/>
          </w:tcPr>
          <w:p>
            <w:pPr>
              <w:snapToGrid w:val="0"/>
              <w:spacing w:before="50" w:after="50" w:line="360" w:lineRule="auto"/>
              <w:ind w:right="-1058" w:rightChars="-294"/>
              <w:jc w:val="left"/>
              <w:rPr>
                <w:rFonts w:ascii="宋体" w:hAnsi="宋体"/>
                <w:b/>
                <w:bCs/>
                <w:color w:val="auto"/>
                <w:sz w:val="24"/>
              </w:rPr>
            </w:pPr>
            <w:r>
              <w:rPr>
                <w:rFonts w:hint="eastAsia" w:ascii="宋体" w:hAnsi="宋体" w:eastAsia="宋体" w:cs="宋体"/>
                <w:b/>
                <w:bCs/>
                <w:color w:val="auto"/>
                <w:sz w:val="21"/>
                <w:szCs w:val="21"/>
              </w:rPr>
              <w:t>人民币</w:t>
            </w:r>
            <w:r>
              <w:rPr>
                <w:rFonts w:hint="eastAsia" w:ascii="宋体" w:hAnsi="宋体" w:eastAsia="宋体" w:cs="宋体"/>
                <w:b/>
                <w:bCs/>
                <w:color w:val="auto"/>
                <w:sz w:val="21"/>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3113" w:type="dxa"/>
            <w:vMerge w:val="continue"/>
            <w:vAlign w:val="center"/>
          </w:tcPr>
          <w:p>
            <w:pPr>
              <w:snapToGrid w:val="0"/>
              <w:spacing w:before="50" w:after="50" w:line="360" w:lineRule="auto"/>
              <w:ind w:right="-1058" w:rightChars="-294"/>
              <w:jc w:val="center"/>
              <w:rPr>
                <w:rFonts w:ascii="宋体" w:hAnsi="宋体"/>
                <w:b/>
                <w:bCs/>
                <w:color w:val="auto"/>
                <w:sz w:val="24"/>
              </w:rPr>
            </w:pPr>
          </w:p>
        </w:tc>
        <w:tc>
          <w:tcPr>
            <w:tcW w:w="982" w:type="dxa"/>
            <w:vAlign w:val="center"/>
          </w:tcPr>
          <w:p>
            <w:pPr>
              <w:snapToGrid w:val="0"/>
              <w:spacing w:before="50" w:after="50" w:line="360" w:lineRule="auto"/>
              <w:ind w:right="-1058" w:rightChars="-294"/>
              <w:jc w:val="left"/>
              <w:rPr>
                <w:rFonts w:ascii="宋体" w:hAnsi="宋体" w:eastAsia="宋体"/>
                <w:b/>
                <w:bCs/>
                <w:color w:val="auto"/>
                <w:sz w:val="21"/>
                <w:szCs w:val="21"/>
              </w:rPr>
            </w:pPr>
            <w:r>
              <w:rPr>
                <w:rFonts w:hint="eastAsia" w:ascii="宋体" w:hAnsi="宋体"/>
                <w:b/>
                <w:bCs/>
                <w:color w:val="auto"/>
                <w:sz w:val="21"/>
                <w:szCs w:val="21"/>
              </w:rPr>
              <w:t>小写</w:t>
            </w:r>
          </w:p>
        </w:tc>
        <w:tc>
          <w:tcPr>
            <w:tcW w:w="4750" w:type="dxa"/>
            <w:vAlign w:val="center"/>
          </w:tcPr>
          <w:p>
            <w:pPr>
              <w:snapToGrid w:val="0"/>
              <w:spacing w:before="50" w:after="50" w:line="360" w:lineRule="auto"/>
              <w:ind w:right="-1058" w:rightChars="-294"/>
              <w:jc w:val="left"/>
              <w:rPr>
                <w:rFonts w:ascii="宋体" w:hAnsi="宋体"/>
                <w:b/>
                <w:bCs/>
                <w:color w:val="auto"/>
                <w:sz w:val="24"/>
              </w:rPr>
            </w:pPr>
            <w:r>
              <w:rPr>
                <w:rFonts w:hint="eastAsia" w:ascii="宋体" w:hAnsi="宋体" w:eastAsia="宋体" w:cs="宋体"/>
                <w:b/>
                <w:bCs/>
                <w:color w:val="auto"/>
                <w:sz w:val="21"/>
                <w:szCs w:val="21"/>
              </w:rPr>
              <w:t>¥：</w:t>
            </w:r>
            <w:r>
              <w:rPr>
                <w:rFonts w:hint="eastAsia" w:ascii="宋体" w:hAnsi="宋体" w:eastAsia="宋体" w:cs="宋体"/>
                <w:b/>
                <w:bCs/>
                <w:color w:val="auto"/>
                <w:sz w:val="21"/>
                <w:szCs w:val="21"/>
                <w:u w:val="single"/>
              </w:rPr>
              <w:t xml:space="preserve">                          </w:t>
            </w:r>
          </w:p>
        </w:tc>
      </w:tr>
    </w:tbl>
    <w:p>
      <w:pPr>
        <w:snapToGrid w:val="0"/>
        <w:spacing w:before="50" w:after="50" w:line="360" w:lineRule="auto"/>
        <w:jc w:val="left"/>
        <w:rPr>
          <w:rFonts w:ascii="宋体" w:hAnsi="宋体" w:eastAsia="宋体" w:cs="宋体"/>
          <w:b/>
          <w:color w:val="auto"/>
          <w:sz w:val="21"/>
          <w:szCs w:val="21"/>
        </w:rPr>
      </w:pPr>
    </w:p>
    <w:p>
      <w:pPr>
        <w:snapToGrid w:val="0"/>
        <w:spacing w:before="50" w:after="50" w:line="360" w:lineRule="auto"/>
        <w:jc w:val="left"/>
        <w:rPr>
          <w:rFonts w:ascii="宋体" w:hAnsi="宋体" w:eastAsia="宋体" w:cs="宋体"/>
          <w:color w:val="auto"/>
          <w:sz w:val="21"/>
          <w:szCs w:val="21"/>
        </w:rPr>
      </w:pPr>
      <w:r>
        <w:rPr>
          <w:rFonts w:hint="eastAsia" w:ascii="宋体" w:hAnsi="宋体" w:eastAsia="宋体" w:cs="宋体"/>
          <w:b/>
          <w:color w:val="auto"/>
          <w:sz w:val="21"/>
          <w:szCs w:val="21"/>
        </w:rPr>
        <w:t xml:space="preserve">注: </w:t>
      </w:r>
      <w:r>
        <w:rPr>
          <w:rFonts w:hint="eastAsia" w:ascii="宋体" w:hAnsi="宋体" w:eastAsia="宋体" w:cs="宋体"/>
          <w:color w:val="auto"/>
          <w:sz w:val="21"/>
          <w:szCs w:val="21"/>
        </w:rPr>
        <w:t>1、磋商报价指完成本项目所需的包含人工费、材料费、燃料费、设备的进退场费用、二次搬运费、冬雨季施工增加费、行车、行人干扰增加费、检测费、保险费、管理费、利润、税费、水费、电费、安全文明施工费、采购代理服务费、政策性文件规定及合同包含的所有风险责任等一切费用等完成合同所需的一切本身和不可或缺的所有工作开支、政策性文件规定及合同包含的所有风险、责任等各项全部费用并承担一切风险责任。</w:t>
      </w:r>
    </w:p>
    <w:p>
      <w:pPr>
        <w:snapToGrid w:val="0"/>
        <w:spacing w:before="50" w:after="50" w:line="360" w:lineRule="auto"/>
        <w:jc w:val="left"/>
        <w:rPr>
          <w:rFonts w:ascii="宋体" w:hAnsi="宋体" w:eastAsia="宋体" w:cs="宋体"/>
          <w:color w:val="auto"/>
          <w:sz w:val="21"/>
          <w:szCs w:val="21"/>
        </w:rPr>
      </w:pPr>
      <w:r>
        <w:rPr>
          <w:rFonts w:hint="eastAsia" w:ascii="宋体" w:hAnsi="宋体" w:eastAsia="宋体" w:cs="宋体"/>
          <w:color w:val="auto"/>
          <w:sz w:val="21"/>
          <w:szCs w:val="21"/>
        </w:rPr>
        <w:t>2、报价一经涂改，应在涂改处加盖单位公章，或者由法定代表人或全权代表签字或盖章，否则其磋商无效。</w:t>
      </w:r>
    </w:p>
    <w:p>
      <w:pPr>
        <w:snapToGrid w:val="0"/>
        <w:spacing w:before="50" w:after="50"/>
        <w:ind w:right="-1400" w:rightChars="-389"/>
        <w:rPr>
          <w:rFonts w:ascii="宋体" w:hAnsi="宋体" w:eastAsia="宋体" w:cs="宋体"/>
          <w:color w:val="auto"/>
          <w:sz w:val="24"/>
        </w:rPr>
      </w:pPr>
    </w:p>
    <w:p>
      <w:pPr>
        <w:snapToGrid w:val="0"/>
        <w:spacing w:before="50" w:after="50"/>
        <w:ind w:right="-1400" w:rightChars="-389"/>
        <w:rPr>
          <w:rFonts w:ascii="宋体" w:hAnsi="宋体" w:eastAsia="宋体" w:cs="宋体"/>
          <w:color w:val="auto"/>
          <w:sz w:val="24"/>
        </w:rPr>
      </w:pPr>
    </w:p>
    <w:p>
      <w:pPr>
        <w:snapToGrid w:val="0"/>
        <w:spacing w:before="50" w:after="50"/>
        <w:ind w:left="-111" w:leftChars="-72" w:right="-1400" w:rightChars="-389" w:hanging="148" w:hangingChars="62"/>
        <w:rPr>
          <w:rFonts w:ascii="宋体" w:hAnsi="宋体" w:eastAsia="宋体" w:cs="宋体"/>
          <w:color w:val="auto"/>
          <w:sz w:val="24"/>
        </w:rPr>
      </w:pPr>
    </w:p>
    <w:p>
      <w:pPr>
        <w:snapToGrid w:val="0"/>
        <w:spacing w:before="50" w:after="50"/>
        <w:ind w:left="-111" w:leftChars="-72" w:right="-1400" w:rightChars="-389" w:hanging="148" w:hangingChars="62"/>
        <w:rPr>
          <w:rFonts w:ascii="宋体" w:hAnsi="宋体" w:eastAsia="宋体" w:cs="宋体"/>
          <w:color w:val="auto"/>
          <w:sz w:val="24"/>
        </w:rPr>
      </w:pPr>
    </w:p>
    <w:p>
      <w:pPr>
        <w:snapToGrid w:val="0"/>
        <w:spacing w:before="50" w:after="50"/>
        <w:ind w:right="-1400" w:rightChars="-389"/>
        <w:rPr>
          <w:rFonts w:ascii="宋体" w:hAnsi="宋体" w:eastAsia="宋体" w:cs="宋体"/>
          <w:color w:val="auto"/>
          <w:sz w:val="24"/>
        </w:rPr>
      </w:pPr>
    </w:p>
    <w:p>
      <w:pPr>
        <w:adjustRightInd w:val="0"/>
        <w:snapToGrid w:val="0"/>
        <w:spacing w:line="360" w:lineRule="auto"/>
        <w:ind w:firstLine="5985" w:firstLineChars="2850"/>
        <w:rPr>
          <w:rFonts w:ascii="宋体" w:hAnsi="宋体" w:eastAsia="宋体" w:cs="宋体"/>
          <w:color w:val="auto"/>
          <w:kern w:val="0"/>
          <w:sz w:val="21"/>
          <w:szCs w:val="21"/>
          <w:lang w:val="zh-CN"/>
        </w:rPr>
      </w:pPr>
      <w:r>
        <w:rPr>
          <w:rFonts w:hint="eastAsia" w:ascii="宋体" w:hAnsi="宋体" w:eastAsia="宋体" w:cs="宋体"/>
          <w:color w:val="auto"/>
          <w:kern w:val="0"/>
          <w:sz w:val="21"/>
          <w:szCs w:val="21"/>
          <w:lang w:val="zh-CN"/>
        </w:rPr>
        <w:t>磋商供应商(公章)：</w:t>
      </w:r>
    </w:p>
    <w:p>
      <w:pPr>
        <w:pStyle w:val="32"/>
        <w:rPr>
          <w:color w:val="auto"/>
          <w:lang w:val="zh-CN" w:eastAsia="zh-CN"/>
        </w:rPr>
      </w:pPr>
    </w:p>
    <w:p>
      <w:pPr>
        <w:adjustRightInd w:val="0"/>
        <w:snapToGrid w:val="0"/>
        <w:spacing w:line="360" w:lineRule="auto"/>
        <w:rPr>
          <w:rFonts w:ascii="宋体" w:hAnsi="宋体" w:eastAsia="宋体" w:cs="宋体"/>
          <w:color w:val="auto"/>
          <w:kern w:val="0"/>
          <w:sz w:val="21"/>
          <w:szCs w:val="21"/>
          <w:lang w:val="zh-CN"/>
        </w:rPr>
      </w:pPr>
      <w:r>
        <w:rPr>
          <w:rFonts w:hint="eastAsia" w:ascii="宋体" w:hAnsi="宋体" w:eastAsia="宋体" w:cs="宋体"/>
          <w:color w:val="auto"/>
          <w:kern w:val="0"/>
          <w:sz w:val="21"/>
          <w:szCs w:val="21"/>
          <w:lang w:val="zh-CN"/>
        </w:rPr>
        <w:t xml:space="preserve">                                 </w:t>
      </w:r>
      <w:r>
        <w:rPr>
          <w:rFonts w:hint="eastAsia" w:ascii="宋体" w:hAnsi="宋体" w:eastAsia="宋体" w:cs="宋体"/>
          <w:color w:val="auto"/>
          <w:kern w:val="0"/>
          <w:sz w:val="21"/>
          <w:szCs w:val="21"/>
        </w:rPr>
        <w:t xml:space="preserve">            </w:t>
      </w:r>
      <w:r>
        <w:rPr>
          <w:rFonts w:hint="eastAsia" w:ascii="宋体" w:hAnsi="宋体" w:eastAsia="宋体" w:cs="宋体"/>
          <w:color w:val="auto"/>
          <w:kern w:val="0"/>
          <w:sz w:val="21"/>
          <w:szCs w:val="21"/>
          <w:lang w:val="zh-CN"/>
        </w:rPr>
        <w:t>法定代表人或授权委托人(签字</w:t>
      </w:r>
      <w:r>
        <w:rPr>
          <w:rFonts w:hint="eastAsia" w:ascii="宋体" w:hAnsi="宋体" w:eastAsia="宋体" w:cs="宋体"/>
          <w:color w:val="auto"/>
          <w:kern w:val="0"/>
          <w:sz w:val="21"/>
          <w:szCs w:val="21"/>
        </w:rPr>
        <w:t>或盖章</w:t>
      </w:r>
      <w:r>
        <w:rPr>
          <w:rFonts w:hint="eastAsia" w:ascii="宋体" w:hAnsi="宋体" w:eastAsia="宋体" w:cs="宋体"/>
          <w:color w:val="auto"/>
          <w:kern w:val="0"/>
          <w:sz w:val="21"/>
          <w:szCs w:val="21"/>
          <w:lang w:val="zh-CN"/>
        </w:rPr>
        <w:t>)：</w:t>
      </w:r>
    </w:p>
    <w:p>
      <w:pPr>
        <w:pStyle w:val="32"/>
        <w:rPr>
          <w:color w:val="auto"/>
          <w:lang w:val="zh-CN" w:eastAsia="zh-CN"/>
        </w:rPr>
      </w:pPr>
    </w:p>
    <w:p>
      <w:pPr>
        <w:snapToGrid w:val="0"/>
        <w:spacing w:before="50" w:after="50"/>
        <w:jc w:val="right"/>
        <w:rPr>
          <w:rFonts w:ascii="宋体" w:hAnsi="宋体" w:eastAsia="宋体" w:cs="宋体"/>
          <w:color w:val="auto"/>
          <w:kern w:val="0"/>
          <w:sz w:val="21"/>
          <w:szCs w:val="21"/>
          <w:lang w:val="zh-CN"/>
        </w:rPr>
      </w:pPr>
      <w:r>
        <w:rPr>
          <w:rFonts w:hint="eastAsia" w:ascii="宋体" w:hAnsi="宋体" w:eastAsia="宋体" w:cs="宋体"/>
          <w:color w:val="auto"/>
          <w:kern w:val="0"/>
          <w:sz w:val="21"/>
          <w:szCs w:val="21"/>
          <w:lang w:val="zh-CN"/>
        </w:rPr>
        <w:t xml:space="preserve">                                  日期：</w:t>
      </w:r>
      <w:r>
        <w:rPr>
          <w:rFonts w:hint="eastAsia" w:ascii="宋体" w:hAnsi="宋体" w:eastAsia="宋体" w:cs="宋体"/>
          <w:color w:val="auto"/>
          <w:kern w:val="0"/>
          <w:sz w:val="21"/>
          <w:szCs w:val="21"/>
        </w:rPr>
        <w:t xml:space="preserve">       </w:t>
      </w:r>
      <w:r>
        <w:rPr>
          <w:rFonts w:hint="eastAsia" w:ascii="宋体" w:hAnsi="宋体" w:eastAsia="宋体" w:cs="宋体"/>
          <w:color w:val="auto"/>
          <w:kern w:val="0"/>
          <w:sz w:val="21"/>
          <w:szCs w:val="21"/>
          <w:lang w:val="zh-CN"/>
        </w:rPr>
        <w:t>年  月   日</w:t>
      </w:r>
    </w:p>
    <w:p>
      <w:pPr>
        <w:pStyle w:val="23"/>
        <w:ind w:left="720" w:firstLine="680"/>
        <w:rPr>
          <w:color w:val="auto"/>
        </w:rPr>
      </w:pPr>
    </w:p>
    <w:p>
      <w:pPr>
        <w:snapToGrid w:val="0"/>
        <w:spacing w:before="120" w:beforeLines="50"/>
        <w:rPr>
          <w:rFonts w:ascii="宋体" w:hAnsi="宋体" w:eastAsia="宋体" w:cs="宋体"/>
          <w:color w:val="auto"/>
          <w:sz w:val="21"/>
          <w:szCs w:val="21"/>
        </w:rPr>
      </w:pPr>
    </w:p>
    <w:p>
      <w:pPr>
        <w:snapToGrid w:val="0"/>
        <w:spacing w:before="50" w:after="50"/>
        <w:rPr>
          <w:rFonts w:ascii="宋体" w:hAnsi="宋体" w:eastAsia="宋体" w:cs="宋体"/>
          <w:b/>
          <w:color w:val="auto"/>
          <w:sz w:val="21"/>
          <w:szCs w:val="21"/>
        </w:rPr>
      </w:pPr>
    </w:p>
    <w:p>
      <w:pPr>
        <w:pStyle w:val="32"/>
        <w:rPr>
          <w:rFonts w:cs="宋体"/>
          <w:b/>
          <w:color w:val="auto"/>
          <w:sz w:val="21"/>
          <w:szCs w:val="21"/>
          <w:lang w:eastAsia="zh-CN"/>
        </w:rPr>
      </w:pPr>
    </w:p>
    <w:p>
      <w:pPr>
        <w:pStyle w:val="32"/>
        <w:rPr>
          <w:rFonts w:cs="宋体"/>
          <w:b/>
          <w:color w:val="auto"/>
          <w:sz w:val="21"/>
          <w:szCs w:val="21"/>
          <w:lang w:eastAsia="zh-CN"/>
        </w:rPr>
      </w:pPr>
    </w:p>
    <w:p>
      <w:pPr>
        <w:pStyle w:val="32"/>
        <w:rPr>
          <w:rFonts w:cs="宋体"/>
          <w:b/>
          <w:color w:val="auto"/>
          <w:sz w:val="21"/>
          <w:szCs w:val="21"/>
          <w:lang w:eastAsia="zh-CN"/>
        </w:rPr>
      </w:pPr>
    </w:p>
    <w:p>
      <w:pPr>
        <w:snapToGrid w:val="0"/>
        <w:spacing w:before="50" w:after="50"/>
        <w:rPr>
          <w:rFonts w:ascii="宋体" w:hAnsi="宋体" w:eastAsia="宋体" w:cs="宋体"/>
          <w:b/>
          <w:color w:val="auto"/>
          <w:sz w:val="21"/>
          <w:szCs w:val="21"/>
        </w:rPr>
      </w:pPr>
    </w:p>
    <w:p>
      <w:pPr>
        <w:spacing w:line="450" w:lineRule="atLeast"/>
        <w:rPr>
          <w:rFonts w:ascii="宋体" w:hAnsi="宋体" w:eastAsia="宋体" w:cs="宋体"/>
          <w:b/>
          <w:color w:val="auto"/>
          <w:sz w:val="24"/>
        </w:rPr>
      </w:pPr>
    </w:p>
    <w:p>
      <w:pPr>
        <w:spacing w:line="450" w:lineRule="atLeast"/>
        <w:jc w:val="left"/>
        <w:rPr>
          <w:rFonts w:ascii="宋体" w:hAnsi="宋体" w:eastAsia="宋体" w:cs="宋体"/>
          <w:b/>
          <w:color w:val="auto"/>
          <w:sz w:val="32"/>
          <w:szCs w:val="32"/>
        </w:rPr>
      </w:pPr>
      <w:r>
        <w:rPr>
          <w:rFonts w:hint="eastAsia" w:ascii="宋体" w:hAnsi="宋体" w:eastAsia="宋体" w:cs="宋体"/>
          <w:b/>
          <w:color w:val="auto"/>
          <w:sz w:val="32"/>
          <w:szCs w:val="32"/>
        </w:rPr>
        <w:t>附件十六：报价明细表包括</w:t>
      </w:r>
    </w:p>
    <w:p>
      <w:pPr>
        <w:rPr>
          <w:color w:val="auto"/>
        </w:rPr>
      </w:pPr>
    </w:p>
    <w:p>
      <w:pPr>
        <w:spacing w:line="360" w:lineRule="auto"/>
        <w:rPr>
          <w:rFonts w:ascii="宋体" w:hAnsi="宋体"/>
          <w:color w:val="auto"/>
          <w:sz w:val="24"/>
        </w:rPr>
      </w:pPr>
      <w:r>
        <w:rPr>
          <w:rFonts w:hint="eastAsia" w:ascii="宋体" w:hAnsi="宋体"/>
          <w:color w:val="auto"/>
          <w:sz w:val="24"/>
        </w:rPr>
        <w:t xml:space="preserve">1.工程项目招标控制价汇总表 </w:t>
      </w:r>
    </w:p>
    <w:p>
      <w:pPr>
        <w:spacing w:line="360" w:lineRule="auto"/>
        <w:rPr>
          <w:rFonts w:ascii="宋体" w:hAnsi="宋体"/>
          <w:color w:val="auto"/>
          <w:sz w:val="24"/>
        </w:rPr>
      </w:pPr>
      <w:r>
        <w:rPr>
          <w:rFonts w:hint="eastAsia" w:ascii="宋体" w:hAnsi="宋体"/>
          <w:color w:val="auto"/>
          <w:sz w:val="24"/>
        </w:rPr>
        <w:t>2.专业工程招标控制价计算程序表</w:t>
      </w:r>
    </w:p>
    <w:p>
      <w:pPr>
        <w:spacing w:line="360" w:lineRule="auto"/>
        <w:rPr>
          <w:rFonts w:ascii="宋体" w:hAnsi="宋体"/>
          <w:color w:val="auto"/>
          <w:sz w:val="24"/>
        </w:rPr>
      </w:pPr>
      <w:r>
        <w:rPr>
          <w:rFonts w:hint="eastAsia" w:ascii="宋体" w:hAnsi="宋体"/>
          <w:color w:val="auto"/>
          <w:sz w:val="24"/>
        </w:rPr>
        <w:t xml:space="preserve">3.分部分项工程量清单与计价表 </w:t>
      </w:r>
    </w:p>
    <w:p>
      <w:pPr>
        <w:spacing w:line="360" w:lineRule="auto"/>
        <w:rPr>
          <w:rFonts w:ascii="宋体" w:hAnsi="宋体" w:eastAsia="宋体"/>
          <w:color w:val="auto"/>
          <w:sz w:val="24"/>
        </w:rPr>
      </w:pPr>
      <w:r>
        <w:rPr>
          <w:rFonts w:hint="eastAsia" w:ascii="宋体" w:hAnsi="宋体"/>
          <w:color w:val="auto"/>
          <w:sz w:val="24"/>
        </w:rPr>
        <w:t xml:space="preserve">4.施工组织措施项目清单与计价表   </w:t>
      </w:r>
    </w:p>
    <w:p>
      <w:pPr>
        <w:rPr>
          <w:rFonts w:ascii="宋体" w:hAnsi="宋体"/>
          <w:color w:val="auto"/>
          <w:sz w:val="24"/>
        </w:rPr>
      </w:pPr>
      <w:r>
        <w:rPr>
          <w:rFonts w:hint="eastAsia" w:ascii="宋体" w:hAnsi="宋体"/>
          <w:color w:val="auto"/>
          <w:sz w:val="24"/>
        </w:rPr>
        <w:t xml:space="preserve">5.施工技术措施项目清单与计价表 </w:t>
      </w:r>
    </w:p>
    <w:p>
      <w:pPr>
        <w:rPr>
          <w:rFonts w:hint="eastAsia" w:ascii="宋体" w:hAnsi="宋体" w:eastAsia="宋体"/>
          <w:b/>
          <w:bCs/>
          <w:color w:val="auto"/>
          <w:sz w:val="32"/>
          <w:szCs w:val="32"/>
        </w:rPr>
      </w:pPr>
      <w:r>
        <w:rPr>
          <w:rFonts w:hint="eastAsia" w:ascii="宋体" w:hAnsi="宋体" w:eastAsia="宋体"/>
          <w:b/>
          <w:bCs/>
          <w:color w:val="auto"/>
          <w:sz w:val="32"/>
          <w:szCs w:val="32"/>
        </w:rPr>
        <w:t>6.主要设备材料备选品牌一览表</w:t>
      </w:r>
    </w:p>
    <w:p>
      <w:pPr>
        <w:pStyle w:val="2"/>
      </w:pPr>
    </w:p>
    <w:p>
      <w:pPr>
        <w:rPr>
          <w:rFonts w:ascii="宋体" w:hAnsi="宋体" w:eastAsia="宋体"/>
          <w:b/>
          <w:bCs/>
          <w:color w:val="FF0000"/>
          <w:kern w:val="0"/>
          <w:sz w:val="28"/>
          <w:szCs w:val="36"/>
        </w:rPr>
      </w:pPr>
      <w:r>
        <w:rPr>
          <w:rFonts w:hint="eastAsia" w:ascii="宋体" w:hAnsi="宋体" w:eastAsia="宋体"/>
          <w:b/>
          <w:bCs/>
          <w:color w:val="FF0000"/>
          <w:kern w:val="0"/>
          <w:sz w:val="28"/>
          <w:szCs w:val="36"/>
        </w:rPr>
        <w:t>（注：</w:t>
      </w:r>
      <w:r>
        <w:rPr>
          <w:rFonts w:hint="eastAsia" w:ascii="宋体" w:hAnsi="宋体" w:eastAsia="宋体"/>
          <w:b/>
          <w:bCs/>
          <w:color w:val="FF0000"/>
          <w:kern w:val="0"/>
          <w:sz w:val="28"/>
          <w:szCs w:val="36"/>
          <w:lang w:val="zh-CN"/>
        </w:rPr>
        <w:t>报价明细表</w:t>
      </w:r>
      <w:r>
        <w:rPr>
          <w:rFonts w:hint="eastAsia" w:ascii="宋体" w:hAnsi="宋体" w:eastAsia="宋体"/>
          <w:b/>
          <w:bCs/>
          <w:color w:val="FF0000"/>
          <w:kern w:val="0"/>
          <w:sz w:val="28"/>
          <w:szCs w:val="36"/>
        </w:rPr>
        <w:t>可接受不同计价软件生成的表格样式；</w:t>
      </w:r>
      <w:r>
        <w:rPr>
          <w:rFonts w:hint="eastAsia" w:ascii="宋体" w:hAnsi="宋体" w:eastAsia="宋体"/>
          <w:b/>
          <w:bCs/>
          <w:color w:val="FF0000"/>
          <w:kern w:val="0"/>
          <w:sz w:val="28"/>
          <w:szCs w:val="36"/>
          <w:lang w:eastAsia="zh-CN"/>
        </w:rPr>
        <w:t>以上</w:t>
      </w:r>
      <w:r>
        <w:rPr>
          <w:rFonts w:hint="eastAsia" w:ascii="宋体" w:hAnsi="宋体" w:eastAsia="宋体"/>
          <w:b/>
          <w:bCs/>
          <w:color w:val="FF0000"/>
          <w:kern w:val="0"/>
          <w:sz w:val="28"/>
          <w:szCs w:val="36"/>
        </w:rPr>
        <w:t>报价明细表每页</w:t>
      </w:r>
      <w:r>
        <w:rPr>
          <w:rFonts w:hint="eastAsia" w:ascii="宋体" w:hAnsi="宋体" w:eastAsia="宋体"/>
          <w:b/>
          <w:bCs/>
          <w:color w:val="FF0000"/>
          <w:kern w:val="0"/>
          <w:sz w:val="28"/>
          <w:szCs w:val="36"/>
          <w:lang w:val="zh-CN"/>
        </w:rPr>
        <w:t>必须加盖</w:t>
      </w:r>
      <w:r>
        <w:rPr>
          <w:rFonts w:hint="eastAsia" w:ascii="宋体" w:hAnsi="宋体" w:eastAsia="宋体"/>
          <w:b/>
          <w:bCs/>
          <w:color w:val="FF0000"/>
          <w:sz w:val="28"/>
          <w:szCs w:val="36"/>
        </w:rPr>
        <w:t>谈判供应商</w:t>
      </w:r>
      <w:r>
        <w:rPr>
          <w:rFonts w:hint="eastAsia" w:ascii="宋体" w:hAnsi="宋体" w:eastAsia="宋体"/>
          <w:b/>
          <w:bCs/>
          <w:color w:val="FF0000"/>
          <w:kern w:val="0"/>
          <w:sz w:val="28"/>
          <w:szCs w:val="36"/>
          <w:lang w:val="zh-CN"/>
        </w:rPr>
        <w:t>的公章</w:t>
      </w:r>
      <w:r>
        <w:rPr>
          <w:rFonts w:hint="eastAsia" w:ascii="宋体" w:hAnsi="宋体" w:eastAsia="宋体"/>
          <w:b/>
          <w:bCs/>
          <w:color w:val="FF0000"/>
          <w:sz w:val="28"/>
          <w:szCs w:val="36"/>
          <w:lang w:val="zh-CN"/>
        </w:rPr>
        <w:t>或CA电子公章</w:t>
      </w:r>
      <w:r>
        <w:rPr>
          <w:rFonts w:hint="eastAsia" w:ascii="宋体" w:hAnsi="宋体" w:eastAsia="宋体"/>
          <w:b/>
          <w:bCs/>
          <w:color w:val="FF0000"/>
          <w:kern w:val="0"/>
          <w:sz w:val="28"/>
          <w:szCs w:val="36"/>
        </w:rPr>
        <w:t>）</w:t>
      </w:r>
    </w:p>
    <w:p>
      <w:pPr>
        <w:spacing w:line="360" w:lineRule="auto"/>
        <w:rPr>
          <w:b/>
          <w:bCs/>
          <w:color w:val="FF0000"/>
          <w:sz w:val="44"/>
          <w:szCs w:val="32"/>
        </w:rPr>
      </w:pPr>
    </w:p>
    <w:p>
      <w:pPr>
        <w:pStyle w:val="22"/>
        <w:ind w:firstLine="240"/>
        <w:rPr>
          <w:rFonts w:ascii="宋体" w:hAnsi="宋体"/>
          <w:color w:val="auto"/>
          <w:sz w:val="24"/>
        </w:rPr>
      </w:pPr>
      <w:r>
        <w:rPr>
          <w:rFonts w:ascii="宋体" w:hAnsi="宋体"/>
          <w:color w:val="auto"/>
          <w:sz w:val="24"/>
        </w:rPr>
        <w:br w:type="page"/>
      </w:r>
    </w:p>
    <w:tbl>
      <w:tblPr>
        <w:tblStyle w:val="24"/>
        <w:tblW w:w="10080" w:type="dxa"/>
        <w:tblInd w:w="93" w:type="dxa"/>
        <w:tblLayout w:type="autofit"/>
        <w:tblCellMar>
          <w:top w:w="0" w:type="dxa"/>
          <w:left w:w="108" w:type="dxa"/>
          <w:bottom w:w="0" w:type="dxa"/>
          <w:right w:w="108" w:type="dxa"/>
        </w:tblCellMar>
      </w:tblPr>
      <w:tblGrid>
        <w:gridCol w:w="582"/>
        <w:gridCol w:w="3494"/>
        <w:gridCol w:w="1404"/>
        <w:gridCol w:w="1075"/>
        <w:gridCol w:w="1314"/>
        <w:gridCol w:w="1060"/>
        <w:gridCol w:w="1151"/>
      </w:tblGrid>
      <w:tr>
        <w:tblPrEx>
          <w:tblCellMar>
            <w:top w:w="0" w:type="dxa"/>
            <w:left w:w="108" w:type="dxa"/>
            <w:bottom w:w="0" w:type="dxa"/>
            <w:right w:w="108" w:type="dxa"/>
          </w:tblCellMar>
        </w:tblPrEx>
        <w:trPr>
          <w:trHeight w:val="655" w:hRule="atLeast"/>
        </w:trPr>
        <w:tc>
          <w:tcPr>
            <w:tcW w:w="10080" w:type="dxa"/>
            <w:gridSpan w:val="7"/>
            <w:tcBorders>
              <w:top w:val="nil"/>
              <w:left w:val="nil"/>
              <w:bottom w:val="nil"/>
              <w:right w:val="nil"/>
            </w:tcBorders>
            <w:shd w:val="clear" w:color="auto" w:fill="FFFFFF"/>
            <w:vAlign w:val="center"/>
          </w:tcPr>
          <w:p>
            <w:pPr>
              <w:widowControl/>
              <w:jc w:val="center"/>
              <w:textAlignment w:val="center"/>
              <w:rPr>
                <w:rFonts w:ascii="宋体" w:hAnsi="宋体" w:eastAsia="宋体" w:cs="宋体"/>
                <w:b/>
                <w:bCs/>
                <w:color w:val="auto"/>
                <w:sz w:val="40"/>
                <w:szCs w:val="40"/>
              </w:rPr>
            </w:pPr>
            <w:r>
              <w:rPr>
                <w:rFonts w:hint="eastAsia" w:ascii="宋体" w:hAnsi="宋体" w:eastAsia="宋体" w:cs="宋体"/>
                <w:b/>
                <w:bCs/>
                <w:color w:val="auto"/>
                <w:kern w:val="0"/>
                <w:sz w:val="40"/>
                <w:szCs w:val="40"/>
                <w:lang w:bidi="ar"/>
              </w:rPr>
              <w:t>工程项目招标控制价汇总表</w:t>
            </w:r>
          </w:p>
        </w:tc>
      </w:tr>
      <w:tr>
        <w:tblPrEx>
          <w:tblCellMar>
            <w:top w:w="0" w:type="dxa"/>
            <w:left w:w="108" w:type="dxa"/>
            <w:bottom w:w="0" w:type="dxa"/>
            <w:right w:w="108" w:type="dxa"/>
          </w:tblCellMar>
        </w:tblPrEx>
        <w:trPr>
          <w:trHeight w:val="317" w:hRule="atLeast"/>
        </w:trPr>
        <w:tc>
          <w:tcPr>
            <w:tcW w:w="5480" w:type="dxa"/>
            <w:gridSpan w:val="3"/>
            <w:tcBorders>
              <w:top w:val="nil"/>
              <w:left w:val="nil"/>
              <w:bottom w:val="nil"/>
              <w:right w:val="nil"/>
            </w:tcBorders>
            <w:shd w:val="clear" w:color="auto" w:fill="FFFFFF"/>
            <w:vAlign w:val="bottom"/>
          </w:tcPr>
          <w:p>
            <w:pPr>
              <w:widowControl/>
              <w:jc w:val="left"/>
              <w:textAlignment w:val="bottom"/>
              <w:rPr>
                <w:rFonts w:hint="eastAsia" w:ascii="宋体" w:hAnsi="宋体" w:eastAsia="宋体" w:cs="宋体"/>
                <w:color w:val="auto"/>
                <w:sz w:val="18"/>
                <w:szCs w:val="18"/>
                <w:lang w:eastAsia="zh-CN"/>
              </w:rPr>
            </w:pPr>
            <w:r>
              <w:rPr>
                <w:rFonts w:hint="eastAsia" w:ascii="宋体" w:hAnsi="宋体" w:eastAsia="宋体" w:cs="宋体"/>
                <w:color w:val="auto"/>
                <w:kern w:val="0"/>
                <w:sz w:val="18"/>
                <w:szCs w:val="18"/>
                <w:lang w:bidi="ar"/>
              </w:rPr>
              <w:t>工程名称:</w:t>
            </w:r>
            <w:r>
              <w:rPr>
                <w:rFonts w:hint="eastAsia" w:ascii="宋体" w:hAnsi="宋体" w:eastAsia="宋体" w:cs="宋体"/>
                <w:color w:val="auto"/>
                <w:kern w:val="0"/>
                <w:sz w:val="18"/>
                <w:szCs w:val="18"/>
                <w:lang w:eastAsia="zh-CN" w:bidi="ar"/>
              </w:rPr>
              <w:t>仙居县人民医院病理科改造项目（重新招标）</w:t>
            </w:r>
          </w:p>
        </w:tc>
        <w:tc>
          <w:tcPr>
            <w:tcW w:w="1075" w:type="dxa"/>
            <w:tcBorders>
              <w:top w:val="nil"/>
              <w:left w:val="nil"/>
              <w:bottom w:val="nil"/>
              <w:right w:val="nil"/>
            </w:tcBorders>
            <w:shd w:val="clear" w:color="auto" w:fill="FFFFFF"/>
            <w:vAlign w:val="bottom"/>
          </w:tcPr>
          <w:p>
            <w:pPr>
              <w:jc w:val="left"/>
              <w:rPr>
                <w:rFonts w:ascii="宋体" w:hAnsi="宋体" w:eastAsia="宋体" w:cs="宋体"/>
                <w:color w:val="auto"/>
                <w:sz w:val="18"/>
                <w:szCs w:val="18"/>
              </w:rPr>
            </w:pPr>
          </w:p>
        </w:tc>
        <w:tc>
          <w:tcPr>
            <w:tcW w:w="1314" w:type="dxa"/>
            <w:tcBorders>
              <w:top w:val="nil"/>
              <w:left w:val="nil"/>
              <w:bottom w:val="nil"/>
              <w:right w:val="nil"/>
            </w:tcBorders>
            <w:shd w:val="clear" w:color="auto" w:fill="FFFFFF"/>
            <w:vAlign w:val="bottom"/>
          </w:tcPr>
          <w:p>
            <w:pPr>
              <w:jc w:val="left"/>
              <w:rPr>
                <w:rFonts w:ascii="宋体" w:hAnsi="宋体" w:eastAsia="宋体" w:cs="宋体"/>
                <w:color w:val="auto"/>
                <w:sz w:val="18"/>
                <w:szCs w:val="18"/>
              </w:rPr>
            </w:pPr>
          </w:p>
        </w:tc>
        <w:tc>
          <w:tcPr>
            <w:tcW w:w="2211" w:type="dxa"/>
            <w:gridSpan w:val="2"/>
            <w:tcBorders>
              <w:top w:val="nil"/>
              <w:left w:val="nil"/>
              <w:bottom w:val="nil"/>
              <w:right w:val="nil"/>
            </w:tcBorders>
            <w:shd w:val="clear" w:color="auto" w:fill="FFFFFF"/>
            <w:vAlign w:val="bottom"/>
          </w:tcPr>
          <w:p>
            <w:pPr>
              <w:widowControl/>
              <w:jc w:val="right"/>
              <w:textAlignment w:val="bottom"/>
              <w:rPr>
                <w:rFonts w:ascii="宋体" w:hAnsi="宋体" w:eastAsia="宋体" w:cs="宋体"/>
                <w:color w:val="auto"/>
                <w:sz w:val="18"/>
                <w:szCs w:val="18"/>
              </w:rPr>
            </w:pPr>
            <w:r>
              <w:rPr>
                <w:rFonts w:hint="eastAsia" w:ascii="宋体" w:hAnsi="宋体" w:eastAsia="宋体" w:cs="宋体"/>
                <w:color w:val="auto"/>
                <w:kern w:val="0"/>
                <w:sz w:val="18"/>
                <w:szCs w:val="18"/>
                <w:lang w:bidi="ar"/>
              </w:rPr>
              <w:t>第1页 共1页</w:t>
            </w:r>
          </w:p>
        </w:tc>
      </w:tr>
      <w:tr>
        <w:tblPrEx>
          <w:tblCellMar>
            <w:top w:w="0" w:type="dxa"/>
            <w:left w:w="108" w:type="dxa"/>
            <w:bottom w:w="0" w:type="dxa"/>
            <w:right w:w="108" w:type="dxa"/>
          </w:tblCellMar>
        </w:tblPrEx>
        <w:trPr>
          <w:trHeight w:val="324" w:hRule="atLeast"/>
        </w:trPr>
        <w:tc>
          <w:tcPr>
            <w:tcW w:w="582"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序号</w:t>
            </w:r>
          </w:p>
        </w:tc>
        <w:tc>
          <w:tcPr>
            <w:tcW w:w="3494"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工程名称</w:t>
            </w:r>
          </w:p>
        </w:tc>
        <w:tc>
          <w:tcPr>
            <w:tcW w:w="1404"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金额(元)</w:t>
            </w:r>
          </w:p>
        </w:tc>
        <w:tc>
          <w:tcPr>
            <w:tcW w:w="4600" w:type="dxa"/>
            <w:gridSpan w:val="4"/>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其中：单位（元）</w:t>
            </w:r>
          </w:p>
        </w:tc>
      </w:tr>
      <w:tr>
        <w:tblPrEx>
          <w:tblCellMar>
            <w:top w:w="0" w:type="dxa"/>
            <w:left w:w="108" w:type="dxa"/>
            <w:bottom w:w="0" w:type="dxa"/>
            <w:right w:w="108" w:type="dxa"/>
          </w:tblCellMar>
        </w:tblPrEx>
        <w:trPr>
          <w:trHeight w:val="357" w:hRule="atLeast"/>
        </w:trPr>
        <w:tc>
          <w:tcPr>
            <w:tcW w:w="582"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494"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404"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07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暂估价</w:t>
            </w:r>
          </w:p>
        </w:tc>
        <w:tc>
          <w:tcPr>
            <w:tcW w:w="1314"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安全文明</w:t>
            </w:r>
          </w:p>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施工基本费</w:t>
            </w:r>
          </w:p>
        </w:tc>
        <w:tc>
          <w:tcPr>
            <w:tcW w:w="106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规费</w:t>
            </w:r>
          </w:p>
        </w:tc>
        <w:tc>
          <w:tcPr>
            <w:tcW w:w="1151" w:type="dxa"/>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税金</w:t>
            </w:r>
          </w:p>
        </w:tc>
      </w:tr>
      <w:tr>
        <w:tblPrEx>
          <w:tblCellMar>
            <w:top w:w="0" w:type="dxa"/>
            <w:left w:w="108" w:type="dxa"/>
            <w:bottom w:w="0" w:type="dxa"/>
            <w:right w:w="108" w:type="dxa"/>
          </w:tblCellMar>
        </w:tblPrEx>
        <w:trPr>
          <w:trHeight w:val="324" w:hRule="atLeast"/>
        </w:trPr>
        <w:tc>
          <w:tcPr>
            <w:tcW w:w="582"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w:t>
            </w:r>
          </w:p>
        </w:tc>
        <w:tc>
          <w:tcPr>
            <w:tcW w:w="349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单项工程1</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widowControl/>
              <w:jc w:val="right"/>
              <w:textAlignment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335" w:hRule="atLeast"/>
        </w:trPr>
        <w:tc>
          <w:tcPr>
            <w:tcW w:w="582"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1.1</w:t>
            </w:r>
          </w:p>
        </w:tc>
        <w:tc>
          <w:tcPr>
            <w:tcW w:w="349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安装</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widowControl/>
              <w:jc w:val="right"/>
              <w:textAlignment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335" w:hRule="atLeast"/>
        </w:trPr>
        <w:tc>
          <w:tcPr>
            <w:tcW w:w="582"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1.2</w:t>
            </w:r>
          </w:p>
        </w:tc>
        <w:tc>
          <w:tcPr>
            <w:tcW w:w="349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建筑</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widowControl/>
              <w:jc w:val="right"/>
              <w:textAlignment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324" w:hRule="atLeast"/>
        </w:trPr>
        <w:tc>
          <w:tcPr>
            <w:tcW w:w="582"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49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24" w:hRule="atLeast"/>
        </w:trPr>
        <w:tc>
          <w:tcPr>
            <w:tcW w:w="582"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49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24" w:hRule="atLeast"/>
        </w:trPr>
        <w:tc>
          <w:tcPr>
            <w:tcW w:w="582"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49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24" w:hRule="atLeast"/>
        </w:trPr>
        <w:tc>
          <w:tcPr>
            <w:tcW w:w="582"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49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24" w:hRule="atLeast"/>
        </w:trPr>
        <w:tc>
          <w:tcPr>
            <w:tcW w:w="582"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49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24" w:hRule="atLeast"/>
        </w:trPr>
        <w:tc>
          <w:tcPr>
            <w:tcW w:w="582"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49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24" w:hRule="atLeast"/>
        </w:trPr>
        <w:tc>
          <w:tcPr>
            <w:tcW w:w="582"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49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24" w:hRule="atLeast"/>
        </w:trPr>
        <w:tc>
          <w:tcPr>
            <w:tcW w:w="582"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49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24" w:hRule="atLeast"/>
        </w:trPr>
        <w:tc>
          <w:tcPr>
            <w:tcW w:w="582"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49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24" w:hRule="atLeast"/>
        </w:trPr>
        <w:tc>
          <w:tcPr>
            <w:tcW w:w="582"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49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24" w:hRule="atLeast"/>
        </w:trPr>
        <w:tc>
          <w:tcPr>
            <w:tcW w:w="582"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49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24" w:hRule="atLeast"/>
        </w:trPr>
        <w:tc>
          <w:tcPr>
            <w:tcW w:w="582"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49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24" w:hRule="atLeast"/>
        </w:trPr>
        <w:tc>
          <w:tcPr>
            <w:tcW w:w="582"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49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24" w:hRule="atLeast"/>
        </w:trPr>
        <w:tc>
          <w:tcPr>
            <w:tcW w:w="582"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49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24" w:hRule="atLeast"/>
        </w:trPr>
        <w:tc>
          <w:tcPr>
            <w:tcW w:w="582"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49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24" w:hRule="atLeast"/>
        </w:trPr>
        <w:tc>
          <w:tcPr>
            <w:tcW w:w="582"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49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24" w:hRule="atLeast"/>
        </w:trPr>
        <w:tc>
          <w:tcPr>
            <w:tcW w:w="582"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49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24" w:hRule="atLeast"/>
        </w:trPr>
        <w:tc>
          <w:tcPr>
            <w:tcW w:w="582"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49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24" w:hRule="atLeast"/>
        </w:trPr>
        <w:tc>
          <w:tcPr>
            <w:tcW w:w="582"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49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24" w:hRule="atLeast"/>
        </w:trPr>
        <w:tc>
          <w:tcPr>
            <w:tcW w:w="582"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49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24" w:hRule="atLeast"/>
        </w:trPr>
        <w:tc>
          <w:tcPr>
            <w:tcW w:w="4076" w:type="dxa"/>
            <w:gridSpan w:val="2"/>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合计</w:t>
            </w:r>
          </w:p>
        </w:tc>
        <w:tc>
          <w:tcPr>
            <w:tcW w:w="1404" w:type="dxa"/>
            <w:tcBorders>
              <w:top w:val="single" w:color="000000" w:sz="4" w:space="0"/>
              <w:left w:val="single" w:color="000000" w:sz="4" w:space="0"/>
              <w:bottom w:val="single" w:color="000000" w:sz="4" w:space="0"/>
              <w:right w:val="nil"/>
            </w:tcBorders>
            <w:shd w:val="clear" w:color="auto" w:fill="FFFFFF"/>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right"/>
              <w:textAlignment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524" w:hRule="atLeast"/>
        </w:trPr>
        <w:tc>
          <w:tcPr>
            <w:tcW w:w="10080" w:type="dxa"/>
            <w:gridSpan w:val="7"/>
            <w:tcBorders>
              <w:top w:val="nil"/>
              <w:left w:val="nil"/>
              <w:bottom w:val="nil"/>
              <w:right w:val="nil"/>
            </w:tcBorders>
            <w:shd w:val="clear" w:color="auto" w:fill="FFFFFF"/>
            <w:vAlign w:val="bottom"/>
          </w:tcPr>
          <w:p>
            <w:pPr>
              <w:widowControl/>
              <w:jc w:val="right"/>
              <w:textAlignment w:val="bottom"/>
              <w:rPr>
                <w:rFonts w:ascii="宋体" w:hAnsi="宋体" w:eastAsia="宋体" w:cs="宋体"/>
                <w:color w:val="auto"/>
                <w:sz w:val="18"/>
                <w:szCs w:val="18"/>
              </w:rPr>
            </w:pPr>
            <w:r>
              <w:rPr>
                <w:rFonts w:hint="eastAsia" w:ascii="宋体" w:hAnsi="宋体" w:eastAsia="宋体" w:cs="宋体"/>
                <w:color w:val="auto"/>
                <w:kern w:val="0"/>
                <w:sz w:val="18"/>
                <w:szCs w:val="18"/>
                <w:lang w:bidi="ar"/>
              </w:rPr>
              <w:t>表-01</w:t>
            </w:r>
          </w:p>
        </w:tc>
      </w:tr>
    </w:tbl>
    <w:p>
      <w:pPr>
        <w:spacing w:line="360" w:lineRule="auto"/>
        <w:rPr>
          <w:rFonts w:ascii="宋体" w:hAnsi="宋体" w:eastAsia="宋体" w:cs="宋体"/>
          <w:b/>
          <w:bCs/>
          <w:color w:val="auto"/>
          <w:sz w:val="21"/>
          <w:szCs w:val="21"/>
        </w:rPr>
      </w:pPr>
      <w:r>
        <w:rPr>
          <w:rFonts w:hint="eastAsia" w:ascii="宋体" w:hAnsi="宋体" w:eastAsia="宋体" w:cs="宋体"/>
          <w:b/>
          <w:bCs/>
          <w:color w:val="auto"/>
          <w:sz w:val="21"/>
          <w:szCs w:val="21"/>
        </w:rPr>
        <w:t>注：1、“工程项目招标控制价汇总表”中的投标总报价应与“磋商报价一览表（首次报价）”中的投标总报价相一致，不一致时，以“磋商报价一览表（首次报价）”为准。</w:t>
      </w:r>
    </w:p>
    <w:p>
      <w:pPr>
        <w:spacing w:line="360" w:lineRule="auto"/>
        <w:ind w:firstLine="422" w:firstLineChars="200"/>
        <w:rPr>
          <w:rFonts w:ascii="宋体" w:hAnsi="宋体" w:eastAsia="宋体" w:cs="宋体"/>
          <w:color w:val="auto"/>
          <w:sz w:val="24"/>
        </w:rPr>
      </w:pPr>
      <w:r>
        <w:rPr>
          <w:rFonts w:hint="eastAsia" w:ascii="宋体" w:hAnsi="宋体" w:eastAsia="宋体" w:cs="宋体"/>
          <w:b/>
          <w:bCs/>
          <w:color w:val="auto"/>
          <w:sz w:val="21"/>
          <w:szCs w:val="21"/>
        </w:rPr>
        <w:t>2、投标报价明细表所填内容应根据投标人实际情况填写。如有漏报的，视同已包含在投标总价内或已作优惠处理。有重大缺项的将作无效标处理。</w:t>
      </w:r>
    </w:p>
    <w:p>
      <w:pPr>
        <w:rPr>
          <w:color w:val="auto"/>
          <w:lang w:val="zh-CN"/>
        </w:rPr>
      </w:pPr>
    </w:p>
    <w:p>
      <w:pPr>
        <w:pStyle w:val="33"/>
        <w:rPr>
          <w:color w:val="auto"/>
        </w:rPr>
      </w:pPr>
      <w:bookmarkStart w:id="633" w:name="_Toc309395098"/>
      <w:bookmarkStart w:id="634" w:name="_Toc240724395"/>
    </w:p>
    <w:p>
      <w:pPr>
        <w:pStyle w:val="33"/>
        <w:rPr>
          <w:color w:val="auto"/>
        </w:rPr>
      </w:pPr>
    </w:p>
    <w:p>
      <w:pPr>
        <w:pStyle w:val="33"/>
        <w:rPr>
          <w:color w:val="auto"/>
        </w:rPr>
      </w:pPr>
    </w:p>
    <w:tbl>
      <w:tblPr>
        <w:tblStyle w:val="24"/>
        <w:tblW w:w="10155" w:type="dxa"/>
        <w:tblInd w:w="93" w:type="dxa"/>
        <w:tblLayout w:type="autofit"/>
        <w:tblCellMar>
          <w:top w:w="0" w:type="dxa"/>
          <w:left w:w="108" w:type="dxa"/>
          <w:bottom w:w="0" w:type="dxa"/>
          <w:right w:w="108" w:type="dxa"/>
        </w:tblCellMar>
      </w:tblPr>
      <w:tblGrid>
        <w:gridCol w:w="1080"/>
        <w:gridCol w:w="3780"/>
        <w:gridCol w:w="3240"/>
        <w:gridCol w:w="2055"/>
      </w:tblGrid>
      <w:tr>
        <w:tblPrEx>
          <w:tblCellMar>
            <w:top w:w="0" w:type="dxa"/>
            <w:left w:w="108" w:type="dxa"/>
            <w:bottom w:w="0" w:type="dxa"/>
            <w:right w:w="108" w:type="dxa"/>
          </w:tblCellMar>
        </w:tblPrEx>
        <w:trPr>
          <w:trHeight w:val="900" w:hRule="atLeast"/>
        </w:trPr>
        <w:tc>
          <w:tcPr>
            <w:tcW w:w="10155" w:type="dxa"/>
            <w:gridSpan w:val="4"/>
            <w:tcBorders>
              <w:top w:val="nil"/>
              <w:left w:val="nil"/>
              <w:bottom w:val="nil"/>
              <w:right w:val="nil"/>
            </w:tcBorders>
            <w:shd w:val="clear" w:color="auto" w:fill="FFFFFF"/>
            <w:vAlign w:val="center"/>
          </w:tcPr>
          <w:p>
            <w:pPr>
              <w:widowControl/>
              <w:jc w:val="center"/>
              <w:textAlignment w:val="center"/>
              <w:rPr>
                <w:rFonts w:ascii="宋体" w:hAnsi="宋体" w:eastAsia="宋体" w:cs="宋体"/>
                <w:b/>
                <w:bCs/>
                <w:color w:val="auto"/>
                <w:sz w:val="40"/>
                <w:szCs w:val="40"/>
              </w:rPr>
            </w:pPr>
            <w:r>
              <w:rPr>
                <w:rFonts w:hint="eastAsia" w:ascii="宋体" w:hAnsi="宋体" w:eastAsia="宋体" w:cs="宋体"/>
                <w:b/>
                <w:bCs/>
                <w:color w:val="auto"/>
                <w:kern w:val="0"/>
                <w:sz w:val="40"/>
                <w:szCs w:val="40"/>
                <w:lang w:bidi="ar"/>
              </w:rPr>
              <w:t>专业工程招标控制价计算程序表</w:t>
            </w:r>
          </w:p>
        </w:tc>
      </w:tr>
      <w:tr>
        <w:tblPrEx>
          <w:tblCellMar>
            <w:top w:w="0" w:type="dxa"/>
            <w:left w:w="108" w:type="dxa"/>
            <w:bottom w:w="0" w:type="dxa"/>
            <w:right w:w="108" w:type="dxa"/>
          </w:tblCellMar>
        </w:tblPrEx>
        <w:trPr>
          <w:trHeight w:val="525" w:hRule="atLeast"/>
        </w:trPr>
        <w:tc>
          <w:tcPr>
            <w:tcW w:w="8100" w:type="dxa"/>
            <w:gridSpan w:val="3"/>
            <w:tcBorders>
              <w:top w:val="nil"/>
              <w:left w:val="nil"/>
              <w:bottom w:val="nil"/>
              <w:right w:val="nil"/>
            </w:tcBorders>
            <w:shd w:val="clear" w:color="auto" w:fill="FFFFFF"/>
            <w:vAlign w:val="bottom"/>
          </w:tcPr>
          <w:p>
            <w:pPr>
              <w:widowControl/>
              <w:jc w:val="left"/>
              <w:textAlignment w:val="bottom"/>
              <w:rPr>
                <w:rFonts w:ascii="宋体" w:hAnsi="宋体" w:eastAsia="宋体" w:cs="宋体"/>
                <w:color w:val="auto"/>
                <w:sz w:val="18"/>
                <w:szCs w:val="18"/>
              </w:rPr>
            </w:pPr>
            <w:r>
              <w:rPr>
                <w:rFonts w:hint="eastAsia" w:ascii="宋体" w:hAnsi="宋体" w:eastAsia="宋体" w:cs="宋体"/>
                <w:color w:val="auto"/>
                <w:kern w:val="0"/>
                <w:sz w:val="18"/>
                <w:szCs w:val="18"/>
                <w:lang w:bidi="ar"/>
              </w:rPr>
              <w:t>单位工程(专业):单项工程1-安装</w:t>
            </w:r>
          </w:p>
        </w:tc>
        <w:tc>
          <w:tcPr>
            <w:tcW w:w="2055" w:type="dxa"/>
            <w:tcBorders>
              <w:top w:val="nil"/>
              <w:left w:val="nil"/>
              <w:bottom w:val="nil"/>
              <w:right w:val="nil"/>
            </w:tcBorders>
            <w:shd w:val="clear" w:color="auto" w:fill="FFFFFF"/>
            <w:vAlign w:val="bottom"/>
          </w:tcPr>
          <w:p>
            <w:pPr>
              <w:widowControl/>
              <w:jc w:val="right"/>
              <w:textAlignment w:val="bottom"/>
              <w:rPr>
                <w:rFonts w:ascii="宋体" w:hAnsi="宋体" w:eastAsia="宋体" w:cs="宋体"/>
                <w:color w:val="auto"/>
                <w:sz w:val="18"/>
                <w:szCs w:val="18"/>
              </w:rPr>
            </w:pPr>
            <w:r>
              <w:rPr>
                <w:rFonts w:hint="eastAsia" w:ascii="宋体" w:hAnsi="宋体" w:eastAsia="宋体" w:cs="宋体"/>
                <w:color w:val="auto"/>
                <w:kern w:val="0"/>
                <w:sz w:val="18"/>
                <w:szCs w:val="18"/>
                <w:lang w:bidi="ar"/>
              </w:rPr>
              <w:t>单位:元</w:t>
            </w:r>
          </w:p>
        </w:tc>
      </w:tr>
      <w:tr>
        <w:tblPrEx>
          <w:tblCellMar>
            <w:top w:w="0" w:type="dxa"/>
            <w:left w:w="108" w:type="dxa"/>
            <w:bottom w:w="0" w:type="dxa"/>
            <w:right w:w="108" w:type="dxa"/>
          </w:tblCellMar>
        </w:tblPrEx>
        <w:trPr>
          <w:trHeight w:val="465" w:hRule="atLeast"/>
        </w:trPr>
        <w:tc>
          <w:tcPr>
            <w:tcW w:w="108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序号</w:t>
            </w:r>
          </w:p>
        </w:tc>
        <w:tc>
          <w:tcPr>
            <w:tcW w:w="378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汇总内容</w:t>
            </w:r>
          </w:p>
        </w:tc>
        <w:tc>
          <w:tcPr>
            <w:tcW w:w="32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费用计算表达式</w:t>
            </w:r>
          </w:p>
        </w:tc>
        <w:tc>
          <w:tcPr>
            <w:tcW w:w="2055" w:type="dxa"/>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金额(元)</w:t>
            </w:r>
          </w:p>
        </w:tc>
      </w:tr>
      <w:tr>
        <w:tblPrEx>
          <w:tblCellMar>
            <w:top w:w="0" w:type="dxa"/>
            <w:left w:w="108" w:type="dxa"/>
            <w:bottom w:w="0" w:type="dxa"/>
            <w:right w:w="108" w:type="dxa"/>
          </w:tblCellMar>
        </w:tblPrEx>
        <w:trPr>
          <w:trHeight w:val="465" w:hRule="atLeast"/>
        </w:trPr>
        <w:tc>
          <w:tcPr>
            <w:tcW w:w="108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一</w:t>
            </w:r>
          </w:p>
        </w:tc>
        <w:tc>
          <w:tcPr>
            <w:tcW w:w="37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分部分项工程费</w:t>
            </w:r>
          </w:p>
        </w:tc>
        <w:tc>
          <w:tcPr>
            <w:tcW w:w="32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表-07</w:t>
            </w: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widowControl/>
              <w:jc w:val="right"/>
              <w:textAlignment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465" w:hRule="atLeast"/>
        </w:trPr>
        <w:tc>
          <w:tcPr>
            <w:tcW w:w="108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w:t>
            </w:r>
          </w:p>
        </w:tc>
        <w:tc>
          <w:tcPr>
            <w:tcW w:w="37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其中定额人工费</w:t>
            </w:r>
          </w:p>
        </w:tc>
        <w:tc>
          <w:tcPr>
            <w:tcW w:w="32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表-07</w:t>
            </w: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widowControl/>
              <w:jc w:val="right"/>
              <w:textAlignment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465" w:hRule="atLeast"/>
        </w:trPr>
        <w:tc>
          <w:tcPr>
            <w:tcW w:w="108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w:t>
            </w:r>
          </w:p>
        </w:tc>
        <w:tc>
          <w:tcPr>
            <w:tcW w:w="37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其中人工费价差</w:t>
            </w:r>
          </w:p>
        </w:tc>
        <w:tc>
          <w:tcPr>
            <w:tcW w:w="32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表-07</w:t>
            </w: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widowControl/>
              <w:jc w:val="right"/>
              <w:textAlignment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465" w:hRule="atLeast"/>
        </w:trPr>
        <w:tc>
          <w:tcPr>
            <w:tcW w:w="108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3</w:t>
            </w:r>
          </w:p>
        </w:tc>
        <w:tc>
          <w:tcPr>
            <w:tcW w:w="37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其中定额机械费</w:t>
            </w:r>
          </w:p>
        </w:tc>
        <w:tc>
          <w:tcPr>
            <w:tcW w:w="32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表-07</w:t>
            </w: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widowControl/>
              <w:jc w:val="right"/>
              <w:textAlignment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465" w:hRule="atLeast"/>
        </w:trPr>
        <w:tc>
          <w:tcPr>
            <w:tcW w:w="108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4</w:t>
            </w:r>
          </w:p>
        </w:tc>
        <w:tc>
          <w:tcPr>
            <w:tcW w:w="37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其中机械费价差</w:t>
            </w:r>
          </w:p>
        </w:tc>
        <w:tc>
          <w:tcPr>
            <w:tcW w:w="32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表-07</w:t>
            </w: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widowControl/>
              <w:jc w:val="right"/>
              <w:textAlignment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465" w:hRule="atLeast"/>
        </w:trPr>
        <w:tc>
          <w:tcPr>
            <w:tcW w:w="108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二</w:t>
            </w:r>
          </w:p>
        </w:tc>
        <w:tc>
          <w:tcPr>
            <w:tcW w:w="37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措施项目费</w:t>
            </w:r>
          </w:p>
        </w:tc>
        <w:tc>
          <w:tcPr>
            <w:tcW w:w="32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5+6</w:t>
            </w: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widowControl/>
              <w:jc w:val="right"/>
              <w:textAlignment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465" w:hRule="atLeast"/>
        </w:trPr>
        <w:tc>
          <w:tcPr>
            <w:tcW w:w="108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5</w:t>
            </w:r>
          </w:p>
        </w:tc>
        <w:tc>
          <w:tcPr>
            <w:tcW w:w="37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施工技术措施项目费</w:t>
            </w:r>
          </w:p>
        </w:tc>
        <w:tc>
          <w:tcPr>
            <w:tcW w:w="32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表-08</w:t>
            </w: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widowControl/>
              <w:jc w:val="right"/>
              <w:textAlignment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465" w:hRule="atLeast"/>
        </w:trPr>
        <w:tc>
          <w:tcPr>
            <w:tcW w:w="108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5.1</w:t>
            </w:r>
          </w:p>
        </w:tc>
        <w:tc>
          <w:tcPr>
            <w:tcW w:w="37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其中定额人工费</w:t>
            </w:r>
          </w:p>
        </w:tc>
        <w:tc>
          <w:tcPr>
            <w:tcW w:w="32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表-08</w:t>
            </w: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widowControl/>
              <w:jc w:val="right"/>
              <w:textAlignment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465" w:hRule="atLeast"/>
        </w:trPr>
        <w:tc>
          <w:tcPr>
            <w:tcW w:w="108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5.2</w:t>
            </w:r>
          </w:p>
        </w:tc>
        <w:tc>
          <w:tcPr>
            <w:tcW w:w="37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其中人工价差</w:t>
            </w:r>
          </w:p>
        </w:tc>
        <w:tc>
          <w:tcPr>
            <w:tcW w:w="32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表-08</w:t>
            </w: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widowControl/>
              <w:jc w:val="right"/>
              <w:textAlignment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465" w:hRule="atLeast"/>
        </w:trPr>
        <w:tc>
          <w:tcPr>
            <w:tcW w:w="108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5.3</w:t>
            </w:r>
          </w:p>
        </w:tc>
        <w:tc>
          <w:tcPr>
            <w:tcW w:w="37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其中定额机械费</w:t>
            </w:r>
          </w:p>
        </w:tc>
        <w:tc>
          <w:tcPr>
            <w:tcW w:w="32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表-08</w:t>
            </w: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465" w:hRule="atLeast"/>
        </w:trPr>
        <w:tc>
          <w:tcPr>
            <w:tcW w:w="108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5.4</w:t>
            </w:r>
          </w:p>
        </w:tc>
        <w:tc>
          <w:tcPr>
            <w:tcW w:w="37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其中机械费价差</w:t>
            </w:r>
          </w:p>
        </w:tc>
        <w:tc>
          <w:tcPr>
            <w:tcW w:w="32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表-08</w:t>
            </w: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465" w:hRule="atLeast"/>
        </w:trPr>
        <w:tc>
          <w:tcPr>
            <w:tcW w:w="108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6</w:t>
            </w:r>
          </w:p>
        </w:tc>
        <w:tc>
          <w:tcPr>
            <w:tcW w:w="37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施工组织措施项目费</w:t>
            </w:r>
          </w:p>
        </w:tc>
        <w:tc>
          <w:tcPr>
            <w:tcW w:w="32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6.1+6.2+6.3+6.4+6.5+6.6</w:t>
            </w: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widowControl/>
              <w:jc w:val="right"/>
              <w:textAlignment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465" w:hRule="atLeast"/>
        </w:trPr>
        <w:tc>
          <w:tcPr>
            <w:tcW w:w="108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6.1</w:t>
            </w:r>
          </w:p>
        </w:tc>
        <w:tc>
          <w:tcPr>
            <w:tcW w:w="37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安全文明施工基本费</w:t>
            </w:r>
          </w:p>
        </w:tc>
        <w:tc>
          <w:tcPr>
            <w:tcW w:w="32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(1+3+5.1+5.3)×7.1%</w:t>
            </w: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widowControl/>
              <w:jc w:val="right"/>
              <w:textAlignment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465" w:hRule="atLeast"/>
        </w:trPr>
        <w:tc>
          <w:tcPr>
            <w:tcW w:w="108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6.2</w:t>
            </w:r>
          </w:p>
        </w:tc>
        <w:tc>
          <w:tcPr>
            <w:tcW w:w="37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提前竣工增加费</w:t>
            </w:r>
          </w:p>
        </w:tc>
        <w:tc>
          <w:tcPr>
            <w:tcW w:w="32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(1+3+5.1+5.3)×0%</w:t>
            </w: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465" w:hRule="atLeast"/>
        </w:trPr>
        <w:tc>
          <w:tcPr>
            <w:tcW w:w="108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6.3</w:t>
            </w:r>
          </w:p>
        </w:tc>
        <w:tc>
          <w:tcPr>
            <w:tcW w:w="37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二次搬运费</w:t>
            </w:r>
          </w:p>
        </w:tc>
        <w:tc>
          <w:tcPr>
            <w:tcW w:w="32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(1+3+5.1+5.3)×0.26%</w:t>
            </w: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widowControl/>
              <w:jc w:val="right"/>
              <w:textAlignment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465" w:hRule="atLeast"/>
        </w:trPr>
        <w:tc>
          <w:tcPr>
            <w:tcW w:w="108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6.4</w:t>
            </w:r>
          </w:p>
        </w:tc>
        <w:tc>
          <w:tcPr>
            <w:tcW w:w="37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冬雨季施工增加费</w:t>
            </w:r>
          </w:p>
        </w:tc>
        <w:tc>
          <w:tcPr>
            <w:tcW w:w="32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(1+3+5.1+5.3)×0.13%</w:t>
            </w: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widowControl/>
              <w:jc w:val="right"/>
              <w:textAlignment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465" w:hRule="atLeast"/>
        </w:trPr>
        <w:tc>
          <w:tcPr>
            <w:tcW w:w="108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6.5</w:t>
            </w:r>
          </w:p>
        </w:tc>
        <w:tc>
          <w:tcPr>
            <w:tcW w:w="37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行车、行人干扰增加费（限市政）</w:t>
            </w:r>
          </w:p>
        </w:tc>
        <w:tc>
          <w:tcPr>
            <w:tcW w:w="32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(1+3+5.1+5.3)×0%</w:t>
            </w: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465" w:hRule="atLeast"/>
        </w:trPr>
        <w:tc>
          <w:tcPr>
            <w:tcW w:w="108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6.6</w:t>
            </w:r>
          </w:p>
        </w:tc>
        <w:tc>
          <w:tcPr>
            <w:tcW w:w="37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其他施工组织措施费</w:t>
            </w:r>
          </w:p>
        </w:tc>
        <w:tc>
          <w:tcPr>
            <w:tcW w:w="32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计价时列岀具体费用名称</w:t>
            </w: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465" w:hRule="atLeast"/>
        </w:trPr>
        <w:tc>
          <w:tcPr>
            <w:tcW w:w="108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三</w:t>
            </w:r>
          </w:p>
        </w:tc>
        <w:tc>
          <w:tcPr>
            <w:tcW w:w="37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其它项目</w:t>
            </w:r>
          </w:p>
        </w:tc>
        <w:tc>
          <w:tcPr>
            <w:tcW w:w="32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表-11</w:t>
            </w: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465" w:hRule="atLeast"/>
        </w:trPr>
        <w:tc>
          <w:tcPr>
            <w:tcW w:w="108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四</w:t>
            </w:r>
          </w:p>
        </w:tc>
        <w:tc>
          <w:tcPr>
            <w:tcW w:w="37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规费</w:t>
            </w:r>
          </w:p>
        </w:tc>
        <w:tc>
          <w:tcPr>
            <w:tcW w:w="32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(1+3+5.1+5.3)×30.63%</w:t>
            </w: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widowControl/>
              <w:jc w:val="right"/>
              <w:textAlignment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465" w:hRule="atLeast"/>
        </w:trPr>
        <w:tc>
          <w:tcPr>
            <w:tcW w:w="108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五</w:t>
            </w:r>
          </w:p>
        </w:tc>
        <w:tc>
          <w:tcPr>
            <w:tcW w:w="37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税金</w:t>
            </w:r>
          </w:p>
        </w:tc>
        <w:tc>
          <w:tcPr>
            <w:tcW w:w="32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[一+二+三+四]×9%</w:t>
            </w: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widowControl/>
              <w:jc w:val="right"/>
              <w:textAlignment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465" w:hRule="atLeast"/>
        </w:trPr>
        <w:tc>
          <w:tcPr>
            <w:tcW w:w="8100" w:type="dxa"/>
            <w:gridSpan w:val="3"/>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招标控制价合计=一+二+三+四+五</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right"/>
              <w:textAlignment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150" w:hRule="atLeast"/>
        </w:trPr>
        <w:tc>
          <w:tcPr>
            <w:tcW w:w="0" w:type="auto"/>
            <w:tcBorders>
              <w:top w:val="nil"/>
              <w:left w:val="nil"/>
              <w:bottom w:val="nil"/>
              <w:right w:val="nil"/>
            </w:tcBorders>
            <w:shd w:val="clear" w:color="auto" w:fill="auto"/>
            <w:noWrap/>
            <w:vAlign w:val="bottom"/>
          </w:tcPr>
          <w:p>
            <w:pPr>
              <w:rPr>
                <w:rFonts w:ascii="Arial" w:hAnsi="Arial" w:cs="Arial"/>
                <w:color w:val="auto"/>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auto"/>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auto"/>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auto"/>
                <w:sz w:val="20"/>
                <w:szCs w:val="20"/>
              </w:rPr>
            </w:pPr>
          </w:p>
        </w:tc>
      </w:tr>
      <w:tr>
        <w:tblPrEx>
          <w:tblCellMar>
            <w:top w:w="0" w:type="dxa"/>
            <w:left w:w="108" w:type="dxa"/>
            <w:bottom w:w="0" w:type="dxa"/>
            <w:right w:w="108" w:type="dxa"/>
          </w:tblCellMar>
        </w:tblPrEx>
        <w:trPr>
          <w:trHeight w:val="450" w:hRule="atLeast"/>
        </w:trPr>
        <w:tc>
          <w:tcPr>
            <w:tcW w:w="10155" w:type="dxa"/>
            <w:gridSpan w:val="4"/>
            <w:tcBorders>
              <w:top w:val="nil"/>
              <w:left w:val="nil"/>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表-02</w:t>
            </w:r>
          </w:p>
        </w:tc>
      </w:tr>
    </w:tbl>
    <w:p>
      <w:pPr>
        <w:pStyle w:val="33"/>
        <w:rPr>
          <w:color w:val="auto"/>
        </w:rPr>
      </w:pPr>
    </w:p>
    <w:p>
      <w:pPr>
        <w:pStyle w:val="33"/>
        <w:rPr>
          <w:color w:val="auto"/>
        </w:rPr>
      </w:pPr>
    </w:p>
    <w:p>
      <w:pPr>
        <w:pStyle w:val="33"/>
        <w:rPr>
          <w:color w:val="auto"/>
        </w:rPr>
        <w:sectPr>
          <w:footerReference r:id="rId11" w:type="default"/>
          <w:pgSz w:w="11906" w:h="16838"/>
          <w:pgMar w:top="1440" w:right="1440" w:bottom="1440" w:left="1440" w:header="851" w:footer="992" w:gutter="0"/>
          <w:cols w:space="720" w:num="1"/>
          <w:docGrid w:linePitch="312" w:charSpace="0"/>
        </w:sectPr>
      </w:pPr>
    </w:p>
    <w:tbl>
      <w:tblPr>
        <w:tblStyle w:val="24"/>
        <w:tblW w:w="13880" w:type="dxa"/>
        <w:tblInd w:w="93" w:type="dxa"/>
        <w:tblLayout w:type="autofit"/>
        <w:tblCellMar>
          <w:top w:w="0" w:type="dxa"/>
          <w:left w:w="108" w:type="dxa"/>
          <w:bottom w:w="0" w:type="dxa"/>
          <w:right w:w="108" w:type="dxa"/>
        </w:tblCellMar>
      </w:tblPr>
      <w:tblGrid>
        <w:gridCol w:w="577"/>
        <w:gridCol w:w="1296"/>
        <w:gridCol w:w="1392"/>
        <w:gridCol w:w="2380"/>
        <w:gridCol w:w="590"/>
        <w:gridCol w:w="863"/>
        <w:gridCol w:w="1045"/>
        <w:gridCol w:w="1112"/>
        <w:gridCol w:w="1027"/>
        <w:gridCol w:w="933"/>
        <w:gridCol w:w="933"/>
        <w:gridCol w:w="929"/>
        <w:gridCol w:w="803"/>
      </w:tblGrid>
      <w:tr>
        <w:tblPrEx>
          <w:tblCellMar>
            <w:top w:w="0" w:type="dxa"/>
            <w:left w:w="108" w:type="dxa"/>
            <w:bottom w:w="0" w:type="dxa"/>
            <w:right w:w="108" w:type="dxa"/>
          </w:tblCellMar>
        </w:tblPrEx>
        <w:trPr>
          <w:trHeight w:val="100" w:hRule="atLeast"/>
        </w:trPr>
        <w:tc>
          <w:tcPr>
            <w:tcW w:w="13880" w:type="dxa"/>
            <w:gridSpan w:val="13"/>
            <w:tcBorders>
              <w:top w:val="nil"/>
              <w:left w:val="nil"/>
              <w:bottom w:val="nil"/>
              <w:right w:val="nil"/>
            </w:tcBorders>
            <w:shd w:val="clear" w:color="auto" w:fill="FFFFFF"/>
            <w:vAlign w:val="center"/>
          </w:tcPr>
          <w:p>
            <w:pPr>
              <w:widowControl/>
              <w:jc w:val="center"/>
              <w:textAlignment w:val="center"/>
              <w:rPr>
                <w:rFonts w:ascii="宋体" w:hAnsi="宋体" w:eastAsia="宋体" w:cs="宋体"/>
                <w:b/>
                <w:bCs/>
                <w:color w:val="auto"/>
                <w:sz w:val="40"/>
                <w:szCs w:val="40"/>
              </w:rPr>
            </w:pPr>
            <w:r>
              <w:rPr>
                <w:rFonts w:hint="eastAsia" w:ascii="宋体" w:hAnsi="宋体" w:eastAsia="宋体" w:cs="宋体"/>
                <w:b/>
                <w:bCs/>
                <w:color w:val="auto"/>
                <w:kern w:val="0"/>
                <w:sz w:val="40"/>
                <w:szCs w:val="40"/>
                <w:lang w:bidi="ar"/>
              </w:rPr>
              <w:t>分部分项工程量清单与计价表</w:t>
            </w:r>
          </w:p>
        </w:tc>
      </w:tr>
      <w:tr>
        <w:tblPrEx>
          <w:tblCellMar>
            <w:top w:w="0" w:type="dxa"/>
            <w:left w:w="108" w:type="dxa"/>
            <w:bottom w:w="0" w:type="dxa"/>
            <w:right w:w="108" w:type="dxa"/>
          </w:tblCellMar>
        </w:tblPrEx>
        <w:trPr>
          <w:trHeight w:val="90" w:hRule="atLeast"/>
        </w:trPr>
        <w:tc>
          <w:tcPr>
            <w:tcW w:w="10282" w:type="dxa"/>
            <w:gridSpan w:val="9"/>
            <w:tcBorders>
              <w:top w:val="nil"/>
              <w:left w:val="nil"/>
              <w:bottom w:val="nil"/>
              <w:right w:val="nil"/>
            </w:tcBorders>
            <w:shd w:val="clear" w:color="auto" w:fill="FFFFFF"/>
            <w:vAlign w:val="bottom"/>
          </w:tcPr>
          <w:p>
            <w:pPr>
              <w:widowControl/>
              <w:jc w:val="left"/>
              <w:textAlignment w:val="bottom"/>
              <w:rPr>
                <w:rFonts w:ascii="宋体" w:hAnsi="宋体" w:eastAsia="宋体" w:cs="宋体"/>
                <w:color w:val="auto"/>
                <w:sz w:val="18"/>
                <w:szCs w:val="18"/>
              </w:rPr>
            </w:pPr>
            <w:r>
              <w:rPr>
                <w:rFonts w:hint="eastAsia" w:ascii="宋体" w:hAnsi="宋体" w:eastAsia="宋体" w:cs="宋体"/>
                <w:color w:val="auto"/>
                <w:kern w:val="0"/>
                <w:sz w:val="18"/>
                <w:szCs w:val="18"/>
                <w:lang w:bidi="ar"/>
              </w:rPr>
              <w:t>单位工程(专业):单项工程1-安装</w:t>
            </w:r>
          </w:p>
        </w:tc>
        <w:tc>
          <w:tcPr>
            <w:tcW w:w="3598" w:type="dxa"/>
            <w:gridSpan w:val="4"/>
            <w:tcBorders>
              <w:top w:val="nil"/>
              <w:left w:val="nil"/>
              <w:bottom w:val="nil"/>
              <w:right w:val="nil"/>
            </w:tcBorders>
            <w:shd w:val="clear" w:color="auto" w:fill="FFFFFF"/>
            <w:vAlign w:val="bottom"/>
          </w:tcPr>
          <w:p>
            <w:pPr>
              <w:widowControl/>
              <w:jc w:val="right"/>
              <w:textAlignment w:val="bottom"/>
              <w:rPr>
                <w:rFonts w:ascii="宋体" w:hAnsi="宋体" w:eastAsia="宋体" w:cs="宋体"/>
                <w:color w:val="auto"/>
                <w:sz w:val="18"/>
                <w:szCs w:val="18"/>
              </w:rPr>
            </w:pPr>
            <w:r>
              <w:rPr>
                <w:rFonts w:hint="eastAsia" w:ascii="宋体" w:hAnsi="宋体" w:eastAsia="宋体" w:cs="宋体"/>
                <w:color w:val="auto"/>
                <w:kern w:val="0"/>
                <w:sz w:val="18"/>
                <w:szCs w:val="18"/>
                <w:lang w:bidi="ar"/>
              </w:rPr>
              <w:t>第1页 共9页</w:t>
            </w:r>
          </w:p>
        </w:tc>
      </w:tr>
      <w:tr>
        <w:trPr>
          <w:trHeight w:val="90" w:hRule="atLeast"/>
        </w:trPr>
        <w:tc>
          <w:tcPr>
            <w:tcW w:w="577"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序号</w:t>
            </w:r>
          </w:p>
        </w:tc>
        <w:tc>
          <w:tcPr>
            <w:tcW w:w="1296"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项目编码</w:t>
            </w:r>
          </w:p>
        </w:tc>
        <w:tc>
          <w:tcPr>
            <w:tcW w:w="1392"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项目名称</w:t>
            </w:r>
          </w:p>
        </w:tc>
        <w:tc>
          <w:tcPr>
            <w:tcW w:w="2380"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项目特征</w:t>
            </w:r>
          </w:p>
        </w:tc>
        <w:tc>
          <w:tcPr>
            <w:tcW w:w="590"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计量</w:t>
            </w:r>
          </w:p>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单位</w:t>
            </w:r>
          </w:p>
        </w:tc>
        <w:tc>
          <w:tcPr>
            <w:tcW w:w="863"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工程量</w:t>
            </w:r>
          </w:p>
        </w:tc>
        <w:tc>
          <w:tcPr>
            <w:tcW w:w="1045"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综合单价</w:t>
            </w:r>
          </w:p>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(元)</w:t>
            </w:r>
          </w:p>
        </w:tc>
        <w:tc>
          <w:tcPr>
            <w:tcW w:w="1112"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合价</w:t>
            </w:r>
          </w:p>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(元)</w:t>
            </w:r>
          </w:p>
        </w:tc>
        <w:tc>
          <w:tcPr>
            <w:tcW w:w="3822" w:type="dxa"/>
            <w:gridSpan w:val="4"/>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其中(元)</w:t>
            </w:r>
          </w:p>
        </w:tc>
        <w:tc>
          <w:tcPr>
            <w:tcW w:w="803" w:type="dxa"/>
            <w:vMerge w:val="restart"/>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备注</w:t>
            </w:r>
          </w:p>
        </w:tc>
      </w:tr>
      <w:tr>
        <w:tblPrEx>
          <w:tblCellMar>
            <w:top w:w="0" w:type="dxa"/>
            <w:left w:w="108" w:type="dxa"/>
            <w:bottom w:w="0" w:type="dxa"/>
            <w:right w:w="108" w:type="dxa"/>
          </w:tblCellMar>
        </w:tblPrEx>
        <w:trPr>
          <w:trHeight w:val="90" w:hRule="atLeast"/>
        </w:trPr>
        <w:tc>
          <w:tcPr>
            <w:tcW w:w="577"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296"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392"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23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59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63"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04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12"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027"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定额人工费</w:t>
            </w:r>
          </w:p>
        </w:tc>
        <w:tc>
          <w:tcPr>
            <w:tcW w:w="933"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人工费价差</w:t>
            </w:r>
          </w:p>
        </w:tc>
        <w:tc>
          <w:tcPr>
            <w:tcW w:w="933"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定额机械费</w:t>
            </w:r>
          </w:p>
        </w:tc>
        <w:tc>
          <w:tcPr>
            <w:tcW w:w="929" w:type="dxa"/>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机械费价差</w:t>
            </w:r>
          </w:p>
        </w:tc>
        <w:tc>
          <w:tcPr>
            <w:tcW w:w="803"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77"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296"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1392"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给排水</w:t>
            </w:r>
          </w:p>
        </w:tc>
        <w:tc>
          <w:tcPr>
            <w:tcW w:w="2380"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5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63"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03"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186" w:hRule="atLeast"/>
        </w:trPr>
        <w:tc>
          <w:tcPr>
            <w:tcW w:w="577"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w:t>
            </w:r>
          </w:p>
        </w:tc>
        <w:tc>
          <w:tcPr>
            <w:tcW w:w="129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031001006001</w:t>
            </w:r>
          </w:p>
        </w:tc>
        <w:tc>
          <w:tcPr>
            <w:tcW w:w="1392"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塑料管</w:t>
            </w:r>
          </w:p>
        </w:tc>
        <w:tc>
          <w:tcPr>
            <w:tcW w:w="2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1.安装部位：室内</w:t>
            </w:r>
          </w:p>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2.介质：给水</w:t>
            </w:r>
          </w:p>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3.材质、规格：PPR DN25</w:t>
            </w:r>
          </w:p>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4.连接形式：热熔</w:t>
            </w:r>
          </w:p>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5.压力试验及吹、洗设计要求：水压试验及水冲洗</w:t>
            </w:r>
          </w:p>
        </w:tc>
        <w:tc>
          <w:tcPr>
            <w:tcW w:w="5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m</w:t>
            </w:r>
          </w:p>
        </w:tc>
        <w:tc>
          <w:tcPr>
            <w:tcW w:w="863"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158.13</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03"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116" w:hRule="atLeast"/>
        </w:trPr>
        <w:tc>
          <w:tcPr>
            <w:tcW w:w="577"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w:t>
            </w:r>
          </w:p>
        </w:tc>
        <w:tc>
          <w:tcPr>
            <w:tcW w:w="129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031001006002</w:t>
            </w:r>
          </w:p>
        </w:tc>
        <w:tc>
          <w:tcPr>
            <w:tcW w:w="1392"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塑料管</w:t>
            </w:r>
          </w:p>
        </w:tc>
        <w:tc>
          <w:tcPr>
            <w:tcW w:w="2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1.安装部位：室内</w:t>
            </w:r>
          </w:p>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2.介质：排水</w:t>
            </w:r>
          </w:p>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3.材质、规格：PVC DN50</w:t>
            </w:r>
          </w:p>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4.连接形式：粘接</w:t>
            </w:r>
          </w:p>
        </w:tc>
        <w:tc>
          <w:tcPr>
            <w:tcW w:w="5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m</w:t>
            </w:r>
          </w:p>
        </w:tc>
        <w:tc>
          <w:tcPr>
            <w:tcW w:w="863"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140.00</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03"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77"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3</w:t>
            </w:r>
          </w:p>
        </w:tc>
        <w:tc>
          <w:tcPr>
            <w:tcW w:w="129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031004010001</w:t>
            </w:r>
          </w:p>
        </w:tc>
        <w:tc>
          <w:tcPr>
            <w:tcW w:w="1392"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淋浴器</w:t>
            </w:r>
          </w:p>
        </w:tc>
        <w:tc>
          <w:tcPr>
            <w:tcW w:w="2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1.成套淋浴器 手动开关冷热水</w:t>
            </w:r>
          </w:p>
        </w:tc>
        <w:tc>
          <w:tcPr>
            <w:tcW w:w="5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套</w:t>
            </w:r>
          </w:p>
        </w:tc>
        <w:tc>
          <w:tcPr>
            <w:tcW w:w="863"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03"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77"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4</w:t>
            </w:r>
          </w:p>
        </w:tc>
        <w:tc>
          <w:tcPr>
            <w:tcW w:w="129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031004003001</w:t>
            </w:r>
          </w:p>
        </w:tc>
        <w:tc>
          <w:tcPr>
            <w:tcW w:w="1392"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洗脸盆</w:t>
            </w:r>
          </w:p>
        </w:tc>
        <w:tc>
          <w:tcPr>
            <w:tcW w:w="2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1.洗脸盆 台上式冷热水（含水龙头等附件）</w:t>
            </w:r>
          </w:p>
        </w:tc>
        <w:tc>
          <w:tcPr>
            <w:tcW w:w="5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组</w:t>
            </w:r>
          </w:p>
        </w:tc>
        <w:tc>
          <w:tcPr>
            <w:tcW w:w="863"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03"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77"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5</w:t>
            </w:r>
          </w:p>
        </w:tc>
        <w:tc>
          <w:tcPr>
            <w:tcW w:w="129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031004014001</w:t>
            </w:r>
          </w:p>
        </w:tc>
        <w:tc>
          <w:tcPr>
            <w:tcW w:w="1392"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给、排水附(配)件</w:t>
            </w:r>
          </w:p>
        </w:tc>
        <w:tc>
          <w:tcPr>
            <w:tcW w:w="2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1.地漏安装 公称直径（mm以内）50</w:t>
            </w:r>
          </w:p>
        </w:tc>
        <w:tc>
          <w:tcPr>
            <w:tcW w:w="5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个</w:t>
            </w:r>
          </w:p>
        </w:tc>
        <w:tc>
          <w:tcPr>
            <w:tcW w:w="863"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3</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03"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77"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6</w:t>
            </w:r>
          </w:p>
        </w:tc>
        <w:tc>
          <w:tcPr>
            <w:tcW w:w="129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031004007001</w:t>
            </w:r>
          </w:p>
        </w:tc>
        <w:tc>
          <w:tcPr>
            <w:tcW w:w="1392"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小便器</w:t>
            </w:r>
          </w:p>
        </w:tc>
        <w:tc>
          <w:tcPr>
            <w:tcW w:w="2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1.壁挂式小便器安装 感应开关埋入式</w:t>
            </w:r>
          </w:p>
        </w:tc>
        <w:tc>
          <w:tcPr>
            <w:tcW w:w="5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组</w:t>
            </w:r>
          </w:p>
        </w:tc>
        <w:tc>
          <w:tcPr>
            <w:tcW w:w="863"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03"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77"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7</w:t>
            </w:r>
          </w:p>
        </w:tc>
        <w:tc>
          <w:tcPr>
            <w:tcW w:w="129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031004006001</w:t>
            </w:r>
          </w:p>
        </w:tc>
        <w:tc>
          <w:tcPr>
            <w:tcW w:w="1392"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大便器</w:t>
            </w:r>
          </w:p>
        </w:tc>
        <w:tc>
          <w:tcPr>
            <w:tcW w:w="2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1.蹲式大便器安装 手动开关（含阀门等附件）</w:t>
            </w:r>
          </w:p>
        </w:tc>
        <w:tc>
          <w:tcPr>
            <w:tcW w:w="5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套</w:t>
            </w:r>
          </w:p>
        </w:tc>
        <w:tc>
          <w:tcPr>
            <w:tcW w:w="863"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03"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3" w:hRule="atLeast"/>
        </w:trPr>
        <w:tc>
          <w:tcPr>
            <w:tcW w:w="577"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8</w:t>
            </w:r>
          </w:p>
        </w:tc>
        <w:tc>
          <w:tcPr>
            <w:tcW w:w="129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03B001</w:t>
            </w:r>
          </w:p>
        </w:tc>
        <w:tc>
          <w:tcPr>
            <w:tcW w:w="1392"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卫生间暗敷管道补贴</w:t>
            </w:r>
          </w:p>
        </w:tc>
        <w:tc>
          <w:tcPr>
            <w:tcW w:w="2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1.卫生间（内周长在12m以下）暗敷管道，每间补贴1.0工日</w:t>
            </w:r>
          </w:p>
        </w:tc>
        <w:tc>
          <w:tcPr>
            <w:tcW w:w="5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间</w:t>
            </w:r>
          </w:p>
        </w:tc>
        <w:tc>
          <w:tcPr>
            <w:tcW w:w="863"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03"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133" w:hRule="atLeast"/>
        </w:trPr>
        <w:tc>
          <w:tcPr>
            <w:tcW w:w="577"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9</w:t>
            </w:r>
          </w:p>
        </w:tc>
        <w:tc>
          <w:tcPr>
            <w:tcW w:w="129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031001001001</w:t>
            </w:r>
          </w:p>
        </w:tc>
        <w:tc>
          <w:tcPr>
            <w:tcW w:w="1392"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镀锌钢管</w:t>
            </w:r>
          </w:p>
        </w:tc>
        <w:tc>
          <w:tcPr>
            <w:tcW w:w="2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1.安装部位：室内</w:t>
            </w:r>
          </w:p>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2.规格、压力等级：镀锌钢管DN125</w:t>
            </w:r>
          </w:p>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3.连接形式：焊接 电弧焊</w:t>
            </w:r>
          </w:p>
        </w:tc>
        <w:tc>
          <w:tcPr>
            <w:tcW w:w="5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m</w:t>
            </w:r>
          </w:p>
        </w:tc>
        <w:tc>
          <w:tcPr>
            <w:tcW w:w="863"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65.00</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03"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8143" w:type="dxa"/>
            <w:gridSpan w:val="7"/>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本页小计</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77"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296"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392"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2380"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590"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863"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045"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112"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027"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933"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933"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732" w:type="dxa"/>
            <w:gridSpan w:val="2"/>
            <w:tcBorders>
              <w:top w:val="nil"/>
              <w:left w:val="nil"/>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表-07</w:t>
            </w:r>
          </w:p>
        </w:tc>
      </w:tr>
    </w:tbl>
    <w:p>
      <w:pPr>
        <w:widowControl/>
        <w:jc w:val="center"/>
        <w:textAlignment w:val="center"/>
        <w:rPr>
          <w:rFonts w:ascii="宋体" w:hAnsi="宋体" w:eastAsia="宋体" w:cs="宋体"/>
          <w:b/>
          <w:bCs/>
          <w:color w:val="auto"/>
          <w:kern w:val="0"/>
          <w:sz w:val="40"/>
          <w:szCs w:val="40"/>
          <w:lang w:bidi="ar"/>
        </w:rPr>
        <w:sectPr>
          <w:pgSz w:w="16838" w:h="11906" w:orient="landscape"/>
          <w:pgMar w:top="1440" w:right="1440" w:bottom="1440" w:left="1440" w:header="851" w:footer="992" w:gutter="0"/>
          <w:cols w:space="720" w:num="1"/>
          <w:docGrid w:linePitch="312" w:charSpace="0"/>
        </w:sectPr>
      </w:pPr>
    </w:p>
    <w:tbl>
      <w:tblPr>
        <w:tblStyle w:val="24"/>
        <w:tblW w:w="13900" w:type="dxa"/>
        <w:tblInd w:w="93" w:type="dxa"/>
        <w:tblLayout w:type="autofit"/>
        <w:tblCellMar>
          <w:top w:w="0" w:type="dxa"/>
          <w:left w:w="108" w:type="dxa"/>
          <w:bottom w:w="0" w:type="dxa"/>
          <w:right w:w="108" w:type="dxa"/>
        </w:tblCellMar>
      </w:tblPr>
      <w:tblGrid>
        <w:gridCol w:w="579"/>
        <w:gridCol w:w="1296"/>
        <w:gridCol w:w="1281"/>
        <w:gridCol w:w="2498"/>
        <w:gridCol w:w="591"/>
        <w:gridCol w:w="864"/>
        <w:gridCol w:w="1047"/>
        <w:gridCol w:w="1114"/>
        <w:gridCol w:w="1027"/>
        <w:gridCol w:w="934"/>
        <w:gridCol w:w="934"/>
        <w:gridCol w:w="933"/>
        <w:gridCol w:w="802"/>
      </w:tblGrid>
      <w:tr>
        <w:tblPrEx>
          <w:tblCellMar>
            <w:top w:w="0" w:type="dxa"/>
            <w:left w:w="108" w:type="dxa"/>
            <w:bottom w:w="0" w:type="dxa"/>
            <w:right w:w="108" w:type="dxa"/>
          </w:tblCellMar>
        </w:tblPrEx>
        <w:trPr>
          <w:trHeight w:val="90" w:hRule="atLeast"/>
        </w:trPr>
        <w:tc>
          <w:tcPr>
            <w:tcW w:w="13900" w:type="dxa"/>
            <w:gridSpan w:val="13"/>
            <w:tcBorders>
              <w:top w:val="nil"/>
              <w:left w:val="nil"/>
              <w:bottom w:val="nil"/>
              <w:right w:val="nil"/>
            </w:tcBorders>
            <w:shd w:val="clear" w:color="auto" w:fill="FFFFFF"/>
            <w:vAlign w:val="center"/>
          </w:tcPr>
          <w:p>
            <w:pPr>
              <w:widowControl/>
              <w:jc w:val="center"/>
              <w:textAlignment w:val="center"/>
              <w:rPr>
                <w:rFonts w:ascii="宋体" w:hAnsi="宋体" w:eastAsia="宋体" w:cs="宋体"/>
                <w:b/>
                <w:bCs/>
                <w:color w:val="auto"/>
                <w:sz w:val="40"/>
                <w:szCs w:val="40"/>
              </w:rPr>
            </w:pPr>
            <w:r>
              <w:rPr>
                <w:rFonts w:hint="eastAsia" w:ascii="宋体" w:hAnsi="宋体" w:eastAsia="宋体" w:cs="宋体"/>
                <w:b/>
                <w:bCs/>
                <w:color w:val="auto"/>
                <w:kern w:val="0"/>
                <w:sz w:val="40"/>
                <w:szCs w:val="40"/>
                <w:lang w:bidi="ar"/>
              </w:rPr>
              <w:t>分部分项工程量清单与计价表</w:t>
            </w:r>
          </w:p>
        </w:tc>
      </w:tr>
      <w:tr>
        <w:tblPrEx>
          <w:tblCellMar>
            <w:top w:w="0" w:type="dxa"/>
            <w:left w:w="108" w:type="dxa"/>
            <w:bottom w:w="0" w:type="dxa"/>
            <w:right w:w="108" w:type="dxa"/>
          </w:tblCellMar>
        </w:tblPrEx>
        <w:trPr>
          <w:trHeight w:val="90" w:hRule="atLeast"/>
        </w:trPr>
        <w:tc>
          <w:tcPr>
            <w:tcW w:w="10297" w:type="dxa"/>
            <w:gridSpan w:val="9"/>
            <w:tcBorders>
              <w:top w:val="nil"/>
              <w:left w:val="nil"/>
              <w:bottom w:val="nil"/>
              <w:right w:val="nil"/>
            </w:tcBorders>
            <w:shd w:val="clear" w:color="auto" w:fill="FFFFFF"/>
            <w:vAlign w:val="bottom"/>
          </w:tcPr>
          <w:p>
            <w:pPr>
              <w:widowControl/>
              <w:jc w:val="left"/>
              <w:textAlignment w:val="bottom"/>
              <w:rPr>
                <w:rFonts w:ascii="宋体" w:hAnsi="宋体" w:eastAsia="宋体" w:cs="宋体"/>
                <w:color w:val="auto"/>
                <w:sz w:val="18"/>
                <w:szCs w:val="18"/>
              </w:rPr>
            </w:pPr>
            <w:r>
              <w:rPr>
                <w:rFonts w:hint="eastAsia" w:ascii="宋体" w:hAnsi="宋体" w:eastAsia="宋体" w:cs="宋体"/>
                <w:color w:val="auto"/>
                <w:kern w:val="0"/>
                <w:sz w:val="18"/>
                <w:szCs w:val="18"/>
                <w:lang w:bidi="ar"/>
              </w:rPr>
              <w:t>单位工程(专业):单项工程1-安装</w:t>
            </w:r>
          </w:p>
        </w:tc>
        <w:tc>
          <w:tcPr>
            <w:tcW w:w="3603" w:type="dxa"/>
            <w:gridSpan w:val="4"/>
            <w:tcBorders>
              <w:top w:val="nil"/>
              <w:left w:val="nil"/>
              <w:bottom w:val="nil"/>
              <w:right w:val="nil"/>
            </w:tcBorders>
            <w:shd w:val="clear" w:color="auto" w:fill="FFFFFF"/>
            <w:vAlign w:val="bottom"/>
          </w:tcPr>
          <w:p>
            <w:pPr>
              <w:widowControl/>
              <w:jc w:val="right"/>
              <w:textAlignment w:val="bottom"/>
              <w:rPr>
                <w:rFonts w:ascii="宋体" w:hAnsi="宋体" w:eastAsia="宋体" w:cs="宋体"/>
                <w:color w:val="auto"/>
                <w:sz w:val="18"/>
                <w:szCs w:val="18"/>
              </w:rPr>
            </w:pPr>
            <w:r>
              <w:rPr>
                <w:rFonts w:hint="eastAsia" w:ascii="宋体" w:hAnsi="宋体" w:eastAsia="宋体" w:cs="宋体"/>
                <w:color w:val="auto"/>
                <w:kern w:val="0"/>
                <w:sz w:val="18"/>
                <w:szCs w:val="18"/>
                <w:lang w:bidi="ar"/>
              </w:rPr>
              <w:t>第2页 共9页</w:t>
            </w:r>
          </w:p>
        </w:tc>
      </w:tr>
      <w:tr>
        <w:tblPrEx>
          <w:tblCellMar>
            <w:top w:w="0" w:type="dxa"/>
            <w:left w:w="108" w:type="dxa"/>
            <w:bottom w:w="0" w:type="dxa"/>
            <w:right w:w="108" w:type="dxa"/>
          </w:tblCellMar>
        </w:tblPrEx>
        <w:trPr>
          <w:trHeight w:val="90" w:hRule="atLeast"/>
        </w:trPr>
        <w:tc>
          <w:tcPr>
            <w:tcW w:w="579"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序号</w:t>
            </w:r>
          </w:p>
        </w:tc>
        <w:tc>
          <w:tcPr>
            <w:tcW w:w="1296"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项目编码</w:t>
            </w:r>
          </w:p>
        </w:tc>
        <w:tc>
          <w:tcPr>
            <w:tcW w:w="1281"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项目名称</w:t>
            </w:r>
          </w:p>
        </w:tc>
        <w:tc>
          <w:tcPr>
            <w:tcW w:w="2498"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项目特征</w:t>
            </w:r>
          </w:p>
        </w:tc>
        <w:tc>
          <w:tcPr>
            <w:tcW w:w="591"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计量</w:t>
            </w:r>
          </w:p>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单位</w:t>
            </w:r>
          </w:p>
        </w:tc>
        <w:tc>
          <w:tcPr>
            <w:tcW w:w="864"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工程量</w:t>
            </w:r>
          </w:p>
        </w:tc>
        <w:tc>
          <w:tcPr>
            <w:tcW w:w="1047"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综合单价</w:t>
            </w:r>
          </w:p>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(元)</w:t>
            </w:r>
          </w:p>
        </w:tc>
        <w:tc>
          <w:tcPr>
            <w:tcW w:w="1114"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合价</w:t>
            </w:r>
          </w:p>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(元)</w:t>
            </w:r>
          </w:p>
        </w:tc>
        <w:tc>
          <w:tcPr>
            <w:tcW w:w="3828" w:type="dxa"/>
            <w:gridSpan w:val="4"/>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其中(元)</w:t>
            </w:r>
          </w:p>
        </w:tc>
        <w:tc>
          <w:tcPr>
            <w:tcW w:w="802" w:type="dxa"/>
            <w:vMerge w:val="restart"/>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备注</w:t>
            </w:r>
          </w:p>
        </w:tc>
      </w:tr>
      <w:tr>
        <w:tblPrEx>
          <w:tblCellMar>
            <w:top w:w="0" w:type="dxa"/>
            <w:left w:w="108" w:type="dxa"/>
            <w:bottom w:w="0" w:type="dxa"/>
            <w:right w:w="108" w:type="dxa"/>
          </w:tblCellMar>
        </w:tblPrEx>
        <w:trPr>
          <w:trHeight w:val="90" w:hRule="atLeast"/>
        </w:trPr>
        <w:tc>
          <w:tcPr>
            <w:tcW w:w="579"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296"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281"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2498"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591"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64"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047"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14"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027"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定额人工费</w:t>
            </w:r>
          </w:p>
        </w:tc>
        <w:tc>
          <w:tcPr>
            <w:tcW w:w="934"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人工费价差</w:t>
            </w:r>
          </w:p>
        </w:tc>
        <w:tc>
          <w:tcPr>
            <w:tcW w:w="934"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定额机械费</w:t>
            </w:r>
          </w:p>
        </w:tc>
        <w:tc>
          <w:tcPr>
            <w:tcW w:w="933" w:type="dxa"/>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机械费价差</w:t>
            </w:r>
          </w:p>
        </w:tc>
        <w:tc>
          <w:tcPr>
            <w:tcW w:w="802"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10</w:t>
            </w:r>
          </w:p>
        </w:tc>
        <w:tc>
          <w:tcPr>
            <w:tcW w:w="129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031001001002</w:t>
            </w:r>
          </w:p>
        </w:tc>
        <w:tc>
          <w:tcPr>
            <w:tcW w:w="128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镀锌钢管</w:t>
            </w:r>
          </w:p>
        </w:tc>
        <w:tc>
          <w:tcPr>
            <w:tcW w:w="2498"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1.安装部位：室内</w:t>
            </w:r>
          </w:p>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2.规格、压力等级：镀锌钢管DN80</w:t>
            </w:r>
          </w:p>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3.连接形式：焊接 电弧焊</w:t>
            </w:r>
          </w:p>
        </w:tc>
        <w:tc>
          <w:tcPr>
            <w:tcW w:w="591"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m</w:t>
            </w:r>
          </w:p>
        </w:tc>
        <w:tc>
          <w:tcPr>
            <w:tcW w:w="864"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12.00</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02"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11</w:t>
            </w:r>
          </w:p>
        </w:tc>
        <w:tc>
          <w:tcPr>
            <w:tcW w:w="129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031001001003</w:t>
            </w:r>
          </w:p>
        </w:tc>
        <w:tc>
          <w:tcPr>
            <w:tcW w:w="128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镀锌钢管</w:t>
            </w:r>
          </w:p>
        </w:tc>
        <w:tc>
          <w:tcPr>
            <w:tcW w:w="2498"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1.安装部位：室内</w:t>
            </w:r>
          </w:p>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2.规格、压力等级：镀锌钢管DN65</w:t>
            </w:r>
          </w:p>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3.连接形式：螺纹连接</w:t>
            </w:r>
          </w:p>
        </w:tc>
        <w:tc>
          <w:tcPr>
            <w:tcW w:w="591"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m</w:t>
            </w:r>
          </w:p>
        </w:tc>
        <w:tc>
          <w:tcPr>
            <w:tcW w:w="864"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12.00</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02"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12</w:t>
            </w:r>
          </w:p>
        </w:tc>
        <w:tc>
          <w:tcPr>
            <w:tcW w:w="129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031001001004</w:t>
            </w:r>
          </w:p>
        </w:tc>
        <w:tc>
          <w:tcPr>
            <w:tcW w:w="128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镀锌钢管</w:t>
            </w:r>
          </w:p>
        </w:tc>
        <w:tc>
          <w:tcPr>
            <w:tcW w:w="2498"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1.安装部位：室内</w:t>
            </w:r>
          </w:p>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2.规格、压力等级：镀锌钢管DN50</w:t>
            </w:r>
          </w:p>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3.连接形式：螺纹连接</w:t>
            </w:r>
          </w:p>
        </w:tc>
        <w:tc>
          <w:tcPr>
            <w:tcW w:w="591"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m</w:t>
            </w:r>
          </w:p>
        </w:tc>
        <w:tc>
          <w:tcPr>
            <w:tcW w:w="864"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6.00</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02"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13</w:t>
            </w:r>
          </w:p>
        </w:tc>
        <w:tc>
          <w:tcPr>
            <w:tcW w:w="129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031001001005</w:t>
            </w:r>
          </w:p>
        </w:tc>
        <w:tc>
          <w:tcPr>
            <w:tcW w:w="128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镀锌钢管</w:t>
            </w:r>
          </w:p>
        </w:tc>
        <w:tc>
          <w:tcPr>
            <w:tcW w:w="2498"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1.安装部位：室内</w:t>
            </w:r>
          </w:p>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2.规格、压力等级：镀锌钢管DN40</w:t>
            </w:r>
          </w:p>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3.连接形式：螺纹连接</w:t>
            </w:r>
          </w:p>
        </w:tc>
        <w:tc>
          <w:tcPr>
            <w:tcW w:w="591"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m</w:t>
            </w:r>
          </w:p>
        </w:tc>
        <w:tc>
          <w:tcPr>
            <w:tcW w:w="864"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6.00</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02"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14</w:t>
            </w:r>
          </w:p>
        </w:tc>
        <w:tc>
          <w:tcPr>
            <w:tcW w:w="129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031001006003</w:t>
            </w:r>
          </w:p>
        </w:tc>
        <w:tc>
          <w:tcPr>
            <w:tcW w:w="128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塑料管</w:t>
            </w:r>
          </w:p>
        </w:tc>
        <w:tc>
          <w:tcPr>
            <w:tcW w:w="2498"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1.塑料管（冷凝水管） 公称直径 （mm以内）40</w:t>
            </w:r>
          </w:p>
        </w:tc>
        <w:tc>
          <w:tcPr>
            <w:tcW w:w="591"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m</w:t>
            </w:r>
          </w:p>
        </w:tc>
        <w:tc>
          <w:tcPr>
            <w:tcW w:w="864"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18.00</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02"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15</w:t>
            </w:r>
          </w:p>
        </w:tc>
        <w:tc>
          <w:tcPr>
            <w:tcW w:w="129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030413001001</w:t>
            </w:r>
          </w:p>
        </w:tc>
        <w:tc>
          <w:tcPr>
            <w:tcW w:w="128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铁构件</w:t>
            </w:r>
          </w:p>
        </w:tc>
        <w:tc>
          <w:tcPr>
            <w:tcW w:w="2498"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1、管道支架制作及安装</w:t>
            </w:r>
          </w:p>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2、一般钢结构刷红丹防锈漆  两遍</w:t>
            </w:r>
          </w:p>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3、一般钢结构刷灰色调和漆  两遍</w:t>
            </w:r>
          </w:p>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4、管道支吊架除锈</w:t>
            </w:r>
          </w:p>
        </w:tc>
        <w:tc>
          <w:tcPr>
            <w:tcW w:w="591"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kg</w:t>
            </w:r>
          </w:p>
        </w:tc>
        <w:tc>
          <w:tcPr>
            <w:tcW w:w="864"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120.00</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02"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16</w:t>
            </w:r>
          </w:p>
        </w:tc>
        <w:tc>
          <w:tcPr>
            <w:tcW w:w="129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031003003001</w:t>
            </w:r>
          </w:p>
        </w:tc>
        <w:tc>
          <w:tcPr>
            <w:tcW w:w="128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焊接法兰阀门</w:t>
            </w:r>
          </w:p>
        </w:tc>
        <w:tc>
          <w:tcPr>
            <w:tcW w:w="2498"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1.阀门类型：蝶阀</w:t>
            </w:r>
          </w:p>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2.阀门材质：碳钢</w:t>
            </w:r>
          </w:p>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3.规格、压力等级：DN125</w:t>
            </w:r>
          </w:p>
        </w:tc>
        <w:tc>
          <w:tcPr>
            <w:tcW w:w="591"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个</w:t>
            </w:r>
          </w:p>
        </w:tc>
        <w:tc>
          <w:tcPr>
            <w:tcW w:w="864"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02"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8156" w:type="dxa"/>
            <w:gridSpan w:val="7"/>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本页小计</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79"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296"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281"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2498"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591"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864"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047"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114"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027"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934"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934"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735" w:type="dxa"/>
            <w:gridSpan w:val="2"/>
            <w:tcBorders>
              <w:top w:val="nil"/>
              <w:left w:val="nil"/>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表-07</w:t>
            </w:r>
          </w:p>
        </w:tc>
      </w:tr>
    </w:tbl>
    <w:p>
      <w:pPr>
        <w:widowControl/>
        <w:jc w:val="center"/>
        <w:textAlignment w:val="center"/>
        <w:rPr>
          <w:rFonts w:ascii="宋体" w:hAnsi="宋体" w:eastAsia="宋体" w:cs="宋体"/>
          <w:b/>
          <w:bCs/>
          <w:color w:val="auto"/>
          <w:kern w:val="0"/>
          <w:sz w:val="40"/>
          <w:szCs w:val="40"/>
          <w:lang w:bidi="ar"/>
        </w:rPr>
        <w:sectPr>
          <w:pgSz w:w="16838" w:h="11906" w:orient="landscape"/>
          <w:pgMar w:top="1440" w:right="1440" w:bottom="1440" w:left="1440" w:header="851" w:footer="992" w:gutter="0"/>
          <w:cols w:space="720" w:num="1"/>
          <w:docGrid w:linePitch="312" w:charSpace="0"/>
        </w:sectPr>
      </w:pPr>
    </w:p>
    <w:tbl>
      <w:tblPr>
        <w:tblStyle w:val="24"/>
        <w:tblW w:w="13900" w:type="dxa"/>
        <w:tblInd w:w="93" w:type="dxa"/>
        <w:tblLayout w:type="autofit"/>
        <w:tblCellMar>
          <w:top w:w="0" w:type="dxa"/>
          <w:left w:w="108" w:type="dxa"/>
          <w:bottom w:w="0" w:type="dxa"/>
          <w:right w:w="108" w:type="dxa"/>
        </w:tblCellMar>
      </w:tblPr>
      <w:tblGrid>
        <w:gridCol w:w="578"/>
        <w:gridCol w:w="1296"/>
        <w:gridCol w:w="1769"/>
        <w:gridCol w:w="2011"/>
        <w:gridCol w:w="591"/>
        <w:gridCol w:w="864"/>
        <w:gridCol w:w="1047"/>
        <w:gridCol w:w="1114"/>
        <w:gridCol w:w="1027"/>
        <w:gridCol w:w="934"/>
        <w:gridCol w:w="934"/>
        <w:gridCol w:w="933"/>
        <w:gridCol w:w="802"/>
      </w:tblGrid>
      <w:tr>
        <w:tblPrEx>
          <w:tblCellMar>
            <w:top w:w="0" w:type="dxa"/>
            <w:left w:w="108" w:type="dxa"/>
            <w:bottom w:w="0" w:type="dxa"/>
            <w:right w:w="108" w:type="dxa"/>
          </w:tblCellMar>
        </w:tblPrEx>
        <w:trPr>
          <w:trHeight w:val="90" w:hRule="atLeast"/>
        </w:trPr>
        <w:tc>
          <w:tcPr>
            <w:tcW w:w="13900" w:type="dxa"/>
            <w:gridSpan w:val="13"/>
            <w:tcBorders>
              <w:top w:val="nil"/>
              <w:left w:val="nil"/>
              <w:bottom w:val="nil"/>
              <w:right w:val="nil"/>
            </w:tcBorders>
            <w:shd w:val="clear" w:color="auto" w:fill="FFFFFF"/>
            <w:vAlign w:val="center"/>
          </w:tcPr>
          <w:p>
            <w:pPr>
              <w:widowControl/>
              <w:jc w:val="center"/>
              <w:textAlignment w:val="center"/>
              <w:rPr>
                <w:rFonts w:ascii="宋体" w:hAnsi="宋体" w:eastAsia="宋体" w:cs="宋体"/>
                <w:b/>
                <w:bCs/>
                <w:color w:val="auto"/>
                <w:sz w:val="40"/>
                <w:szCs w:val="40"/>
              </w:rPr>
            </w:pPr>
            <w:r>
              <w:rPr>
                <w:rFonts w:hint="eastAsia" w:ascii="宋体" w:hAnsi="宋体" w:eastAsia="宋体" w:cs="宋体"/>
                <w:b/>
                <w:bCs/>
                <w:color w:val="auto"/>
                <w:kern w:val="0"/>
                <w:sz w:val="40"/>
                <w:szCs w:val="40"/>
                <w:lang w:bidi="ar"/>
              </w:rPr>
              <w:t>分部分项工程量清单与计价表</w:t>
            </w:r>
          </w:p>
        </w:tc>
      </w:tr>
      <w:tr>
        <w:tblPrEx>
          <w:tblCellMar>
            <w:top w:w="0" w:type="dxa"/>
            <w:left w:w="108" w:type="dxa"/>
            <w:bottom w:w="0" w:type="dxa"/>
            <w:right w:w="108" w:type="dxa"/>
          </w:tblCellMar>
        </w:tblPrEx>
        <w:trPr>
          <w:trHeight w:val="90" w:hRule="atLeast"/>
        </w:trPr>
        <w:tc>
          <w:tcPr>
            <w:tcW w:w="10297" w:type="dxa"/>
            <w:gridSpan w:val="9"/>
            <w:tcBorders>
              <w:top w:val="nil"/>
              <w:left w:val="nil"/>
              <w:bottom w:val="nil"/>
              <w:right w:val="nil"/>
            </w:tcBorders>
            <w:shd w:val="clear" w:color="auto" w:fill="FFFFFF"/>
            <w:vAlign w:val="bottom"/>
          </w:tcPr>
          <w:p>
            <w:pPr>
              <w:widowControl/>
              <w:jc w:val="left"/>
              <w:textAlignment w:val="bottom"/>
              <w:rPr>
                <w:rFonts w:ascii="宋体" w:hAnsi="宋体" w:eastAsia="宋体" w:cs="宋体"/>
                <w:color w:val="auto"/>
                <w:sz w:val="18"/>
                <w:szCs w:val="18"/>
              </w:rPr>
            </w:pPr>
            <w:r>
              <w:rPr>
                <w:rFonts w:hint="eastAsia" w:ascii="宋体" w:hAnsi="宋体" w:eastAsia="宋体" w:cs="宋体"/>
                <w:color w:val="auto"/>
                <w:kern w:val="0"/>
                <w:sz w:val="18"/>
                <w:szCs w:val="18"/>
                <w:lang w:bidi="ar"/>
              </w:rPr>
              <w:t>单位工程(专业):单项工程1-安装</w:t>
            </w:r>
          </w:p>
        </w:tc>
        <w:tc>
          <w:tcPr>
            <w:tcW w:w="3603" w:type="dxa"/>
            <w:gridSpan w:val="4"/>
            <w:tcBorders>
              <w:top w:val="nil"/>
              <w:left w:val="nil"/>
              <w:bottom w:val="nil"/>
              <w:right w:val="nil"/>
            </w:tcBorders>
            <w:shd w:val="clear" w:color="auto" w:fill="FFFFFF"/>
            <w:vAlign w:val="bottom"/>
          </w:tcPr>
          <w:p>
            <w:pPr>
              <w:widowControl/>
              <w:jc w:val="right"/>
              <w:textAlignment w:val="bottom"/>
              <w:rPr>
                <w:rFonts w:ascii="宋体" w:hAnsi="宋体" w:eastAsia="宋体" w:cs="宋体"/>
                <w:color w:val="auto"/>
                <w:sz w:val="18"/>
                <w:szCs w:val="18"/>
              </w:rPr>
            </w:pPr>
            <w:r>
              <w:rPr>
                <w:rFonts w:hint="eastAsia" w:ascii="宋体" w:hAnsi="宋体" w:eastAsia="宋体" w:cs="宋体"/>
                <w:color w:val="auto"/>
                <w:kern w:val="0"/>
                <w:sz w:val="18"/>
                <w:szCs w:val="18"/>
                <w:lang w:bidi="ar"/>
              </w:rPr>
              <w:t>第3页 共9页</w:t>
            </w:r>
          </w:p>
        </w:tc>
      </w:tr>
      <w:tr>
        <w:trPr>
          <w:trHeight w:val="90" w:hRule="atLeast"/>
        </w:trPr>
        <w:tc>
          <w:tcPr>
            <w:tcW w:w="579"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序号</w:t>
            </w:r>
          </w:p>
        </w:tc>
        <w:tc>
          <w:tcPr>
            <w:tcW w:w="1294"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项目编码</w:t>
            </w:r>
          </w:p>
        </w:tc>
        <w:tc>
          <w:tcPr>
            <w:tcW w:w="1770"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项目名称</w:t>
            </w:r>
          </w:p>
        </w:tc>
        <w:tc>
          <w:tcPr>
            <w:tcW w:w="2011"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项目特征</w:t>
            </w:r>
          </w:p>
        </w:tc>
        <w:tc>
          <w:tcPr>
            <w:tcW w:w="591"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计量</w:t>
            </w:r>
          </w:p>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单位</w:t>
            </w:r>
          </w:p>
        </w:tc>
        <w:tc>
          <w:tcPr>
            <w:tcW w:w="864"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工程量</w:t>
            </w:r>
          </w:p>
        </w:tc>
        <w:tc>
          <w:tcPr>
            <w:tcW w:w="1047"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综合单价</w:t>
            </w:r>
          </w:p>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(元)</w:t>
            </w:r>
          </w:p>
        </w:tc>
        <w:tc>
          <w:tcPr>
            <w:tcW w:w="1114"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合价</w:t>
            </w:r>
          </w:p>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(元)</w:t>
            </w:r>
          </w:p>
        </w:tc>
        <w:tc>
          <w:tcPr>
            <w:tcW w:w="3828" w:type="dxa"/>
            <w:gridSpan w:val="4"/>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其中(元)</w:t>
            </w:r>
          </w:p>
        </w:tc>
        <w:tc>
          <w:tcPr>
            <w:tcW w:w="802" w:type="dxa"/>
            <w:vMerge w:val="restart"/>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备注</w:t>
            </w:r>
          </w:p>
        </w:tc>
      </w:tr>
      <w:tr>
        <w:tblPrEx>
          <w:tblCellMar>
            <w:top w:w="0" w:type="dxa"/>
            <w:left w:w="108" w:type="dxa"/>
            <w:bottom w:w="0" w:type="dxa"/>
            <w:right w:w="108" w:type="dxa"/>
          </w:tblCellMar>
        </w:tblPrEx>
        <w:trPr>
          <w:trHeight w:val="90" w:hRule="atLeast"/>
        </w:trPr>
        <w:tc>
          <w:tcPr>
            <w:tcW w:w="579"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294"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77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2011"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591"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64"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047"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14"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027"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定额人工费</w:t>
            </w:r>
          </w:p>
        </w:tc>
        <w:tc>
          <w:tcPr>
            <w:tcW w:w="934"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人工费价差</w:t>
            </w:r>
          </w:p>
        </w:tc>
        <w:tc>
          <w:tcPr>
            <w:tcW w:w="934"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定额机械费</w:t>
            </w:r>
          </w:p>
        </w:tc>
        <w:tc>
          <w:tcPr>
            <w:tcW w:w="933" w:type="dxa"/>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机械费价差</w:t>
            </w:r>
          </w:p>
        </w:tc>
        <w:tc>
          <w:tcPr>
            <w:tcW w:w="802"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110" w:hRule="atLeast"/>
        </w:trPr>
        <w:tc>
          <w:tcPr>
            <w:tcW w:w="579"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17</w:t>
            </w:r>
          </w:p>
        </w:tc>
        <w:tc>
          <w:tcPr>
            <w:tcW w:w="129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031003003002</w:t>
            </w:r>
          </w:p>
        </w:tc>
        <w:tc>
          <w:tcPr>
            <w:tcW w:w="177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焊接法兰阀门</w:t>
            </w:r>
          </w:p>
        </w:tc>
        <w:tc>
          <w:tcPr>
            <w:tcW w:w="201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1.阀门类型：铜球阀（排污阀）</w:t>
            </w:r>
          </w:p>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2.阀门材质：铜</w:t>
            </w:r>
          </w:p>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3.规格、压力等级：DN25</w:t>
            </w:r>
          </w:p>
        </w:tc>
        <w:tc>
          <w:tcPr>
            <w:tcW w:w="591"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个</w:t>
            </w:r>
          </w:p>
        </w:tc>
        <w:tc>
          <w:tcPr>
            <w:tcW w:w="864"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4</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02"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18</w:t>
            </w:r>
          </w:p>
        </w:tc>
        <w:tc>
          <w:tcPr>
            <w:tcW w:w="129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031003003003</w:t>
            </w:r>
          </w:p>
        </w:tc>
        <w:tc>
          <w:tcPr>
            <w:tcW w:w="177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焊接法兰阀门</w:t>
            </w:r>
          </w:p>
        </w:tc>
        <w:tc>
          <w:tcPr>
            <w:tcW w:w="201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1.阀门类型：铜球阀</w:t>
            </w:r>
          </w:p>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2.阀门材质：铜</w:t>
            </w:r>
          </w:p>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3.规格、压力等级：DN65</w:t>
            </w:r>
          </w:p>
        </w:tc>
        <w:tc>
          <w:tcPr>
            <w:tcW w:w="591"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个</w:t>
            </w:r>
          </w:p>
        </w:tc>
        <w:tc>
          <w:tcPr>
            <w:tcW w:w="864"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02"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19</w:t>
            </w:r>
          </w:p>
        </w:tc>
        <w:tc>
          <w:tcPr>
            <w:tcW w:w="129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031003003004</w:t>
            </w:r>
          </w:p>
        </w:tc>
        <w:tc>
          <w:tcPr>
            <w:tcW w:w="177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焊接法兰阀门</w:t>
            </w:r>
          </w:p>
        </w:tc>
        <w:tc>
          <w:tcPr>
            <w:tcW w:w="201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1.阀门类型：铜球阀</w:t>
            </w:r>
          </w:p>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2.阀门材质：铜</w:t>
            </w:r>
          </w:p>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3.规格、压力等级：DN50</w:t>
            </w:r>
          </w:p>
        </w:tc>
        <w:tc>
          <w:tcPr>
            <w:tcW w:w="591"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个</w:t>
            </w:r>
          </w:p>
        </w:tc>
        <w:tc>
          <w:tcPr>
            <w:tcW w:w="864"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02"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20</w:t>
            </w:r>
          </w:p>
        </w:tc>
        <w:tc>
          <w:tcPr>
            <w:tcW w:w="129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031003003005</w:t>
            </w:r>
          </w:p>
        </w:tc>
        <w:tc>
          <w:tcPr>
            <w:tcW w:w="177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焊接法兰阀门</w:t>
            </w:r>
          </w:p>
        </w:tc>
        <w:tc>
          <w:tcPr>
            <w:tcW w:w="201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1.阀门类型：铜球阀</w:t>
            </w:r>
          </w:p>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2.阀门材质：铜</w:t>
            </w:r>
          </w:p>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3.规格、压力等级：DN40</w:t>
            </w:r>
          </w:p>
        </w:tc>
        <w:tc>
          <w:tcPr>
            <w:tcW w:w="591"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个</w:t>
            </w:r>
          </w:p>
        </w:tc>
        <w:tc>
          <w:tcPr>
            <w:tcW w:w="864"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02"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21</w:t>
            </w:r>
          </w:p>
        </w:tc>
        <w:tc>
          <w:tcPr>
            <w:tcW w:w="129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031003003006</w:t>
            </w:r>
          </w:p>
        </w:tc>
        <w:tc>
          <w:tcPr>
            <w:tcW w:w="177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焊接法兰阀门</w:t>
            </w:r>
          </w:p>
        </w:tc>
        <w:tc>
          <w:tcPr>
            <w:tcW w:w="201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1.阀门类型：铜球阀</w:t>
            </w:r>
          </w:p>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2.阀门材质：铜</w:t>
            </w:r>
          </w:p>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3.规格、压力等级：DN32</w:t>
            </w:r>
          </w:p>
        </w:tc>
        <w:tc>
          <w:tcPr>
            <w:tcW w:w="591"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个</w:t>
            </w:r>
          </w:p>
        </w:tc>
        <w:tc>
          <w:tcPr>
            <w:tcW w:w="864"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02"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22</w:t>
            </w:r>
          </w:p>
        </w:tc>
        <w:tc>
          <w:tcPr>
            <w:tcW w:w="129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031003008001</w:t>
            </w:r>
          </w:p>
        </w:tc>
        <w:tc>
          <w:tcPr>
            <w:tcW w:w="177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除污器(过滤器）</w:t>
            </w:r>
          </w:p>
        </w:tc>
        <w:tc>
          <w:tcPr>
            <w:tcW w:w="201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过滤器DN65</w:t>
            </w:r>
          </w:p>
        </w:tc>
        <w:tc>
          <w:tcPr>
            <w:tcW w:w="591"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个</w:t>
            </w:r>
          </w:p>
        </w:tc>
        <w:tc>
          <w:tcPr>
            <w:tcW w:w="864"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02"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23</w:t>
            </w:r>
          </w:p>
        </w:tc>
        <w:tc>
          <w:tcPr>
            <w:tcW w:w="129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031003008002</w:t>
            </w:r>
          </w:p>
        </w:tc>
        <w:tc>
          <w:tcPr>
            <w:tcW w:w="177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除污器(过滤器）</w:t>
            </w:r>
          </w:p>
        </w:tc>
        <w:tc>
          <w:tcPr>
            <w:tcW w:w="201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过滤器DN50</w:t>
            </w:r>
          </w:p>
        </w:tc>
        <w:tc>
          <w:tcPr>
            <w:tcW w:w="591"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个</w:t>
            </w:r>
          </w:p>
        </w:tc>
        <w:tc>
          <w:tcPr>
            <w:tcW w:w="864"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02"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24</w:t>
            </w:r>
          </w:p>
        </w:tc>
        <w:tc>
          <w:tcPr>
            <w:tcW w:w="129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031003008003</w:t>
            </w:r>
          </w:p>
        </w:tc>
        <w:tc>
          <w:tcPr>
            <w:tcW w:w="177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除污器(过滤器）</w:t>
            </w:r>
          </w:p>
        </w:tc>
        <w:tc>
          <w:tcPr>
            <w:tcW w:w="201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过滤器DN40</w:t>
            </w:r>
          </w:p>
        </w:tc>
        <w:tc>
          <w:tcPr>
            <w:tcW w:w="591"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个</w:t>
            </w:r>
          </w:p>
        </w:tc>
        <w:tc>
          <w:tcPr>
            <w:tcW w:w="864"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02"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25</w:t>
            </w:r>
          </w:p>
        </w:tc>
        <w:tc>
          <w:tcPr>
            <w:tcW w:w="129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031003008004</w:t>
            </w:r>
          </w:p>
        </w:tc>
        <w:tc>
          <w:tcPr>
            <w:tcW w:w="177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除污器(过滤器）</w:t>
            </w:r>
          </w:p>
        </w:tc>
        <w:tc>
          <w:tcPr>
            <w:tcW w:w="201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过滤器DN32</w:t>
            </w:r>
          </w:p>
        </w:tc>
        <w:tc>
          <w:tcPr>
            <w:tcW w:w="591"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个</w:t>
            </w:r>
          </w:p>
        </w:tc>
        <w:tc>
          <w:tcPr>
            <w:tcW w:w="864"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02"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26</w:t>
            </w:r>
          </w:p>
        </w:tc>
        <w:tc>
          <w:tcPr>
            <w:tcW w:w="129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031003010001</w:t>
            </w:r>
          </w:p>
        </w:tc>
        <w:tc>
          <w:tcPr>
            <w:tcW w:w="177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软接头（软管）</w:t>
            </w:r>
          </w:p>
        </w:tc>
        <w:tc>
          <w:tcPr>
            <w:tcW w:w="201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不锈钢软接DN65</w:t>
            </w:r>
          </w:p>
        </w:tc>
        <w:tc>
          <w:tcPr>
            <w:tcW w:w="591"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个</w:t>
            </w:r>
          </w:p>
        </w:tc>
        <w:tc>
          <w:tcPr>
            <w:tcW w:w="864"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02"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27</w:t>
            </w:r>
          </w:p>
        </w:tc>
        <w:tc>
          <w:tcPr>
            <w:tcW w:w="129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031003010002</w:t>
            </w:r>
          </w:p>
        </w:tc>
        <w:tc>
          <w:tcPr>
            <w:tcW w:w="177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软接头（软管）</w:t>
            </w:r>
          </w:p>
        </w:tc>
        <w:tc>
          <w:tcPr>
            <w:tcW w:w="201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不锈钢软接DN50</w:t>
            </w:r>
          </w:p>
        </w:tc>
        <w:tc>
          <w:tcPr>
            <w:tcW w:w="591"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个</w:t>
            </w:r>
          </w:p>
        </w:tc>
        <w:tc>
          <w:tcPr>
            <w:tcW w:w="864"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02"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8156" w:type="dxa"/>
            <w:gridSpan w:val="7"/>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本页小计</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79"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294"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770"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2011"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591"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864"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047"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114"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027"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934"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934"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735" w:type="dxa"/>
            <w:gridSpan w:val="2"/>
            <w:tcBorders>
              <w:top w:val="nil"/>
              <w:left w:val="nil"/>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表-07</w:t>
            </w:r>
          </w:p>
        </w:tc>
      </w:tr>
    </w:tbl>
    <w:p>
      <w:pPr>
        <w:widowControl/>
        <w:jc w:val="center"/>
        <w:textAlignment w:val="center"/>
        <w:rPr>
          <w:rFonts w:ascii="宋体" w:hAnsi="宋体" w:eastAsia="宋体" w:cs="宋体"/>
          <w:b/>
          <w:bCs/>
          <w:color w:val="auto"/>
          <w:kern w:val="0"/>
          <w:sz w:val="40"/>
          <w:szCs w:val="40"/>
          <w:lang w:bidi="ar"/>
        </w:rPr>
        <w:sectPr>
          <w:pgSz w:w="16838" w:h="11906" w:orient="landscape"/>
          <w:pgMar w:top="1440" w:right="1440" w:bottom="1440" w:left="1440" w:header="851" w:footer="992" w:gutter="0"/>
          <w:cols w:space="720" w:num="1"/>
          <w:docGrid w:linePitch="312" w:charSpace="0"/>
        </w:sectPr>
      </w:pPr>
    </w:p>
    <w:tbl>
      <w:tblPr>
        <w:tblStyle w:val="24"/>
        <w:tblW w:w="13840" w:type="dxa"/>
        <w:tblInd w:w="93" w:type="dxa"/>
        <w:tblLayout w:type="autofit"/>
        <w:tblCellMar>
          <w:top w:w="0" w:type="dxa"/>
          <w:left w:w="108" w:type="dxa"/>
          <w:bottom w:w="0" w:type="dxa"/>
          <w:right w:w="108" w:type="dxa"/>
        </w:tblCellMar>
      </w:tblPr>
      <w:tblGrid>
        <w:gridCol w:w="576"/>
        <w:gridCol w:w="1296"/>
        <w:gridCol w:w="1761"/>
        <w:gridCol w:w="2000"/>
        <w:gridCol w:w="588"/>
        <w:gridCol w:w="861"/>
        <w:gridCol w:w="1041"/>
        <w:gridCol w:w="1108"/>
        <w:gridCol w:w="1023"/>
        <w:gridCol w:w="929"/>
        <w:gridCol w:w="929"/>
        <w:gridCol w:w="927"/>
        <w:gridCol w:w="801"/>
      </w:tblGrid>
      <w:tr>
        <w:tblPrEx>
          <w:tblCellMar>
            <w:top w:w="0" w:type="dxa"/>
            <w:left w:w="108" w:type="dxa"/>
            <w:bottom w:w="0" w:type="dxa"/>
            <w:right w:w="108" w:type="dxa"/>
          </w:tblCellMar>
        </w:tblPrEx>
        <w:trPr>
          <w:trHeight w:val="158" w:hRule="atLeast"/>
        </w:trPr>
        <w:tc>
          <w:tcPr>
            <w:tcW w:w="13840" w:type="dxa"/>
            <w:gridSpan w:val="13"/>
            <w:tcBorders>
              <w:top w:val="nil"/>
              <w:left w:val="nil"/>
              <w:bottom w:val="nil"/>
              <w:right w:val="nil"/>
            </w:tcBorders>
            <w:shd w:val="clear" w:color="auto" w:fill="FFFFFF"/>
            <w:vAlign w:val="center"/>
          </w:tcPr>
          <w:p>
            <w:pPr>
              <w:widowControl/>
              <w:jc w:val="center"/>
              <w:textAlignment w:val="center"/>
              <w:rPr>
                <w:rFonts w:ascii="宋体" w:hAnsi="宋体" w:eastAsia="宋体" w:cs="宋体"/>
                <w:b/>
                <w:bCs/>
                <w:color w:val="auto"/>
                <w:sz w:val="40"/>
                <w:szCs w:val="40"/>
              </w:rPr>
            </w:pPr>
            <w:r>
              <w:rPr>
                <w:rFonts w:hint="eastAsia" w:ascii="宋体" w:hAnsi="宋体" w:eastAsia="宋体" w:cs="宋体"/>
                <w:b/>
                <w:bCs/>
                <w:color w:val="auto"/>
                <w:kern w:val="0"/>
                <w:sz w:val="40"/>
                <w:szCs w:val="40"/>
                <w:lang w:bidi="ar"/>
              </w:rPr>
              <w:t>分部分项工程量清单与计价表</w:t>
            </w:r>
          </w:p>
        </w:tc>
      </w:tr>
      <w:tr>
        <w:tblPrEx>
          <w:tblCellMar>
            <w:top w:w="0" w:type="dxa"/>
            <w:left w:w="108" w:type="dxa"/>
            <w:bottom w:w="0" w:type="dxa"/>
            <w:right w:w="108" w:type="dxa"/>
          </w:tblCellMar>
        </w:tblPrEx>
        <w:trPr>
          <w:trHeight w:val="90" w:hRule="atLeast"/>
        </w:trPr>
        <w:tc>
          <w:tcPr>
            <w:tcW w:w="10252" w:type="dxa"/>
            <w:gridSpan w:val="9"/>
            <w:tcBorders>
              <w:top w:val="nil"/>
              <w:left w:val="nil"/>
              <w:bottom w:val="nil"/>
              <w:right w:val="nil"/>
            </w:tcBorders>
            <w:shd w:val="clear" w:color="auto" w:fill="FFFFFF"/>
            <w:vAlign w:val="bottom"/>
          </w:tcPr>
          <w:p>
            <w:pPr>
              <w:widowControl/>
              <w:jc w:val="left"/>
              <w:textAlignment w:val="bottom"/>
              <w:rPr>
                <w:rFonts w:ascii="宋体" w:hAnsi="宋体" w:eastAsia="宋体" w:cs="宋体"/>
                <w:color w:val="auto"/>
                <w:sz w:val="18"/>
                <w:szCs w:val="18"/>
              </w:rPr>
            </w:pPr>
            <w:r>
              <w:rPr>
                <w:rFonts w:hint="eastAsia" w:ascii="宋体" w:hAnsi="宋体" w:eastAsia="宋体" w:cs="宋体"/>
                <w:color w:val="auto"/>
                <w:kern w:val="0"/>
                <w:sz w:val="18"/>
                <w:szCs w:val="18"/>
                <w:lang w:bidi="ar"/>
              </w:rPr>
              <w:t>单位工程(专业):单项工程1-安装</w:t>
            </w:r>
          </w:p>
        </w:tc>
        <w:tc>
          <w:tcPr>
            <w:tcW w:w="3588" w:type="dxa"/>
            <w:gridSpan w:val="4"/>
            <w:tcBorders>
              <w:top w:val="nil"/>
              <w:left w:val="nil"/>
              <w:bottom w:val="nil"/>
              <w:right w:val="nil"/>
            </w:tcBorders>
            <w:shd w:val="clear" w:color="auto" w:fill="FFFFFF"/>
            <w:vAlign w:val="bottom"/>
          </w:tcPr>
          <w:p>
            <w:pPr>
              <w:widowControl/>
              <w:jc w:val="right"/>
              <w:textAlignment w:val="bottom"/>
              <w:rPr>
                <w:rFonts w:ascii="宋体" w:hAnsi="宋体" w:eastAsia="宋体" w:cs="宋体"/>
                <w:color w:val="auto"/>
                <w:sz w:val="18"/>
                <w:szCs w:val="18"/>
              </w:rPr>
            </w:pPr>
            <w:r>
              <w:rPr>
                <w:rFonts w:hint="eastAsia" w:ascii="宋体" w:hAnsi="宋体" w:eastAsia="宋体" w:cs="宋体"/>
                <w:color w:val="auto"/>
                <w:kern w:val="0"/>
                <w:sz w:val="18"/>
                <w:szCs w:val="18"/>
                <w:lang w:bidi="ar"/>
              </w:rPr>
              <w:t>第4页 共9页</w:t>
            </w:r>
          </w:p>
        </w:tc>
      </w:tr>
      <w:tr>
        <w:trPr>
          <w:trHeight w:val="90" w:hRule="atLeast"/>
        </w:trPr>
        <w:tc>
          <w:tcPr>
            <w:tcW w:w="576"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序号</w:t>
            </w:r>
          </w:p>
        </w:tc>
        <w:tc>
          <w:tcPr>
            <w:tcW w:w="1288"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项目编码</w:t>
            </w:r>
          </w:p>
        </w:tc>
        <w:tc>
          <w:tcPr>
            <w:tcW w:w="1762"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项目名称</w:t>
            </w:r>
          </w:p>
        </w:tc>
        <w:tc>
          <w:tcPr>
            <w:tcW w:w="2002"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项目特征</w:t>
            </w:r>
          </w:p>
        </w:tc>
        <w:tc>
          <w:tcPr>
            <w:tcW w:w="588"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计量</w:t>
            </w:r>
          </w:p>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单位</w:t>
            </w:r>
          </w:p>
        </w:tc>
        <w:tc>
          <w:tcPr>
            <w:tcW w:w="861"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工程量</w:t>
            </w:r>
          </w:p>
        </w:tc>
        <w:tc>
          <w:tcPr>
            <w:tcW w:w="1042"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综合单价</w:t>
            </w:r>
          </w:p>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(元)</w:t>
            </w:r>
          </w:p>
        </w:tc>
        <w:tc>
          <w:tcPr>
            <w:tcW w:w="1109"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合价</w:t>
            </w:r>
          </w:p>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(元)</w:t>
            </w:r>
          </w:p>
        </w:tc>
        <w:tc>
          <w:tcPr>
            <w:tcW w:w="3811" w:type="dxa"/>
            <w:gridSpan w:val="4"/>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其中(元)</w:t>
            </w:r>
          </w:p>
        </w:tc>
        <w:tc>
          <w:tcPr>
            <w:tcW w:w="801" w:type="dxa"/>
            <w:vMerge w:val="restart"/>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备注</w:t>
            </w:r>
          </w:p>
        </w:tc>
      </w:tr>
      <w:tr>
        <w:tblPrEx>
          <w:tblCellMar>
            <w:top w:w="0" w:type="dxa"/>
            <w:left w:w="108" w:type="dxa"/>
            <w:bottom w:w="0" w:type="dxa"/>
            <w:right w:w="108" w:type="dxa"/>
          </w:tblCellMar>
        </w:tblPrEx>
        <w:trPr>
          <w:trHeight w:val="90" w:hRule="atLeast"/>
        </w:trPr>
        <w:tc>
          <w:tcPr>
            <w:tcW w:w="576"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288"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762"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2002"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588"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61"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042"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09"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024"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定额人工费</w:t>
            </w:r>
          </w:p>
        </w:tc>
        <w:tc>
          <w:tcPr>
            <w:tcW w:w="93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人工费价差</w:t>
            </w:r>
          </w:p>
        </w:tc>
        <w:tc>
          <w:tcPr>
            <w:tcW w:w="93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定额机械费</w:t>
            </w:r>
          </w:p>
        </w:tc>
        <w:tc>
          <w:tcPr>
            <w:tcW w:w="927" w:type="dxa"/>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机械费价差</w:t>
            </w:r>
          </w:p>
        </w:tc>
        <w:tc>
          <w:tcPr>
            <w:tcW w:w="801"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104" w:hRule="atLeast"/>
        </w:trPr>
        <w:tc>
          <w:tcPr>
            <w:tcW w:w="576"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28</w:t>
            </w:r>
          </w:p>
        </w:tc>
        <w:tc>
          <w:tcPr>
            <w:tcW w:w="1288"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031003010003</w:t>
            </w:r>
          </w:p>
        </w:tc>
        <w:tc>
          <w:tcPr>
            <w:tcW w:w="1762"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软接头（软管）</w:t>
            </w:r>
          </w:p>
        </w:tc>
        <w:tc>
          <w:tcPr>
            <w:tcW w:w="2002"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不锈钢软接DN40</w:t>
            </w:r>
          </w:p>
        </w:tc>
        <w:tc>
          <w:tcPr>
            <w:tcW w:w="58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个</w:t>
            </w:r>
          </w:p>
        </w:tc>
        <w:tc>
          <w:tcPr>
            <w:tcW w:w="861"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01"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104" w:hRule="atLeast"/>
        </w:trPr>
        <w:tc>
          <w:tcPr>
            <w:tcW w:w="576"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29</w:t>
            </w:r>
          </w:p>
        </w:tc>
        <w:tc>
          <w:tcPr>
            <w:tcW w:w="1288"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031003010004</w:t>
            </w:r>
          </w:p>
        </w:tc>
        <w:tc>
          <w:tcPr>
            <w:tcW w:w="1762"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软接头（软管）</w:t>
            </w:r>
          </w:p>
        </w:tc>
        <w:tc>
          <w:tcPr>
            <w:tcW w:w="2002"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不锈钢软接DN32</w:t>
            </w:r>
          </w:p>
        </w:tc>
        <w:tc>
          <w:tcPr>
            <w:tcW w:w="58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个</w:t>
            </w:r>
          </w:p>
        </w:tc>
        <w:tc>
          <w:tcPr>
            <w:tcW w:w="861"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01"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104" w:hRule="atLeast"/>
        </w:trPr>
        <w:tc>
          <w:tcPr>
            <w:tcW w:w="576"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30</w:t>
            </w:r>
          </w:p>
        </w:tc>
        <w:tc>
          <w:tcPr>
            <w:tcW w:w="1288"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031208002001</w:t>
            </w:r>
          </w:p>
        </w:tc>
        <w:tc>
          <w:tcPr>
            <w:tcW w:w="1762"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管道绝热</w:t>
            </w:r>
          </w:p>
        </w:tc>
        <w:tc>
          <w:tcPr>
            <w:tcW w:w="2002"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1.橡塑管壳安装(管道) 管道DN80mm以下</w:t>
            </w:r>
          </w:p>
        </w:tc>
        <w:tc>
          <w:tcPr>
            <w:tcW w:w="58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m3</w:t>
            </w:r>
          </w:p>
        </w:tc>
        <w:tc>
          <w:tcPr>
            <w:tcW w:w="861"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1.20</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01"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76"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288"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1762"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电气</w:t>
            </w:r>
          </w:p>
        </w:tc>
        <w:tc>
          <w:tcPr>
            <w:tcW w:w="2002"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588"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61"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01"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251" w:hRule="atLeast"/>
        </w:trPr>
        <w:tc>
          <w:tcPr>
            <w:tcW w:w="576"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31</w:t>
            </w:r>
          </w:p>
        </w:tc>
        <w:tc>
          <w:tcPr>
            <w:tcW w:w="1288"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030404017001</w:t>
            </w:r>
          </w:p>
        </w:tc>
        <w:tc>
          <w:tcPr>
            <w:tcW w:w="1762"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配电箱</w:t>
            </w:r>
          </w:p>
        </w:tc>
        <w:tc>
          <w:tcPr>
            <w:tcW w:w="2002"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1.名称：风机配电箱</w:t>
            </w:r>
          </w:p>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2.规 格：半周长1.0m以内</w:t>
            </w:r>
          </w:p>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3.基础形式、材质、规格：箱内元件参考设计图纸</w:t>
            </w:r>
          </w:p>
        </w:tc>
        <w:tc>
          <w:tcPr>
            <w:tcW w:w="58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台</w:t>
            </w:r>
          </w:p>
        </w:tc>
        <w:tc>
          <w:tcPr>
            <w:tcW w:w="861"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01"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251" w:hRule="atLeast"/>
        </w:trPr>
        <w:tc>
          <w:tcPr>
            <w:tcW w:w="576"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32</w:t>
            </w:r>
          </w:p>
        </w:tc>
        <w:tc>
          <w:tcPr>
            <w:tcW w:w="1288"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030404017002</w:t>
            </w:r>
          </w:p>
        </w:tc>
        <w:tc>
          <w:tcPr>
            <w:tcW w:w="1762"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配电箱</w:t>
            </w:r>
          </w:p>
        </w:tc>
        <w:tc>
          <w:tcPr>
            <w:tcW w:w="2002"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1.名称：风机配电箱</w:t>
            </w:r>
          </w:p>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2.规 格：半周长1.0m以内</w:t>
            </w:r>
          </w:p>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3.基础形式、材质、规格：箱内元件参考设计图纸</w:t>
            </w:r>
          </w:p>
        </w:tc>
        <w:tc>
          <w:tcPr>
            <w:tcW w:w="58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台</w:t>
            </w:r>
          </w:p>
        </w:tc>
        <w:tc>
          <w:tcPr>
            <w:tcW w:w="861"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01"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76"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33</w:t>
            </w:r>
          </w:p>
        </w:tc>
        <w:tc>
          <w:tcPr>
            <w:tcW w:w="1288"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03B002</w:t>
            </w:r>
          </w:p>
        </w:tc>
        <w:tc>
          <w:tcPr>
            <w:tcW w:w="1762"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原配电新增断路器</w:t>
            </w:r>
          </w:p>
        </w:tc>
        <w:tc>
          <w:tcPr>
            <w:tcW w:w="2002"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原配电新增断路器</w:t>
            </w:r>
          </w:p>
        </w:tc>
        <w:tc>
          <w:tcPr>
            <w:tcW w:w="58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项</w:t>
            </w:r>
          </w:p>
        </w:tc>
        <w:tc>
          <w:tcPr>
            <w:tcW w:w="861"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01"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127" w:hRule="atLeast"/>
        </w:trPr>
        <w:tc>
          <w:tcPr>
            <w:tcW w:w="576"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34</w:t>
            </w:r>
          </w:p>
        </w:tc>
        <w:tc>
          <w:tcPr>
            <w:tcW w:w="1288"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030411001001</w:t>
            </w:r>
          </w:p>
        </w:tc>
        <w:tc>
          <w:tcPr>
            <w:tcW w:w="1762"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配管</w:t>
            </w:r>
          </w:p>
        </w:tc>
        <w:tc>
          <w:tcPr>
            <w:tcW w:w="2002"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1.砖、混凝土结构明配刚性阻燃管 公称直径（mm）50</w:t>
            </w:r>
          </w:p>
        </w:tc>
        <w:tc>
          <w:tcPr>
            <w:tcW w:w="58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m</w:t>
            </w:r>
          </w:p>
        </w:tc>
        <w:tc>
          <w:tcPr>
            <w:tcW w:w="861"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28.63</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01"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127" w:hRule="atLeast"/>
        </w:trPr>
        <w:tc>
          <w:tcPr>
            <w:tcW w:w="576"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35</w:t>
            </w:r>
          </w:p>
        </w:tc>
        <w:tc>
          <w:tcPr>
            <w:tcW w:w="1288"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030411001002</w:t>
            </w:r>
          </w:p>
        </w:tc>
        <w:tc>
          <w:tcPr>
            <w:tcW w:w="1762"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配管</w:t>
            </w:r>
          </w:p>
        </w:tc>
        <w:tc>
          <w:tcPr>
            <w:tcW w:w="2002"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1.砖、混凝土结构明配刚性阻燃管 公称直径（mm）20</w:t>
            </w:r>
          </w:p>
        </w:tc>
        <w:tc>
          <w:tcPr>
            <w:tcW w:w="58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m</w:t>
            </w:r>
          </w:p>
        </w:tc>
        <w:tc>
          <w:tcPr>
            <w:tcW w:w="861"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621.23</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01"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224" w:hRule="atLeast"/>
        </w:trPr>
        <w:tc>
          <w:tcPr>
            <w:tcW w:w="576"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36</w:t>
            </w:r>
          </w:p>
        </w:tc>
        <w:tc>
          <w:tcPr>
            <w:tcW w:w="1288"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030411004001</w:t>
            </w:r>
          </w:p>
        </w:tc>
        <w:tc>
          <w:tcPr>
            <w:tcW w:w="1762"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配线</w:t>
            </w:r>
          </w:p>
        </w:tc>
        <w:tc>
          <w:tcPr>
            <w:tcW w:w="2002"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1.名 称：绝缘软线</w:t>
            </w:r>
          </w:p>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2.配线形式：管内穿线</w:t>
            </w:r>
          </w:p>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3.配线型号：BVR</w:t>
            </w:r>
          </w:p>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4.规 格：4mm2</w:t>
            </w:r>
          </w:p>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5.配线材质：铜</w:t>
            </w:r>
          </w:p>
        </w:tc>
        <w:tc>
          <w:tcPr>
            <w:tcW w:w="58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m</w:t>
            </w:r>
          </w:p>
        </w:tc>
        <w:tc>
          <w:tcPr>
            <w:tcW w:w="861"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1986.09</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01"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8119" w:type="dxa"/>
            <w:gridSpan w:val="7"/>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本页小计</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76"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288"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762"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2002"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588"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861"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042"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109"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024"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930"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930"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728" w:type="dxa"/>
            <w:gridSpan w:val="2"/>
            <w:tcBorders>
              <w:top w:val="nil"/>
              <w:left w:val="nil"/>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表-07</w:t>
            </w:r>
          </w:p>
        </w:tc>
      </w:tr>
    </w:tbl>
    <w:p>
      <w:pPr>
        <w:widowControl/>
        <w:jc w:val="center"/>
        <w:textAlignment w:val="center"/>
        <w:rPr>
          <w:rFonts w:ascii="宋体" w:hAnsi="宋体" w:eastAsia="宋体" w:cs="宋体"/>
          <w:b/>
          <w:bCs/>
          <w:color w:val="auto"/>
          <w:kern w:val="0"/>
          <w:sz w:val="40"/>
          <w:szCs w:val="40"/>
          <w:lang w:bidi="ar"/>
        </w:rPr>
        <w:sectPr>
          <w:pgSz w:w="16838" w:h="11906" w:orient="landscape"/>
          <w:pgMar w:top="1440" w:right="1440" w:bottom="1440" w:left="1440" w:header="851" w:footer="992" w:gutter="0"/>
          <w:cols w:space="720" w:num="1"/>
          <w:docGrid w:linePitch="312" w:charSpace="0"/>
        </w:sectPr>
      </w:pPr>
    </w:p>
    <w:tbl>
      <w:tblPr>
        <w:tblStyle w:val="24"/>
        <w:tblW w:w="13900" w:type="dxa"/>
        <w:tblInd w:w="93" w:type="dxa"/>
        <w:tblLayout w:type="autofit"/>
        <w:tblCellMar>
          <w:top w:w="0" w:type="dxa"/>
          <w:left w:w="108" w:type="dxa"/>
          <w:bottom w:w="0" w:type="dxa"/>
          <w:right w:w="108" w:type="dxa"/>
        </w:tblCellMar>
      </w:tblPr>
      <w:tblGrid>
        <w:gridCol w:w="578"/>
        <w:gridCol w:w="1296"/>
        <w:gridCol w:w="1769"/>
        <w:gridCol w:w="2011"/>
        <w:gridCol w:w="591"/>
        <w:gridCol w:w="864"/>
        <w:gridCol w:w="1047"/>
        <w:gridCol w:w="1114"/>
        <w:gridCol w:w="1027"/>
        <w:gridCol w:w="934"/>
        <w:gridCol w:w="934"/>
        <w:gridCol w:w="933"/>
        <w:gridCol w:w="802"/>
      </w:tblGrid>
      <w:tr>
        <w:tblPrEx>
          <w:tblCellMar>
            <w:top w:w="0" w:type="dxa"/>
            <w:left w:w="108" w:type="dxa"/>
            <w:bottom w:w="0" w:type="dxa"/>
            <w:right w:w="108" w:type="dxa"/>
          </w:tblCellMar>
        </w:tblPrEx>
        <w:trPr>
          <w:trHeight w:val="90" w:hRule="atLeast"/>
        </w:trPr>
        <w:tc>
          <w:tcPr>
            <w:tcW w:w="13900" w:type="dxa"/>
            <w:gridSpan w:val="13"/>
            <w:tcBorders>
              <w:top w:val="nil"/>
              <w:left w:val="nil"/>
              <w:bottom w:val="nil"/>
              <w:right w:val="nil"/>
            </w:tcBorders>
            <w:shd w:val="clear" w:color="auto" w:fill="FFFFFF"/>
            <w:vAlign w:val="center"/>
          </w:tcPr>
          <w:p>
            <w:pPr>
              <w:widowControl/>
              <w:jc w:val="center"/>
              <w:textAlignment w:val="center"/>
              <w:rPr>
                <w:rFonts w:ascii="宋体" w:hAnsi="宋体" w:eastAsia="宋体" w:cs="宋体"/>
                <w:b/>
                <w:bCs/>
                <w:color w:val="auto"/>
                <w:sz w:val="40"/>
                <w:szCs w:val="40"/>
              </w:rPr>
            </w:pPr>
            <w:r>
              <w:rPr>
                <w:rFonts w:hint="eastAsia" w:ascii="宋体" w:hAnsi="宋体" w:eastAsia="宋体" w:cs="宋体"/>
                <w:b/>
                <w:bCs/>
                <w:color w:val="auto"/>
                <w:kern w:val="0"/>
                <w:sz w:val="40"/>
                <w:szCs w:val="40"/>
                <w:lang w:bidi="ar"/>
              </w:rPr>
              <w:t>分部分项工程量清单与计价表</w:t>
            </w:r>
          </w:p>
        </w:tc>
      </w:tr>
      <w:tr>
        <w:tblPrEx>
          <w:tblCellMar>
            <w:top w:w="0" w:type="dxa"/>
            <w:left w:w="108" w:type="dxa"/>
            <w:bottom w:w="0" w:type="dxa"/>
            <w:right w:w="108" w:type="dxa"/>
          </w:tblCellMar>
        </w:tblPrEx>
        <w:trPr>
          <w:trHeight w:val="90" w:hRule="atLeast"/>
        </w:trPr>
        <w:tc>
          <w:tcPr>
            <w:tcW w:w="10297" w:type="dxa"/>
            <w:gridSpan w:val="9"/>
            <w:tcBorders>
              <w:top w:val="nil"/>
              <w:left w:val="nil"/>
              <w:bottom w:val="nil"/>
              <w:right w:val="nil"/>
            </w:tcBorders>
            <w:shd w:val="clear" w:color="auto" w:fill="FFFFFF"/>
            <w:vAlign w:val="bottom"/>
          </w:tcPr>
          <w:p>
            <w:pPr>
              <w:widowControl/>
              <w:jc w:val="left"/>
              <w:textAlignment w:val="bottom"/>
              <w:rPr>
                <w:rFonts w:ascii="宋体" w:hAnsi="宋体" w:eastAsia="宋体" w:cs="宋体"/>
                <w:color w:val="auto"/>
                <w:sz w:val="18"/>
                <w:szCs w:val="18"/>
              </w:rPr>
            </w:pPr>
            <w:r>
              <w:rPr>
                <w:rFonts w:hint="eastAsia" w:ascii="宋体" w:hAnsi="宋体" w:eastAsia="宋体" w:cs="宋体"/>
                <w:color w:val="auto"/>
                <w:kern w:val="0"/>
                <w:sz w:val="18"/>
                <w:szCs w:val="18"/>
                <w:lang w:bidi="ar"/>
              </w:rPr>
              <w:t>单位工程(专业):单项工程1-安装</w:t>
            </w:r>
          </w:p>
        </w:tc>
        <w:tc>
          <w:tcPr>
            <w:tcW w:w="3603" w:type="dxa"/>
            <w:gridSpan w:val="4"/>
            <w:tcBorders>
              <w:top w:val="nil"/>
              <w:left w:val="nil"/>
              <w:bottom w:val="nil"/>
              <w:right w:val="nil"/>
            </w:tcBorders>
            <w:shd w:val="clear" w:color="auto" w:fill="FFFFFF"/>
            <w:vAlign w:val="bottom"/>
          </w:tcPr>
          <w:p>
            <w:pPr>
              <w:widowControl/>
              <w:jc w:val="right"/>
              <w:textAlignment w:val="bottom"/>
              <w:rPr>
                <w:rFonts w:ascii="宋体" w:hAnsi="宋体" w:eastAsia="宋体" w:cs="宋体"/>
                <w:color w:val="auto"/>
                <w:sz w:val="18"/>
                <w:szCs w:val="18"/>
              </w:rPr>
            </w:pPr>
            <w:r>
              <w:rPr>
                <w:rFonts w:hint="eastAsia" w:ascii="宋体" w:hAnsi="宋体" w:eastAsia="宋体" w:cs="宋体"/>
                <w:color w:val="auto"/>
                <w:kern w:val="0"/>
                <w:sz w:val="18"/>
                <w:szCs w:val="18"/>
                <w:lang w:bidi="ar"/>
              </w:rPr>
              <w:t>第5页 共9页</w:t>
            </w:r>
          </w:p>
        </w:tc>
      </w:tr>
      <w:tr>
        <w:trPr>
          <w:trHeight w:val="90" w:hRule="atLeast"/>
        </w:trPr>
        <w:tc>
          <w:tcPr>
            <w:tcW w:w="579"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序号</w:t>
            </w:r>
          </w:p>
        </w:tc>
        <w:tc>
          <w:tcPr>
            <w:tcW w:w="1294"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项目编码</w:t>
            </w:r>
          </w:p>
        </w:tc>
        <w:tc>
          <w:tcPr>
            <w:tcW w:w="1770"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项目名称</w:t>
            </w:r>
          </w:p>
        </w:tc>
        <w:tc>
          <w:tcPr>
            <w:tcW w:w="2011"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项目特征</w:t>
            </w:r>
          </w:p>
        </w:tc>
        <w:tc>
          <w:tcPr>
            <w:tcW w:w="591"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计量</w:t>
            </w:r>
          </w:p>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单位</w:t>
            </w:r>
          </w:p>
        </w:tc>
        <w:tc>
          <w:tcPr>
            <w:tcW w:w="864"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工程量</w:t>
            </w:r>
          </w:p>
        </w:tc>
        <w:tc>
          <w:tcPr>
            <w:tcW w:w="1047"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综合单价</w:t>
            </w:r>
          </w:p>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(元)</w:t>
            </w:r>
          </w:p>
        </w:tc>
        <w:tc>
          <w:tcPr>
            <w:tcW w:w="1114"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合价</w:t>
            </w:r>
          </w:p>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(元)</w:t>
            </w:r>
          </w:p>
        </w:tc>
        <w:tc>
          <w:tcPr>
            <w:tcW w:w="3828" w:type="dxa"/>
            <w:gridSpan w:val="4"/>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其中(元)</w:t>
            </w:r>
          </w:p>
        </w:tc>
        <w:tc>
          <w:tcPr>
            <w:tcW w:w="802" w:type="dxa"/>
            <w:vMerge w:val="restart"/>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备注</w:t>
            </w:r>
          </w:p>
        </w:tc>
      </w:tr>
      <w:tr>
        <w:tblPrEx>
          <w:tblCellMar>
            <w:top w:w="0" w:type="dxa"/>
            <w:left w:w="108" w:type="dxa"/>
            <w:bottom w:w="0" w:type="dxa"/>
            <w:right w:w="108" w:type="dxa"/>
          </w:tblCellMar>
        </w:tblPrEx>
        <w:trPr>
          <w:trHeight w:val="90" w:hRule="atLeast"/>
        </w:trPr>
        <w:tc>
          <w:tcPr>
            <w:tcW w:w="579"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294"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77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2011"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591"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64"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047"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14"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027"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定额人工费</w:t>
            </w:r>
          </w:p>
        </w:tc>
        <w:tc>
          <w:tcPr>
            <w:tcW w:w="934"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人工费价差</w:t>
            </w:r>
          </w:p>
        </w:tc>
        <w:tc>
          <w:tcPr>
            <w:tcW w:w="934"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定额机械费</w:t>
            </w:r>
          </w:p>
        </w:tc>
        <w:tc>
          <w:tcPr>
            <w:tcW w:w="933" w:type="dxa"/>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机械费价差</w:t>
            </w:r>
          </w:p>
        </w:tc>
        <w:tc>
          <w:tcPr>
            <w:tcW w:w="802"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37</w:t>
            </w:r>
          </w:p>
        </w:tc>
        <w:tc>
          <w:tcPr>
            <w:tcW w:w="129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030411004002</w:t>
            </w:r>
          </w:p>
        </w:tc>
        <w:tc>
          <w:tcPr>
            <w:tcW w:w="177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配线</w:t>
            </w:r>
          </w:p>
        </w:tc>
        <w:tc>
          <w:tcPr>
            <w:tcW w:w="201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1.名 称：绝缘软线</w:t>
            </w:r>
          </w:p>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2.配线形式：管内穿线</w:t>
            </w:r>
          </w:p>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3.配线型号：BVR</w:t>
            </w:r>
          </w:p>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4.规 格：10mm2</w:t>
            </w:r>
          </w:p>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5.配线材质：铜</w:t>
            </w:r>
          </w:p>
        </w:tc>
        <w:tc>
          <w:tcPr>
            <w:tcW w:w="591"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m</w:t>
            </w:r>
          </w:p>
        </w:tc>
        <w:tc>
          <w:tcPr>
            <w:tcW w:w="864"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230.15</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02"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38</w:t>
            </w:r>
          </w:p>
        </w:tc>
        <w:tc>
          <w:tcPr>
            <w:tcW w:w="129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030404035001</w:t>
            </w:r>
          </w:p>
        </w:tc>
        <w:tc>
          <w:tcPr>
            <w:tcW w:w="177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插座</w:t>
            </w:r>
          </w:p>
        </w:tc>
        <w:tc>
          <w:tcPr>
            <w:tcW w:w="201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1、五孔插座</w:t>
            </w:r>
          </w:p>
        </w:tc>
        <w:tc>
          <w:tcPr>
            <w:tcW w:w="591"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个</w:t>
            </w:r>
          </w:p>
        </w:tc>
        <w:tc>
          <w:tcPr>
            <w:tcW w:w="864"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79</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02"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39</w:t>
            </w:r>
          </w:p>
        </w:tc>
        <w:tc>
          <w:tcPr>
            <w:tcW w:w="129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030404035002</w:t>
            </w:r>
          </w:p>
        </w:tc>
        <w:tc>
          <w:tcPr>
            <w:tcW w:w="177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插座</w:t>
            </w:r>
          </w:p>
        </w:tc>
        <w:tc>
          <w:tcPr>
            <w:tcW w:w="201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1、地插</w:t>
            </w:r>
          </w:p>
        </w:tc>
        <w:tc>
          <w:tcPr>
            <w:tcW w:w="591"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个</w:t>
            </w:r>
          </w:p>
        </w:tc>
        <w:tc>
          <w:tcPr>
            <w:tcW w:w="864"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4</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02"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40</w:t>
            </w:r>
          </w:p>
        </w:tc>
        <w:tc>
          <w:tcPr>
            <w:tcW w:w="129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030412005001</w:t>
            </w:r>
          </w:p>
        </w:tc>
        <w:tc>
          <w:tcPr>
            <w:tcW w:w="177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荧光灯</w:t>
            </w:r>
          </w:p>
        </w:tc>
        <w:tc>
          <w:tcPr>
            <w:tcW w:w="201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1.荧光灯名称：LED平板灯</w:t>
            </w:r>
          </w:p>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2.规 格：600*600</w:t>
            </w:r>
          </w:p>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3.安装形式：嵌入式</w:t>
            </w:r>
          </w:p>
        </w:tc>
        <w:tc>
          <w:tcPr>
            <w:tcW w:w="591"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套</w:t>
            </w:r>
          </w:p>
        </w:tc>
        <w:tc>
          <w:tcPr>
            <w:tcW w:w="864"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72</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02"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41</w:t>
            </w:r>
          </w:p>
        </w:tc>
        <w:tc>
          <w:tcPr>
            <w:tcW w:w="129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030411006001</w:t>
            </w:r>
          </w:p>
        </w:tc>
        <w:tc>
          <w:tcPr>
            <w:tcW w:w="177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接线盒</w:t>
            </w:r>
          </w:p>
        </w:tc>
        <w:tc>
          <w:tcPr>
            <w:tcW w:w="201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1.暗装接线盒</w:t>
            </w:r>
          </w:p>
        </w:tc>
        <w:tc>
          <w:tcPr>
            <w:tcW w:w="591"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个</w:t>
            </w:r>
          </w:p>
        </w:tc>
        <w:tc>
          <w:tcPr>
            <w:tcW w:w="864"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155</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02"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29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177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排风系统</w:t>
            </w:r>
          </w:p>
        </w:tc>
        <w:tc>
          <w:tcPr>
            <w:tcW w:w="2011"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591"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64"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02"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4" w:hRule="atLeast"/>
        </w:trPr>
        <w:tc>
          <w:tcPr>
            <w:tcW w:w="579"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42</w:t>
            </w:r>
          </w:p>
        </w:tc>
        <w:tc>
          <w:tcPr>
            <w:tcW w:w="129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030108001001</w:t>
            </w:r>
          </w:p>
        </w:tc>
        <w:tc>
          <w:tcPr>
            <w:tcW w:w="177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离心式通风机</w:t>
            </w:r>
          </w:p>
        </w:tc>
        <w:tc>
          <w:tcPr>
            <w:tcW w:w="201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无极变量组合式废气处理机组</w:t>
            </w:r>
          </w:p>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6600立方米/小时，机外余压：420pa，3kw（含风帽、防震垫、70°防火阀、电动阀、手动阀等附件）</w:t>
            </w:r>
          </w:p>
        </w:tc>
        <w:tc>
          <w:tcPr>
            <w:tcW w:w="591"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台</w:t>
            </w:r>
          </w:p>
        </w:tc>
        <w:tc>
          <w:tcPr>
            <w:tcW w:w="864"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02"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4" w:hRule="atLeast"/>
        </w:trPr>
        <w:tc>
          <w:tcPr>
            <w:tcW w:w="579"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43</w:t>
            </w:r>
          </w:p>
        </w:tc>
        <w:tc>
          <w:tcPr>
            <w:tcW w:w="129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030108001002</w:t>
            </w:r>
          </w:p>
        </w:tc>
        <w:tc>
          <w:tcPr>
            <w:tcW w:w="177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离心式通风机</w:t>
            </w:r>
          </w:p>
        </w:tc>
        <w:tc>
          <w:tcPr>
            <w:tcW w:w="201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无极变量组合式废气处理机组</w:t>
            </w:r>
          </w:p>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9500立方米/小时，机外余压：480pa，5.5kw（含风帽、防震垫、70°防火阀、电动阀、手动阀等附件）</w:t>
            </w:r>
          </w:p>
        </w:tc>
        <w:tc>
          <w:tcPr>
            <w:tcW w:w="591"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台</w:t>
            </w:r>
          </w:p>
        </w:tc>
        <w:tc>
          <w:tcPr>
            <w:tcW w:w="864"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02"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8156" w:type="dxa"/>
            <w:gridSpan w:val="7"/>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本页小计</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79"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294"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770"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2011"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591"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864"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047"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114"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027"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934"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934"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735" w:type="dxa"/>
            <w:gridSpan w:val="2"/>
            <w:tcBorders>
              <w:top w:val="nil"/>
              <w:left w:val="nil"/>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表-07</w:t>
            </w:r>
          </w:p>
        </w:tc>
      </w:tr>
    </w:tbl>
    <w:p>
      <w:pPr>
        <w:widowControl/>
        <w:jc w:val="center"/>
        <w:textAlignment w:val="center"/>
        <w:rPr>
          <w:rFonts w:ascii="宋体" w:hAnsi="宋体" w:eastAsia="宋体" w:cs="宋体"/>
          <w:b/>
          <w:bCs/>
          <w:color w:val="auto"/>
          <w:kern w:val="0"/>
          <w:sz w:val="40"/>
          <w:szCs w:val="40"/>
          <w:lang w:bidi="ar"/>
        </w:rPr>
        <w:sectPr>
          <w:pgSz w:w="16838" w:h="11906" w:orient="landscape"/>
          <w:pgMar w:top="1440" w:right="1440" w:bottom="1440" w:left="1440" w:header="851" w:footer="992" w:gutter="0"/>
          <w:cols w:space="720" w:num="1"/>
          <w:docGrid w:linePitch="312" w:charSpace="0"/>
        </w:sectPr>
      </w:pPr>
    </w:p>
    <w:tbl>
      <w:tblPr>
        <w:tblStyle w:val="24"/>
        <w:tblW w:w="13860" w:type="dxa"/>
        <w:tblInd w:w="93" w:type="dxa"/>
        <w:tblLayout w:type="autofit"/>
        <w:tblCellMar>
          <w:top w:w="0" w:type="dxa"/>
          <w:left w:w="108" w:type="dxa"/>
          <w:bottom w:w="0" w:type="dxa"/>
          <w:right w:w="108" w:type="dxa"/>
        </w:tblCellMar>
      </w:tblPr>
      <w:tblGrid>
        <w:gridCol w:w="575"/>
        <w:gridCol w:w="1296"/>
        <w:gridCol w:w="1189"/>
        <w:gridCol w:w="2570"/>
        <w:gridCol w:w="588"/>
        <w:gridCol w:w="862"/>
        <w:gridCol w:w="1044"/>
        <w:gridCol w:w="1111"/>
        <w:gridCol w:w="1024"/>
        <w:gridCol w:w="931"/>
        <w:gridCol w:w="936"/>
        <w:gridCol w:w="936"/>
        <w:gridCol w:w="798"/>
      </w:tblGrid>
      <w:tr>
        <w:tblPrEx>
          <w:tblCellMar>
            <w:top w:w="0" w:type="dxa"/>
            <w:left w:w="108" w:type="dxa"/>
            <w:bottom w:w="0" w:type="dxa"/>
            <w:right w:w="108" w:type="dxa"/>
          </w:tblCellMar>
        </w:tblPrEx>
        <w:trPr>
          <w:trHeight w:val="90" w:hRule="atLeast"/>
        </w:trPr>
        <w:tc>
          <w:tcPr>
            <w:tcW w:w="13860" w:type="dxa"/>
            <w:gridSpan w:val="13"/>
            <w:tcBorders>
              <w:top w:val="nil"/>
              <w:left w:val="nil"/>
              <w:bottom w:val="nil"/>
              <w:right w:val="nil"/>
            </w:tcBorders>
            <w:shd w:val="clear" w:color="auto" w:fill="FFFFFF"/>
            <w:vAlign w:val="center"/>
          </w:tcPr>
          <w:p>
            <w:pPr>
              <w:widowControl/>
              <w:jc w:val="center"/>
              <w:textAlignment w:val="center"/>
              <w:rPr>
                <w:rFonts w:ascii="宋体" w:hAnsi="宋体" w:eastAsia="宋体" w:cs="宋体"/>
                <w:b/>
                <w:bCs/>
                <w:color w:val="auto"/>
                <w:sz w:val="40"/>
                <w:szCs w:val="40"/>
              </w:rPr>
            </w:pPr>
            <w:r>
              <w:rPr>
                <w:rFonts w:hint="eastAsia" w:ascii="宋体" w:hAnsi="宋体" w:eastAsia="宋体" w:cs="宋体"/>
                <w:b/>
                <w:bCs/>
                <w:color w:val="auto"/>
                <w:kern w:val="0"/>
                <w:sz w:val="40"/>
                <w:szCs w:val="40"/>
                <w:lang w:bidi="ar"/>
              </w:rPr>
              <w:t>分部分项工程量清单与计价表</w:t>
            </w:r>
          </w:p>
        </w:tc>
      </w:tr>
      <w:tr>
        <w:tblPrEx>
          <w:tblCellMar>
            <w:top w:w="0" w:type="dxa"/>
            <w:left w:w="108" w:type="dxa"/>
            <w:bottom w:w="0" w:type="dxa"/>
            <w:right w:w="108" w:type="dxa"/>
          </w:tblCellMar>
        </w:tblPrEx>
        <w:trPr>
          <w:trHeight w:val="90" w:hRule="atLeast"/>
        </w:trPr>
        <w:tc>
          <w:tcPr>
            <w:tcW w:w="10259" w:type="dxa"/>
            <w:gridSpan w:val="9"/>
            <w:tcBorders>
              <w:top w:val="nil"/>
              <w:left w:val="nil"/>
              <w:bottom w:val="nil"/>
              <w:right w:val="nil"/>
            </w:tcBorders>
            <w:shd w:val="clear" w:color="auto" w:fill="FFFFFF"/>
            <w:vAlign w:val="bottom"/>
          </w:tcPr>
          <w:p>
            <w:pPr>
              <w:widowControl/>
              <w:jc w:val="left"/>
              <w:textAlignment w:val="bottom"/>
              <w:rPr>
                <w:rFonts w:ascii="宋体" w:hAnsi="宋体" w:eastAsia="宋体" w:cs="宋体"/>
                <w:color w:val="auto"/>
                <w:sz w:val="18"/>
                <w:szCs w:val="18"/>
              </w:rPr>
            </w:pPr>
            <w:r>
              <w:rPr>
                <w:rFonts w:hint="eastAsia" w:ascii="宋体" w:hAnsi="宋体" w:eastAsia="宋体" w:cs="宋体"/>
                <w:color w:val="auto"/>
                <w:kern w:val="0"/>
                <w:sz w:val="18"/>
                <w:szCs w:val="18"/>
                <w:lang w:bidi="ar"/>
              </w:rPr>
              <w:t>单位工程(专业):单项工程1-安装</w:t>
            </w:r>
          </w:p>
        </w:tc>
        <w:tc>
          <w:tcPr>
            <w:tcW w:w="3601" w:type="dxa"/>
            <w:gridSpan w:val="4"/>
            <w:tcBorders>
              <w:top w:val="nil"/>
              <w:left w:val="nil"/>
              <w:bottom w:val="nil"/>
              <w:right w:val="nil"/>
            </w:tcBorders>
            <w:shd w:val="clear" w:color="auto" w:fill="FFFFFF"/>
            <w:vAlign w:val="bottom"/>
          </w:tcPr>
          <w:p>
            <w:pPr>
              <w:widowControl/>
              <w:jc w:val="right"/>
              <w:textAlignment w:val="bottom"/>
              <w:rPr>
                <w:rFonts w:ascii="宋体" w:hAnsi="宋体" w:eastAsia="宋体" w:cs="宋体"/>
                <w:color w:val="auto"/>
                <w:sz w:val="18"/>
                <w:szCs w:val="18"/>
              </w:rPr>
            </w:pPr>
            <w:r>
              <w:rPr>
                <w:rFonts w:hint="eastAsia" w:ascii="宋体" w:hAnsi="宋体" w:eastAsia="宋体" w:cs="宋体"/>
                <w:color w:val="auto"/>
                <w:kern w:val="0"/>
                <w:sz w:val="18"/>
                <w:szCs w:val="18"/>
                <w:lang w:bidi="ar"/>
              </w:rPr>
              <w:t>第6页 共9页</w:t>
            </w:r>
          </w:p>
        </w:tc>
      </w:tr>
      <w:tr>
        <w:trPr>
          <w:trHeight w:val="90" w:hRule="atLeast"/>
        </w:trPr>
        <w:tc>
          <w:tcPr>
            <w:tcW w:w="575"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序号</w:t>
            </w:r>
          </w:p>
        </w:tc>
        <w:tc>
          <w:tcPr>
            <w:tcW w:w="1296"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项目编码</w:t>
            </w:r>
          </w:p>
        </w:tc>
        <w:tc>
          <w:tcPr>
            <w:tcW w:w="1189"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项目名称</w:t>
            </w:r>
          </w:p>
        </w:tc>
        <w:tc>
          <w:tcPr>
            <w:tcW w:w="2570"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项目特征</w:t>
            </w:r>
          </w:p>
        </w:tc>
        <w:tc>
          <w:tcPr>
            <w:tcW w:w="588"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计量</w:t>
            </w:r>
          </w:p>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单位</w:t>
            </w:r>
          </w:p>
        </w:tc>
        <w:tc>
          <w:tcPr>
            <w:tcW w:w="862"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工程量</w:t>
            </w:r>
          </w:p>
        </w:tc>
        <w:tc>
          <w:tcPr>
            <w:tcW w:w="1044"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综合单价</w:t>
            </w:r>
          </w:p>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(元)</w:t>
            </w:r>
          </w:p>
        </w:tc>
        <w:tc>
          <w:tcPr>
            <w:tcW w:w="1111"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合价</w:t>
            </w:r>
          </w:p>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(元)</w:t>
            </w:r>
          </w:p>
        </w:tc>
        <w:tc>
          <w:tcPr>
            <w:tcW w:w="3827" w:type="dxa"/>
            <w:gridSpan w:val="4"/>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其中(元)</w:t>
            </w:r>
          </w:p>
        </w:tc>
        <w:tc>
          <w:tcPr>
            <w:tcW w:w="798" w:type="dxa"/>
            <w:vMerge w:val="restart"/>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备注</w:t>
            </w:r>
          </w:p>
        </w:tc>
      </w:tr>
      <w:tr>
        <w:tblPrEx>
          <w:tblCellMar>
            <w:top w:w="0" w:type="dxa"/>
            <w:left w:w="108" w:type="dxa"/>
            <w:bottom w:w="0" w:type="dxa"/>
            <w:right w:w="108" w:type="dxa"/>
          </w:tblCellMar>
        </w:tblPrEx>
        <w:trPr>
          <w:trHeight w:val="90" w:hRule="atLeast"/>
        </w:trPr>
        <w:tc>
          <w:tcPr>
            <w:tcW w:w="57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296"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89"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257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588"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62"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044"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11"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024"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定额人工费</w:t>
            </w:r>
          </w:p>
        </w:tc>
        <w:tc>
          <w:tcPr>
            <w:tcW w:w="931"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人工费价差</w:t>
            </w:r>
          </w:p>
        </w:tc>
        <w:tc>
          <w:tcPr>
            <w:tcW w:w="936"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定额机械费</w:t>
            </w:r>
          </w:p>
        </w:tc>
        <w:tc>
          <w:tcPr>
            <w:tcW w:w="936" w:type="dxa"/>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机械费价差</w:t>
            </w:r>
          </w:p>
        </w:tc>
        <w:tc>
          <w:tcPr>
            <w:tcW w:w="798"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7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44</w:t>
            </w:r>
          </w:p>
        </w:tc>
        <w:tc>
          <w:tcPr>
            <w:tcW w:w="129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030108001003</w:t>
            </w:r>
          </w:p>
        </w:tc>
        <w:tc>
          <w:tcPr>
            <w:tcW w:w="1189"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离心式通风机</w:t>
            </w:r>
          </w:p>
        </w:tc>
        <w:tc>
          <w:tcPr>
            <w:tcW w:w="257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无极变量组合式废气处理机组</w:t>
            </w:r>
          </w:p>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14000立方米/小时，机外余压：600pa，7.5kw（含风帽、防震垫、70°防火阀、电动阀、手动阀等附件）</w:t>
            </w:r>
          </w:p>
        </w:tc>
        <w:tc>
          <w:tcPr>
            <w:tcW w:w="58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台</w:t>
            </w:r>
          </w:p>
        </w:tc>
        <w:tc>
          <w:tcPr>
            <w:tcW w:w="862"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798"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7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45</w:t>
            </w:r>
          </w:p>
        </w:tc>
        <w:tc>
          <w:tcPr>
            <w:tcW w:w="129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030108001007</w:t>
            </w:r>
          </w:p>
        </w:tc>
        <w:tc>
          <w:tcPr>
            <w:tcW w:w="1189"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离心式通风机</w:t>
            </w:r>
          </w:p>
        </w:tc>
        <w:tc>
          <w:tcPr>
            <w:tcW w:w="257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无极变量组合式废气处理机组</w:t>
            </w:r>
          </w:p>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3500立方米/小时，机外余压500pa，2.5kw（含风帽、防震垫、70°防火阀、电动阀、手动阀等附件）</w:t>
            </w:r>
          </w:p>
        </w:tc>
        <w:tc>
          <w:tcPr>
            <w:tcW w:w="58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台</w:t>
            </w:r>
          </w:p>
        </w:tc>
        <w:tc>
          <w:tcPr>
            <w:tcW w:w="862"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798"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103" w:hRule="atLeast"/>
        </w:trPr>
        <w:tc>
          <w:tcPr>
            <w:tcW w:w="57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46</w:t>
            </w:r>
          </w:p>
        </w:tc>
        <w:tc>
          <w:tcPr>
            <w:tcW w:w="129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030702005001</w:t>
            </w:r>
          </w:p>
        </w:tc>
        <w:tc>
          <w:tcPr>
            <w:tcW w:w="1189"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塑料通风管道</w:t>
            </w:r>
          </w:p>
        </w:tc>
        <w:tc>
          <w:tcPr>
            <w:tcW w:w="257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1.名 称：pp通风管</w:t>
            </w:r>
          </w:p>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2.形 状：矩形</w:t>
            </w:r>
          </w:p>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3.规 格：δ=5，长边长800mm以下</w:t>
            </w:r>
          </w:p>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4、采用法兰连接</w:t>
            </w:r>
          </w:p>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5、风管支吊架制安</w:t>
            </w:r>
          </w:p>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6、具体要求详见暖通设计说明</w:t>
            </w:r>
          </w:p>
        </w:tc>
        <w:tc>
          <w:tcPr>
            <w:tcW w:w="58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m2</w:t>
            </w:r>
          </w:p>
        </w:tc>
        <w:tc>
          <w:tcPr>
            <w:tcW w:w="862"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276.12</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798"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103" w:hRule="atLeast"/>
        </w:trPr>
        <w:tc>
          <w:tcPr>
            <w:tcW w:w="57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47</w:t>
            </w:r>
          </w:p>
        </w:tc>
        <w:tc>
          <w:tcPr>
            <w:tcW w:w="129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030702005002</w:t>
            </w:r>
          </w:p>
        </w:tc>
        <w:tc>
          <w:tcPr>
            <w:tcW w:w="1189"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塑料通风管道</w:t>
            </w:r>
          </w:p>
        </w:tc>
        <w:tc>
          <w:tcPr>
            <w:tcW w:w="257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1.名 称：pp通风管</w:t>
            </w:r>
          </w:p>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2.形 状：矩形</w:t>
            </w:r>
          </w:p>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3.规 格：δ=6，长边长1250mm以下</w:t>
            </w:r>
          </w:p>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4、采用法兰连接</w:t>
            </w:r>
          </w:p>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5、风管支吊架制安</w:t>
            </w:r>
          </w:p>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6、具体要求详见暖通设计说明</w:t>
            </w:r>
          </w:p>
        </w:tc>
        <w:tc>
          <w:tcPr>
            <w:tcW w:w="58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m2</w:t>
            </w:r>
          </w:p>
        </w:tc>
        <w:tc>
          <w:tcPr>
            <w:tcW w:w="862"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159.77</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798"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7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48</w:t>
            </w:r>
          </w:p>
        </w:tc>
        <w:tc>
          <w:tcPr>
            <w:tcW w:w="129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030704001001</w:t>
            </w:r>
          </w:p>
        </w:tc>
        <w:tc>
          <w:tcPr>
            <w:tcW w:w="1189"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通风工程检测、 调试</w:t>
            </w:r>
          </w:p>
        </w:tc>
        <w:tc>
          <w:tcPr>
            <w:tcW w:w="257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1.通风空调系统调试费</w:t>
            </w:r>
          </w:p>
        </w:tc>
        <w:tc>
          <w:tcPr>
            <w:tcW w:w="58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系统</w:t>
            </w:r>
          </w:p>
        </w:tc>
        <w:tc>
          <w:tcPr>
            <w:tcW w:w="862"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798"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8124" w:type="dxa"/>
            <w:gridSpan w:val="7"/>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本页小计</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7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75"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296"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189"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2570"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588"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862"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044"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111"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024"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931"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936"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734" w:type="dxa"/>
            <w:gridSpan w:val="2"/>
            <w:tcBorders>
              <w:top w:val="nil"/>
              <w:left w:val="nil"/>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表-07</w:t>
            </w:r>
          </w:p>
        </w:tc>
      </w:tr>
    </w:tbl>
    <w:p>
      <w:pPr>
        <w:widowControl/>
        <w:jc w:val="center"/>
        <w:textAlignment w:val="center"/>
        <w:rPr>
          <w:rFonts w:ascii="宋体" w:hAnsi="宋体" w:eastAsia="宋体" w:cs="宋体"/>
          <w:b/>
          <w:bCs/>
          <w:color w:val="auto"/>
          <w:kern w:val="0"/>
          <w:sz w:val="40"/>
          <w:szCs w:val="40"/>
          <w:lang w:bidi="ar"/>
        </w:rPr>
        <w:sectPr>
          <w:pgSz w:w="16838" w:h="11906" w:orient="landscape"/>
          <w:pgMar w:top="1440" w:right="1440" w:bottom="1440" w:left="1440" w:header="851" w:footer="992" w:gutter="0"/>
          <w:cols w:space="720" w:num="1"/>
          <w:docGrid w:linePitch="312" w:charSpace="0"/>
        </w:sectPr>
      </w:pPr>
    </w:p>
    <w:tbl>
      <w:tblPr>
        <w:tblStyle w:val="24"/>
        <w:tblW w:w="13980" w:type="dxa"/>
        <w:tblInd w:w="93" w:type="dxa"/>
        <w:tblLayout w:type="autofit"/>
        <w:tblCellMar>
          <w:top w:w="0" w:type="dxa"/>
          <w:left w:w="108" w:type="dxa"/>
          <w:bottom w:w="0" w:type="dxa"/>
          <w:right w:w="108" w:type="dxa"/>
        </w:tblCellMar>
      </w:tblPr>
      <w:tblGrid>
        <w:gridCol w:w="582"/>
        <w:gridCol w:w="1301"/>
        <w:gridCol w:w="1780"/>
        <w:gridCol w:w="2022"/>
        <w:gridCol w:w="594"/>
        <w:gridCol w:w="869"/>
        <w:gridCol w:w="1053"/>
        <w:gridCol w:w="1120"/>
        <w:gridCol w:w="1035"/>
        <w:gridCol w:w="940"/>
        <w:gridCol w:w="940"/>
        <w:gridCol w:w="935"/>
        <w:gridCol w:w="809"/>
      </w:tblGrid>
      <w:tr>
        <w:tblPrEx>
          <w:tblCellMar>
            <w:top w:w="0" w:type="dxa"/>
            <w:left w:w="108" w:type="dxa"/>
            <w:bottom w:w="0" w:type="dxa"/>
            <w:right w:w="108" w:type="dxa"/>
          </w:tblCellMar>
        </w:tblPrEx>
        <w:trPr>
          <w:trHeight w:val="90" w:hRule="atLeast"/>
        </w:trPr>
        <w:tc>
          <w:tcPr>
            <w:tcW w:w="13980" w:type="dxa"/>
            <w:gridSpan w:val="13"/>
            <w:tcBorders>
              <w:top w:val="nil"/>
              <w:left w:val="nil"/>
              <w:bottom w:val="nil"/>
              <w:right w:val="nil"/>
            </w:tcBorders>
            <w:shd w:val="clear" w:color="auto" w:fill="FFFFFF"/>
            <w:vAlign w:val="center"/>
          </w:tcPr>
          <w:p>
            <w:pPr>
              <w:widowControl/>
              <w:jc w:val="center"/>
              <w:textAlignment w:val="center"/>
              <w:rPr>
                <w:rFonts w:ascii="宋体" w:hAnsi="宋体" w:eastAsia="宋体" w:cs="宋体"/>
                <w:b/>
                <w:bCs/>
                <w:color w:val="auto"/>
                <w:sz w:val="40"/>
                <w:szCs w:val="40"/>
              </w:rPr>
            </w:pPr>
            <w:r>
              <w:rPr>
                <w:rFonts w:hint="eastAsia" w:ascii="宋体" w:hAnsi="宋体" w:eastAsia="宋体" w:cs="宋体"/>
                <w:b/>
                <w:bCs/>
                <w:color w:val="auto"/>
                <w:kern w:val="0"/>
                <w:sz w:val="40"/>
                <w:szCs w:val="40"/>
                <w:lang w:bidi="ar"/>
              </w:rPr>
              <w:t>分部分项工程量清单与计价表</w:t>
            </w:r>
          </w:p>
        </w:tc>
      </w:tr>
      <w:tr>
        <w:tblPrEx>
          <w:tblCellMar>
            <w:top w:w="0" w:type="dxa"/>
            <w:left w:w="108" w:type="dxa"/>
            <w:bottom w:w="0" w:type="dxa"/>
            <w:right w:w="108" w:type="dxa"/>
          </w:tblCellMar>
        </w:tblPrEx>
        <w:trPr>
          <w:trHeight w:val="90" w:hRule="atLeast"/>
        </w:trPr>
        <w:tc>
          <w:tcPr>
            <w:tcW w:w="10356" w:type="dxa"/>
            <w:gridSpan w:val="9"/>
            <w:tcBorders>
              <w:top w:val="nil"/>
              <w:left w:val="nil"/>
              <w:bottom w:val="nil"/>
              <w:right w:val="nil"/>
            </w:tcBorders>
            <w:shd w:val="clear" w:color="auto" w:fill="FFFFFF"/>
            <w:vAlign w:val="bottom"/>
          </w:tcPr>
          <w:p>
            <w:pPr>
              <w:widowControl/>
              <w:jc w:val="left"/>
              <w:textAlignment w:val="bottom"/>
              <w:rPr>
                <w:rFonts w:ascii="宋体" w:hAnsi="宋体" w:eastAsia="宋体" w:cs="宋体"/>
                <w:color w:val="auto"/>
                <w:sz w:val="18"/>
                <w:szCs w:val="18"/>
              </w:rPr>
            </w:pPr>
            <w:r>
              <w:rPr>
                <w:rFonts w:hint="eastAsia" w:ascii="宋体" w:hAnsi="宋体" w:eastAsia="宋体" w:cs="宋体"/>
                <w:color w:val="auto"/>
                <w:kern w:val="0"/>
                <w:sz w:val="18"/>
                <w:szCs w:val="18"/>
                <w:lang w:bidi="ar"/>
              </w:rPr>
              <w:t>单位工程(专业):单项工程1-安装</w:t>
            </w:r>
          </w:p>
        </w:tc>
        <w:tc>
          <w:tcPr>
            <w:tcW w:w="3624" w:type="dxa"/>
            <w:gridSpan w:val="4"/>
            <w:tcBorders>
              <w:top w:val="nil"/>
              <w:left w:val="nil"/>
              <w:bottom w:val="nil"/>
              <w:right w:val="nil"/>
            </w:tcBorders>
            <w:shd w:val="clear" w:color="auto" w:fill="FFFFFF"/>
            <w:vAlign w:val="bottom"/>
          </w:tcPr>
          <w:p>
            <w:pPr>
              <w:widowControl/>
              <w:jc w:val="right"/>
              <w:textAlignment w:val="bottom"/>
              <w:rPr>
                <w:rFonts w:ascii="宋体" w:hAnsi="宋体" w:eastAsia="宋体" w:cs="宋体"/>
                <w:color w:val="auto"/>
                <w:sz w:val="18"/>
                <w:szCs w:val="18"/>
              </w:rPr>
            </w:pPr>
            <w:r>
              <w:rPr>
                <w:rFonts w:hint="eastAsia" w:ascii="宋体" w:hAnsi="宋体" w:eastAsia="宋体" w:cs="宋体"/>
                <w:color w:val="auto"/>
                <w:kern w:val="0"/>
                <w:sz w:val="18"/>
                <w:szCs w:val="18"/>
                <w:lang w:bidi="ar"/>
              </w:rPr>
              <w:t>第7页 共9页</w:t>
            </w:r>
          </w:p>
        </w:tc>
      </w:tr>
      <w:tr>
        <w:trPr>
          <w:trHeight w:val="90" w:hRule="atLeast"/>
        </w:trPr>
        <w:tc>
          <w:tcPr>
            <w:tcW w:w="582"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序号</w:t>
            </w:r>
          </w:p>
        </w:tc>
        <w:tc>
          <w:tcPr>
            <w:tcW w:w="1301"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项目编码</w:t>
            </w:r>
          </w:p>
        </w:tc>
        <w:tc>
          <w:tcPr>
            <w:tcW w:w="1780"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项目名称</w:t>
            </w:r>
          </w:p>
        </w:tc>
        <w:tc>
          <w:tcPr>
            <w:tcW w:w="2022"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项目特征</w:t>
            </w:r>
          </w:p>
        </w:tc>
        <w:tc>
          <w:tcPr>
            <w:tcW w:w="594"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计量</w:t>
            </w:r>
          </w:p>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单位</w:t>
            </w:r>
          </w:p>
        </w:tc>
        <w:tc>
          <w:tcPr>
            <w:tcW w:w="869"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工程量</w:t>
            </w:r>
          </w:p>
        </w:tc>
        <w:tc>
          <w:tcPr>
            <w:tcW w:w="1053"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综合单价</w:t>
            </w:r>
          </w:p>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(元)</w:t>
            </w:r>
          </w:p>
        </w:tc>
        <w:tc>
          <w:tcPr>
            <w:tcW w:w="1120"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合价</w:t>
            </w:r>
          </w:p>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(元)</w:t>
            </w:r>
          </w:p>
        </w:tc>
        <w:tc>
          <w:tcPr>
            <w:tcW w:w="3850" w:type="dxa"/>
            <w:gridSpan w:val="4"/>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其中(元)</w:t>
            </w:r>
          </w:p>
        </w:tc>
        <w:tc>
          <w:tcPr>
            <w:tcW w:w="809" w:type="dxa"/>
            <w:vMerge w:val="restart"/>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备注</w:t>
            </w:r>
          </w:p>
        </w:tc>
      </w:tr>
      <w:tr>
        <w:tblPrEx>
          <w:tblCellMar>
            <w:top w:w="0" w:type="dxa"/>
            <w:left w:w="108" w:type="dxa"/>
            <w:bottom w:w="0" w:type="dxa"/>
            <w:right w:w="108" w:type="dxa"/>
          </w:tblCellMar>
        </w:tblPrEx>
        <w:trPr>
          <w:trHeight w:val="90" w:hRule="atLeast"/>
        </w:trPr>
        <w:tc>
          <w:tcPr>
            <w:tcW w:w="582"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301"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2022"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594"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69"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053"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2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03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定额人工费</w:t>
            </w:r>
          </w:p>
        </w:tc>
        <w:tc>
          <w:tcPr>
            <w:tcW w:w="9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人工费价差</w:t>
            </w:r>
          </w:p>
        </w:tc>
        <w:tc>
          <w:tcPr>
            <w:tcW w:w="9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定额机械费</w:t>
            </w:r>
          </w:p>
        </w:tc>
        <w:tc>
          <w:tcPr>
            <w:tcW w:w="935" w:type="dxa"/>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机械费价差</w:t>
            </w:r>
          </w:p>
        </w:tc>
        <w:tc>
          <w:tcPr>
            <w:tcW w:w="809"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82"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49</w:t>
            </w:r>
          </w:p>
        </w:tc>
        <w:tc>
          <w:tcPr>
            <w:tcW w:w="130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03B004</w:t>
            </w:r>
          </w:p>
        </w:tc>
        <w:tc>
          <w:tcPr>
            <w:tcW w:w="17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模块化活性炭废气处理系统</w:t>
            </w:r>
          </w:p>
        </w:tc>
        <w:tc>
          <w:tcPr>
            <w:tcW w:w="2022"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1600*1000*1000</w:t>
            </w:r>
          </w:p>
        </w:tc>
        <w:tc>
          <w:tcPr>
            <w:tcW w:w="594"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台</w:t>
            </w:r>
          </w:p>
        </w:tc>
        <w:tc>
          <w:tcPr>
            <w:tcW w:w="869"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09"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82"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50</w:t>
            </w:r>
          </w:p>
        </w:tc>
        <w:tc>
          <w:tcPr>
            <w:tcW w:w="130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03B005</w:t>
            </w:r>
          </w:p>
        </w:tc>
        <w:tc>
          <w:tcPr>
            <w:tcW w:w="17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模块化活性炭废气处理系统</w:t>
            </w:r>
          </w:p>
        </w:tc>
        <w:tc>
          <w:tcPr>
            <w:tcW w:w="2022"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2000*1000*1200</w:t>
            </w:r>
          </w:p>
        </w:tc>
        <w:tc>
          <w:tcPr>
            <w:tcW w:w="594"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台</w:t>
            </w:r>
          </w:p>
        </w:tc>
        <w:tc>
          <w:tcPr>
            <w:tcW w:w="869"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09"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82"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51</w:t>
            </w:r>
          </w:p>
        </w:tc>
        <w:tc>
          <w:tcPr>
            <w:tcW w:w="130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03B006</w:t>
            </w:r>
          </w:p>
        </w:tc>
        <w:tc>
          <w:tcPr>
            <w:tcW w:w="17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模块化活性炭废气处理系统</w:t>
            </w:r>
          </w:p>
        </w:tc>
        <w:tc>
          <w:tcPr>
            <w:tcW w:w="2022"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1300*750*750</w:t>
            </w:r>
          </w:p>
        </w:tc>
        <w:tc>
          <w:tcPr>
            <w:tcW w:w="594"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台</w:t>
            </w:r>
          </w:p>
        </w:tc>
        <w:tc>
          <w:tcPr>
            <w:tcW w:w="869"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09"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82"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52</w:t>
            </w:r>
          </w:p>
        </w:tc>
        <w:tc>
          <w:tcPr>
            <w:tcW w:w="130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03B007</w:t>
            </w:r>
          </w:p>
        </w:tc>
        <w:tc>
          <w:tcPr>
            <w:tcW w:w="17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通风系统联动电器控制总成</w:t>
            </w:r>
          </w:p>
        </w:tc>
        <w:tc>
          <w:tcPr>
            <w:tcW w:w="2022"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通风系统联动电器控制总成（含控制信号线及RVVP屏蔽线）</w:t>
            </w:r>
          </w:p>
        </w:tc>
        <w:tc>
          <w:tcPr>
            <w:tcW w:w="594"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套</w:t>
            </w:r>
          </w:p>
        </w:tc>
        <w:tc>
          <w:tcPr>
            <w:tcW w:w="869"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4</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09"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82"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53</w:t>
            </w:r>
          </w:p>
        </w:tc>
        <w:tc>
          <w:tcPr>
            <w:tcW w:w="130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03B008</w:t>
            </w:r>
          </w:p>
        </w:tc>
        <w:tc>
          <w:tcPr>
            <w:tcW w:w="17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模拟变风量电动调节阀</w:t>
            </w:r>
          </w:p>
        </w:tc>
        <w:tc>
          <w:tcPr>
            <w:tcW w:w="2022"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模拟变风量电动调节阀</w:t>
            </w:r>
          </w:p>
        </w:tc>
        <w:tc>
          <w:tcPr>
            <w:tcW w:w="594"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套</w:t>
            </w:r>
          </w:p>
        </w:tc>
        <w:tc>
          <w:tcPr>
            <w:tcW w:w="869"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15</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09"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82"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54</w:t>
            </w:r>
          </w:p>
        </w:tc>
        <w:tc>
          <w:tcPr>
            <w:tcW w:w="130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03B009</w:t>
            </w:r>
          </w:p>
        </w:tc>
        <w:tc>
          <w:tcPr>
            <w:tcW w:w="17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全不锈钢立式废气导流装置</w:t>
            </w:r>
          </w:p>
        </w:tc>
        <w:tc>
          <w:tcPr>
            <w:tcW w:w="2022"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全不锈钢立式废气导流装置</w:t>
            </w:r>
          </w:p>
        </w:tc>
        <w:tc>
          <w:tcPr>
            <w:tcW w:w="594"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套</w:t>
            </w:r>
          </w:p>
        </w:tc>
        <w:tc>
          <w:tcPr>
            <w:tcW w:w="869"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11</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09"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82"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55</w:t>
            </w:r>
          </w:p>
        </w:tc>
        <w:tc>
          <w:tcPr>
            <w:tcW w:w="130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03B010</w:t>
            </w:r>
          </w:p>
        </w:tc>
        <w:tc>
          <w:tcPr>
            <w:tcW w:w="17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全不锈钢吸顶式废气集风装置</w:t>
            </w:r>
          </w:p>
        </w:tc>
        <w:tc>
          <w:tcPr>
            <w:tcW w:w="2022"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全不锈钢吸顶式废气集风装置</w:t>
            </w:r>
          </w:p>
        </w:tc>
        <w:tc>
          <w:tcPr>
            <w:tcW w:w="594"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套</w:t>
            </w:r>
          </w:p>
        </w:tc>
        <w:tc>
          <w:tcPr>
            <w:tcW w:w="869"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7</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09"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82"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56</w:t>
            </w:r>
          </w:p>
        </w:tc>
        <w:tc>
          <w:tcPr>
            <w:tcW w:w="130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03B011</w:t>
            </w:r>
          </w:p>
        </w:tc>
        <w:tc>
          <w:tcPr>
            <w:tcW w:w="17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全不锈钢孔式层流新风布气装置</w:t>
            </w:r>
          </w:p>
        </w:tc>
        <w:tc>
          <w:tcPr>
            <w:tcW w:w="2022"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全不锈钢孔式层流新风布气装置</w:t>
            </w:r>
          </w:p>
        </w:tc>
        <w:tc>
          <w:tcPr>
            <w:tcW w:w="594"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套</w:t>
            </w:r>
          </w:p>
        </w:tc>
        <w:tc>
          <w:tcPr>
            <w:tcW w:w="869"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30</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09"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82"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301"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17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新风系统</w:t>
            </w:r>
          </w:p>
        </w:tc>
        <w:tc>
          <w:tcPr>
            <w:tcW w:w="2022"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594"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69"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09"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82"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57</w:t>
            </w:r>
          </w:p>
        </w:tc>
        <w:tc>
          <w:tcPr>
            <w:tcW w:w="130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030108001008</w:t>
            </w:r>
          </w:p>
        </w:tc>
        <w:tc>
          <w:tcPr>
            <w:tcW w:w="17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离心式通风机</w:t>
            </w:r>
          </w:p>
        </w:tc>
        <w:tc>
          <w:tcPr>
            <w:tcW w:w="2022"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无极变量组合式新风补充机组</w:t>
            </w:r>
          </w:p>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1、新风量：5000立方米/小时，机外余压：200pa，冷量：64.5KW，热量：69KW（含风帽、防震垫、70°防火阀、电动阀、手动阀等附件）</w:t>
            </w:r>
          </w:p>
        </w:tc>
        <w:tc>
          <w:tcPr>
            <w:tcW w:w="594"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台</w:t>
            </w:r>
          </w:p>
        </w:tc>
        <w:tc>
          <w:tcPr>
            <w:tcW w:w="869"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09"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8201" w:type="dxa"/>
            <w:gridSpan w:val="7"/>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本页小计</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82"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301"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780"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2022"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594"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869"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053"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120"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035"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940"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940"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744" w:type="dxa"/>
            <w:gridSpan w:val="2"/>
            <w:tcBorders>
              <w:top w:val="nil"/>
              <w:left w:val="nil"/>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表-07</w:t>
            </w:r>
          </w:p>
        </w:tc>
      </w:tr>
    </w:tbl>
    <w:p>
      <w:pPr>
        <w:widowControl/>
        <w:jc w:val="center"/>
        <w:textAlignment w:val="center"/>
        <w:rPr>
          <w:rFonts w:ascii="宋体" w:hAnsi="宋体" w:eastAsia="宋体" w:cs="宋体"/>
          <w:b/>
          <w:bCs/>
          <w:color w:val="auto"/>
          <w:kern w:val="0"/>
          <w:sz w:val="40"/>
          <w:szCs w:val="40"/>
          <w:lang w:bidi="ar"/>
        </w:rPr>
        <w:sectPr>
          <w:pgSz w:w="16838" w:h="11906" w:orient="landscape"/>
          <w:pgMar w:top="1440" w:right="1440" w:bottom="1440" w:left="1440" w:header="851" w:footer="992" w:gutter="0"/>
          <w:cols w:space="720" w:num="1"/>
          <w:docGrid w:linePitch="312" w:charSpace="0"/>
        </w:sectPr>
      </w:pPr>
    </w:p>
    <w:tbl>
      <w:tblPr>
        <w:tblStyle w:val="24"/>
        <w:tblW w:w="13820" w:type="dxa"/>
        <w:tblInd w:w="93" w:type="dxa"/>
        <w:tblLayout w:type="autofit"/>
        <w:tblCellMar>
          <w:top w:w="0" w:type="dxa"/>
          <w:left w:w="108" w:type="dxa"/>
          <w:bottom w:w="0" w:type="dxa"/>
          <w:right w:w="108" w:type="dxa"/>
        </w:tblCellMar>
      </w:tblPr>
      <w:tblGrid>
        <w:gridCol w:w="574"/>
        <w:gridCol w:w="1296"/>
        <w:gridCol w:w="1176"/>
        <w:gridCol w:w="2576"/>
        <w:gridCol w:w="586"/>
        <w:gridCol w:w="859"/>
        <w:gridCol w:w="1041"/>
        <w:gridCol w:w="1107"/>
        <w:gridCol w:w="1023"/>
        <w:gridCol w:w="929"/>
        <w:gridCol w:w="929"/>
        <w:gridCol w:w="925"/>
        <w:gridCol w:w="799"/>
      </w:tblGrid>
      <w:tr>
        <w:tblPrEx>
          <w:tblCellMar>
            <w:top w:w="0" w:type="dxa"/>
            <w:left w:w="108" w:type="dxa"/>
            <w:bottom w:w="0" w:type="dxa"/>
            <w:right w:w="108" w:type="dxa"/>
          </w:tblCellMar>
        </w:tblPrEx>
        <w:trPr>
          <w:trHeight w:val="90" w:hRule="atLeast"/>
        </w:trPr>
        <w:tc>
          <w:tcPr>
            <w:tcW w:w="13820" w:type="dxa"/>
            <w:gridSpan w:val="13"/>
            <w:tcBorders>
              <w:top w:val="nil"/>
              <w:left w:val="nil"/>
              <w:bottom w:val="nil"/>
              <w:right w:val="nil"/>
            </w:tcBorders>
            <w:shd w:val="clear" w:color="auto" w:fill="FFFFFF"/>
            <w:vAlign w:val="center"/>
          </w:tcPr>
          <w:p>
            <w:pPr>
              <w:widowControl/>
              <w:jc w:val="center"/>
              <w:textAlignment w:val="center"/>
              <w:rPr>
                <w:rFonts w:ascii="宋体" w:hAnsi="宋体" w:eastAsia="宋体" w:cs="宋体"/>
                <w:b/>
                <w:bCs/>
                <w:color w:val="auto"/>
                <w:sz w:val="40"/>
                <w:szCs w:val="40"/>
              </w:rPr>
            </w:pPr>
            <w:r>
              <w:rPr>
                <w:rFonts w:hint="eastAsia" w:ascii="宋体" w:hAnsi="宋体" w:eastAsia="宋体" w:cs="宋体"/>
                <w:b/>
                <w:bCs/>
                <w:color w:val="auto"/>
                <w:kern w:val="0"/>
                <w:sz w:val="40"/>
                <w:szCs w:val="40"/>
                <w:lang w:bidi="ar"/>
              </w:rPr>
              <w:t>分部分项工程量清单与计价表</w:t>
            </w:r>
          </w:p>
        </w:tc>
      </w:tr>
      <w:tr>
        <w:tblPrEx>
          <w:tblCellMar>
            <w:top w:w="0" w:type="dxa"/>
            <w:left w:w="108" w:type="dxa"/>
            <w:bottom w:w="0" w:type="dxa"/>
            <w:right w:w="108" w:type="dxa"/>
          </w:tblCellMar>
        </w:tblPrEx>
        <w:trPr>
          <w:trHeight w:val="90" w:hRule="atLeast"/>
        </w:trPr>
        <w:tc>
          <w:tcPr>
            <w:tcW w:w="10238" w:type="dxa"/>
            <w:gridSpan w:val="9"/>
            <w:tcBorders>
              <w:top w:val="nil"/>
              <w:left w:val="nil"/>
              <w:bottom w:val="nil"/>
              <w:right w:val="nil"/>
            </w:tcBorders>
            <w:shd w:val="clear" w:color="auto" w:fill="FFFFFF"/>
            <w:vAlign w:val="bottom"/>
          </w:tcPr>
          <w:p>
            <w:pPr>
              <w:widowControl/>
              <w:jc w:val="left"/>
              <w:textAlignment w:val="bottom"/>
              <w:rPr>
                <w:rFonts w:ascii="宋体" w:hAnsi="宋体" w:eastAsia="宋体" w:cs="宋体"/>
                <w:color w:val="auto"/>
                <w:sz w:val="18"/>
                <w:szCs w:val="18"/>
              </w:rPr>
            </w:pPr>
            <w:r>
              <w:rPr>
                <w:rFonts w:hint="eastAsia" w:ascii="宋体" w:hAnsi="宋体" w:eastAsia="宋体" w:cs="宋体"/>
                <w:color w:val="auto"/>
                <w:kern w:val="0"/>
                <w:sz w:val="18"/>
                <w:szCs w:val="18"/>
                <w:lang w:bidi="ar"/>
              </w:rPr>
              <w:t>单位工程(专业):单项工程1-安装</w:t>
            </w:r>
          </w:p>
        </w:tc>
        <w:tc>
          <w:tcPr>
            <w:tcW w:w="3582" w:type="dxa"/>
            <w:gridSpan w:val="4"/>
            <w:tcBorders>
              <w:top w:val="nil"/>
              <w:left w:val="nil"/>
              <w:bottom w:val="nil"/>
              <w:right w:val="nil"/>
            </w:tcBorders>
            <w:shd w:val="clear" w:color="auto" w:fill="FFFFFF"/>
            <w:vAlign w:val="bottom"/>
          </w:tcPr>
          <w:p>
            <w:pPr>
              <w:widowControl/>
              <w:jc w:val="right"/>
              <w:textAlignment w:val="bottom"/>
              <w:rPr>
                <w:rFonts w:ascii="宋体" w:hAnsi="宋体" w:eastAsia="宋体" w:cs="宋体"/>
                <w:color w:val="auto"/>
                <w:sz w:val="18"/>
                <w:szCs w:val="18"/>
              </w:rPr>
            </w:pPr>
            <w:r>
              <w:rPr>
                <w:rFonts w:hint="eastAsia" w:ascii="宋体" w:hAnsi="宋体" w:eastAsia="宋体" w:cs="宋体"/>
                <w:color w:val="auto"/>
                <w:kern w:val="0"/>
                <w:sz w:val="18"/>
                <w:szCs w:val="18"/>
                <w:lang w:bidi="ar"/>
              </w:rPr>
              <w:t>第8页 共9页</w:t>
            </w:r>
          </w:p>
        </w:tc>
      </w:tr>
      <w:tr>
        <w:trPr>
          <w:trHeight w:val="90" w:hRule="atLeast"/>
        </w:trPr>
        <w:tc>
          <w:tcPr>
            <w:tcW w:w="574"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序号</w:t>
            </w:r>
          </w:p>
        </w:tc>
        <w:tc>
          <w:tcPr>
            <w:tcW w:w="1296"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项目编码</w:t>
            </w:r>
          </w:p>
        </w:tc>
        <w:tc>
          <w:tcPr>
            <w:tcW w:w="1176"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项目名称</w:t>
            </w:r>
          </w:p>
        </w:tc>
        <w:tc>
          <w:tcPr>
            <w:tcW w:w="2576"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项目特征</w:t>
            </w:r>
          </w:p>
        </w:tc>
        <w:tc>
          <w:tcPr>
            <w:tcW w:w="586"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计量</w:t>
            </w:r>
          </w:p>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单位</w:t>
            </w:r>
          </w:p>
        </w:tc>
        <w:tc>
          <w:tcPr>
            <w:tcW w:w="859"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工程量</w:t>
            </w:r>
          </w:p>
        </w:tc>
        <w:tc>
          <w:tcPr>
            <w:tcW w:w="1041"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综合单价</w:t>
            </w:r>
          </w:p>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(元)</w:t>
            </w:r>
          </w:p>
        </w:tc>
        <w:tc>
          <w:tcPr>
            <w:tcW w:w="1107"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合价</w:t>
            </w:r>
          </w:p>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(元)</w:t>
            </w:r>
          </w:p>
        </w:tc>
        <w:tc>
          <w:tcPr>
            <w:tcW w:w="3806" w:type="dxa"/>
            <w:gridSpan w:val="4"/>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其中(元)</w:t>
            </w:r>
          </w:p>
        </w:tc>
        <w:tc>
          <w:tcPr>
            <w:tcW w:w="799" w:type="dxa"/>
            <w:vMerge w:val="restart"/>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备注</w:t>
            </w:r>
          </w:p>
        </w:tc>
      </w:tr>
      <w:tr>
        <w:tblPrEx>
          <w:tblCellMar>
            <w:top w:w="0" w:type="dxa"/>
            <w:left w:w="108" w:type="dxa"/>
            <w:bottom w:w="0" w:type="dxa"/>
            <w:right w:w="108" w:type="dxa"/>
          </w:tblCellMar>
        </w:tblPrEx>
        <w:trPr>
          <w:trHeight w:val="90" w:hRule="atLeast"/>
        </w:trPr>
        <w:tc>
          <w:tcPr>
            <w:tcW w:w="574"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296"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76"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2576"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586"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59"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041"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07"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023"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定额人工费</w:t>
            </w:r>
          </w:p>
        </w:tc>
        <w:tc>
          <w:tcPr>
            <w:tcW w:w="929"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人工费价差</w:t>
            </w:r>
          </w:p>
        </w:tc>
        <w:tc>
          <w:tcPr>
            <w:tcW w:w="929"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定额机械费</w:t>
            </w:r>
          </w:p>
        </w:tc>
        <w:tc>
          <w:tcPr>
            <w:tcW w:w="925" w:type="dxa"/>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机械费价差</w:t>
            </w:r>
          </w:p>
        </w:tc>
        <w:tc>
          <w:tcPr>
            <w:tcW w:w="799"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124" w:hRule="atLeast"/>
        </w:trPr>
        <w:tc>
          <w:tcPr>
            <w:tcW w:w="574"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58</w:t>
            </w:r>
          </w:p>
        </w:tc>
        <w:tc>
          <w:tcPr>
            <w:tcW w:w="129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030108001009</w:t>
            </w:r>
          </w:p>
        </w:tc>
        <w:tc>
          <w:tcPr>
            <w:tcW w:w="117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离心式通风机</w:t>
            </w:r>
          </w:p>
        </w:tc>
        <w:tc>
          <w:tcPr>
            <w:tcW w:w="257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无极变量组合式新风补充机组</w:t>
            </w:r>
          </w:p>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新风量：7000立方米/小时，机外余压：300pa，冷量：90.1KW，热量：96.3KW（含风帽、防震垫、70°防火阀、电动阀、手动阀等附件）</w:t>
            </w:r>
          </w:p>
        </w:tc>
        <w:tc>
          <w:tcPr>
            <w:tcW w:w="586"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台</w:t>
            </w:r>
          </w:p>
        </w:tc>
        <w:tc>
          <w:tcPr>
            <w:tcW w:w="859"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799"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124" w:hRule="atLeast"/>
        </w:trPr>
        <w:tc>
          <w:tcPr>
            <w:tcW w:w="574"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59</w:t>
            </w:r>
          </w:p>
        </w:tc>
        <w:tc>
          <w:tcPr>
            <w:tcW w:w="129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030108001010</w:t>
            </w:r>
          </w:p>
        </w:tc>
        <w:tc>
          <w:tcPr>
            <w:tcW w:w="117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离心式通风机</w:t>
            </w:r>
          </w:p>
        </w:tc>
        <w:tc>
          <w:tcPr>
            <w:tcW w:w="257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无极变量组合式新风补充机组</w:t>
            </w:r>
          </w:p>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新风量：10500立方米/小时，机外余压：300pa，冷量：141.7KW，热量：154.3KW（含风帽、防震垫、70°防火阀、电动阀、手动阀等附件）</w:t>
            </w:r>
          </w:p>
        </w:tc>
        <w:tc>
          <w:tcPr>
            <w:tcW w:w="586"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台</w:t>
            </w:r>
          </w:p>
        </w:tc>
        <w:tc>
          <w:tcPr>
            <w:tcW w:w="859"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799"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124" w:hRule="atLeast"/>
        </w:trPr>
        <w:tc>
          <w:tcPr>
            <w:tcW w:w="574"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60</w:t>
            </w:r>
          </w:p>
        </w:tc>
        <w:tc>
          <w:tcPr>
            <w:tcW w:w="129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030108001011</w:t>
            </w:r>
          </w:p>
        </w:tc>
        <w:tc>
          <w:tcPr>
            <w:tcW w:w="117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离心式通风机</w:t>
            </w:r>
          </w:p>
        </w:tc>
        <w:tc>
          <w:tcPr>
            <w:tcW w:w="257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无极变量组合式新风补充机组</w:t>
            </w:r>
          </w:p>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新风量：3000立方米/小时，机外余压：200pa，冷量：41KW，热量：44.3KW（含风帽、防震垫、70°防火阀、电动阀、手动阀等附件）</w:t>
            </w:r>
          </w:p>
        </w:tc>
        <w:tc>
          <w:tcPr>
            <w:tcW w:w="586"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台</w:t>
            </w:r>
          </w:p>
        </w:tc>
        <w:tc>
          <w:tcPr>
            <w:tcW w:w="859"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799"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113" w:hRule="atLeast"/>
        </w:trPr>
        <w:tc>
          <w:tcPr>
            <w:tcW w:w="574"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61</w:t>
            </w:r>
          </w:p>
        </w:tc>
        <w:tc>
          <w:tcPr>
            <w:tcW w:w="129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030702005003</w:t>
            </w:r>
          </w:p>
        </w:tc>
        <w:tc>
          <w:tcPr>
            <w:tcW w:w="117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塑料通风管道</w:t>
            </w:r>
          </w:p>
        </w:tc>
        <w:tc>
          <w:tcPr>
            <w:tcW w:w="257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1.名 称：pp通风管</w:t>
            </w:r>
          </w:p>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2.形 状：矩形</w:t>
            </w:r>
          </w:p>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3.规 格：δ=5，长边长800mm以下</w:t>
            </w:r>
          </w:p>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4、采用法兰连接</w:t>
            </w:r>
          </w:p>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5、风管支吊架制安</w:t>
            </w:r>
          </w:p>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6、具体要求详见暖通设计说明</w:t>
            </w:r>
          </w:p>
        </w:tc>
        <w:tc>
          <w:tcPr>
            <w:tcW w:w="586"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m2</w:t>
            </w:r>
          </w:p>
        </w:tc>
        <w:tc>
          <w:tcPr>
            <w:tcW w:w="859"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207.52</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799"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8108" w:type="dxa"/>
            <w:gridSpan w:val="7"/>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本页小计</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7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74"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296"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176"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2576"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586"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859"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041"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107"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023"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929"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929"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724" w:type="dxa"/>
            <w:gridSpan w:val="2"/>
            <w:tcBorders>
              <w:top w:val="nil"/>
              <w:left w:val="nil"/>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表-07</w:t>
            </w:r>
          </w:p>
        </w:tc>
      </w:tr>
    </w:tbl>
    <w:p>
      <w:pPr>
        <w:widowControl/>
        <w:jc w:val="center"/>
        <w:textAlignment w:val="center"/>
        <w:rPr>
          <w:rFonts w:ascii="宋体" w:hAnsi="宋体" w:eastAsia="宋体" w:cs="宋体"/>
          <w:b/>
          <w:bCs/>
          <w:color w:val="auto"/>
          <w:kern w:val="0"/>
          <w:sz w:val="40"/>
          <w:szCs w:val="40"/>
          <w:lang w:bidi="ar"/>
        </w:rPr>
        <w:sectPr>
          <w:pgSz w:w="16838" w:h="11906" w:orient="landscape"/>
          <w:pgMar w:top="1440" w:right="1440" w:bottom="1440" w:left="1440" w:header="851" w:footer="992" w:gutter="0"/>
          <w:cols w:space="720" w:num="1"/>
          <w:docGrid w:linePitch="312" w:charSpace="0"/>
        </w:sectPr>
      </w:pPr>
    </w:p>
    <w:tbl>
      <w:tblPr>
        <w:tblStyle w:val="24"/>
        <w:tblW w:w="13920" w:type="dxa"/>
        <w:tblInd w:w="93" w:type="dxa"/>
        <w:tblLayout w:type="autofit"/>
        <w:tblCellMar>
          <w:top w:w="0" w:type="dxa"/>
          <w:left w:w="108" w:type="dxa"/>
          <w:bottom w:w="0" w:type="dxa"/>
          <w:right w:w="108" w:type="dxa"/>
        </w:tblCellMar>
      </w:tblPr>
      <w:tblGrid>
        <w:gridCol w:w="580"/>
        <w:gridCol w:w="1296"/>
        <w:gridCol w:w="1773"/>
        <w:gridCol w:w="2014"/>
        <w:gridCol w:w="592"/>
        <w:gridCol w:w="866"/>
        <w:gridCol w:w="1049"/>
        <w:gridCol w:w="1116"/>
        <w:gridCol w:w="1026"/>
        <w:gridCol w:w="936"/>
        <w:gridCol w:w="936"/>
        <w:gridCol w:w="936"/>
        <w:gridCol w:w="800"/>
      </w:tblGrid>
      <w:tr>
        <w:tblPrEx>
          <w:tblCellMar>
            <w:top w:w="0" w:type="dxa"/>
            <w:left w:w="108" w:type="dxa"/>
            <w:bottom w:w="0" w:type="dxa"/>
            <w:right w:w="108" w:type="dxa"/>
          </w:tblCellMar>
        </w:tblPrEx>
        <w:trPr>
          <w:trHeight w:val="90" w:hRule="atLeast"/>
        </w:trPr>
        <w:tc>
          <w:tcPr>
            <w:tcW w:w="13920" w:type="dxa"/>
            <w:gridSpan w:val="13"/>
            <w:tcBorders>
              <w:top w:val="nil"/>
              <w:left w:val="nil"/>
              <w:bottom w:val="nil"/>
              <w:right w:val="nil"/>
            </w:tcBorders>
            <w:shd w:val="clear" w:color="auto" w:fill="FFFFFF"/>
            <w:vAlign w:val="center"/>
          </w:tcPr>
          <w:p>
            <w:pPr>
              <w:widowControl/>
              <w:jc w:val="center"/>
              <w:textAlignment w:val="center"/>
              <w:rPr>
                <w:rFonts w:ascii="宋体" w:hAnsi="宋体" w:eastAsia="宋体" w:cs="宋体"/>
                <w:b/>
                <w:bCs/>
                <w:color w:val="auto"/>
                <w:sz w:val="40"/>
                <w:szCs w:val="40"/>
              </w:rPr>
            </w:pPr>
            <w:r>
              <w:rPr>
                <w:rFonts w:hint="eastAsia" w:ascii="宋体" w:hAnsi="宋体" w:eastAsia="宋体" w:cs="宋体"/>
                <w:b/>
                <w:bCs/>
                <w:color w:val="auto"/>
                <w:kern w:val="0"/>
                <w:sz w:val="40"/>
                <w:szCs w:val="40"/>
                <w:lang w:bidi="ar"/>
              </w:rPr>
              <w:t>分部分项工程量清单与计价表</w:t>
            </w:r>
          </w:p>
        </w:tc>
      </w:tr>
      <w:tr>
        <w:tblPrEx>
          <w:tblCellMar>
            <w:top w:w="0" w:type="dxa"/>
            <w:left w:w="108" w:type="dxa"/>
            <w:bottom w:w="0" w:type="dxa"/>
            <w:right w:w="108" w:type="dxa"/>
          </w:tblCellMar>
        </w:tblPrEx>
        <w:trPr>
          <w:trHeight w:val="90" w:hRule="atLeast"/>
        </w:trPr>
        <w:tc>
          <w:tcPr>
            <w:tcW w:w="10312" w:type="dxa"/>
            <w:gridSpan w:val="9"/>
            <w:tcBorders>
              <w:top w:val="nil"/>
              <w:left w:val="nil"/>
              <w:bottom w:val="nil"/>
              <w:right w:val="nil"/>
            </w:tcBorders>
            <w:shd w:val="clear" w:color="auto" w:fill="FFFFFF"/>
            <w:vAlign w:val="bottom"/>
          </w:tcPr>
          <w:p>
            <w:pPr>
              <w:widowControl/>
              <w:jc w:val="left"/>
              <w:textAlignment w:val="bottom"/>
              <w:rPr>
                <w:rFonts w:ascii="宋体" w:hAnsi="宋体" w:eastAsia="宋体" w:cs="宋体"/>
                <w:color w:val="auto"/>
                <w:sz w:val="18"/>
                <w:szCs w:val="18"/>
              </w:rPr>
            </w:pPr>
            <w:r>
              <w:rPr>
                <w:rFonts w:hint="eastAsia" w:ascii="宋体" w:hAnsi="宋体" w:eastAsia="宋体" w:cs="宋体"/>
                <w:color w:val="auto"/>
                <w:kern w:val="0"/>
                <w:sz w:val="18"/>
                <w:szCs w:val="18"/>
                <w:lang w:bidi="ar"/>
              </w:rPr>
              <w:t>单位工程(专业):单项工程1-安装</w:t>
            </w:r>
          </w:p>
        </w:tc>
        <w:tc>
          <w:tcPr>
            <w:tcW w:w="3608" w:type="dxa"/>
            <w:gridSpan w:val="4"/>
            <w:tcBorders>
              <w:top w:val="nil"/>
              <w:left w:val="nil"/>
              <w:bottom w:val="nil"/>
              <w:right w:val="nil"/>
            </w:tcBorders>
            <w:shd w:val="clear" w:color="auto" w:fill="FFFFFF"/>
            <w:vAlign w:val="bottom"/>
          </w:tcPr>
          <w:p>
            <w:pPr>
              <w:widowControl/>
              <w:jc w:val="right"/>
              <w:textAlignment w:val="bottom"/>
              <w:rPr>
                <w:rFonts w:ascii="宋体" w:hAnsi="宋体" w:eastAsia="宋体" w:cs="宋体"/>
                <w:color w:val="auto"/>
                <w:sz w:val="18"/>
                <w:szCs w:val="18"/>
              </w:rPr>
            </w:pPr>
            <w:r>
              <w:rPr>
                <w:rFonts w:hint="eastAsia" w:ascii="宋体" w:hAnsi="宋体" w:eastAsia="宋体" w:cs="宋体"/>
                <w:color w:val="auto"/>
                <w:kern w:val="0"/>
                <w:sz w:val="18"/>
                <w:szCs w:val="18"/>
                <w:lang w:bidi="ar"/>
              </w:rPr>
              <w:t>第9页 共9页</w:t>
            </w:r>
          </w:p>
        </w:tc>
      </w:tr>
      <w:tr>
        <w:trPr>
          <w:trHeight w:val="90" w:hRule="atLeast"/>
        </w:trPr>
        <w:tc>
          <w:tcPr>
            <w:tcW w:w="580"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序号</w:t>
            </w:r>
          </w:p>
        </w:tc>
        <w:tc>
          <w:tcPr>
            <w:tcW w:w="1296"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项目编码</w:t>
            </w:r>
          </w:p>
        </w:tc>
        <w:tc>
          <w:tcPr>
            <w:tcW w:w="1773"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项目名称</w:t>
            </w:r>
          </w:p>
        </w:tc>
        <w:tc>
          <w:tcPr>
            <w:tcW w:w="2014"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项目特征</w:t>
            </w:r>
          </w:p>
        </w:tc>
        <w:tc>
          <w:tcPr>
            <w:tcW w:w="592"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计量</w:t>
            </w:r>
          </w:p>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单位</w:t>
            </w:r>
          </w:p>
        </w:tc>
        <w:tc>
          <w:tcPr>
            <w:tcW w:w="866"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工程量</w:t>
            </w:r>
          </w:p>
        </w:tc>
        <w:tc>
          <w:tcPr>
            <w:tcW w:w="1049"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综合单价</w:t>
            </w:r>
          </w:p>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(元)</w:t>
            </w:r>
          </w:p>
        </w:tc>
        <w:tc>
          <w:tcPr>
            <w:tcW w:w="1116"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合价</w:t>
            </w:r>
          </w:p>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(元)</w:t>
            </w:r>
          </w:p>
        </w:tc>
        <w:tc>
          <w:tcPr>
            <w:tcW w:w="3834" w:type="dxa"/>
            <w:gridSpan w:val="4"/>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其中(元)</w:t>
            </w:r>
          </w:p>
        </w:tc>
        <w:tc>
          <w:tcPr>
            <w:tcW w:w="800" w:type="dxa"/>
            <w:vMerge w:val="restart"/>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备注</w:t>
            </w:r>
          </w:p>
        </w:tc>
      </w:tr>
      <w:tr>
        <w:tblPrEx>
          <w:tblCellMar>
            <w:top w:w="0" w:type="dxa"/>
            <w:left w:w="108" w:type="dxa"/>
            <w:bottom w:w="0" w:type="dxa"/>
            <w:right w:w="108" w:type="dxa"/>
          </w:tblCellMar>
        </w:tblPrEx>
        <w:trPr>
          <w:trHeight w:val="90" w:hRule="atLeast"/>
        </w:trPr>
        <w:tc>
          <w:tcPr>
            <w:tcW w:w="5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296"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773"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2014"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592"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66"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049"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16"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026"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定额人工费</w:t>
            </w:r>
          </w:p>
        </w:tc>
        <w:tc>
          <w:tcPr>
            <w:tcW w:w="936"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人工费价差</w:t>
            </w:r>
          </w:p>
        </w:tc>
        <w:tc>
          <w:tcPr>
            <w:tcW w:w="936"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定额机械费</w:t>
            </w:r>
          </w:p>
        </w:tc>
        <w:tc>
          <w:tcPr>
            <w:tcW w:w="936" w:type="dxa"/>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机械费价差</w:t>
            </w:r>
          </w:p>
        </w:tc>
        <w:tc>
          <w:tcPr>
            <w:tcW w:w="80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92" w:hRule="atLeast"/>
        </w:trPr>
        <w:tc>
          <w:tcPr>
            <w:tcW w:w="58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62</w:t>
            </w:r>
          </w:p>
        </w:tc>
        <w:tc>
          <w:tcPr>
            <w:tcW w:w="129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030702005004</w:t>
            </w:r>
          </w:p>
        </w:tc>
        <w:tc>
          <w:tcPr>
            <w:tcW w:w="1773"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塑料通风管道</w:t>
            </w:r>
          </w:p>
        </w:tc>
        <w:tc>
          <w:tcPr>
            <w:tcW w:w="201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1.名 称：pp通风管</w:t>
            </w:r>
          </w:p>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2.形 状：矩形</w:t>
            </w:r>
          </w:p>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3.规 格：δ=6，长边长1250mm以下</w:t>
            </w:r>
          </w:p>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4、采用法兰连接</w:t>
            </w:r>
          </w:p>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5、风管支吊架制安</w:t>
            </w:r>
          </w:p>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6、具体要求详见暖通设计说明</w:t>
            </w:r>
          </w:p>
        </w:tc>
        <w:tc>
          <w:tcPr>
            <w:tcW w:w="592"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m2</w:t>
            </w:r>
          </w:p>
        </w:tc>
        <w:tc>
          <w:tcPr>
            <w:tcW w:w="866"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30.56</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00"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8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63</w:t>
            </w:r>
          </w:p>
        </w:tc>
        <w:tc>
          <w:tcPr>
            <w:tcW w:w="129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03B003</w:t>
            </w:r>
          </w:p>
        </w:tc>
        <w:tc>
          <w:tcPr>
            <w:tcW w:w="1773"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原新风管部分拆除</w:t>
            </w:r>
          </w:p>
        </w:tc>
        <w:tc>
          <w:tcPr>
            <w:tcW w:w="201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原新风管部分拆除</w:t>
            </w:r>
          </w:p>
        </w:tc>
        <w:tc>
          <w:tcPr>
            <w:tcW w:w="592"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项</w:t>
            </w:r>
          </w:p>
        </w:tc>
        <w:tc>
          <w:tcPr>
            <w:tcW w:w="866"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00"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8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64</w:t>
            </w:r>
          </w:p>
        </w:tc>
        <w:tc>
          <w:tcPr>
            <w:tcW w:w="129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030413001002</w:t>
            </w:r>
          </w:p>
        </w:tc>
        <w:tc>
          <w:tcPr>
            <w:tcW w:w="1773"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铁构件</w:t>
            </w:r>
          </w:p>
        </w:tc>
        <w:tc>
          <w:tcPr>
            <w:tcW w:w="201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1、一般铁构件制作</w:t>
            </w:r>
          </w:p>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2、一般铁构件安装</w:t>
            </w:r>
          </w:p>
        </w:tc>
        <w:tc>
          <w:tcPr>
            <w:tcW w:w="592"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kg</w:t>
            </w:r>
          </w:p>
        </w:tc>
        <w:tc>
          <w:tcPr>
            <w:tcW w:w="866"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280.00</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00"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8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65</w:t>
            </w:r>
          </w:p>
        </w:tc>
        <w:tc>
          <w:tcPr>
            <w:tcW w:w="129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031208003001</w:t>
            </w:r>
          </w:p>
        </w:tc>
        <w:tc>
          <w:tcPr>
            <w:tcW w:w="1773"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通风管道绝热</w:t>
            </w:r>
          </w:p>
        </w:tc>
        <w:tc>
          <w:tcPr>
            <w:tcW w:w="201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1.橡塑板安装 风管(厚度mm)10mm</w:t>
            </w:r>
          </w:p>
        </w:tc>
        <w:tc>
          <w:tcPr>
            <w:tcW w:w="592"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m3</w:t>
            </w:r>
          </w:p>
        </w:tc>
        <w:tc>
          <w:tcPr>
            <w:tcW w:w="866"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13.00</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00"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296"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1773"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01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592"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66"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00"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296"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1773"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01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592"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66"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00"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296"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1773"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01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592"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66"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00"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296"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1773"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01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592"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66"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00"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296"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1773"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01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592"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66"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00"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296"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1773"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01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592"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66"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00"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296"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1773"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01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592"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66"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00"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296"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1773"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01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592"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66"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00"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8170" w:type="dxa"/>
            <w:gridSpan w:val="7"/>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本页小计</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00" w:type="dxa"/>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8170" w:type="dxa"/>
            <w:gridSpan w:val="7"/>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 xml:space="preserve"> 合  计</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580"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296"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773"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2014"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592"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866"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049"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116"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026"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936"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936"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736" w:type="dxa"/>
            <w:gridSpan w:val="2"/>
            <w:tcBorders>
              <w:top w:val="nil"/>
              <w:left w:val="nil"/>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表-07</w:t>
            </w:r>
          </w:p>
        </w:tc>
      </w:tr>
    </w:tbl>
    <w:p>
      <w:pPr>
        <w:widowControl/>
        <w:jc w:val="center"/>
        <w:textAlignment w:val="center"/>
        <w:rPr>
          <w:rFonts w:ascii="宋体" w:hAnsi="宋体" w:eastAsia="宋体" w:cs="宋体"/>
          <w:b/>
          <w:bCs/>
          <w:color w:val="auto"/>
          <w:kern w:val="0"/>
          <w:sz w:val="32"/>
          <w:szCs w:val="32"/>
          <w:lang w:bidi="ar"/>
        </w:rPr>
        <w:sectPr>
          <w:pgSz w:w="16838" w:h="11906" w:orient="landscape"/>
          <w:pgMar w:top="1440" w:right="1440" w:bottom="1440" w:left="1440" w:header="851" w:footer="992" w:gutter="0"/>
          <w:cols w:space="720" w:num="1"/>
          <w:docGrid w:linePitch="312" w:charSpace="0"/>
        </w:sectPr>
      </w:pPr>
    </w:p>
    <w:tbl>
      <w:tblPr>
        <w:tblStyle w:val="24"/>
        <w:tblW w:w="9380" w:type="dxa"/>
        <w:tblInd w:w="93" w:type="dxa"/>
        <w:tblLayout w:type="autofit"/>
        <w:tblCellMar>
          <w:top w:w="0" w:type="dxa"/>
          <w:left w:w="108" w:type="dxa"/>
          <w:bottom w:w="0" w:type="dxa"/>
          <w:right w:w="108" w:type="dxa"/>
        </w:tblCellMar>
      </w:tblPr>
      <w:tblGrid>
        <w:gridCol w:w="596"/>
        <w:gridCol w:w="3149"/>
        <w:gridCol w:w="2720"/>
        <w:gridCol w:w="1165"/>
        <w:gridCol w:w="1750"/>
      </w:tblGrid>
      <w:tr>
        <w:tblPrEx>
          <w:tblCellMar>
            <w:top w:w="0" w:type="dxa"/>
            <w:left w:w="108" w:type="dxa"/>
            <w:bottom w:w="0" w:type="dxa"/>
            <w:right w:w="108" w:type="dxa"/>
          </w:tblCellMar>
        </w:tblPrEx>
        <w:trPr>
          <w:trHeight w:val="835" w:hRule="atLeast"/>
        </w:trPr>
        <w:tc>
          <w:tcPr>
            <w:tcW w:w="9380" w:type="dxa"/>
            <w:gridSpan w:val="5"/>
            <w:tcBorders>
              <w:top w:val="nil"/>
              <w:left w:val="nil"/>
              <w:bottom w:val="nil"/>
              <w:right w:val="nil"/>
            </w:tcBorders>
            <w:shd w:val="clear" w:color="auto" w:fill="FFFFFF"/>
            <w:vAlign w:val="center"/>
          </w:tcPr>
          <w:p>
            <w:pPr>
              <w:widowControl/>
              <w:jc w:val="center"/>
              <w:textAlignment w:val="center"/>
              <w:rPr>
                <w:rFonts w:ascii="宋体" w:hAnsi="宋体" w:eastAsia="宋体" w:cs="宋体"/>
                <w:b/>
                <w:bCs/>
                <w:color w:val="auto"/>
                <w:sz w:val="40"/>
                <w:szCs w:val="40"/>
              </w:rPr>
            </w:pPr>
            <w:r>
              <w:rPr>
                <w:rFonts w:hint="eastAsia" w:ascii="宋体" w:hAnsi="宋体" w:eastAsia="宋体" w:cs="宋体"/>
                <w:b/>
                <w:bCs/>
                <w:color w:val="auto"/>
                <w:kern w:val="0"/>
                <w:sz w:val="40"/>
                <w:szCs w:val="40"/>
                <w:lang w:bidi="ar"/>
              </w:rPr>
              <w:t>施工组织措施项目清单与计价表</w:t>
            </w:r>
          </w:p>
        </w:tc>
      </w:tr>
      <w:tr>
        <w:tblPrEx>
          <w:tblCellMar>
            <w:top w:w="0" w:type="dxa"/>
            <w:left w:w="108" w:type="dxa"/>
            <w:bottom w:w="0" w:type="dxa"/>
            <w:right w:w="108" w:type="dxa"/>
          </w:tblCellMar>
        </w:tblPrEx>
        <w:trPr>
          <w:trHeight w:val="375" w:hRule="atLeast"/>
        </w:trPr>
        <w:tc>
          <w:tcPr>
            <w:tcW w:w="6465" w:type="dxa"/>
            <w:gridSpan w:val="3"/>
            <w:tcBorders>
              <w:top w:val="nil"/>
              <w:left w:val="nil"/>
              <w:bottom w:val="nil"/>
              <w:right w:val="nil"/>
            </w:tcBorders>
            <w:shd w:val="clear" w:color="auto" w:fill="FFFFFF"/>
            <w:vAlign w:val="bottom"/>
          </w:tcPr>
          <w:p>
            <w:pPr>
              <w:widowControl/>
              <w:jc w:val="left"/>
              <w:textAlignment w:val="bottom"/>
              <w:rPr>
                <w:rFonts w:ascii="宋体" w:hAnsi="宋体" w:eastAsia="宋体" w:cs="宋体"/>
                <w:color w:val="auto"/>
                <w:sz w:val="18"/>
                <w:szCs w:val="18"/>
              </w:rPr>
            </w:pPr>
            <w:r>
              <w:rPr>
                <w:rFonts w:hint="eastAsia" w:ascii="宋体" w:hAnsi="宋体" w:eastAsia="宋体" w:cs="宋体"/>
                <w:color w:val="auto"/>
                <w:kern w:val="0"/>
                <w:sz w:val="18"/>
                <w:szCs w:val="18"/>
                <w:lang w:bidi="ar"/>
              </w:rPr>
              <w:t>单位工程(专业):单项工程1-安装</w:t>
            </w:r>
          </w:p>
        </w:tc>
        <w:tc>
          <w:tcPr>
            <w:tcW w:w="2915" w:type="dxa"/>
            <w:gridSpan w:val="2"/>
            <w:tcBorders>
              <w:top w:val="nil"/>
              <w:left w:val="nil"/>
              <w:bottom w:val="nil"/>
              <w:right w:val="nil"/>
            </w:tcBorders>
            <w:shd w:val="clear" w:color="auto" w:fill="FFFFFF"/>
            <w:vAlign w:val="bottom"/>
          </w:tcPr>
          <w:p>
            <w:pPr>
              <w:widowControl/>
              <w:jc w:val="right"/>
              <w:textAlignment w:val="bottom"/>
              <w:rPr>
                <w:rFonts w:ascii="宋体" w:hAnsi="宋体" w:eastAsia="宋体" w:cs="宋体"/>
                <w:color w:val="auto"/>
                <w:sz w:val="18"/>
                <w:szCs w:val="18"/>
              </w:rPr>
            </w:pPr>
            <w:r>
              <w:rPr>
                <w:rFonts w:hint="eastAsia" w:ascii="宋体" w:hAnsi="宋体" w:eastAsia="宋体" w:cs="宋体"/>
                <w:color w:val="auto"/>
                <w:kern w:val="0"/>
                <w:sz w:val="18"/>
                <w:szCs w:val="18"/>
                <w:lang w:bidi="ar"/>
              </w:rPr>
              <w:t>第1页 共1页</w:t>
            </w:r>
          </w:p>
        </w:tc>
      </w:tr>
      <w:tr>
        <w:trPr>
          <w:trHeight w:val="391" w:hRule="atLeast"/>
        </w:trPr>
        <w:tc>
          <w:tcPr>
            <w:tcW w:w="596"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序号</w:t>
            </w:r>
          </w:p>
        </w:tc>
        <w:tc>
          <w:tcPr>
            <w:tcW w:w="3149"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项 目 名 称</w:t>
            </w:r>
          </w:p>
        </w:tc>
        <w:tc>
          <w:tcPr>
            <w:tcW w:w="272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计算基础</w:t>
            </w:r>
          </w:p>
        </w:tc>
        <w:tc>
          <w:tcPr>
            <w:tcW w:w="116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费率(%)</w:t>
            </w:r>
          </w:p>
        </w:tc>
        <w:tc>
          <w:tcPr>
            <w:tcW w:w="1750" w:type="dxa"/>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金额(元)</w:t>
            </w:r>
          </w:p>
        </w:tc>
      </w:tr>
      <w:tr>
        <w:tblPrEx>
          <w:tblCellMar>
            <w:top w:w="0" w:type="dxa"/>
            <w:left w:w="108" w:type="dxa"/>
            <w:bottom w:w="0" w:type="dxa"/>
            <w:right w:w="108" w:type="dxa"/>
          </w:tblCellMar>
        </w:tblPrEx>
        <w:trPr>
          <w:trHeight w:val="391" w:hRule="atLeast"/>
        </w:trPr>
        <w:tc>
          <w:tcPr>
            <w:tcW w:w="596"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w:t>
            </w:r>
          </w:p>
        </w:tc>
        <w:tc>
          <w:tcPr>
            <w:tcW w:w="3149"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安全文明施工基本费</w:t>
            </w:r>
          </w:p>
        </w:tc>
        <w:tc>
          <w:tcPr>
            <w:tcW w:w="272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定额人工费+定额机械费</w:t>
            </w:r>
          </w:p>
        </w:tc>
        <w:tc>
          <w:tcPr>
            <w:tcW w:w="116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7.1</w:t>
            </w: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widowControl/>
              <w:jc w:val="right"/>
              <w:textAlignment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391" w:hRule="atLeast"/>
        </w:trPr>
        <w:tc>
          <w:tcPr>
            <w:tcW w:w="596"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w:t>
            </w:r>
          </w:p>
        </w:tc>
        <w:tc>
          <w:tcPr>
            <w:tcW w:w="3149"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提前竣工增加费</w:t>
            </w:r>
          </w:p>
        </w:tc>
        <w:tc>
          <w:tcPr>
            <w:tcW w:w="272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定额人工费+定额机械费</w:t>
            </w:r>
          </w:p>
        </w:tc>
        <w:tc>
          <w:tcPr>
            <w:tcW w:w="116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91" w:hRule="atLeast"/>
        </w:trPr>
        <w:tc>
          <w:tcPr>
            <w:tcW w:w="596"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3</w:t>
            </w:r>
          </w:p>
        </w:tc>
        <w:tc>
          <w:tcPr>
            <w:tcW w:w="3149"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二次搬运费</w:t>
            </w:r>
          </w:p>
        </w:tc>
        <w:tc>
          <w:tcPr>
            <w:tcW w:w="272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定额人工费+定额机械费</w:t>
            </w:r>
          </w:p>
        </w:tc>
        <w:tc>
          <w:tcPr>
            <w:tcW w:w="116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0.26</w:t>
            </w: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widowControl/>
              <w:jc w:val="right"/>
              <w:textAlignment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391" w:hRule="atLeast"/>
        </w:trPr>
        <w:tc>
          <w:tcPr>
            <w:tcW w:w="596"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4</w:t>
            </w:r>
          </w:p>
        </w:tc>
        <w:tc>
          <w:tcPr>
            <w:tcW w:w="3149"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冬雨季施工增加费</w:t>
            </w:r>
          </w:p>
        </w:tc>
        <w:tc>
          <w:tcPr>
            <w:tcW w:w="272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定额人工费+定额机械费</w:t>
            </w:r>
          </w:p>
        </w:tc>
        <w:tc>
          <w:tcPr>
            <w:tcW w:w="116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0.13</w:t>
            </w: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widowControl/>
              <w:jc w:val="right"/>
              <w:textAlignment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391" w:hRule="atLeast"/>
        </w:trPr>
        <w:tc>
          <w:tcPr>
            <w:tcW w:w="596"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5</w:t>
            </w:r>
          </w:p>
        </w:tc>
        <w:tc>
          <w:tcPr>
            <w:tcW w:w="3149"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行车、行人干扰增加费(限市政)</w:t>
            </w:r>
          </w:p>
        </w:tc>
        <w:tc>
          <w:tcPr>
            <w:tcW w:w="272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定额人工费+定额机械费</w:t>
            </w:r>
          </w:p>
        </w:tc>
        <w:tc>
          <w:tcPr>
            <w:tcW w:w="116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91" w:hRule="atLeast"/>
        </w:trPr>
        <w:tc>
          <w:tcPr>
            <w:tcW w:w="596"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6</w:t>
            </w:r>
          </w:p>
        </w:tc>
        <w:tc>
          <w:tcPr>
            <w:tcW w:w="3149"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其他施工组织措施费</w:t>
            </w:r>
          </w:p>
        </w:tc>
        <w:tc>
          <w:tcPr>
            <w:tcW w:w="272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定额人工费+定额机械费</w:t>
            </w:r>
          </w:p>
        </w:tc>
        <w:tc>
          <w:tcPr>
            <w:tcW w:w="116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91" w:hRule="atLeast"/>
        </w:trPr>
        <w:tc>
          <w:tcPr>
            <w:tcW w:w="596"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149"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7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6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91" w:hRule="atLeast"/>
        </w:trPr>
        <w:tc>
          <w:tcPr>
            <w:tcW w:w="596"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149"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7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6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91" w:hRule="atLeast"/>
        </w:trPr>
        <w:tc>
          <w:tcPr>
            <w:tcW w:w="596"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149"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7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6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91" w:hRule="atLeast"/>
        </w:trPr>
        <w:tc>
          <w:tcPr>
            <w:tcW w:w="596"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149"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7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6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91" w:hRule="atLeast"/>
        </w:trPr>
        <w:tc>
          <w:tcPr>
            <w:tcW w:w="596"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149"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7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6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91" w:hRule="atLeast"/>
        </w:trPr>
        <w:tc>
          <w:tcPr>
            <w:tcW w:w="596"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149"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7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6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91" w:hRule="atLeast"/>
        </w:trPr>
        <w:tc>
          <w:tcPr>
            <w:tcW w:w="596"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149"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7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6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91" w:hRule="atLeast"/>
        </w:trPr>
        <w:tc>
          <w:tcPr>
            <w:tcW w:w="596"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149"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7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6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91" w:hRule="atLeast"/>
        </w:trPr>
        <w:tc>
          <w:tcPr>
            <w:tcW w:w="596"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149"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7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6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91" w:hRule="atLeast"/>
        </w:trPr>
        <w:tc>
          <w:tcPr>
            <w:tcW w:w="596"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149"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7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6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91" w:hRule="atLeast"/>
        </w:trPr>
        <w:tc>
          <w:tcPr>
            <w:tcW w:w="596"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149"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7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6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91" w:hRule="atLeast"/>
        </w:trPr>
        <w:tc>
          <w:tcPr>
            <w:tcW w:w="596"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149"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7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6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91" w:hRule="atLeast"/>
        </w:trPr>
        <w:tc>
          <w:tcPr>
            <w:tcW w:w="596"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149"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7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6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91" w:hRule="atLeast"/>
        </w:trPr>
        <w:tc>
          <w:tcPr>
            <w:tcW w:w="596"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149"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7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6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91" w:hRule="atLeast"/>
        </w:trPr>
        <w:tc>
          <w:tcPr>
            <w:tcW w:w="596"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149"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7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6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91" w:hRule="atLeast"/>
        </w:trPr>
        <w:tc>
          <w:tcPr>
            <w:tcW w:w="596"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149"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7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6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91" w:hRule="atLeast"/>
        </w:trPr>
        <w:tc>
          <w:tcPr>
            <w:tcW w:w="596"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149"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7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6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91" w:hRule="atLeast"/>
        </w:trPr>
        <w:tc>
          <w:tcPr>
            <w:tcW w:w="596"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149"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7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6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91" w:hRule="atLeast"/>
        </w:trPr>
        <w:tc>
          <w:tcPr>
            <w:tcW w:w="596"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149"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7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6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91" w:hRule="atLeast"/>
        </w:trPr>
        <w:tc>
          <w:tcPr>
            <w:tcW w:w="596"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149"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7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6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91" w:hRule="atLeast"/>
        </w:trPr>
        <w:tc>
          <w:tcPr>
            <w:tcW w:w="596"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149"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7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6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91" w:hRule="atLeast"/>
        </w:trPr>
        <w:tc>
          <w:tcPr>
            <w:tcW w:w="7630" w:type="dxa"/>
            <w:gridSpan w:val="4"/>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合  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right"/>
              <w:textAlignment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385" w:hRule="atLeast"/>
        </w:trPr>
        <w:tc>
          <w:tcPr>
            <w:tcW w:w="0" w:type="auto"/>
            <w:tcBorders>
              <w:top w:val="nil"/>
              <w:left w:val="nil"/>
              <w:bottom w:val="nil"/>
              <w:right w:val="nil"/>
            </w:tcBorders>
            <w:shd w:val="clear" w:color="auto" w:fill="auto"/>
            <w:noWrap/>
            <w:vAlign w:val="bottom"/>
          </w:tcPr>
          <w:p>
            <w:pPr>
              <w:rPr>
                <w:rFonts w:ascii="Arial" w:hAnsi="Arial" w:cs="Arial"/>
                <w:color w:val="auto"/>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auto"/>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auto"/>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auto"/>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auto"/>
                <w:sz w:val="20"/>
                <w:szCs w:val="20"/>
              </w:rPr>
            </w:pPr>
          </w:p>
        </w:tc>
      </w:tr>
      <w:tr>
        <w:trPr>
          <w:trHeight w:val="375" w:hRule="atLeast"/>
        </w:trPr>
        <w:tc>
          <w:tcPr>
            <w:tcW w:w="9380" w:type="dxa"/>
            <w:gridSpan w:val="5"/>
            <w:tcBorders>
              <w:top w:val="nil"/>
              <w:left w:val="nil"/>
              <w:bottom w:val="nil"/>
              <w:right w:val="nil"/>
            </w:tcBorders>
            <w:shd w:val="clear" w:color="auto" w:fill="FFFFFF"/>
          </w:tcPr>
          <w:p>
            <w:pPr>
              <w:widowControl/>
              <w:jc w:val="right"/>
              <w:textAlignment w:val="top"/>
              <w:rPr>
                <w:rFonts w:ascii="宋体" w:hAnsi="宋体" w:eastAsia="宋体" w:cs="宋体"/>
                <w:color w:val="auto"/>
                <w:sz w:val="18"/>
                <w:szCs w:val="18"/>
              </w:rPr>
            </w:pPr>
            <w:r>
              <w:rPr>
                <w:rFonts w:hint="eastAsia" w:ascii="宋体" w:hAnsi="宋体" w:eastAsia="宋体" w:cs="宋体"/>
                <w:color w:val="auto"/>
                <w:kern w:val="0"/>
                <w:sz w:val="18"/>
                <w:szCs w:val="18"/>
                <w:lang w:bidi="ar"/>
              </w:rPr>
              <w:t>表-10</w:t>
            </w:r>
          </w:p>
        </w:tc>
      </w:tr>
    </w:tbl>
    <w:p>
      <w:pPr>
        <w:widowControl/>
        <w:jc w:val="center"/>
        <w:textAlignment w:val="center"/>
        <w:rPr>
          <w:rFonts w:ascii="宋体" w:hAnsi="宋体" w:eastAsia="宋体" w:cs="宋体"/>
          <w:b/>
          <w:bCs/>
          <w:color w:val="auto"/>
          <w:kern w:val="0"/>
          <w:sz w:val="32"/>
          <w:szCs w:val="32"/>
          <w:lang w:bidi="ar"/>
        </w:rPr>
      </w:pPr>
      <w:r>
        <w:rPr>
          <w:rFonts w:hint="eastAsia" w:ascii="宋体" w:hAnsi="宋体" w:eastAsia="宋体" w:cs="宋体"/>
          <w:b/>
          <w:bCs/>
          <w:color w:val="auto"/>
          <w:kern w:val="0"/>
          <w:sz w:val="32"/>
          <w:szCs w:val="32"/>
          <w:lang w:bidi="ar"/>
        </w:rPr>
        <w:br w:type="page"/>
      </w:r>
    </w:p>
    <w:p>
      <w:pPr>
        <w:pStyle w:val="33"/>
        <w:rPr>
          <w:color w:val="auto"/>
        </w:rPr>
        <w:sectPr>
          <w:pgSz w:w="11906" w:h="16838"/>
          <w:pgMar w:top="1440" w:right="1440" w:bottom="1440" w:left="1440" w:header="851" w:footer="992" w:gutter="0"/>
          <w:cols w:space="720" w:num="1"/>
          <w:docGrid w:linePitch="312" w:charSpace="0"/>
        </w:sectPr>
      </w:pPr>
    </w:p>
    <w:tbl>
      <w:tblPr>
        <w:tblStyle w:val="24"/>
        <w:tblW w:w="13860" w:type="dxa"/>
        <w:tblInd w:w="93" w:type="dxa"/>
        <w:tblLayout w:type="autofit"/>
        <w:tblCellMar>
          <w:top w:w="0" w:type="dxa"/>
          <w:left w:w="108" w:type="dxa"/>
          <w:bottom w:w="0" w:type="dxa"/>
          <w:right w:w="108" w:type="dxa"/>
        </w:tblCellMar>
      </w:tblPr>
      <w:tblGrid>
        <w:gridCol w:w="622"/>
        <w:gridCol w:w="1296"/>
        <w:gridCol w:w="1991"/>
        <w:gridCol w:w="2109"/>
        <w:gridCol w:w="728"/>
        <w:gridCol w:w="873"/>
        <w:gridCol w:w="876"/>
        <w:gridCol w:w="994"/>
        <w:gridCol w:w="877"/>
        <w:gridCol w:w="873"/>
        <w:gridCol w:w="873"/>
        <w:gridCol w:w="870"/>
        <w:gridCol w:w="878"/>
      </w:tblGrid>
      <w:tr>
        <w:tblPrEx>
          <w:tblCellMar>
            <w:top w:w="0" w:type="dxa"/>
            <w:left w:w="108" w:type="dxa"/>
            <w:bottom w:w="0" w:type="dxa"/>
            <w:right w:w="108" w:type="dxa"/>
          </w:tblCellMar>
        </w:tblPrEx>
        <w:trPr>
          <w:trHeight w:val="192" w:hRule="atLeast"/>
        </w:trPr>
        <w:tc>
          <w:tcPr>
            <w:tcW w:w="13860" w:type="dxa"/>
            <w:gridSpan w:val="13"/>
            <w:tcBorders>
              <w:top w:val="nil"/>
              <w:left w:val="nil"/>
              <w:bottom w:val="nil"/>
              <w:right w:val="nil"/>
            </w:tcBorders>
            <w:shd w:val="clear" w:color="auto" w:fill="FFFFFF"/>
            <w:vAlign w:val="center"/>
          </w:tcPr>
          <w:p>
            <w:pPr>
              <w:widowControl/>
              <w:jc w:val="center"/>
              <w:textAlignment w:val="center"/>
              <w:rPr>
                <w:rFonts w:ascii="宋体" w:hAnsi="宋体" w:eastAsia="宋体" w:cs="宋体"/>
                <w:b/>
                <w:bCs/>
                <w:color w:val="auto"/>
                <w:sz w:val="40"/>
                <w:szCs w:val="40"/>
              </w:rPr>
            </w:pPr>
            <w:r>
              <w:rPr>
                <w:rFonts w:hint="eastAsia" w:ascii="宋体" w:hAnsi="宋体" w:eastAsia="宋体" w:cs="宋体"/>
                <w:b/>
                <w:bCs/>
                <w:color w:val="auto"/>
                <w:kern w:val="0"/>
                <w:sz w:val="40"/>
                <w:szCs w:val="40"/>
                <w:lang w:bidi="ar"/>
              </w:rPr>
              <w:t>施工技术措施项目清单与计价表</w:t>
            </w:r>
          </w:p>
        </w:tc>
      </w:tr>
      <w:tr>
        <w:tblPrEx>
          <w:tblCellMar>
            <w:top w:w="0" w:type="dxa"/>
            <w:left w:w="108" w:type="dxa"/>
            <w:bottom w:w="0" w:type="dxa"/>
            <w:right w:w="108" w:type="dxa"/>
          </w:tblCellMar>
        </w:tblPrEx>
        <w:trPr>
          <w:trHeight w:val="96" w:hRule="atLeast"/>
        </w:trPr>
        <w:tc>
          <w:tcPr>
            <w:tcW w:w="10338" w:type="dxa"/>
            <w:gridSpan w:val="9"/>
            <w:tcBorders>
              <w:top w:val="nil"/>
              <w:left w:val="nil"/>
              <w:bottom w:val="nil"/>
              <w:right w:val="nil"/>
            </w:tcBorders>
            <w:shd w:val="clear" w:color="auto" w:fill="FFFFFF"/>
            <w:vAlign w:val="bottom"/>
          </w:tcPr>
          <w:p>
            <w:pPr>
              <w:widowControl/>
              <w:jc w:val="left"/>
              <w:textAlignment w:val="bottom"/>
              <w:rPr>
                <w:rFonts w:ascii="宋体" w:hAnsi="宋体" w:eastAsia="宋体" w:cs="宋体"/>
                <w:color w:val="auto"/>
                <w:sz w:val="18"/>
                <w:szCs w:val="18"/>
              </w:rPr>
            </w:pPr>
            <w:r>
              <w:rPr>
                <w:rFonts w:hint="eastAsia" w:ascii="宋体" w:hAnsi="宋体" w:eastAsia="宋体" w:cs="宋体"/>
                <w:color w:val="auto"/>
                <w:kern w:val="0"/>
                <w:sz w:val="18"/>
                <w:szCs w:val="18"/>
                <w:lang w:bidi="ar"/>
              </w:rPr>
              <w:t>单位工程(专业):单项工程1-安装</w:t>
            </w:r>
          </w:p>
        </w:tc>
        <w:tc>
          <w:tcPr>
            <w:tcW w:w="3522" w:type="dxa"/>
            <w:gridSpan w:val="4"/>
            <w:tcBorders>
              <w:top w:val="nil"/>
              <w:left w:val="nil"/>
              <w:bottom w:val="nil"/>
              <w:right w:val="nil"/>
            </w:tcBorders>
            <w:shd w:val="clear" w:color="auto" w:fill="FFFFFF"/>
            <w:vAlign w:val="bottom"/>
          </w:tcPr>
          <w:p>
            <w:pPr>
              <w:widowControl/>
              <w:jc w:val="right"/>
              <w:textAlignment w:val="bottom"/>
              <w:rPr>
                <w:rFonts w:ascii="宋体" w:hAnsi="宋体" w:eastAsia="宋体" w:cs="宋体"/>
                <w:color w:val="auto"/>
                <w:sz w:val="18"/>
                <w:szCs w:val="18"/>
              </w:rPr>
            </w:pPr>
            <w:r>
              <w:rPr>
                <w:rFonts w:hint="eastAsia" w:ascii="宋体" w:hAnsi="宋体" w:eastAsia="宋体" w:cs="宋体"/>
                <w:color w:val="auto"/>
                <w:kern w:val="0"/>
                <w:sz w:val="18"/>
                <w:szCs w:val="18"/>
                <w:lang w:bidi="ar"/>
              </w:rPr>
              <w:t>第1页 共1页</w:t>
            </w:r>
          </w:p>
        </w:tc>
      </w:tr>
      <w:tr>
        <w:trPr>
          <w:trHeight w:val="98" w:hRule="atLeast"/>
        </w:trPr>
        <w:tc>
          <w:tcPr>
            <w:tcW w:w="626"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序号</w:t>
            </w:r>
          </w:p>
        </w:tc>
        <w:tc>
          <w:tcPr>
            <w:tcW w:w="1187"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项目编码</w:t>
            </w:r>
          </w:p>
        </w:tc>
        <w:tc>
          <w:tcPr>
            <w:tcW w:w="2014"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项目名称</w:t>
            </w:r>
          </w:p>
        </w:tc>
        <w:tc>
          <w:tcPr>
            <w:tcW w:w="2134"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项目特征</w:t>
            </w:r>
          </w:p>
        </w:tc>
        <w:tc>
          <w:tcPr>
            <w:tcW w:w="733"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计量</w:t>
            </w:r>
          </w:p>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单位</w:t>
            </w:r>
          </w:p>
        </w:tc>
        <w:tc>
          <w:tcPr>
            <w:tcW w:w="880"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工程量</w:t>
            </w:r>
          </w:p>
        </w:tc>
        <w:tc>
          <w:tcPr>
            <w:tcW w:w="880"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综合单价</w:t>
            </w:r>
          </w:p>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(元)</w:t>
            </w:r>
          </w:p>
        </w:tc>
        <w:tc>
          <w:tcPr>
            <w:tcW w:w="1000"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合价</w:t>
            </w:r>
          </w:p>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(元)</w:t>
            </w:r>
          </w:p>
        </w:tc>
        <w:tc>
          <w:tcPr>
            <w:tcW w:w="3521" w:type="dxa"/>
            <w:gridSpan w:val="4"/>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其中(元)</w:t>
            </w:r>
          </w:p>
        </w:tc>
        <w:tc>
          <w:tcPr>
            <w:tcW w:w="885" w:type="dxa"/>
            <w:vMerge w:val="restart"/>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备注</w:t>
            </w:r>
          </w:p>
        </w:tc>
      </w:tr>
      <w:tr>
        <w:tblPrEx>
          <w:tblCellMar>
            <w:top w:w="0" w:type="dxa"/>
            <w:left w:w="108" w:type="dxa"/>
            <w:bottom w:w="0" w:type="dxa"/>
            <w:right w:w="108" w:type="dxa"/>
          </w:tblCellMar>
        </w:tblPrEx>
        <w:trPr>
          <w:trHeight w:val="102" w:hRule="atLeast"/>
        </w:trPr>
        <w:tc>
          <w:tcPr>
            <w:tcW w:w="626"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87"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2014"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2134"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733"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0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84"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定额人工费</w:t>
            </w:r>
          </w:p>
        </w:tc>
        <w:tc>
          <w:tcPr>
            <w:tcW w:w="88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人工费价差</w:t>
            </w:r>
          </w:p>
        </w:tc>
        <w:tc>
          <w:tcPr>
            <w:tcW w:w="88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定额机械费</w:t>
            </w:r>
          </w:p>
        </w:tc>
        <w:tc>
          <w:tcPr>
            <w:tcW w:w="877" w:type="dxa"/>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机械费价差</w:t>
            </w:r>
          </w:p>
        </w:tc>
        <w:tc>
          <w:tcPr>
            <w:tcW w:w="885"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175" w:hRule="atLeast"/>
        </w:trPr>
        <w:tc>
          <w:tcPr>
            <w:tcW w:w="626"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w:t>
            </w:r>
          </w:p>
        </w:tc>
        <w:tc>
          <w:tcPr>
            <w:tcW w:w="1187"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031301017001</w:t>
            </w:r>
          </w:p>
        </w:tc>
        <w:tc>
          <w:tcPr>
            <w:tcW w:w="201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脚手架搭拆</w:t>
            </w:r>
          </w:p>
        </w:tc>
        <w:tc>
          <w:tcPr>
            <w:tcW w:w="213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1.脚手架搭拆费第四册</w:t>
            </w:r>
          </w:p>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2.脚手架搭拆费第十册</w:t>
            </w:r>
          </w:p>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3.脚手架搭拆费第七册</w:t>
            </w:r>
          </w:p>
        </w:tc>
        <w:tc>
          <w:tcPr>
            <w:tcW w:w="733"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项</w:t>
            </w:r>
          </w:p>
        </w:tc>
        <w:tc>
          <w:tcPr>
            <w:tcW w:w="880"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85"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8" w:hRule="atLeast"/>
        </w:trPr>
        <w:tc>
          <w:tcPr>
            <w:tcW w:w="626"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87"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01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13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733"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85"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8" w:hRule="atLeast"/>
        </w:trPr>
        <w:tc>
          <w:tcPr>
            <w:tcW w:w="626"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87"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01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13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733"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85"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8" w:hRule="atLeast"/>
        </w:trPr>
        <w:tc>
          <w:tcPr>
            <w:tcW w:w="626"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87"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01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13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733"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85"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8" w:hRule="atLeast"/>
        </w:trPr>
        <w:tc>
          <w:tcPr>
            <w:tcW w:w="626"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87"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01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13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733"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85"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8" w:hRule="atLeast"/>
        </w:trPr>
        <w:tc>
          <w:tcPr>
            <w:tcW w:w="626"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87"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01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13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733"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85"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8" w:hRule="atLeast"/>
        </w:trPr>
        <w:tc>
          <w:tcPr>
            <w:tcW w:w="626"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87"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01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13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733"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85"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8" w:hRule="atLeast"/>
        </w:trPr>
        <w:tc>
          <w:tcPr>
            <w:tcW w:w="626"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87"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01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13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733"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85"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8" w:hRule="atLeast"/>
        </w:trPr>
        <w:tc>
          <w:tcPr>
            <w:tcW w:w="626"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87"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01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13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733"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85"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8" w:hRule="atLeast"/>
        </w:trPr>
        <w:tc>
          <w:tcPr>
            <w:tcW w:w="626"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87"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01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13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733"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85"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8" w:hRule="atLeast"/>
        </w:trPr>
        <w:tc>
          <w:tcPr>
            <w:tcW w:w="626"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87"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01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13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733"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85"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8" w:hRule="atLeast"/>
        </w:trPr>
        <w:tc>
          <w:tcPr>
            <w:tcW w:w="626"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87"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01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13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733"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85"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8" w:hRule="atLeast"/>
        </w:trPr>
        <w:tc>
          <w:tcPr>
            <w:tcW w:w="626"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87"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01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13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733"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85"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8" w:hRule="atLeast"/>
        </w:trPr>
        <w:tc>
          <w:tcPr>
            <w:tcW w:w="626"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87"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01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13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733"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85"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8" w:hRule="atLeast"/>
        </w:trPr>
        <w:tc>
          <w:tcPr>
            <w:tcW w:w="626"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87"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01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13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733"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85"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8" w:hRule="atLeast"/>
        </w:trPr>
        <w:tc>
          <w:tcPr>
            <w:tcW w:w="8454" w:type="dxa"/>
            <w:gridSpan w:val="7"/>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本页小计</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85" w:type="dxa"/>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98" w:hRule="atLeast"/>
        </w:trPr>
        <w:tc>
          <w:tcPr>
            <w:tcW w:w="8454" w:type="dxa"/>
            <w:gridSpan w:val="7"/>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 xml:space="preserve"> 合计</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jc w:val="right"/>
              <w:rPr>
                <w:rFonts w:ascii="宋体" w:hAnsi="宋体" w:eastAsia="宋体" w:cs="宋体"/>
                <w:color w:val="auto"/>
                <w:sz w:val="18"/>
                <w:szCs w:val="18"/>
              </w:rPr>
            </w:pPr>
          </w:p>
        </w:tc>
        <w:tc>
          <w:tcPr>
            <w:tcW w:w="8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0" w:type="auto"/>
            <w:tcBorders>
              <w:top w:val="nil"/>
              <w:left w:val="nil"/>
              <w:bottom w:val="nil"/>
              <w:right w:val="nil"/>
            </w:tcBorders>
            <w:shd w:val="clear" w:color="auto" w:fill="auto"/>
            <w:noWrap/>
            <w:vAlign w:val="bottom"/>
          </w:tcPr>
          <w:p>
            <w:pPr>
              <w:rPr>
                <w:rFonts w:ascii="Arial" w:hAnsi="Arial" w:cs="Arial"/>
                <w:color w:val="auto"/>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auto"/>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auto"/>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auto"/>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auto"/>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auto"/>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auto"/>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auto"/>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auto"/>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auto"/>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auto"/>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auto"/>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auto"/>
                <w:sz w:val="20"/>
                <w:szCs w:val="20"/>
              </w:rPr>
            </w:pPr>
          </w:p>
        </w:tc>
      </w:tr>
      <w:tr>
        <w:tblPrEx>
          <w:tblCellMar>
            <w:top w:w="0" w:type="dxa"/>
            <w:left w:w="108" w:type="dxa"/>
            <w:bottom w:w="0" w:type="dxa"/>
            <w:right w:w="108" w:type="dxa"/>
          </w:tblCellMar>
        </w:tblPrEx>
        <w:trPr>
          <w:trHeight w:val="96" w:hRule="atLeast"/>
        </w:trPr>
        <w:tc>
          <w:tcPr>
            <w:tcW w:w="626"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187"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2014"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2134"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733"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880"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880"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000"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884"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880"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880"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762" w:type="dxa"/>
            <w:gridSpan w:val="2"/>
            <w:tcBorders>
              <w:top w:val="nil"/>
              <w:left w:val="nil"/>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表-08</w:t>
            </w:r>
          </w:p>
        </w:tc>
      </w:tr>
    </w:tbl>
    <w:p>
      <w:pPr>
        <w:pStyle w:val="33"/>
        <w:rPr>
          <w:color w:val="auto"/>
        </w:rPr>
      </w:pPr>
    </w:p>
    <w:p>
      <w:pPr>
        <w:pStyle w:val="33"/>
        <w:rPr>
          <w:color w:val="auto"/>
        </w:rPr>
        <w:sectPr>
          <w:pgSz w:w="16838" w:h="11906" w:orient="landscape"/>
          <w:pgMar w:top="1440" w:right="1440" w:bottom="1440" w:left="1440" w:header="851" w:footer="992" w:gutter="0"/>
          <w:cols w:space="720" w:num="1"/>
          <w:docGrid w:linePitch="312" w:charSpace="0"/>
        </w:sectPr>
      </w:pPr>
    </w:p>
    <w:tbl>
      <w:tblPr>
        <w:tblStyle w:val="24"/>
        <w:tblW w:w="10155" w:type="dxa"/>
        <w:tblInd w:w="93" w:type="dxa"/>
        <w:tblLayout w:type="autofit"/>
        <w:tblCellMar>
          <w:top w:w="0" w:type="dxa"/>
          <w:left w:w="108" w:type="dxa"/>
          <w:bottom w:w="0" w:type="dxa"/>
          <w:right w:w="108" w:type="dxa"/>
        </w:tblCellMar>
      </w:tblPr>
      <w:tblGrid>
        <w:gridCol w:w="1080"/>
        <w:gridCol w:w="3780"/>
        <w:gridCol w:w="3240"/>
        <w:gridCol w:w="2055"/>
      </w:tblGrid>
      <w:tr>
        <w:tblPrEx>
          <w:tblCellMar>
            <w:top w:w="0" w:type="dxa"/>
            <w:left w:w="108" w:type="dxa"/>
            <w:bottom w:w="0" w:type="dxa"/>
            <w:right w:w="108" w:type="dxa"/>
          </w:tblCellMar>
        </w:tblPrEx>
        <w:trPr>
          <w:trHeight w:val="900" w:hRule="atLeast"/>
        </w:trPr>
        <w:tc>
          <w:tcPr>
            <w:tcW w:w="10155" w:type="dxa"/>
            <w:gridSpan w:val="4"/>
            <w:tcBorders>
              <w:top w:val="nil"/>
              <w:left w:val="nil"/>
              <w:bottom w:val="nil"/>
              <w:right w:val="nil"/>
            </w:tcBorders>
            <w:shd w:val="clear" w:color="auto" w:fill="FFFFFF"/>
            <w:vAlign w:val="center"/>
          </w:tcPr>
          <w:p>
            <w:pPr>
              <w:widowControl/>
              <w:jc w:val="center"/>
              <w:textAlignment w:val="center"/>
              <w:rPr>
                <w:rFonts w:ascii="宋体" w:hAnsi="宋体" w:eastAsia="宋体" w:cs="宋体"/>
                <w:b/>
                <w:bCs/>
                <w:color w:val="auto"/>
                <w:sz w:val="40"/>
                <w:szCs w:val="40"/>
              </w:rPr>
            </w:pPr>
            <w:r>
              <w:rPr>
                <w:rFonts w:hint="eastAsia" w:ascii="宋体" w:hAnsi="宋体" w:eastAsia="宋体" w:cs="宋体"/>
                <w:b/>
                <w:bCs/>
                <w:color w:val="auto"/>
                <w:kern w:val="0"/>
                <w:sz w:val="40"/>
                <w:szCs w:val="40"/>
                <w:lang w:bidi="ar"/>
              </w:rPr>
              <w:t>专业工程招标控制价计算程序表</w:t>
            </w:r>
          </w:p>
        </w:tc>
      </w:tr>
      <w:tr>
        <w:tblPrEx>
          <w:tblCellMar>
            <w:top w:w="0" w:type="dxa"/>
            <w:left w:w="108" w:type="dxa"/>
            <w:bottom w:w="0" w:type="dxa"/>
            <w:right w:w="108" w:type="dxa"/>
          </w:tblCellMar>
        </w:tblPrEx>
        <w:trPr>
          <w:trHeight w:val="525" w:hRule="atLeast"/>
        </w:trPr>
        <w:tc>
          <w:tcPr>
            <w:tcW w:w="8100" w:type="dxa"/>
            <w:gridSpan w:val="3"/>
            <w:tcBorders>
              <w:top w:val="nil"/>
              <w:left w:val="nil"/>
              <w:bottom w:val="nil"/>
              <w:right w:val="nil"/>
            </w:tcBorders>
            <w:shd w:val="clear" w:color="auto" w:fill="FFFFFF"/>
            <w:vAlign w:val="bottom"/>
          </w:tcPr>
          <w:p>
            <w:pPr>
              <w:widowControl/>
              <w:jc w:val="left"/>
              <w:textAlignment w:val="bottom"/>
              <w:rPr>
                <w:rFonts w:ascii="宋体" w:hAnsi="宋体" w:eastAsia="宋体" w:cs="宋体"/>
                <w:color w:val="auto"/>
                <w:sz w:val="18"/>
                <w:szCs w:val="18"/>
              </w:rPr>
            </w:pPr>
            <w:r>
              <w:rPr>
                <w:rFonts w:hint="eastAsia" w:ascii="宋体" w:hAnsi="宋体" w:eastAsia="宋体" w:cs="宋体"/>
                <w:color w:val="auto"/>
                <w:kern w:val="0"/>
                <w:sz w:val="18"/>
                <w:szCs w:val="18"/>
                <w:lang w:bidi="ar"/>
              </w:rPr>
              <w:t>单位工程(专业):单项工程1-建筑</w:t>
            </w:r>
          </w:p>
        </w:tc>
        <w:tc>
          <w:tcPr>
            <w:tcW w:w="2055" w:type="dxa"/>
            <w:tcBorders>
              <w:top w:val="nil"/>
              <w:left w:val="nil"/>
              <w:bottom w:val="nil"/>
              <w:right w:val="nil"/>
            </w:tcBorders>
            <w:shd w:val="clear" w:color="auto" w:fill="FFFFFF"/>
            <w:vAlign w:val="bottom"/>
          </w:tcPr>
          <w:p>
            <w:pPr>
              <w:widowControl/>
              <w:jc w:val="right"/>
              <w:textAlignment w:val="bottom"/>
              <w:rPr>
                <w:rFonts w:ascii="宋体" w:hAnsi="宋体" w:eastAsia="宋体" w:cs="宋体"/>
                <w:color w:val="auto"/>
                <w:sz w:val="18"/>
                <w:szCs w:val="18"/>
              </w:rPr>
            </w:pPr>
            <w:r>
              <w:rPr>
                <w:rFonts w:hint="eastAsia" w:ascii="宋体" w:hAnsi="宋体" w:eastAsia="宋体" w:cs="宋体"/>
                <w:color w:val="auto"/>
                <w:kern w:val="0"/>
                <w:sz w:val="18"/>
                <w:szCs w:val="18"/>
                <w:lang w:bidi="ar"/>
              </w:rPr>
              <w:t>单位:元</w:t>
            </w:r>
          </w:p>
        </w:tc>
      </w:tr>
      <w:tr>
        <w:tblPrEx>
          <w:tblCellMar>
            <w:top w:w="0" w:type="dxa"/>
            <w:left w:w="108" w:type="dxa"/>
            <w:bottom w:w="0" w:type="dxa"/>
            <w:right w:w="108" w:type="dxa"/>
          </w:tblCellMar>
        </w:tblPrEx>
        <w:trPr>
          <w:trHeight w:val="465" w:hRule="atLeast"/>
        </w:trPr>
        <w:tc>
          <w:tcPr>
            <w:tcW w:w="108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序号</w:t>
            </w:r>
          </w:p>
        </w:tc>
        <w:tc>
          <w:tcPr>
            <w:tcW w:w="378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汇总内容</w:t>
            </w:r>
          </w:p>
        </w:tc>
        <w:tc>
          <w:tcPr>
            <w:tcW w:w="32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费用计算表达式</w:t>
            </w:r>
          </w:p>
        </w:tc>
        <w:tc>
          <w:tcPr>
            <w:tcW w:w="2055" w:type="dxa"/>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金额(元)</w:t>
            </w:r>
          </w:p>
        </w:tc>
      </w:tr>
      <w:tr>
        <w:tblPrEx>
          <w:tblCellMar>
            <w:top w:w="0" w:type="dxa"/>
            <w:left w:w="108" w:type="dxa"/>
            <w:bottom w:w="0" w:type="dxa"/>
            <w:right w:w="108" w:type="dxa"/>
          </w:tblCellMar>
        </w:tblPrEx>
        <w:trPr>
          <w:trHeight w:val="465" w:hRule="atLeast"/>
        </w:trPr>
        <w:tc>
          <w:tcPr>
            <w:tcW w:w="108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一</w:t>
            </w:r>
          </w:p>
        </w:tc>
        <w:tc>
          <w:tcPr>
            <w:tcW w:w="37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分部分项工程费</w:t>
            </w:r>
          </w:p>
        </w:tc>
        <w:tc>
          <w:tcPr>
            <w:tcW w:w="32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表-07</w:t>
            </w: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widowControl/>
              <w:jc w:val="right"/>
              <w:textAlignment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465" w:hRule="atLeast"/>
        </w:trPr>
        <w:tc>
          <w:tcPr>
            <w:tcW w:w="108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w:t>
            </w:r>
          </w:p>
        </w:tc>
        <w:tc>
          <w:tcPr>
            <w:tcW w:w="37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其中定额人工费</w:t>
            </w:r>
          </w:p>
        </w:tc>
        <w:tc>
          <w:tcPr>
            <w:tcW w:w="32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表-07</w:t>
            </w: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widowControl/>
              <w:jc w:val="right"/>
              <w:textAlignment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465" w:hRule="atLeast"/>
        </w:trPr>
        <w:tc>
          <w:tcPr>
            <w:tcW w:w="108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w:t>
            </w:r>
          </w:p>
        </w:tc>
        <w:tc>
          <w:tcPr>
            <w:tcW w:w="37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其中人工费价差</w:t>
            </w:r>
          </w:p>
        </w:tc>
        <w:tc>
          <w:tcPr>
            <w:tcW w:w="32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表-07</w:t>
            </w: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widowControl/>
              <w:jc w:val="right"/>
              <w:textAlignment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465" w:hRule="atLeast"/>
        </w:trPr>
        <w:tc>
          <w:tcPr>
            <w:tcW w:w="108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3</w:t>
            </w:r>
          </w:p>
        </w:tc>
        <w:tc>
          <w:tcPr>
            <w:tcW w:w="37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其中定额机械费</w:t>
            </w:r>
          </w:p>
        </w:tc>
        <w:tc>
          <w:tcPr>
            <w:tcW w:w="32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表-07</w:t>
            </w: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widowControl/>
              <w:jc w:val="right"/>
              <w:textAlignment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465" w:hRule="atLeast"/>
        </w:trPr>
        <w:tc>
          <w:tcPr>
            <w:tcW w:w="108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4</w:t>
            </w:r>
          </w:p>
        </w:tc>
        <w:tc>
          <w:tcPr>
            <w:tcW w:w="37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其中机械费价差</w:t>
            </w:r>
          </w:p>
        </w:tc>
        <w:tc>
          <w:tcPr>
            <w:tcW w:w="32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表-07</w:t>
            </w: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widowControl/>
              <w:jc w:val="right"/>
              <w:textAlignment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465" w:hRule="atLeast"/>
        </w:trPr>
        <w:tc>
          <w:tcPr>
            <w:tcW w:w="108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二</w:t>
            </w:r>
          </w:p>
        </w:tc>
        <w:tc>
          <w:tcPr>
            <w:tcW w:w="37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措施项目费</w:t>
            </w:r>
          </w:p>
        </w:tc>
        <w:tc>
          <w:tcPr>
            <w:tcW w:w="32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5+6</w:t>
            </w: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widowControl/>
              <w:jc w:val="right"/>
              <w:textAlignment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465" w:hRule="atLeast"/>
        </w:trPr>
        <w:tc>
          <w:tcPr>
            <w:tcW w:w="108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5</w:t>
            </w:r>
          </w:p>
        </w:tc>
        <w:tc>
          <w:tcPr>
            <w:tcW w:w="37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施工技术措施项目费</w:t>
            </w:r>
          </w:p>
        </w:tc>
        <w:tc>
          <w:tcPr>
            <w:tcW w:w="32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表-08</w:t>
            </w: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widowControl/>
              <w:jc w:val="right"/>
              <w:textAlignment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465" w:hRule="atLeast"/>
        </w:trPr>
        <w:tc>
          <w:tcPr>
            <w:tcW w:w="108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5.1</w:t>
            </w:r>
          </w:p>
        </w:tc>
        <w:tc>
          <w:tcPr>
            <w:tcW w:w="37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其中定额人工费</w:t>
            </w:r>
          </w:p>
        </w:tc>
        <w:tc>
          <w:tcPr>
            <w:tcW w:w="32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表-08</w:t>
            </w: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widowControl/>
              <w:jc w:val="right"/>
              <w:textAlignment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465" w:hRule="atLeast"/>
        </w:trPr>
        <w:tc>
          <w:tcPr>
            <w:tcW w:w="108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5.2</w:t>
            </w:r>
          </w:p>
        </w:tc>
        <w:tc>
          <w:tcPr>
            <w:tcW w:w="37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其中人工价差</w:t>
            </w:r>
          </w:p>
        </w:tc>
        <w:tc>
          <w:tcPr>
            <w:tcW w:w="32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表-08</w:t>
            </w: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widowControl/>
              <w:jc w:val="right"/>
              <w:textAlignment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465" w:hRule="atLeast"/>
        </w:trPr>
        <w:tc>
          <w:tcPr>
            <w:tcW w:w="108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5.3</w:t>
            </w:r>
          </w:p>
        </w:tc>
        <w:tc>
          <w:tcPr>
            <w:tcW w:w="37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其中定额机械费</w:t>
            </w:r>
          </w:p>
        </w:tc>
        <w:tc>
          <w:tcPr>
            <w:tcW w:w="32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表-08</w:t>
            </w: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widowControl/>
              <w:jc w:val="right"/>
              <w:textAlignment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465" w:hRule="atLeast"/>
        </w:trPr>
        <w:tc>
          <w:tcPr>
            <w:tcW w:w="108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5.4</w:t>
            </w:r>
          </w:p>
        </w:tc>
        <w:tc>
          <w:tcPr>
            <w:tcW w:w="37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其中机械费价差</w:t>
            </w:r>
          </w:p>
        </w:tc>
        <w:tc>
          <w:tcPr>
            <w:tcW w:w="32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表-08</w:t>
            </w: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widowControl/>
              <w:jc w:val="right"/>
              <w:textAlignment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465" w:hRule="atLeast"/>
        </w:trPr>
        <w:tc>
          <w:tcPr>
            <w:tcW w:w="108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6</w:t>
            </w:r>
          </w:p>
        </w:tc>
        <w:tc>
          <w:tcPr>
            <w:tcW w:w="37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施工组织措施项目费</w:t>
            </w:r>
          </w:p>
        </w:tc>
        <w:tc>
          <w:tcPr>
            <w:tcW w:w="32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6.1+6.2+6.3+6.4+6.5+6.6</w:t>
            </w: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widowControl/>
              <w:jc w:val="right"/>
              <w:textAlignment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465" w:hRule="atLeast"/>
        </w:trPr>
        <w:tc>
          <w:tcPr>
            <w:tcW w:w="108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6.1</w:t>
            </w:r>
          </w:p>
        </w:tc>
        <w:tc>
          <w:tcPr>
            <w:tcW w:w="37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安全文明施工基本费</w:t>
            </w:r>
          </w:p>
        </w:tc>
        <w:tc>
          <w:tcPr>
            <w:tcW w:w="32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(1+3+5.1+5.3)×5.71%</w:t>
            </w: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widowControl/>
              <w:jc w:val="right"/>
              <w:textAlignment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465" w:hRule="atLeast"/>
        </w:trPr>
        <w:tc>
          <w:tcPr>
            <w:tcW w:w="108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6.2</w:t>
            </w:r>
          </w:p>
        </w:tc>
        <w:tc>
          <w:tcPr>
            <w:tcW w:w="37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提前竣工增加费</w:t>
            </w:r>
          </w:p>
        </w:tc>
        <w:tc>
          <w:tcPr>
            <w:tcW w:w="32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(1+3+5.1+5.3)×0%</w:t>
            </w: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465" w:hRule="atLeast"/>
        </w:trPr>
        <w:tc>
          <w:tcPr>
            <w:tcW w:w="108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6.3</w:t>
            </w:r>
          </w:p>
        </w:tc>
        <w:tc>
          <w:tcPr>
            <w:tcW w:w="37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二次搬运费</w:t>
            </w:r>
          </w:p>
        </w:tc>
        <w:tc>
          <w:tcPr>
            <w:tcW w:w="32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(1+3+5.1+5.3)×0.5%</w:t>
            </w: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widowControl/>
              <w:jc w:val="right"/>
              <w:textAlignment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465" w:hRule="atLeast"/>
        </w:trPr>
        <w:tc>
          <w:tcPr>
            <w:tcW w:w="108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6.4</w:t>
            </w:r>
          </w:p>
        </w:tc>
        <w:tc>
          <w:tcPr>
            <w:tcW w:w="37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冬雨季施工增加费</w:t>
            </w:r>
          </w:p>
        </w:tc>
        <w:tc>
          <w:tcPr>
            <w:tcW w:w="32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(1+3+5.1+5.3)×0.11%</w:t>
            </w: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widowControl/>
              <w:jc w:val="right"/>
              <w:textAlignment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465" w:hRule="atLeast"/>
        </w:trPr>
        <w:tc>
          <w:tcPr>
            <w:tcW w:w="108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6.5</w:t>
            </w:r>
          </w:p>
        </w:tc>
        <w:tc>
          <w:tcPr>
            <w:tcW w:w="37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行车、行人干扰增加费（限市政）</w:t>
            </w:r>
          </w:p>
        </w:tc>
        <w:tc>
          <w:tcPr>
            <w:tcW w:w="32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(1+3+5.1+5.3)×0%</w:t>
            </w: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465" w:hRule="atLeast"/>
        </w:trPr>
        <w:tc>
          <w:tcPr>
            <w:tcW w:w="108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6.6</w:t>
            </w:r>
          </w:p>
        </w:tc>
        <w:tc>
          <w:tcPr>
            <w:tcW w:w="37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其他施工组织措施费</w:t>
            </w:r>
          </w:p>
        </w:tc>
        <w:tc>
          <w:tcPr>
            <w:tcW w:w="32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计价时列岀具体费用名称</w:t>
            </w: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465" w:hRule="atLeast"/>
        </w:trPr>
        <w:tc>
          <w:tcPr>
            <w:tcW w:w="108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三</w:t>
            </w:r>
          </w:p>
        </w:tc>
        <w:tc>
          <w:tcPr>
            <w:tcW w:w="37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其它项目</w:t>
            </w:r>
          </w:p>
        </w:tc>
        <w:tc>
          <w:tcPr>
            <w:tcW w:w="32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表-11</w:t>
            </w: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465" w:hRule="atLeast"/>
        </w:trPr>
        <w:tc>
          <w:tcPr>
            <w:tcW w:w="108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四</w:t>
            </w:r>
          </w:p>
        </w:tc>
        <w:tc>
          <w:tcPr>
            <w:tcW w:w="37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规费</w:t>
            </w:r>
          </w:p>
        </w:tc>
        <w:tc>
          <w:tcPr>
            <w:tcW w:w="32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(1+3+5.1+5.3)×27.92%</w:t>
            </w: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widowControl/>
              <w:jc w:val="right"/>
              <w:textAlignment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465" w:hRule="atLeast"/>
        </w:trPr>
        <w:tc>
          <w:tcPr>
            <w:tcW w:w="108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五</w:t>
            </w:r>
          </w:p>
        </w:tc>
        <w:tc>
          <w:tcPr>
            <w:tcW w:w="37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税金</w:t>
            </w:r>
          </w:p>
        </w:tc>
        <w:tc>
          <w:tcPr>
            <w:tcW w:w="32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[一+二+三+四]×9%</w:t>
            </w: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widowControl/>
              <w:jc w:val="right"/>
              <w:textAlignment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465" w:hRule="atLeast"/>
        </w:trPr>
        <w:tc>
          <w:tcPr>
            <w:tcW w:w="8100" w:type="dxa"/>
            <w:gridSpan w:val="3"/>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招标控制价合计=一+二+三+四+五</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right"/>
              <w:textAlignment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150" w:hRule="atLeast"/>
        </w:trPr>
        <w:tc>
          <w:tcPr>
            <w:tcW w:w="0" w:type="auto"/>
            <w:tcBorders>
              <w:top w:val="nil"/>
              <w:left w:val="nil"/>
              <w:bottom w:val="nil"/>
              <w:right w:val="nil"/>
            </w:tcBorders>
            <w:shd w:val="clear" w:color="auto" w:fill="auto"/>
            <w:noWrap/>
            <w:vAlign w:val="bottom"/>
          </w:tcPr>
          <w:p>
            <w:pPr>
              <w:rPr>
                <w:rFonts w:ascii="Arial" w:hAnsi="Arial" w:cs="Arial"/>
                <w:color w:val="auto"/>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auto"/>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auto"/>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auto"/>
                <w:sz w:val="20"/>
                <w:szCs w:val="20"/>
              </w:rPr>
            </w:pPr>
          </w:p>
        </w:tc>
      </w:tr>
      <w:tr>
        <w:trPr>
          <w:trHeight w:val="450" w:hRule="atLeast"/>
        </w:trPr>
        <w:tc>
          <w:tcPr>
            <w:tcW w:w="10155" w:type="dxa"/>
            <w:gridSpan w:val="4"/>
            <w:tcBorders>
              <w:top w:val="nil"/>
              <w:left w:val="nil"/>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表-02</w:t>
            </w:r>
          </w:p>
        </w:tc>
      </w:tr>
    </w:tbl>
    <w:p>
      <w:pPr>
        <w:pStyle w:val="33"/>
        <w:rPr>
          <w:color w:val="auto"/>
        </w:rPr>
        <w:sectPr>
          <w:pgSz w:w="11906" w:h="16838"/>
          <w:pgMar w:top="1440" w:right="1440" w:bottom="1440" w:left="1440" w:header="851" w:footer="992" w:gutter="0"/>
          <w:cols w:space="720" w:num="1"/>
          <w:docGrid w:linePitch="312" w:charSpace="0"/>
        </w:sectPr>
      </w:pPr>
    </w:p>
    <w:tbl>
      <w:tblPr>
        <w:tblStyle w:val="24"/>
        <w:tblW w:w="13920" w:type="dxa"/>
        <w:tblInd w:w="93" w:type="dxa"/>
        <w:tblLayout w:type="autofit"/>
        <w:tblCellMar>
          <w:top w:w="0" w:type="dxa"/>
          <w:left w:w="108" w:type="dxa"/>
          <w:bottom w:w="0" w:type="dxa"/>
          <w:right w:w="108" w:type="dxa"/>
        </w:tblCellMar>
      </w:tblPr>
      <w:tblGrid>
        <w:gridCol w:w="603"/>
        <w:gridCol w:w="1296"/>
        <w:gridCol w:w="1366"/>
        <w:gridCol w:w="2661"/>
        <w:gridCol w:w="615"/>
        <w:gridCol w:w="863"/>
        <w:gridCol w:w="1063"/>
        <w:gridCol w:w="1081"/>
        <w:gridCol w:w="936"/>
        <w:gridCol w:w="869"/>
        <w:gridCol w:w="863"/>
        <w:gridCol w:w="856"/>
        <w:gridCol w:w="848"/>
      </w:tblGrid>
      <w:tr>
        <w:tblPrEx>
          <w:tblCellMar>
            <w:top w:w="0" w:type="dxa"/>
            <w:left w:w="108" w:type="dxa"/>
            <w:bottom w:w="0" w:type="dxa"/>
            <w:right w:w="108" w:type="dxa"/>
          </w:tblCellMar>
        </w:tblPrEx>
        <w:trPr>
          <w:trHeight w:val="90" w:hRule="atLeast"/>
        </w:trPr>
        <w:tc>
          <w:tcPr>
            <w:tcW w:w="13920" w:type="dxa"/>
            <w:gridSpan w:val="13"/>
            <w:tcBorders>
              <w:top w:val="nil"/>
              <w:left w:val="nil"/>
              <w:bottom w:val="nil"/>
              <w:right w:val="nil"/>
            </w:tcBorders>
            <w:shd w:val="clear" w:color="auto" w:fill="FFFFFF"/>
            <w:vAlign w:val="center"/>
          </w:tcPr>
          <w:p>
            <w:pPr>
              <w:widowControl/>
              <w:jc w:val="center"/>
              <w:textAlignment w:val="center"/>
              <w:rPr>
                <w:rFonts w:ascii="宋体" w:hAnsi="宋体" w:eastAsia="宋体" w:cs="宋体"/>
                <w:b/>
                <w:bCs/>
                <w:color w:val="auto"/>
                <w:sz w:val="40"/>
                <w:szCs w:val="40"/>
              </w:rPr>
            </w:pPr>
            <w:r>
              <w:rPr>
                <w:rFonts w:hint="eastAsia" w:ascii="宋体" w:hAnsi="宋体" w:eastAsia="宋体" w:cs="宋体"/>
                <w:b/>
                <w:bCs/>
                <w:color w:val="auto"/>
                <w:kern w:val="0"/>
                <w:sz w:val="40"/>
                <w:szCs w:val="40"/>
                <w:lang w:bidi="ar"/>
              </w:rPr>
              <w:t>分部分项工程量清单与计价表</w:t>
            </w:r>
          </w:p>
        </w:tc>
      </w:tr>
      <w:tr>
        <w:tblPrEx>
          <w:tblCellMar>
            <w:top w:w="0" w:type="dxa"/>
            <w:left w:w="108" w:type="dxa"/>
            <w:bottom w:w="0" w:type="dxa"/>
            <w:right w:w="108" w:type="dxa"/>
          </w:tblCellMar>
        </w:tblPrEx>
        <w:trPr>
          <w:trHeight w:val="90" w:hRule="atLeast"/>
        </w:trPr>
        <w:tc>
          <w:tcPr>
            <w:tcW w:w="10484" w:type="dxa"/>
            <w:gridSpan w:val="9"/>
            <w:tcBorders>
              <w:top w:val="nil"/>
              <w:left w:val="nil"/>
              <w:bottom w:val="nil"/>
              <w:right w:val="nil"/>
            </w:tcBorders>
            <w:shd w:val="clear" w:color="auto" w:fill="FFFFFF"/>
            <w:vAlign w:val="bottom"/>
          </w:tcPr>
          <w:p>
            <w:pPr>
              <w:widowControl/>
              <w:jc w:val="left"/>
              <w:textAlignment w:val="bottom"/>
              <w:rPr>
                <w:rFonts w:ascii="宋体" w:hAnsi="宋体" w:eastAsia="宋体" w:cs="宋体"/>
                <w:color w:val="auto"/>
                <w:sz w:val="18"/>
                <w:szCs w:val="18"/>
              </w:rPr>
            </w:pPr>
            <w:r>
              <w:rPr>
                <w:rFonts w:hint="eastAsia" w:ascii="宋体" w:hAnsi="宋体" w:eastAsia="宋体" w:cs="宋体"/>
                <w:color w:val="auto"/>
                <w:kern w:val="0"/>
                <w:sz w:val="18"/>
                <w:szCs w:val="18"/>
                <w:lang w:bidi="ar"/>
              </w:rPr>
              <w:t>单位工程(专业):单项工程1-建筑</w:t>
            </w:r>
          </w:p>
        </w:tc>
        <w:tc>
          <w:tcPr>
            <w:tcW w:w="3436" w:type="dxa"/>
            <w:gridSpan w:val="4"/>
            <w:tcBorders>
              <w:top w:val="nil"/>
              <w:left w:val="nil"/>
              <w:bottom w:val="nil"/>
              <w:right w:val="nil"/>
            </w:tcBorders>
            <w:shd w:val="clear" w:color="auto" w:fill="FFFFFF"/>
            <w:vAlign w:val="bottom"/>
          </w:tcPr>
          <w:p>
            <w:pPr>
              <w:widowControl/>
              <w:jc w:val="right"/>
              <w:textAlignment w:val="bottom"/>
              <w:rPr>
                <w:rFonts w:ascii="宋体" w:hAnsi="宋体" w:eastAsia="宋体" w:cs="宋体"/>
                <w:color w:val="auto"/>
                <w:sz w:val="18"/>
                <w:szCs w:val="18"/>
              </w:rPr>
            </w:pPr>
            <w:r>
              <w:rPr>
                <w:rFonts w:hint="eastAsia" w:ascii="宋体" w:hAnsi="宋体" w:eastAsia="宋体" w:cs="宋体"/>
                <w:color w:val="auto"/>
                <w:kern w:val="0"/>
                <w:sz w:val="18"/>
                <w:szCs w:val="18"/>
                <w:lang w:bidi="ar"/>
              </w:rPr>
              <w:t>第1页 共5页</w:t>
            </w:r>
          </w:p>
        </w:tc>
      </w:tr>
      <w:tr>
        <w:trPr>
          <w:trHeight w:val="90" w:hRule="atLeast"/>
        </w:trPr>
        <w:tc>
          <w:tcPr>
            <w:tcW w:w="603"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序号</w:t>
            </w:r>
          </w:p>
        </w:tc>
        <w:tc>
          <w:tcPr>
            <w:tcW w:w="1296"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项目编码</w:t>
            </w:r>
          </w:p>
        </w:tc>
        <w:tc>
          <w:tcPr>
            <w:tcW w:w="1366"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项目名称</w:t>
            </w:r>
          </w:p>
        </w:tc>
        <w:tc>
          <w:tcPr>
            <w:tcW w:w="2661"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项目特征</w:t>
            </w:r>
          </w:p>
        </w:tc>
        <w:tc>
          <w:tcPr>
            <w:tcW w:w="615"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计量</w:t>
            </w:r>
          </w:p>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单位</w:t>
            </w:r>
          </w:p>
        </w:tc>
        <w:tc>
          <w:tcPr>
            <w:tcW w:w="863"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工程量</w:t>
            </w:r>
          </w:p>
        </w:tc>
        <w:tc>
          <w:tcPr>
            <w:tcW w:w="1063"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综合单价</w:t>
            </w:r>
          </w:p>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(元)</w:t>
            </w:r>
          </w:p>
        </w:tc>
        <w:tc>
          <w:tcPr>
            <w:tcW w:w="1081"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合价</w:t>
            </w:r>
          </w:p>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(元)</w:t>
            </w:r>
          </w:p>
        </w:tc>
        <w:tc>
          <w:tcPr>
            <w:tcW w:w="3524" w:type="dxa"/>
            <w:gridSpan w:val="4"/>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其中(元)</w:t>
            </w:r>
          </w:p>
        </w:tc>
        <w:tc>
          <w:tcPr>
            <w:tcW w:w="848" w:type="dxa"/>
            <w:vMerge w:val="restart"/>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备注</w:t>
            </w:r>
          </w:p>
        </w:tc>
      </w:tr>
      <w:tr>
        <w:tblPrEx>
          <w:tblCellMar>
            <w:top w:w="0" w:type="dxa"/>
            <w:left w:w="108" w:type="dxa"/>
            <w:bottom w:w="0" w:type="dxa"/>
            <w:right w:w="108" w:type="dxa"/>
          </w:tblCellMar>
        </w:tblPrEx>
        <w:trPr>
          <w:trHeight w:val="90" w:hRule="atLeast"/>
        </w:trPr>
        <w:tc>
          <w:tcPr>
            <w:tcW w:w="603"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296"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366"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2661"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61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63"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063"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081"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936"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定额人工费</w:t>
            </w:r>
          </w:p>
        </w:tc>
        <w:tc>
          <w:tcPr>
            <w:tcW w:w="869"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人工费价差</w:t>
            </w:r>
          </w:p>
        </w:tc>
        <w:tc>
          <w:tcPr>
            <w:tcW w:w="863"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定额机械费</w:t>
            </w:r>
          </w:p>
        </w:tc>
        <w:tc>
          <w:tcPr>
            <w:tcW w:w="856" w:type="dxa"/>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机械费价差</w:t>
            </w:r>
          </w:p>
        </w:tc>
        <w:tc>
          <w:tcPr>
            <w:tcW w:w="848"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603"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w:t>
            </w:r>
          </w:p>
        </w:tc>
        <w:tc>
          <w:tcPr>
            <w:tcW w:w="129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011601001001</w:t>
            </w:r>
          </w:p>
        </w:tc>
        <w:tc>
          <w:tcPr>
            <w:tcW w:w="136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砖砌体拆除</w:t>
            </w:r>
          </w:p>
        </w:tc>
        <w:tc>
          <w:tcPr>
            <w:tcW w:w="266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1.多孔砖墙拆除</w:t>
            </w:r>
          </w:p>
        </w:tc>
        <w:tc>
          <w:tcPr>
            <w:tcW w:w="61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m3</w:t>
            </w:r>
          </w:p>
        </w:tc>
        <w:tc>
          <w:tcPr>
            <w:tcW w:w="863"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4.61</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48"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603"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w:t>
            </w:r>
          </w:p>
        </w:tc>
        <w:tc>
          <w:tcPr>
            <w:tcW w:w="129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010402001001</w:t>
            </w:r>
          </w:p>
        </w:tc>
        <w:tc>
          <w:tcPr>
            <w:tcW w:w="136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砌块墙</w:t>
            </w:r>
          </w:p>
        </w:tc>
        <w:tc>
          <w:tcPr>
            <w:tcW w:w="266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1.蒸压加气混凝土砌块 墙厚150mm以内^水泥砂浆 M7.5</w:t>
            </w:r>
          </w:p>
        </w:tc>
        <w:tc>
          <w:tcPr>
            <w:tcW w:w="61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m3</w:t>
            </w:r>
          </w:p>
        </w:tc>
        <w:tc>
          <w:tcPr>
            <w:tcW w:w="863"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12.65</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48"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603"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3</w:t>
            </w:r>
          </w:p>
        </w:tc>
        <w:tc>
          <w:tcPr>
            <w:tcW w:w="129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011201001001</w:t>
            </w:r>
          </w:p>
        </w:tc>
        <w:tc>
          <w:tcPr>
            <w:tcW w:w="136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墙面一般抹灰</w:t>
            </w:r>
          </w:p>
        </w:tc>
        <w:tc>
          <w:tcPr>
            <w:tcW w:w="266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1.内墙砂浆抹灰 14+6mm厚^水泥砂浆 1:3</w:t>
            </w:r>
          </w:p>
        </w:tc>
        <w:tc>
          <w:tcPr>
            <w:tcW w:w="61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m2</w:t>
            </w:r>
          </w:p>
        </w:tc>
        <w:tc>
          <w:tcPr>
            <w:tcW w:w="863"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229.23</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48"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603"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4</w:t>
            </w:r>
          </w:p>
        </w:tc>
        <w:tc>
          <w:tcPr>
            <w:tcW w:w="129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011201001002</w:t>
            </w:r>
          </w:p>
        </w:tc>
        <w:tc>
          <w:tcPr>
            <w:tcW w:w="136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墙面一般抹灰</w:t>
            </w:r>
          </w:p>
        </w:tc>
        <w:tc>
          <w:tcPr>
            <w:tcW w:w="266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1.墙面贴玻璃纤维网格布</w:t>
            </w:r>
          </w:p>
        </w:tc>
        <w:tc>
          <w:tcPr>
            <w:tcW w:w="61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m2</w:t>
            </w:r>
          </w:p>
        </w:tc>
        <w:tc>
          <w:tcPr>
            <w:tcW w:w="863"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229.23</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48"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603"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5</w:t>
            </w:r>
          </w:p>
        </w:tc>
        <w:tc>
          <w:tcPr>
            <w:tcW w:w="129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01B001</w:t>
            </w:r>
          </w:p>
        </w:tc>
        <w:tc>
          <w:tcPr>
            <w:tcW w:w="136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墙面涂料铲除至抹灰层</w:t>
            </w:r>
          </w:p>
        </w:tc>
        <w:tc>
          <w:tcPr>
            <w:tcW w:w="266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1.墙面涂料铲除至抹灰层</w:t>
            </w:r>
          </w:p>
        </w:tc>
        <w:tc>
          <w:tcPr>
            <w:tcW w:w="61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m2</w:t>
            </w:r>
          </w:p>
        </w:tc>
        <w:tc>
          <w:tcPr>
            <w:tcW w:w="863"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40.00</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48"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603"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6</w:t>
            </w:r>
          </w:p>
        </w:tc>
        <w:tc>
          <w:tcPr>
            <w:tcW w:w="129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011407001001</w:t>
            </w:r>
          </w:p>
        </w:tc>
        <w:tc>
          <w:tcPr>
            <w:tcW w:w="136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墙面喷刷涂料</w:t>
            </w:r>
          </w:p>
        </w:tc>
        <w:tc>
          <w:tcPr>
            <w:tcW w:w="266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1.墙、柱面刷乳胶漆 ~二遍</w:t>
            </w:r>
          </w:p>
        </w:tc>
        <w:tc>
          <w:tcPr>
            <w:tcW w:w="61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m2</w:t>
            </w:r>
          </w:p>
        </w:tc>
        <w:tc>
          <w:tcPr>
            <w:tcW w:w="863"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450.78</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48"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603"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7</w:t>
            </w:r>
          </w:p>
        </w:tc>
        <w:tc>
          <w:tcPr>
            <w:tcW w:w="129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011210003001</w:t>
            </w:r>
          </w:p>
        </w:tc>
        <w:tc>
          <w:tcPr>
            <w:tcW w:w="136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玻璃隔断</w:t>
            </w:r>
          </w:p>
        </w:tc>
        <w:tc>
          <w:tcPr>
            <w:tcW w:w="266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1.铝合金框玻璃隔断（具体样式由业主确认）</w:t>
            </w:r>
          </w:p>
        </w:tc>
        <w:tc>
          <w:tcPr>
            <w:tcW w:w="61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m2</w:t>
            </w:r>
          </w:p>
        </w:tc>
        <w:tc>
          <w:tcPr>
            <w:tcW w:w="863"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55.59</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48"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603"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8</w:t>
            </w:r>
          </w:p>
        </w:tc>
        <w:tc>
          <w:tcPr>
            <w:tcW w:w="129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010809004001</w:t>
            </w:r>
          </w:p>
        </w:tc>
        <w:tc>
          <w:tcPr>
            <w:tcW w:w="136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石材窗台板</w:t>
            </w:r>
          </w:p>
        </w:tc>
        <w:tc>
          <w:tcPr>
            <w:tcW w:w="266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1.石材窗台板 干混砂浆铺贴^水泥砂浆 M10.0</w:t>
            </w:r>
          </w:p>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2.石材磨小圆边</w:t>
            </w:r>
          </w:p>
        </w:tc>
        <w:tc>
          <w:tcPr>
            <w:tcW w:w="61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m2</w:t>
            </w:r>
          </w:p>
        </w:tc>
        <w:tc>
          <w:tcPr>
            <w:tcW w:w="863"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0.84</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48"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603"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9</w:t>
            </w:r>
          </w:p>
        </w:tc>
        <w:tc>
          <w:tcPr>
            <w:tcW w:w="129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010802001001</w:t>
            </w:r>
          </w:p>
        </w:tc>
        <w:tc>
          <w:tcPr>
            <w:tcW w:w="136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金属（塑钢）门</w:t>
            </w:r>
          </w:p>
        </w:tc>
        <w:tc>
          <w:tcPr>
            <w:tcW w:w="266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1.铝合金平开门安装`设计为普通铝合金型材+单片玻璃时</w:t>
            </w:r>
          </w:p>
        </w:tc>
        <w:tc>
          <w:tcPr>
            <w:tcW w:w="61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m2</w:t>
            </w:r>
          </w:p>
        </w:tc>
        <w:tc>
          <w:tcPr>
            <w:tcW w:w="863"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5.04</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48"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603"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10</w:t>
            </w:r>
          </w:p>
        </w:tc>
        <w:tc>
          <w:tcPr>
            <w:tcW w:w="129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01B002</w:t>
            </w:r>
          </w:p>
        </w:tc>
        <w:tc>
          <w:tcPr>
            <w:tcW w:w="136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电动气密门</w:t>
            </w:r>
          </w:p>
        </w:tc>
        <w:tc>
          <w:tcPr>
            <w:tcW w:w="266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1.电动气密门（含其他五金配件）</w:t>
            </w:r>
          </w:p>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2.综合考虑电路接引费用</w:t>
            </w:r>
          </w:p>
        </w:tc>
        <w:tc>
          <w:tcPr>
            <w:tcW w:w="61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m2</w:t>
            </w:r>
          </w:p>
        </w:tc>
        <w:tc>
          <w:tcPr>
            <w:tcW w:w="863"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10.32</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48"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4" w:hRule="atLeast"/>
        </w:trPr>
        <w:tc>
          <w:tcPr>
            <w:tcW w:w="603"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11</w:t>
            </w:r>
          </w:p>
        </w:tc>
        <w:tc>
          <w:tcPr>
            <w:tcW w:w="129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010501001001</w:t>
            </w:r>
          </w:p>
        </w:tc>
        <w:tc>
          <w:tcPr>
            <w:tcW w:w="136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垫层</w:t>
            </w:r>
          </w:p>
        </w:tc>
        <w:tc>
          <w:tcPr>
            <w:tcW w:w="266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1.现浇混凝土 基础 垫层^现浇现拌混凝土 C15（40）</w:t>
            </w:r>
          </w:p>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2.现场搅拌混凝土调整费</w:t>
            </w:r>
          </w:p>
        </w:tc>
        <w:tc>
          <w:tcPr>
            <w:tcW w:w="61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m3</w:t>
            </w:r>
          </w:p>
        </w:tc>
        <w:tc>
          <w:tcPr>
            <w:tcW w:w="863"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0.61</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48"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603"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12</w:t>
            </w:r>
          </w:p>
        </w:tc>
        <w:tc>
          <w:tcPr>
            <w:tcW w:w="129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011204003001</w:t>
            </w:r>
          </w:p>
        </w:tc>
        <w:tc>
          <w:tcPr>
            <w:tcW w:w="136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块料墙面</w:t>
            </w:r>
          </w:p>
        </w:tc>
        <w:tc>
          <w:tcPr>
            <w:tcW w:w="266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1.墙面（干混砂浆）粘贴300*450瓷砖^水泥砂浆 1:3</w:t>
            </w:r>
          </w:p>
        </w:tc>
        <w:tc>
          <w:tcPr>
            <w:tcW w:w="61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m2</w:t>
            </w:r>
          </w:p>
        </w:tc>
        <w:tc>
          <w:tcPr>
            <w:tcW w:w="863"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29.16</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48"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8467" w:type="dxa"/>
            <w:gridSpan w:val="7"/>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本页小计</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603"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296"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366"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2661"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615"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863"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063"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081"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936"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869"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863"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704" w:type="dxa"/>
            <w:gridSpan w:val="2"/>
            <w:tcBorders>
              <w:top w:val="nil"/>
              <w:left w:val="nil"/>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表-07</w:t>
            </w:r>
          </w:p>
        </w:tc>
      </w:tr>
    </w:tbl>
    <w:p>
      <w:pPr>
        <w:widowControl/>
        <w:jc w:val="center"/>
        <w:textAlignment w:val="center"/>
        <w:rPr>
          <w:rFonts w:ascii="宋体" w:hAnsi="宋体" w:eastAsia="宋体" w:cs="宋体"/>
          <w:b/>
          <w:bCs/>
          <w:color w:val="auto"/>
          <w:kern w:val="0"/>
          <w:sz w:val="40"/>
          <w:szCs w:val="40"/>
          <w:lang w:bidi="ar"/>
        </w:rPr>
        <w:sectPr>
          <w:pgSz w:w="16838" w:h="11906" w:orient="landscape"/>
          <w:pgMar w:top="1440" w:right="1440" w:bottom="1440" w:left="1440" w:header="851" w:footer="992" w:gutter="0"/>
          <w:cols w:space="720" w:num="1"/>
          <w:docGrid w:linePitch="312" w:charSpace="0"/>
        </w:sectPr>
      </w:pPr>
    </w:p>
    <w:tbl>
      <w:tblPr>
        <w:tblStyle w:val="24"/>
        <w:tblW w:w="13980" w:type="dxa"/>
        <w:tblInd w:w="93" w:type="dxa"/>
        <w:tblLayout w:type="autofit"/>
        <w:tblCellMar>
          <w:top w:w="0" w:type="dxa"/>
          <w:left w:w="108" w:type="dxa"/>
          <w:bottom w:w="0" w:type="dxa"/>
          <w:right w:w="108" w:type="dxa"/>
        </w:tblCellMar>
      </w:tblPr>
      <w:tblGrid>
        <w:gridCol w:w="605"/>
        <w:gridCol w:w="1301"/>
        <w:gridCol w:w="1509"/>
        <w:gridCol w:w="2535"/>
        <w:gridCol w:w="617"/>
        <w:gridCol w:w="866"/>
        <w:gridCol w:w="1067"/>
        <w:gridCol w:w="1085"/>
        <w:gridCol w:w="944"/>
        <w:gridCol w:w="872"/>
        <w:gridCol w:w="866"/>
        <w:gridCol w:w="857"/>
        <w:gridCol w:w="856"/>
      </w:tblGrid>
      <w:tr>
        <w:tblPrEx>
          <w:tblCellMar>
            <w:top w:w="0" w:type="dxa"/>
            <w:left w:w="108" w:type="dxa"/>
            <w:bottom w:w="0" w:type="dxa"/>
            <w:right w:w="108" w:type="dxa"/>
          </w:tblCellMar>
        </w:tblPrEx>
        <w:trPr>
          <w:trHeight w:val="203" w:hRule="atLeast"/>
        </w:trPr>
        <w:tc>
          <w:tcPr>
            <w:tcW w:w="13980" w:type="dxa"/>
            <w:gridSpan w:val="13"/>
            <w:tcBorders>
              <w:top w:val="nil"/>
              <w:left w:val="nil"/>
              <w:bottom w:val="nil"/>
              <w:right w:val="nil"/>
            </w:tcBorders>
            <w:shd w:val="clear" w:color="auto" w:fill="FFFFFF"/>
            <w:vAlign w:val="center"/>
          </w:tcPr>
          <w:p>
            <w:pPr>
              <w:widowControl/>
              <w:jc w:val="center"/>
              <w:textAlignment w:val="center"/>
              <w:rPr>
                <w:rFonts w:ascii="宋体" w:hAnsi="宋体" w:eastAsia="宋体" w:cs="宋体"/>
                <w:b/>
                <w:bCs/>
                <w:color w:val="auto"/>
                <w:sz w:val="40"/>
                <w:szCs w:val="40"/>
              </w:rPr>
            </w:pPr>
            <w:r>
              <w:rPr>
                <w:rFonts w:hint="eastAsia" w:ascii="宋体" w:hAnsi="宋体" w:eastAsia="宋体" w:cs="宋体"/>
                <w:b/>
                <w:bCs/>
                <w:color w:val="auto"/>
                <w:kern w:val="0"/>
                <w:sz w:val="40"/>
                <w:szCs w:val="40"/>
                <w:lang w:bidi="ar"/>
              </w:rPr>
              <w:t>分部分项工程量清单与计价表</w:t>
            </w:r>
          </w:p>
        </w:tc>
      </w:tr>
      <w:tr>
        <w:tblPrEx>
          <w:tblCellMar>
            <w:top w:w="0" w:type="dxa"/>
            <w:left w:w="108" w:type="dxa"/>
            <w:bottom w:w="0" w:type="dxa"/>
            <w:right w:w="108" w:type="dxa"/>
          </w:tblCellMar>
        </w:tblPrEx>
        <w:trPr>
          <w:trHeight w:val="102" w:hRule="atLeast"/>
        </w:trPr>
        <w:tc>
          <w:tcPr>
            <w:tcW w:w="10529" w:type="dxa"/>
            <w:gridSpan w:val="9"/>
            <w:tcBorders>
              <w:top w:val="nil"/>
              <w:left w:val="nil"/>
              <w:bottom w:val="nil"/>
              <w:right w:val="nil"/>
            </w:tcBorders>
            <w:shd w:val="clear" w:color="auto" w:fill="FFFFFF"/>
            <w:vAlign w:val="bottom"/>
          </w:tcPr>
          <w:p>
            <w:pPr>
              <w:widowControl/>
              <w:jc w:val="left"/>
              <w:textAlignment w:val="bottom"/>
              <w:rPr>
                <w:rFonts w:ascii="宋体" w:hAnsi="宋体" w:eastAsia="宋体" w:cs="宋体"/>
                <w:color w:val="auto"/>
                <w:sz w:val="18"/>
                <w:szCs w:val="18"/>
              </w:rPr>
            </w:pPr>
            <w:r>
              <w:rPr>
                <w:rFonts w:hint="eastAsia" w:ascii="宋体" w:hAnsi="宋体" w:eastAsia="宋体" w:cs="宋体"/>
                <w:color w:val="auto"/>
                <w:kern w:val="0"/>
                <w:sz w:val="18"/>
                <w:szCs w:val="18"/>
                <w:lang w:bidi="ar"/>
              </w:rPr>
              <w:t>单位工程(专业):单项工程1-建筑</w:t>
            </w:r>
          </w:p>
        </w:tc>
        <w:tc>
          <w:tcPr>
            <w:tcW w:w="3451" w:type="dxa"/>
            <w:gridSpan w:val="4"/>
            <w:tcBorders>
              <w:top w:val="nil"/>
              <w:left w:val="nil"/>
              <w:bottom w:val="nil"/>
              <w:right w:val="nil"/>
            </w:tcBorders>
            <w:shd w:val="clear" w:color="auto" w:fill="FFFFFF"/>
            <w:vAlign w:val="bottom"/>
          </w:tcPr>
          <w:p>
            <w:pPr>
              <w:widowControl/>
              <w:jc w:val="right"/>
              <w:textAlignment w:val="bottom"/>
              <w:rPr>
                <w:rFonts w:ascii="宋体" w:hAnsi="宋体" w:eastAsia="宋体" w:cs="宋体"/>
                <w:color w:val="auto"/>
                <w:sz w:val="18"/>
                <w:szCs w:val="18"/>
              </w:rPr>
            </w:pPr>
            <w:r>
              <w:rPr>
                <w:rFonts w:hint="eastAsia" w:ascii="宋体" w:hAnsi="宋体" w:eastAsia="宋体" w:cs="宋体"/>
                <w:color w:val="auto"/>
                <w:kern w:val="0"/>
                <w:sz w:val="18"/>
                <w:szCs w:val="18"/>
                <w:lang w:bidi="ar"/>
              </w:rPr>
              <w:t>第2页 共5页</w:t>
            </w:r>
          </w:p>
        </w:tc>
      </w:tr>
      <w:tr>
        <w:trPr>
          <w:trHeight w:val="107" w:hRule="atLeast"/>
        </w:trPr>
        <w:tc>
          <w:tcPr>
            <w:tcW w:w="605"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序号</w:t>
            </w:r>
          </w:p>
        </w:tc>
        <w:tc>
          <w:tcPr>
            <w:tcW w:w="1301"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项目编码</w:t>
            </w:r>
          </w:p>
        </w:tc>
        <w:tc>
          <w:tcPr>
            <w:tcW w:w="1509"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项目名称</w:t>
            </w:r>
          </w:p>
        </w:tc>
        <w:tc>
          <w:tcPr>
            <w:tcW w:w="2535"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项目特征</w:t>
            </w:r>
          </w:p>
        </w:tc>
        <w:tc>
          <w:tcPr>
            <w:tcW w:w="617"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计量</w:t>
            </w:r>
          </w:p>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单位</w:t>
            </w:r>
          </w:p>
        </w:tc>
        <w:tc>
          <w:tcPr>
            <w:tcW w:w="866"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工程量</w:t>
            </w:r>
          </w:p>
        </w:tc>
        <w:tc>
          <w:tcPr>
            <w:tcW w:w="1067"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综合单价</w:t>
            </w:r>
          </w:p>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(元)</w:t>
            </w:r>
          </w:p>
        </w:tc>
        <w:tc>
          <w:tcPr>
            <w:tcW w:w="1085"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合价</w:t>
            </w:r>
          </w:p>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(元)</w:t>
            </w:r>
          </w:p>
        </w:tc>
        <w:tc>
          <w:tcPr>
            <w:tcW w:w="3539" w:type="dxa"/>
            <w:gridSpan w:val="4"/>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其中(元)</w:t>
            </w:r>
          </w:p>
        </w:tc>
        <w:tc>
          <w:tcPr>
            <w:tcW w:w="856" w:type="dxa"/>
            <w:vMerge w:val="restart"/>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备注</w:t>
            </w:r>
          </w:p>
        </w:tc>
      </w:tr>
      <w:tr>
        <w:tblPrEx>
          <w:tblCellMar>
            <w:top w:w="0" w:type="dxa"/>
            <w:left w:w="108" w:type="dxa"/>
            <w:bottom w:w="0" w:type="dxa"/>
            <w:right w:w="108" w:type="dxa"/>
          </w:tblCellMar>
        </w:tblPrEx>
        <w:trPr>
          <w:trHeight w:val="114" w:hRule="atLeast"/>
        </w:trPr>
        <w:tc>
          <w:tcPr>
            <w:tcW w:w="60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301"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509"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253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617"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66"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067"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0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944"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定额人工费</w:t>
            </w:r>
          </w:p>
        </w:tc>
        <w:tc>
          <w:tcPr>
            <w:tcW w:w="872"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人工费价差</w:t>
            </w:r>
          </w:p>
        </w:tc>
        <w:tc>
          <w:tcPr>
            <w:tcW w:w="866"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定额机械费</w:t>
            </w:r>
          </w:p>
        </w:tc>
        <w:tc>
          <w:tcPr>
            <w:tcW w:w="857" w:type="dxa"/>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机械费价差</w:t>
            </w:r>
          </w:p>
        </w:tc>
        <w:tc>
          <w:tcPr>
            <w:tcW w:w="856"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170" w:hRule="atLeast"/>
        </w:trPr>
        <w:tc>
          <w:tcPr>
            <w:tcW w:w="60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13</w:t>
            </w:r>
          </w:p>
        </w:tc>
        <w:tc>
          <w:tcPr>
            <w:tcW w:w="130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011201002001</w:t>
            </w:r>
          </w:p>
        </w:tc>
        <w:tc>
          <w:tcPr>
            <w:tcW w:w="1509"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墙面装饰抹灰</w:t>
            </w:r>
          </w:p>
        </w:tc>
        <w:tc>
          <w:tcPr>
            <w:tcW w:w="2535"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1.墙面砂浆打底找平 15mm厚^水泥砂浆 M10.0</w:t>
            </w:r>
          </w:p>
        </w:tc>
        <w:tc>
          <w:tcPr>
            <w:tcW w:w="617"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m2</w:t>
            </w:r>
          </w:p>
        </w:tc>
        <w:tc>
          <w:tcPr>
            <w:tcW w:w="866"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29.16</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56"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134" w:hRule="atLeast"/>
        </w:trPr>
        <w:tc>
          <w:tcPr>
            <w:tcW w:w="60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14</w:t>
            </w:r>
          </w:p>
        </w:tc>
        <w:tc>
          <w:tcPr>
            <w:tcW w:w="130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010903002001</w:t>
            </w:r>
          </w:p>
        </w:tc>
        <w:tc>
          <w:tcPr>
            <w:tcW w:w="1509"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墙面涂膜防水</w:t>
            </w:r>
          </w:p>
        </w:tc>
        <w:tc>
          <w:tcPr>
            <w:tcW w:w="2535"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1.立面聚合物水泥防水涂料 ~厚1.5(mm)</w:t>
            </w:r>
          </w:p>
        </w:tc>
        <w:tc>
          <w:tcPr>
            <w:tcW w:w="617"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m2</w:t>
            </w:r>
          </w:p>
        </w:tc>
        <w:tc>
          <w:tcPr>
            <w:tcW w:w="866"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29.16</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56"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226" w:hRule="atLeast"/>
        </w:trPr>
        <w:tc>
          <w:tcPr>
            <w:tcW w:w="60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15</w:t>
            </w:r>
          </w:p>
        </w:tc>
        <w:tc>
          <w:tcPr>
            <w:tcW w:w="130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011102003001</w:t>
            </w:r>
          </w:p>
        </w:tc>
        <w:tc>
          <w:tcPr>
            <w:tcW w:w="1509"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块料楼地面</w:t>
            </w:r>
          </w:p>
        </w:tc>
        <w:tc>
          <w:tcPr>
            <w:tcW w:w="2535"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1.300*300地砖楼地面（干混砂浆铺贴） 周长1200mm以内 密缝 ^水泥砂浆 1:3</w:t>
            </w:r>
          </w:p>
        </w:tc>
        <w:tc>
          <w:tcPr>
            <w:tcW w:w="617"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m2</w:t>
            </w:r>
          </w:p>
        </w:tc>
        <w:tc>
          <w:tcPr>
            <w:tcW w:w="866"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15.92</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56"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134" w:hRule="atLeast"/>
        </w:trPr>
        <w:tc>
          <w:tcPr>
            <w:tcW w:w="60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16</w:t>
            </w:r>
          </w:p>
        </w:tc>
        <w:tc>
          <w:tcPr>
            <w:tcW w:w="130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011101001001</w:t>
            </w:r>
          </w:p>
        </w:tc>
        <w:tc>
          <w:tcPr>
            <w:tcW w:w="1509"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水泥砂浆楼地面</w:t>
            </w:r>
          </w:p>
        </w:tc>
        <w:tc>
          <w:tcPr>
            <w:tcW w:w="2535"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1.砂浆找平层^水泥砂浆 1:3~厚20mm</w:t>
            </w:r>
          </w:p>
        </w:tc>
        <w:tc>
          <w:tcPr>
            <w:tcW w:w="617"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m2</w:t>
            </w:r>
          </w:p>
        </w:tc>
        <w:tc>
          <w:tcPr>
            <w:tcW w:w="866"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13.48</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56"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134" w:hRule="atLeast"/>
        </w:trPr>
        <w:tc>
          <w:tcPr>
            <w:tcW w:w="60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17</w:t>
            </w:r>
          </w:p>
        </w:tc>
        <w:tc>
          <w:tcPr>
            <w:tcW w:w="130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010904002001</w:t>
            </w:r>
          </w:p>
        </w:tc>
        <w:tc>
          <w:tcPr>
            <w:tcW w:w="1509"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楼（地）面涂膜防水</w:t>
            </w:r>
          </w:p>
        </w:tc>
        <w:tc>
          <w:tcPr>
            <w:tcW w:w="2535"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1.平面聚合物水泥防水涂料 ~厚1.5(mm)</w:t>
            </w:r>
          </w:p>
        </w:tc>
        <w:tc>
          <w:tcPr>
            <w:tcW w:w="617"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m2</w:t>
            </w:r>
          </w:p>
        </w:tc>
        <w:tc>
          <w:tcPr>
            <w:tcW w:w="866"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13.48</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56"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134" w:hRule="atLeast"/>
        </w:trPr>
        <w:tc>
          <w:tcPr>
            <w:tcW w:w="60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18</w:t>
            </w:r>
          </w:p>
        </w:tc>
        <w:tc>
          <w:tcPr>
            <w:tcW w:w="130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011105005001</w:t>
            </w:r>
          </w:p>
        </w:tc>
        <w:tc>
          <w:tcPr>
            <w:tcW w:w="1509"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木质踢脚线</w:t>
            </w:r>
          </w:p>
        </w:tc>
        <w:tc>
          <w:tcPr>
            <w:tcW w:w="2535"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1.木质面层成品踢脚线 粘贴式</w:t>
            </w:r>
          </w:p>
        </w:tc>
        <w:tc>
          <w:tcPr>
            <w:tcW w:w="617"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m</w:t>
            </w:r>
          </w:p>
        </w:tc>
        <w:tc>
          <w:tcPr>
            <w:tcW w:w="866"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99.62</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56"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289" w:hRule="atLeast"/>
        </w:trPr>
        <w:tc>
          <w:tcPr>
            <w:tcW w:w="60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19</w:t>
            </w:r>
          </w:p>
        </w:tc>
        <w:tc>
          <w:tcPr>
            <w:tcW w:w="130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010801004001</w:t>
            </w:r>
          </w:p>
        </w:tc>
        <w:tc>
          <w:tcPr>
            <w:tcW w:w="1509"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木质防火门</w:t>
            </w:r>
          </w:p>
        </w:tc>
        <w:tc>
          <w:tcPr>
            <w:tcW w:w="2535"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1.成品木质甲级防火门安装^水泥砂浆 1:3（含其他五金小配件）</w:t>
            </w:r>
          </w:p>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2.明装闭门器</w:t>
            </w:r>
          </w:p>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3.顺位器安装</w:t>
            </w:r>
          </w:p>
        </w:tc>
        <w:tc>
          <w:tcPr>
            <w:tcW w:w="617"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m2</w:t>
            </w:r>
          </w:p>
        </w:tc>
        <w:tc>
          <w:tcPr>
            <w:tcW w:w="866"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4.20</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56"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170" w:hRule="atLeast"/>
        </w:trPr>
        <w:tc>
          <w:tcPr>
            <w:tcW w:w="60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20</w:t>
            </w:r>
          </w:p>
        </w:tc>
        <w:tc>
          <w:tcPr>
            <w:tcW w:w="130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010801002001</w:t>
            </w:r>
          </w:p>
        </w:tc>
        <w:tc>
          <w:tcPr>
            <w:tcW w:w="1509"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木质门带套</w:t>
            </w:r>
          </w:p>
        </w:tc>
        <w:tc>
          <w:tcPr>
            <w:tcW w:w="2535"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1.成品套装木门安装 双扇门</w:t>
            </w:r>
          </w:p>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2.含其他五金小配件</w:t>
            </w:r>
          </w:p>
        </w:tc>
        <w:tc>
          <w:tcPr>
            <w:tcW w:w="617"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樘</w:t>
            </w:r>
          </w:p>
        </w:tc>
        <w:tc>
          <w:tcPr>
            <w:tcW w:w="866"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56"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170" w:hRule="atLeast"/>
        </w:trPr>
        <w:tc>
          <w:tcPr>
            <w:tcW w:w="60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21</w:t>
            </w:r>
          </w:p>
        </w:tc>
        <w:tc>
          <w:tcPr>
            <w:tcW w:w="130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010801002002</w:t>
            </w:r>
          </w:p>
        </w:tc>
        <w:tc>
          <w:tcPr>
            <w:tcW w:w="1509"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木质门带套</w:t>
            </w:r>
          </w:p>
        </w:tc>
        <w:tc>
          <w:tcPr>
            <w:tcW w:w="2535"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1.成品套装木门安装 单扇门</w:t>
            </w:r>
          </w:p>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2.含其他五金小配件</w:t>
            </w:r>
          </w:p>
        </w:tc>
        <w:tc>
          <w:tcPr>
            <w:tcW w:w="617"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樘</w:t>
            </w:r>
          </w:p>
        </w:tc>
        <w:tc>
          <w:tcPr>
            <w:tcW w:w="866"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15</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56"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134" w:hRule="atLeast"/>
        </w:trPr>
        <w:tc>
          <w:tcPr>
            <w:tcW w:w="60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22</w:t>
            </w:r>
          </w:p>
        </w:tc>
        <w:tc>
          <w:tcPr>
            <w:tcW w:w="130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011606003001</w:t>
            </w:r>
          </w:p>
        </w:tc>
        <w:tc>
          <w:tcPr>
            <w:tcW w:w="1509"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天棚面龙骨及饰面拆除</w:t>
            </w:r>
          </w:p>
        </w:tc>
        <w:tc>
          <w:tcPr>
            <w:tcW w:w="2535"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1.天棚金属龙骨及金属面拆除</w:t>
            </w:r>
          </w:p>
        </w:tc>
        <w:tc>
          <w:tcPr>
            <w:tcW w:w="617"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m2</w:t>
            </w:r>
          </w:p>
        </w:tc>
        <w:tc>
          <w:tcPr>
            <w:tcW w:w="866"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20.00</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56"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134" w:hRule="atLeast"/>
        </w:trPr>
        <w:tc>
          <w:tcPr>
            <w:tcW w:w="60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23</w:t>
            </w:r>
          </w:p>
        </w:tc>
        <w:tc>
          <w:tcPr>
            <w:tcW w:w="130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011302001001</w:t>
            </w:r>
          </w:p>
        </w:tc>
        <w:tc>
          <w:tcPr>
            <w:tcW w:w="1509"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吊顶天棚</w:t>
            </w:r>
          </w:p>
        </w:tc>
        <w:tc>
          <w:tcPr>
            <w:tcW w:w="2535"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1、铝扣板吊顶（含龙骨及相应配件）</w:t>
            </w:r>
          </w:p>
        </w:tc>
        <w:tc>
          <w:tcPr>
            <w:tcW w:w="617"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m2</w:t>
            </w:r>
          </w:p>
        </w:tc>
        <w:tc>
          <w:tcPr>
            <w:tcW w:w="866"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111.66</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56"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107" w:hRule="atLeast"/>
        </w:trPr>
        <w:tc>
          <w:tcPr>
            <w:tcW w:w="8500" w:type="dxa"/>
            <w:gridSpan w:val="7"/>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本页小计</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104" w:hRule="atLeast"/>
        </w:trPr>
        <w:tc>
          <w:tcPr>
            <w:tcW w:w="605"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301"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509"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2535"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617"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866"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067"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085"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944"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872"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866"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713" w:type="dxa"/>
            <w:gridSpan w:val="2"/>
            <w:tcBorders>
              <w:top w:val="nil"/>
              <w:left w:val="nil"/>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表-07</w:t>
            </w:r>
          </w:p>
        </w:tc>
      </w:tr>
    </w:tbl>
    <w:p>
      <w:pPr>
        <w:widowControl/>
        <w:jc w:val="center"/>
        <w:textAlignment w:val="center"/>
        <w:rPr>
          <w:rFonts w:ascii="宋体" w:hAnsi="宋体" w:eastAsia="宋体" w:cs="宋体"/>
          <w:b/>
          <w:bCs/>
          <w:color w:val="auto"/>
          <w:kern w:val="0"/>
          <w:sz w:val="40"/>
          <w:szCs w:val="40"/>
          <w:lang w:bidi="ar"/>
        </w:rPr>
        <w:sectPr>
          <w:pgSz w:w="16838" w:h="11906" w:orient="landscape"/>
          <w:pgMar w:top="1440" w:right="1440" w:bottom="1440" w:left="1440" w:header="851" w:footer="992" w:gutter="0"/>
          <w:cols w:space="720" w:num="1"/>
          <w:docGrid w:linePitch="312" w:charSpace="0"/>
        </w:sectPr>
      </w:pPr>
    </w:p>
    <w:tbl>
      <w:tblPr>
        <w:tblStyle w:val="24"/>
        <w:tblW w:w="13940" w:type="dxa"/>
        <w:tblInd w:w="93" w:type="dxa"/>
        <w:tblLayout w:type="autofit"/>
        <w:tblCellMar>
          <w:top w:w="0" w:type="dxa"/>
          <w:left w:w="108" w:type="dxa"/>
          <w:bottom w:w="0" w:type="dxa"/>
          <w:right w:w="108" w:type="dxa"/>
        </w:tblCellMar>
      </w:tblPr>
      <w:tblGrid>
        <w:gridCol w:w="603"/>
        <w:gridCol w:w="1297"/>
        <w:gridCol w:w="1924"/>
        <w:gridCol w:w="2108"/>
        <w:gridCol w:w="615"/>
        <w:gridCol w:w="864"/>
        <w:gridCol w:w="1064"/>
        <w:gridCol w:w="1082"/>
        <w:gridCol w:w="942"/>
        <w:gridCol w:w="870"/>
        <w:gridCol w:w="864"/>
        <w:gridCol w:w="853"/>
        <w:gridCol w:w="854"/>
      </w:tblGrid>
      <w:tr>
        <w:tblPrEx>
          <w:tblCellMar>
            <w:top w:w="0" w:type="dxa"/>
            <w:left w:w="108" w:type="dxa"/>
            <w:bottom w:w="0" w:type="dxa"/>
            <w:right w:w="108" w:type="dxa"/>
          </w:tblCellMar>
        </w:tblPrEx>
        <w:trPr>
          <w:trHeight w:val="133" w:hRule="atLeast"/>
        </w:trPr>
        <w:tc>
          <w:tcPr>
            <w:tcW w:w="13940" w:type="dxa"/>
            <w:gridSpan w:val="13"/>
            <w:tcBorders>
              <w:top w:val="nil"/>
              <w:left w:val="nil"/>
              <w:bottom w:val="nil"/>
              <w:right w:val="nil"/>
            </w:tcBorders>
            <w:shd w:val="clear" w:color="auto" w:fill="FFFFFF"/>
            <w:vAlign w:val="center"/>
          </w:tcPr>
          <w:p>
            <w:pPr>
              <w:widowControl/>
              <w:jc w:val="center"/>
              <w:textAlignment w:val="center"/>
              <w:rPr>
                <w:rFonts w:ascii="宋体" w:hAnsi="宋体" w:eastAsia="宋体" w:cs="宋体"/>
                <w:b/>
                <w:bCs/>
                <w:color w:val="auto"/>
                <w:sz w:val="40"/>
                <w:szCs w:val="40"/>
              </w:rPr>
            </w:pPr>
            <w:r>
              <w:rPr>
                <w:rFonts w:hint="eastAsia" w:ascii="宋体" w:hAnsi="宋体" w:eastAsia="宋体" w:cs="宋体"/>
                <w:b/>
                <w:bCs/>
                <w:color w:val="auto"/>
                <w:kern w:val="0"/>
                <w:sz w:val="40"/>
                <w:szCs w:val="40"/>
                <w:lang w:bidi="ar"/>
              </w:rPr>
              <w:t>分部分项工程量清单与计价表</w:t>
            </w:r>
          </w:p>
        </w:tc>
      </w:tr>
      <w:tr>
        <w:tblPrEx>
          <w:tblCellMar>
            <w:top w:w="0" w:type="dxa"/>
            <w:left w:w="108" w:type="dxa"/>
            <w:bottom w:w="0" w:type="dxa"/>
            <w:right w:w="108" w:type="dxa"/>
          </w:tblCellMar>
        </w:tblPrEx>
        <w:trPr>
          <w:trHeight w:val="90" w:hRule="atLeast"/>
        </w:trPr>
        <w:tc>
          <w:tcPr>
            <w:tcW w:w="10499" w:type="dxa"/>
            <w:gridSpan w:val="9"/>
            <w:tcBorders>
              <w:top w:val="nil"/>
              <w:left w:val="nil"/>
              <w:bottom w:val="nil"/>
              <w:right w:val="nil"/>
            </w:tcBorders>
            <w:shd w:val="clear" w:color="auto" w:fill="FFFFFF"/>
            <w:vAlign w:val="bottom"/>
          </w:tcPr>
          <w:p>
            <w:pPr>
              <w:widowControl/>
              <w:jc w:val="left"/>
              <w:textAlignment w:val="bottom"/>
              <w:rPr>
                <w:rFonts w:ascii="宋体" w:hAnsi="宋体" w:eastAsia="宋体" w:cs="宋体"/>
                <w:color w:val="auto"/>
                <w:sz w:val="18"/>
                <w:szCs w:val="18"/>
              </w:rPr>
            </w:pPr>
            <w:r>
              <w:rPr>
                <w:rFonts w:hint="eastAsia" w:ascii="宋体" w:hAnsi="宋体" w:eastAsia="宋体" w:cs="宋体"/>
                <w:color w:val="auto"/>
                <w:kern w:val="0"/>
                <w:sz w:val="18"/>
                <w:szCs w:val="18"/>
                <w:lang w:bidi="ar"/>
              </w:rPr>
              <w:t>单位工程(专业):单项工程1-建筑</w:t>
            </w:r>
          </w:p>
        </w:tc>
        <w:tc>
          <w:tcPr>
            <w:tcW w:w="3441" w:type="dxa"/>
            <w:gridSpan w:val="4"/>
            <w:tcBorders>
              <w:top w:val="nil"/>
              <w:left w:val="nil"/>
              <w:bottom w:val="nil"/>
              <w:right w:val="nil"/>
            </w:tcBorders>
            <w:shd w:val="clear" w:color="auto" w:fill="FFFFFF"/>
            <w:vAlign w:val="bottom"/>
          </w:tcPr>
          <w:p>
            <w:pPr>
              <w:widowControl/>
              <w:jc w:val="right"/>
              <w:textAlignment w:val="bottom"/>
              <w:rPr>
                <w:rFonts w:ascii="宋体" w:hAnsi="宋体" w:eastAsia="宋体" w:cs="宋体"/>
                <w:color w:val="auto"/>
                <w:sz w:val="18"/>
                <w:szCs w:val="18"/>
              </w:rPr>
            </w:pPr>
            <w:r>
              <w:rPr>
                <w:rFonts w:hint="eastAsia" w:ascii="宋体" w:hAnsi="宋体" w:eastAsia="宋体" w:cs="宋体"/>
                <w:color w:val="auto"/>
                <w:kern w:val="0"/>
                <w:sz w:val="18"/>
                <w:szCs w:val="18"/>
                <w:lang w:bidi="ar"/>
              </w:rPr>
              <w:t>第3页 共5页</w:t>
            </w:r>
          </w:p>
        </w:tc>
      </w:tr>
      <w:tr>
        <w:trPr>
          <w:trHeight w:val="90" w:hRule="atLeast"/>
        </w:trPr>
        <w:tc>
          <w:tcPr>
            <w:tcW w:w="603"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序号</w:t>
            </w:r>
          </w:p>
        </w:tc>
        <w:tc>
          <w:tcPr>
            <w:tcW w:w="1297"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项目编码</w:t>
            </w:r>
          </w:p>
        </w:tc>
        <w:tc>
          <w:tcPr>
            <w:tcW w:w="1924"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项目名称</w:t>
            </w:r>
          </w:p>
        </w:tc>
        <w:tc>
          <w:tcPr>
            <w:tcW w:w="2108"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项目特征</w:t>
            </w:r>
          </w:p>
        </w:tc>
        <w:tc>
          <w:tcPr>
            <w:tcW w:w="615"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计量</w:t>
            </w:r>
          </w:p>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单位</w:t>
            </w:r>
          </w:p>
        </w:tc>
        <w:tc>
          <w:tcPr>
            <w:tcW w:w="864"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工程量</w:t>
            </w:r>
          </w:p>
        </w:tc>
        <w:tc>
          <w:tcPr>
            <w:tcW w:w="1064"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综合单价</w:t>
            </w:r>
          </w:p>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(元)</w:t>
            </w:r>
          </w:p>
        </w:tc>
        <w:tc>
          <w:tcPr>
            <w:tcW w:w="1082"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合价</w:t>
            </w:r>
          </w:p>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(元)</w:t>
            </w:r>
          </w:p>
        </w:tc>
        <w:tc>
          <w:tcPr>
            <w:tcW w:w="3529" w:type="dxa"/>
            <w:gridSpan w:val="4"/>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其中(元)</w:t>
            </w:r>
          </w:p>
        </w:tc>
        <w:tc>
          <w:tcPr>
            <w:tcW w:w="854" w:type="dxa"/>
            <w:vMerge w:val="restart"/>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备注</w:t>
            </w:r>
          </w:p>
        </w:tc>
      </w:tr>
      <w:tr>
        <w:tblPrEx>
          <w:tblCellMar>
            <w:top w:w="0" w:type="dxa"/>
            <w:left w:w="108" w:type="dxa"/>
            <w:bottom w:w="0" w:type="dxa"/>
            <w:right w:w="108" w:type="dxa"/>
          </w:tblCellMar>
        </w:tblPrEx>
        <w:trPr>
          <w:trHeight w:val="90" w:hRule="atLeast"/>
        </w:trPr>
        <w:tc>
          <w:tcPr>
            <w:tcW w:w="603"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297"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924"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2108"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61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64"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064"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082"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942"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定额人工费</w:t>
            </w:r>
          </w:p>
        </w:tc>
        <w:tc>
          <w:tcPr>
            <w:tcW w:w="87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人工费价差</w:t>
            </w:r>
          </w:p>
        </w:tc>
        <w:tc>
          <w:tcPr>
            <w:tcW w:w="864"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定额机械费</w:t>
            </w:r>
          </w:p>
        </w:tc>
        <w:tc>
          <w:tcPr>
            <w:tcW w:w="853" w:type="dxa"/>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机械费价差</w:t>
            </w:r>
          </w:p>
        </w:tc>
        <w:tc>
          <w:tcPr>
            <w:tcW w:w="854"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603"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24</w:t>
            </w:r>
          </w:p>
        </w:tc>
        <w:tc>
          <w:tcPr>
            <w:tcW w:w="1297"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011101001002</w:t>
            </w:r>
          </w:p>
        </w:tc>
        <w:tc>
          <w:tcPr>
            <w:tcW w:w="192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水泥砂浆楼地面</w:t>
            </w:r>
          </w:p>
        </w:tc>
        <w:tc>
          <w:tcPr>
            <w:tcW w:w="2108"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1.砂浆面层大便坑（10只）^水泥砂浆 1:3</w:t>
            </w:r>
          </w:p>
        </w:tc>
        <w:tc>
          <w:tcPr>
            <w:tcW w:w="61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只</w:t>
            </w:r>
          </w:p>
        </w:tc>
        <w:tc>
          <w:tcPr>
            <w:tcW w:w="864"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54"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603"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25</w:t>
            </w:r>
          </w:p>
        </w:tc>
        <w:tc>
          <w:tcPr>
            <w:tcW w:w="1297"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011605001001</w:t>
            </w:r>
          </w:p>
        </w:tc>
        <w:tc>
          <w:tcPr>
            <w:tcW w:w="192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平面块料拆除</w:t>
            </w:r>
          </w:p>
        </w:tc>
        <w:tc>
          <w:tcPr>
            <w:tcW w:w="2108"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1.地砖地面拆除</w:t>
            </w:r>
          </w:p>
        </w:tc>
        <w:tc>
          <w:tcPr>
            <w:tcW w:w="61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m2</w:t>
            </w:r>
          </w:p>
        </w:tc>
        <w:tc>
          <w:tcPr>
            <w:tcW w:w="864"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8.16</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54"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603"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26</w:t>
            </w:r>
          </w:p>
        </w:tc>
        <w:tc>
          <w:tcPr>
            <w:tcW w:w="1297"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01B003</w:t>
            </w:r>
          </w:p>
        </w:tc>
        <w:tc>
          <w:tcPr>
            <w:tcW w:w="192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垃圾清理及搬运</w:t>
            </w:r>
          </w:p>
        </w:tc>
        <w:tc>
          <w:tcPr>
            <w:tcW w:w="2108"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1.垃圾清理及搬运</w:t>
            </w:r>
          </w:p>
        </w:tc>
        <w:tc>
          <w:tcPr>
            <w:tcW w:w="61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车</w:t>
            </w:r>
          </w:p>
        </w:tc>
        <w:tc>
          <w:tcPr>
            <w:tcW w:w="864"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10</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54"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603"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27</w:t>
            </w:r>
          </w:p>
        </w:tc>
        <w:tc>
          <w:tcPr>
            <w:tcW w:w="1297"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01b004</w:t>
            </w:r>
          </w:p>
        </w:tc>
        <w:tc>
          <w:tcPr>
            <w:tcW w:w="192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取材记录台</w:t>
            </w:r>
          </w:p>
        </w:tc>
        <w:tc>
          <w:tcPr>
            <w:tcW w:w="2108"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1.1200*800*800取材记录台</w:t>
            </w:r>
          </w:p>
        </w:tc>
        <w:tc>
          <w:tcPr>
            <w:tcW w:w="61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台</w:t>
            </w:r>
          </w:p>
        </w:tc>
        <w:tc>
          <w:tcPr>
            <w:tcW w:w="864"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3</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54"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603"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28</w:t>
            </w:r>
          </w:p>
        </w:tc>
        <w:tc>
          <w:tcPr>
            <w:tcW w:w="1297"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01b005</w:t>
            </w:r>
          </w:p>
        </w:tc>
        <w:tc>
          <w:tcPr>
            <w:tcW w:w="192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全钢病理操作台</w:t>
            </w:r>
          </w:p>
        </w:tc>
        <w:tc>
          <w:tcPr>
            <w:tcW w:w="2108"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1.2800*750*800全钢病理操作台</w:t>
            </w:r>
          </w:p>
        </w:tc>
        <w:tc>
          <w:tcPr>
            <w:tcW w:w="61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台</w:t>
            </w:r>
          </w:p>
        </w:tc>
        <w:tc>
          <w:tcPr>
            <w:tcW w:w="864"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54"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603"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29</w:t>
            </w:r>
          </w:p>
        </w:tc>
        <w:tc>
          <w:tcPr>
            <w:tcW w:w="1297"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01b006</w:t>
            </w:r>
          </w:p>
        </w:tc>
        <w:tc>
          <w:tcPr>
            <w:tcW w:w="192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全不锈钢立式冲淋装置</w:t>
            </w:r>
          </w:p>
        </w:tc>
        <w:tc>
          <w:tcPr>
            <w:tcW w:w="2108"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1.全不锈钢立式冲淋装置</w:t>
            </w:r>
          </w:p>
        </w:tc>
        <w:tc>
          <w:tcPr>
            <w:tcW w:w="61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套</w:t>
            </w:r>
          </w:p>
        </w:tc>
        <w:tc>
          <w:tcPr>
            <w:tcW w:w="864"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54"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603"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30</w:t>
            </w:r>
          </w:p>
        </w:tc>
        <w:tc>
          <w:tcPr>
            <w:tcW w:w="1297"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01b007</w:t>
            </w:r>
          </w:p>
        </w:tc>
        <w:tc>
          <w:tcPr>
            <w:tcW w:w="192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立式脱水机通风排毒柜</w:t>
            </w:r>
          </w:p>
        </w:tc>
        <w:tc>
          <w:tcPr>
            <w:tcW w:w="2108"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1.2000*1100*2350立式脱水机通风排毒柜</w:t>
            </w:r>
          </w:p>
        </w:tc>
        <w:tc>
          <w:tcPr>
            <w:tcW w:w="61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台</w:t>
            </w:r>
          </w:p>
        </w:tc>
        <w:tc>
          <w:tcPr>
            <w:tcW w:w="864"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54"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603"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31</w:t>
            </w:r>
          </w:p>
        </w:tc>
        <w:tc>
          <w:tcPr>
            <w:tcW w:w="1297"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01b008</w:t>
            </w:r>
          </w:p>
        </w:tc>
        <w:tc>
          <w:tcPr>
            <w:tcW w:w="192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全钢病理操作台</w:t>
            </w:r>
          </w:p>
        </w:tc>
        <w:tc>
          <w:tcPr>
            <w:tcW w:w="2108"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1.3620*750*800全钢病理操作台</w:t>
            </w:r>
          </w:p>
        </w:tc>
        <w:tc>
          <w:tcPr>
            <w:tcW w:w="61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台</w:t>
            </w:r>
          </w:p>
        </w:tc>
        <w:tc>
          <w:tcPr>
            <w:tcW w:w="864"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54"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112" w:hRule="atLeast"/>
        </w:trPr>
        <w:tc>
          <w:tcPr>
            <w:tcW w:w="603"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32</w:t>
            </w:r>
          </w:p>
        </w:tc>
        <w:tc>
          <w:tcPr>
            <w:tcW w:w="1297"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01b009</w:t>
            </w:r>
          </w:p>
        </w:tc>
        <w:tc>
          <w:tcPr>
            <w:tcW w:w="192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大型染色封片一体机通风排毒柜</w:t>
            </w:r>
          </w:p>
        </w:tc>
        <w:tc>
          <w:tcPr>
            <w:tcW w:w="2108"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1.2500*1100*2350大型染色封片一体机通风排毒柜</w:t>
            </w:r>
          </w:p>
        </w:tc>
        <w:tc>
          <w:tcPr>
            <w:tcW w:w="61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台</w:t>
            </w:r>
          </w:p>
        </w:tc>
        <w:tc>
          <w:tcPr>
            <w:tcW w:w="864"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54"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603"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33</w:t>
            </w:r>
          </w:p>
        </w:tc>
        <w:tc>
          <w:tcPr>
            <w:tcW w:w="1297"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01b010</w:t>
            </w:r>
          </w:p>
        </w:tc>
        <w:tc>
          <w:tcPr>
            <w:tcW w:w="192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手工染色通风排毒柜</w:t>
            </w:r>
          </w:p>
        </w:tc>
        <w:tc>
          <w:tcPr>
            <w:tcW w:w="2108"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1.1500*850*2350手工染色通风排毒柜</w:t>
            </w:r>
          </w:p>
        </w:tc>
        <w:tc>
          <w:tcPr>
            <w:tcW w:w="61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台</w:t>
            </w:r>
          </w:p>
        </w:tc>
        <w:tc>
          <w:tcPr>
            <w:tcW w:w="864"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3</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54"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603"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34</w:t>
            </w:r>
          </w:p>
        </w:tc>
        <w:tc>
          <w:tcPr>
            <w:tcW w:w="1297"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01b011</w:t>
            </w:r>
          </w:p>
        </w:tc>
        <w:tc>
          <w:tcPr>
            <w:tcW w:w="192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染色对片通风排毒柜</w:t>
            </w:r>
          </w:p>
        </w:tc>
        <w:tc>
          <w:tcPr>
            <w:tcW w:w="2108"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1.1500*850*2350染色对片通风排毒柜</w:t>
            </w:r>
          </w:p>
        </w:tc>
        <w:tc>
          <w:tcPr>
            <w:tcW w:w="61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台</w:t>
            </w:r>
          </w:p>
        </w:tc>
        <w:tc>
          <w:tcPr>
            <w:tcW w:w="864"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54"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603"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35</w:t>
            </w:r>
          </w:p>
        </w:tc>
        <w:tc>
          <w:tcPr>
            <w:tcW w:w="1297"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01b012</w:t>
            </w:r>
          </w:p>
        </w:tc>
        <w:tc>
          <w:tcPr>
            <w:tcW w:w="192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烤箱通风排毒柜</w:t>
            </w:r>
          </w:p>
        </w:tc>
        <w:tc>
          <w:tcPr>
            <w:tcW w:w="2108"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1.2000*1100*2350烤箱通风排毒柜</w:t>
            </w:r>
          </w:p>
        </w:tc>
        <w:tc>
          <w:tcPr>
            <w:tcW w:w="61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台</w:t>
            </w:r>
          </w:p>
        </w:tc>
        <w:tc>
          <w:tcPr>
            <w:tcW w:w="864"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54"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603"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36</w:t>
            </w:r>
          </w:p>
        </w:tc>
        <w:tc>
          <w:tcPr>
            <w:tcW w:w="1297"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01b013</w:t>
            </w:r>
          </w:p>
        </w:tc>
        <w:tc>
          <w:tcPr>
            <w:tcW w:w="192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包埋机通风排毒柜</w:t>
            </w:r>
          </w:p>
        </w:tc>
        <w:tc>
          <w:tcPr>
            <w:tcW w:w="2108"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1.1500*850*2350包埋机通风排毒柜</w:t>
            </w:r>
          </w:p>
        </w:tc>
        <w:tc>
          <w:tcPr>
            <w:tcW w:w="61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台</w:t>
            </w:r>
          </w:p>
        </w:tc>
        <w:tc>
          <w:tcPr>
            <w:tcW w:w="864"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54"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603"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37</w:t>
            </w:r>
          </w:p>
        </w:tc>
        <w:tc>
          <w:tcPr>
            <w:tcW w:w="1297"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01b014</w:t>
            </w:r>
          </w:p>
        </w:tc>
        <w:tc>
          <w:tcPr>
            <w:tcW w:w="192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全钢病理操作台</w:t>
            </w:r>
          </w:p>
        </w:tc>
        <w:tc>
          <w:tcPr>
            <w:tcW w:w="2108"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1.1680*750*800全钢病理操作台</w:t>
            </w:r>
          </w:p>
        </w:tc>
        <w:tc>
          <w:tcPr>
            <w:tcW w:w="61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台</w:t>
            </w:r>
          </w:p>
        </w:tc>
        <w:tc>
          <w:tcPr>
            <w:tcW w:w="864"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54"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8475" w:type="dxa"/>
            <w:gridSpan w:val="7"/>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本页小计</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603"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297"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924"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2108"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615"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864"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064"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082"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942"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870"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864"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707" w:type="dxa"/>
            <w:gridSpan w:val="2"/>
            <w:tcBorders>
              <w:top w:val="nil"/>
              <w:left w:val="nil"/>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表-07</w:t>
            </w:r>
          </w:p>
        </w:tc>
      </w:tr>
    </w:tbl>
    <w:p>
      <w:pPr>
        <w:widowControl/>
        <w:jc w:val="center"/>
        <w:textAlignment w:val="center"/>
        <w:rPr>
          <w:rFonts w:ascii="宋体" w:hAnsi="宋体" w:eastAsia="宋体" w:cs="宋体"/>
          <w:b/>
          <w:bCs/>
          <w:color w:val="auto"/>
          <w:kern w:val="0"/>
          <w:sz w:val="40"/>
          <w:szCs w:val="40"/>
          <w:lang w:bidi="ar"/>
        </w:rPr>
        <w:sectPr>
          <w:pgSz w:w="16838" w:h="11906" w:orient="landscape"/>
          <w:pgMar w:top="1440" w:right="1440" w:bottom="1440" w:left="1440" w:header="851" w:footer="992" w:gutter="0"/>
          <w:cols w:space="720" w:num="1"/>
          <w:docGrid w:linePitch="312" w:charSpace="0"/>
        </w:sectPr>
      </w:pPr>
    </w:p>
    <w:tbl>
      <w:tblPr>
        <w:tblStyle w:val="24"/>
        <w:tblW w:w="13940" w:type="dxa"/>
        <w:tblInd w:w="93" w:type="dxa"/>
        <w:tblLayout w:type="autofit"/>
        <w:tblCellMar>
          <w:top w:w="0" w:type="dxa"/>
          <w:left w:w="108" w:type="dxa"/>
          <w:bottom w:w="0" w:type="dxa"/>
          <w:right w:w="108" w:type="dxa"/>
        </w:tblCellMar>
      </w:tblPr>
      <w:tblGrid>
        <w:gridCol w:w="603"/>
        <w:gridCol w:w="1297"/>
        <w:gridCol w:w="1924"/>
        <w:gridCol w:w="2108"/>
        <w:gridCol w:w="615"/>
        <w:gridCol w:w="864"/>
        <w:gridCol w:w="1064"/>
        <w:gridCol w:w="1082"/>
        <w:gridCol w:w="942"/>
        <w:gridCol w:w="870"/>
        <w:gridCol w:w="864"/>
        <w:gridCol w:w="853"/>
        <w:gridCol w:w="854"/>
      </w:tblGrid>
      <w:tr>
        <w:tblPrEx>
          <w:tblCellMar>
            <w:top w:w="0" w:type="dxa"/>
            <w:left w:w="108" w:type="dxa"/>
            <w:bottom w:w="0" w:type="dxa"/>
            <w:right w:w="108" w:type="dxa"/>
          </w:tblCellMar>
        </w:tblPrEx>
        <w:trPr>
          <w:trHeight w:val="200" w:hRule="atLeast"/>
        </w:trPr>
        <w:tc>
          <w:tcPr>
            <w:tcW w:w="13940" w:type="dxa"/>
            <w:gridSpan w:val="13"/>
            <w:tcBorders>
              <w:top w:val="nil"/>
              <w:left w:val="nil"/>
              <w:bottom w:val="nil"/>
              <w:right w:val="nil"/>
            </w:tcBorders>
            <w:shd w:val="clear" w:color="auto" w:fill="FFFFFF"/>
            <w:vAlign w:val="center"/>
          </w:tcPr>
          <w:p>
            <w:pPr>
              <w:widowControl/>
              <w:jc w:val="center"/>
              <w:textAlignment w:val="center"/>
              <w:rPr>
                <w:rFonts w:ascii="宋体" w:hAnsi="宋体" w:eastAsia="宋体" w:cs="宋体"/>
                <w:b/>
                <w:bCs/>
                <w:color w:val="auto"/>
                <w:sz w:val="40"/>
                <w:szCs w:val="40"/>
              </w:rPr>
            </w:pPr>
            <w:r>
              <w:rPr>
                <w:rFonts w:hint="eastAsia" w:ascii="宋体" w:hAnsi="宋体" w:eastAsia="宋体" w:cs="宋体"/>
                <w:b/>
                <w:bCs/>
                <w:color w:val="auto"/>
                <w:kern w:val="0"/>
                <w:sz w:val="40"/>
                <w:szCs w:val="40"/>
                <w:lang w:bidi="ar"/>
              </w:rPr>
              <w:t>分部分项工程量清单与计价表</w:t>
            </w:r>
          </w:p>
        </w:tc>
      </w:tr>
      <w:tr>
        <w:tblPrEx>
          <w:tblCellMar>
            <w:top w:w="0" w:type="dxa"/>
            <w:left w:w="108" w:type="dxa"/>
            <w:bottom w:w="0" w:type="dxa"/>
            <w:right w:w="108" w:type="dxa"/>
          </w:tblCellMar>
        </w:tblPrEx>
        <w:trPr>
          <w:trHeight w:val="100" w:hRule="atLeast"/>
        </w:trPr>
        <w:tc>
          <w:tcPr>
            <w:tcW w:w="10499" w:type="dxa"/>
            <w:gridSpan w:val="9"/>
            <w:tcBorders>
              <w:top w:val="nil"/>
              <w:left w:val="nil"/>
              <w:bottom w:val="nil"/>
              <w:right w:val="nil"/>
            </w:tcBorders>
            <w:shd w:val="clear" w:color="auto" w:fill="FFFFFF"/>
            <w:vAlign w:val="bottom"/>
          </w:tcPr>
          <w:p>
            <w:pPr>
              <w:widowControl/>
              <w:jc w:val="left"/>
              <w:textAlignment w:val="bottom"/>
              <w:rPr>
                <w:rFonts w:ascii="宋体" w:hAnsi="宋体" w:eastAsia="宋体" w:cs="宋体"/>
                <w:color w:val="auto"/>
                <w:sz w:val="18"/>
                <w:szCs w:val="18"/>
              </w:rPr>
            </w:pPr>
            <w:r>
              <w:rPr>
                <w:rFonts w:hint="eastAsia" w:ascii="宋体" w:hAnsi="宋体" w:eastAsia="宋体" w:cs="宋体"/>
                <w:color w:val="auto"/>
                <w:kern w:val="0"/>
                <w:sz w:val="18"/>
                <w:szCs w:val="18"/>
                <w:lang w:bidi="ar"/>
              </w:rPr>
              <w:t>单位工程(专业):单项工程1-建筑</w:t>
            </w:r>
          </w:p>
        </w:tc>
        <w:tc>
          <w:tcPr>
            <w:tcW w:w="3441" w:type="dxa"/>
            <w:gridSpan w:val="4"/>
            <w:tcBorders>
              <w:top w:val="nil"/>
              <w:left w:val="nil"/>
              <w:bottom w:val="nil"/>
              <w:right w:val="nil"/>
            </w:tcBorders>
            <w:shd w:val="clear" w:color="auto" w:fill="FFFFFF"/>
            <w:vAlign w:val="bottom"/>
          </w:tcPr>
          <w:p>
            <w:pPr>
              <w:widowControl/>
              <w:jc w:val="right"/>
              <w:textAlignment w:val="bottom"/>
              <w:rPr>
                <w:rFonts w:ascii="宋体" w:hAnsi="宋体" w:eastAsia="宋体" w:cs="宋体"/>
                <w:color w:val="auto"/>
                <w:sz w:val="18"/>
                <w:szCs w:val="18"/>
              </w:rPr>
            </w:pPr>
            <w:r>
              <w:rPr>
                <w:rFonts w:hint="eastAsia" w:ascii="宋体" w:hAnsi="宋体" w:eastAsia="宋体" w:cs="宋体"/>
                <w:color w:val="auto"/>
                <w:kern w:val="0"/>
                <w:sz w:val="18"/>
                <w:szCs w:val="18"/>
                <w:lang w:bidi="ar"/>
              </w:rPr>
              <w:t>第4页 共5页</w:t>
            </w:r>
          </w:p>
        </w:tc>
      </w:tr>
      <w:tr>
        <w:trPr>
          <w:trHeight w:val="105" w:hRule="atLeast"/>
        </w:trPr>
        <w:tc>
          <w:tcPr>
            <w:tcW w:w="603"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序号</w:t>
            </w:r>
          </w:p>
        </w:tc>
        <w:tc>
          <w:tcPr>
            <w:tcW w:w="1297"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项目编码</w:t>
            </w:r>
          </w:p>
        </w:tc>
        <w:tc>
          <w:tcPr>
            <w:tcW w:w="1924"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项目名称</w:t>
            </w:r>
          </w:p>
        </w:tc>
        <w:tc>
          <w:tcPr>
            <w:tcW w:w="2108"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项目特征</w:t>
            </w:r>
          </w:p>
        </w:tc>
        <w:tc>
          <w:tcPr>
            <w:tcW w:w="615"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计量</w:t>
            </w:r>
          </w:p>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单位</w:t>
            </w:r>
          </w:p>
        </w:tc>
        <w:tc>
          <w:tcPr>
            <w:tcW w:w="864"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工程量</w:t>
            </w:r>
          </w:p>
        </w:tc>
        <w:tc>
          <w:tcPr>
            <w:tcW w:w="1064"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综合单价</w:t>
            </w:r>
          </w:p>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(元)</w:t>
            </w:r>
          </w:p>
        </w:tc>
        <w:tc>
          <w:tcPr>
            <w:tcW w:w="1082"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合价</w:t>
            </w:r>
          </w:p>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(元)</w:t>
            </w:r>
          </w:p>
        </w:tc>
        <w:tc>
          <w:tcPr>
            <w:tcW w:w="3529" w:type="dxa"/>
            <w:gridSpan w:val="4"/>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其中(元)</w:t>
            </w:r>
          </w:p>
        </w:tc>
        <w:tc>
          <w:tcPr>
            <w:tcW w:w="854" w:type="dxa"/>
            <w:vMerge w:val="restart"/>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备注</w:t>
            </w:r>
          </w:p>
        </w:tc>
      </w:tr>
      <w:tr>
        <w:tblPrEx>
          <w:tblCellMar>
            <w:top w:w="0" w:type="dxa"/>
            <w:left w:w="108" w:type="dxa"/>
            <w:bottom w:w="0" w:type="dxa"/>
            <w:right w:w="108" w:type="dxa"/>
          </w:tblCellMar>
        </w:tblPrEx>
        <w:trPr>
          <w:trHeight w:val="113" w:hRule="atLeast"/>
        </w:trPr>
        <w:tc>
          <w:tcPr>
            <w:tcW w:w="603"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297"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924"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2108"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61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64"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064"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082"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942"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定额人工费</w:t>
            </w:r>
          </w:p>
        </w:tc>
        <w:tc>
          <w:tcPr>
            <w:tcW w:w="87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人工费价差</w:t>
            </w:r>
          </w:p>
        </w:tc>
        <w:tc>
          <w:tcPr>
            <w:tcW w:w="864"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定额机械费</w:t>
            </w:r>
          </w:p>
        </w:tc>
        <w:tc>
          <w:tcPr>
            <w:tcW w:w="853" w:type="dxa"/>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机械费价差</w:t>
            </w:r>
          </w:p>
        </w:tc>
        <w:tc>
          <w:tcPr>
            <w:tcW w:w="854"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132" w:hRule="atLeast"/>
        </w:trPr>
        <w:tc>
          <w:tcPr>
            <w:tcW w:w="603"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38</w:t>
            </w:r>
          </w:p>
        </w:tc>
        <w:tc>
          <w:tcPr>
            <w:tcW w:w="1297"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01b015</w:t>
            </w:r>
          </w:p>
        </w:tc>
        <w:tc>
          <w:tcPr>
            <w:tcW w:w="192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全钢防震切片台</w:t>
            </w:r>
          </w:p>
        </w:tc>
        <w:tc>
          <w:tcPr>
            <w:tcW w:w="2108"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1.1700*750*800全钢防震切片台</w:t>
            </w:r>
          </w:p>
        </w:tc>
        <w:tc>
          <w:tcPr>
            <w:tcW w:w="61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台</w:t>
            </w:r>
          </w:p>
        </w:tc>
        <w:tc>
          <w:tcPr>
            <w:tcW w:w="864"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54"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132" w:hRule="atLeast"/>
        </w:trPr>
        <w:tc>
          <w:tcPr>
            <w:tcW w:w="603"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39</w:t>
            </w:r>
          </w:p>
        </w:tc>
        <w:tc>
          <w:tcPr>
            <w:tcW w:w="1297"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01b016</w:t>
            </w:r>
          </w:p>
        </w:tc>
        <w:tc>
          <w:tcPr>
            <w:tcW w:w="192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全钢防震切片台</w:t>
            </w:r>
          </w:p>
        </w:tc>
        <w:tc>
          <w:tcPr>
            <w:tcW w:w="2108"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1.4680*750*800全钢防震切片台</w:t>
            </w:r>
          </w:p>
        </w:tc>
        <w:tc>
          <w:tcPr>
            <w:tcW w:w="61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台</w:t>
            </w:r>
          </w:p>
        </w:tc>
        <w:tc>
          <w:tcPr>
            <w:tcW w:w="864"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54"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132" w:hRule="atLeast"/>
        </w:trPr>
        <w:tc>
          <w:tcPr>
            <w:tcW w:w="603"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40</w:t>
            </w:r>
          </w:p>
        </w:tc>
        <w:tc>
          <w:tcPr>
            <w:tcW w:w="1297"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01b017</w:t>
            </w:r>
          </w:p>
        </w:tc>
        <w:tc>
          <w:tcPr>
            <w:tcW w:w="192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全钢病理操作台</w:t>
            </w:r>
          </w:p>
        </w:tc>
        <w:tc>
          <w:tcPr>
            <w:tcW w:w="2108"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1.3680*750*800全钢病理操作台</w:t>
            </w:r>
          </w:p>
        </w:tc>
        <w:tc>
          <w:tcPr>
            <w:tcW w:w="61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台</w:t>
            </w:r>
          </w:p>
        </w:tc>
        <w:tc>
          <w:tcPr>
            <w:tcW w:w="864"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54"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132" w:hRule="atLeast"/>
        </w:trPr>
        <w:tc>
          <w:tcPr>
            <w:tcW w:w="603"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41</w:t>
            </w:r>
          </w:p>
        </w:tc>
        <w:tc>
          <w:tcPr>
            <w:tcW w:w="1297"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01b018</w:t>
            </w:r>
          </w:p>
        </w:tc>
        <w:tc>
          <w:tcPr>
            <w:tcW w:w="192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全钢病理操作台</w:t>
            </w:r>
          </w:p>
        </w:tc>
        <w:tc>
          <w:tcPr>
            <w:tcW w:w="2108"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1.1800*750*800全钢病理操作台</w:t>
            </w:r>
          </w:p>
        </w:tc>
        <w:tc>
          <w:tcPr>
            <w:tcW w:w="61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台</w:t>
            </w:r>
          </w:p>
        </w:tc>
        <w:tc>
          <w:tcPr>
            <w:tcW w:w="864"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54"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132" w:hRule="atLeast"/>
        </w:trPr>
        <w:tc>
          <w:tcPr>
            <w:tcW w:w="603"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42</w:t>
            </w:r>
          </w:p>
        </w:tc>
        <w:tc>
          <w:tcPr>
            <w:tcW w:w="1297"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01b019</w:t>
            </w:r>
          </w:p>
        </w:tc>
        <w:tc>
          <w:tcPr>
            <w:tcW w:w="192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全钢病理中央操作台</w:t>
            </w:r>
          </w:p>
        </w:tc>
        <w:tc>
          <w:tcPr>
            <w:tcW w:w="2108"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1.2800*1500*800全钢病理中央操作台</w:t>
            </w:r>
          </w:p>
        </w:tc>
        <w:tc>
          <w:tcPr>
            <w:tcW w:w="61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台</w:t>
            </w:r>
          </w:p>
        </w:tc>
        <w:tc>
          <w:tcPr>
            <w:tcW w:w="864"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54"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132" w:hRule="atLeast"/>
        </w:trPr>
        <w:tc>
          <w:tcPr>
            <w:tcW w:w="603"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43</w:t>
            </w:r>
          </w:p>
        </w:tc>
        <w:tc>
          <w:tcPr>
            <w:tcW w:w="1297"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01b020</w:t>
            </w:r>
          </w:p>
        </w:tc>
        <w:tc>
          <w:tcPr>
            <w:tcW w:w="192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全钢病理操作台</w:t>
            </w:r>
          </w:p>
        </w:tc>
        <w:tc>
          <w:tcPr>
            <w:tcW w:w="2108"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1.1830*750*800全钢病理操作台</w:t>
            </w:r>
          </w:p>
        </w:tc>
        <w:tc>
          <w:tcPr>
            <w:tcW w:w="61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台</w:t>
            </w:r>
          </w:p>
        </w:tc>
        <w:tc>
          <w:tcPr>
            <w:tcW w:w="864"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54"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132" w:hRule="atLeast"/>
        </w:trPr>
        <w:tc>
          <w:tcPr>
            <w:tcW w:w="603"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44</w:t>
            </w:r>
          </w:p>
        </w:tc>
        <w:tc>
          <w:tcPr>
            <w:tcW w:w="1297"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01b021</w:t>
            </w:r>
          </w:p>
        </w:tc>
        <w:tc>
          <w:tcPr>
            <w:tcW w:w="192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全钢病理操作台</w:t>
            </w:r>
          </w:p>
        </w:tc>
        <w:tc>
          <w:tcPr>
            <w:tcW w:w="2108"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1.2900*750*800全钢病理操作台</w:t>
            </w:r>
          </w:p>
        </w:tc>
        <w:tc>
          <w:tcPr>
            <w:tcW w:w="61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台</w:t>
            </w:r>
          </w:p>
        </w:tc>
        <w:tc>
          <w:tcPr>
            <w:tcW w:w="864"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54"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132" w:hRule="atLeast"/>
        </w:trPr>
        <w:tc>
          <w:tcPr>
            <w:tcW w:w="603"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45</w:t>
            </w:r>
          </w:p>
        </w:tc>
        <w:tc>
          <w:tcPr>
            <w:tcW w:w="1297"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01b022</w:t>
            </w:r>
          </w:p>
        </w:tc>
        <w:tc>
          <w:tcPr>
            <w:tcW w:w="192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全钢病理操作台</w:t>
            </w:r>
          </w:p>
        </w:tc>
        <w:tc>
          <w:tcPr>
            <w:tcW w:w="2108"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1.3100*750*800全钢病理操作台</w:t>
            </w:r>
          </w:p>
        </w:tc>
        <w:tc>
          <w:tcPr>
            <w:tcW w:w="61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台</w:t>
            </w:r>
          </w:p>
        </w:tc>
        <w:tc>
          <w:tcPr>
            <w:tcW w:w="864"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54"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113" w:hRule="atLeast"/>
        </w:trPr>
        <w:tc>
          <w:tcPr>
            <w:tcW w:w="603"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46</w:t>
            </w:r>
          </w:p>
        </w:tc>
        <w:tc>
          <w:tcPr>
            <w:tcW w:w="1297"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01b023</w:t>
            </w:r>
          </w:p>
        </w:tc>
        <w:tc>
          <w:tcPr>
            <w:tcW w:w="192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耗材货架</w:t>
            </w:r>
          </w:p>
        </w:tc>
        <w:tc>
          <w:tcPr>
            <w:tcW w:w="2108"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1.1460*500*2000耗材货架</w:t>
            </w:r>
          </w:p>
        </w:tc>
        <w:tc>
          <w:tcPr>
            <w:tcW w:w="61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只</w:t>
            </w:r>
          </w:p>
        </w:tc>
        <w:tc>
          <w:tcPr>
            <w:tcW w:w="864"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3</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54"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113" w:hRule="atLeast"/>
        </w:trPr>
        <w:tc>
          <w:tcPr>
            <w:tcW w:w="603"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47</w:t>
            </w:r>
          </w:p>
        </w:tc>
        <w:tc>
          <w:tcPr>
            <w:tcW w:w="1297"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01b024</w:t>
            </w:r>
          </w:p>
        </w:tc>
        <w:tc>
          <w:tcPr>
            <w:tcW w:w="192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耗材货架</w:t>
            </w:r>
          </w:p>
        </w:tc>
        <w:tc>
          <w:tcPr>
            <w:tcW w:w="2108"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1.1730*500*2000耗材货架</w:t>
            </w:r>
          </w:p>
        </w:tc>
        <w:tc>
          <w:tcPr>
            <w:tcW w:w="61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只</w:t>
            </w:r>
          </w:p>
        </w:tc>
        <w:tc>
          <w:tcPr>
            <w:tcW w:w="864"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54"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132" w:hRule="atLeast"/>
        </w:trPr>
        <w:tc>
          <w:tcPr>
            <w:tcW w:w="603"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48</w:t>
            </w:r>
          </w:p>
        </w:tc>
        <w:tc>
          <w:tcPr>
            <w:tcW w:w="1297"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01b025</w:t>
            </w:r>
          </w:p>
        </w:tc>
        <w:tc>
          <w:tcPr>
            <w:tcW w:w="192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TCT液基制片仪通风排毒柜</w:t>
            </w:r>
          </w:p>
        </w:tc>
        <w:tc>
          <w:tcPr>
            <w:tcW w:w="2108"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1.2000*1100*2350TCT液基制片仪通风排毒柜</w:t>
            </w:r>
          </w:p>
        </w:tc>
        <w:tc>
          <w:tcPr>
            <w:tcW w:w="61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台</w:t>
            </w:r>
          </w:p>
        </w:tc>
        <w:tc>
          <w:tcPr>
            <w:tcW w:w="864"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54"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105" w:hRule="atLeast"/>
        </w:trPr>
        <w:tc>
          <w:tcPr>
            <w:tcW w:w="603"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49</w:t>
            </w:r>
          </w:p>
        </w:tc>
        <w:tc>
          <w:tcPr>
            <w:tcW w:w="1297"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01b026</w:t>
            </w:r>
          </w:p>
        </w:tc>
        <w:tc>
          <w:tcPr>
            <w:tcW w:w="192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生物安全柜</w:t>
            </w:r>
          </w:p>
        </w:tc>
        <w:tc>
          <w:tcPr>
            <w:tcW w:w="2108"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1.生物安全柜 b2</w:t>
            </w:r>
          </w:p>
        </w:tc>
        <w:tc>
          <w:tcPr>
            <w:tcW w:w="61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台</w:t>
            </w:r>
          </w:p>
        </w:tc>
        <w:tc>
          <w:tcPr>
            <w:tcW w:w="864"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54"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132" w:hRule="atLeast"/>
        </w:trPr>
        <w:tc>
          <w:tcPr>
            <w:tcW w:w="603"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50</w:t>
            </w:r>
          </w:p>
        </w:tc>
        <w:tc>
          <w:tcPr>
            <w:tcW w:w="1297"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01b027</w:t>
            </w:r>
          </w:p>
        </w:tc>
        <w:tc>
          <w:tcPr>
            <w:tcW w:w="192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全钢病理操作台</w:t>
            </w:r>
          </w:p>
        </w:tc>
        <w:tc>
          <w:tcPr>
            <w:tcW w:w="2108"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1.2080*750*800全钢病理操作台</w:t>
            </w:r>
          </w:p>
        </w:tc>
        <w:tc>
          <w:tcPr>
            <w:tcW w:w="61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台</w:t>
            </w:r>
          </w:p>
        </w:tc>
        <w:tc>
          <w:tcPr>
            <w:tcW w:w="864"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54"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132" w:hRule="atLeast"/>
        </w:trPr>
        <w:tc>
          <w:tcPr>
            <w:tcW w:w="603"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51</w:t>
            </w:r>
          </w:p>
        </w:tc>
        <w:tc>
          <w:tcPr>
            <w:tcW w:w="1297"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01b028</w:t>
            </w:r>
          </w:p>
        </w:tc>
        <w:tc>
          <w:tcPr>
            <w:tcW w:w="192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常规通风排毒柜</w:t>
            </w:r>
          </w:p>
        </w:tc>
        <w:tc>
          <w:tcPr>
            <w:tcW w:w="2108"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1.1500*850*2350常规通风排毒柜</w:t>
            </w:r>
          </w:p>
        </w:tc>
        <w:tc>
          <w:tcPr>
            <w:tcW w:w="61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台</w:t>
            </w:r>
          </w:p>
        </w:tc>
        <w:tc>
          <w:tcPr>
            <w:tcW w:w="864"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54"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105" w:hRule="atLeast"/>
        </w:trPr>
        <w:tc>
          <w:tcPr>
            <w:tcW w:w="8475" w:type="dxa"/>
            <w:gridSpan w:val="7"/>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本页小计</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jc w:val="right"/>
              <w:rPr>
                <w:rFonts w:ascii="宋体" w:hAnsi="宋体" w:eastAsia="宋体" w:cs="宋体"/>
                <w:color w:val="auto"/>
                <w:sz w:val="18"/>
                <w:szCs w:val="18"/>
              </w:rPr>
            </w:pPr>
          </w:p>
        </w:tc>
        <w:tc>
          <w:tcPr>
            <w:tcW w:w="8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105" w:hRule="atLeast"/>
        </w:trPr>
        <w:tc>
          <w:tcPr>
            <w:tcW w:w="603"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297"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924"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2108"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615"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864"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064"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082"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942"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870"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864"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707" w:type="dxa"/>
            <w:gridSpan w:val="2"/>
            <w:tcBorders>
              <w:top w:val="nil"/>
              <w:left w:val="nil"/>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表-07</w:t>
            </w:r>
          </w:p>
        </w:tc>
      </w:tr>
    </w:tbl>
    <w:p>
      <w:pPr>
        <w:widowControl/>
        <w:jc w:val="center"/>
        <w:textAlignment w:val="center"/>
        <w:rPr>
          <w:rFonts w:ascii="宋体" w:hAnsi="宋体" w:eastAsia="宋体" w:cs="宋体"/>
          <w:b/>
          <w:bCs/>
          <w:color w:val="auto"/>
          <w:kern w:val="0"/>
          <w:sz w:val="40"/>
          <w:szCs w:val="40"/>
          <w:lang w:bidi="ar"/>
        </w:rPr>
        <w:sectPr>
          <w:pgSz w:w="16838" w:h="11906" w:orient="landscape"/>
          <w:pgMar w:top="1440" w:right="1440" w:bottom="1440" w:left="1440" w:header="851" w:footer="992" w:gutter="0"/>
          <w:cols w:space="720" w:num="1"/>
          <w:docGrid w:linePitch="312" w:charSpace="0"/>
        </w:sectPr>
      </w:pPr>
    </w:p>
    <w:tbl>
      <w:tblPr>
        <w:tblStyle w:val="24"/>
        <w:tblW w:w="13860" w:type="dxa"/>
        <w:tblInd w:w="93" w:type="dxa"/>
        <w:tblLayout w:type="autofit"/>
        <w:tblCellMar>
          <w:top w:w="0" w:type="dxa"/>
          <w:left w:w="108" w:type="dxa"/>
          <w:bottom w:w="0" w:type="dxa"/>
          <w:right w:w="108" w:type="dxa"/>
        </w:tblCellMar>
      </w:tblPr>
      <w:tblGrid>
        <w:gridCol w:w="599"/>
        <w:gridCol w:w="1296"/>
        <w:gridCol w:w="1910"/>
        <w:gridCol w:w="2094"/>
        <w:gridCol w:w="612"/>
        <w:gridCol w:w="859"/>
        <w:gridCol w:w="1058"/>
        <w:gridCol w:w="1076"/>
        <w:gridCol w:w="934"/>
        <w:gridCol w:w="865"/>
        <w:gridCol w:w="859"/>
        <w:gridCol w:w="849"/>
        <w:gridCol w:w="849"/>
      </w:tblGrid>
      <w:tr>
        <w:tblPrEx>
          <w:tblCellMar>
            <w:top w:w="0" w:type="dxa"/>
            <w:left w:w="108" w:type="dxa"/>
            <w:bottom w:w="0" w:type="dxa"/>
            <w:right w:w="108" w:type="dxa"/>
          </w:tblCellMar>
        </w:tblPrEx>
        <w:trPr>
          <w:trHeight w:val="90" w:hRule="atLeast"/>
        </w:trPr>
        <w:tc>
          <w:tcPr>
            <w:tcW w:w="13860" w:type="dxa"/>
            <w:gridSpan w:val="13"/>
            <w:tcBorders>
              <w:top w:val="nil"/>
              <w:left w:val="nil"/>
              <w:bottom w:val="nil"/>
              <w:right w:val="nil"/>
            </w:tcBorders>
            <w:shd w:val="clear" w:color="auto" w:fill="FFFFFF"/>
            <w:vAlign w:val="center"/>
          </w:tcPr>
          <w:p>
            <w:pPr>
              <w:widowControl/>
              <w:jc w:val="center"/>
              <w:textAlignment w:val="center"/>
              <w:rPr>
                <w:rFonts w:ascii="宋体" w:hAnsi="宋体" w:eastAsia="宋体" w:cs="宋体"/>
                <w:b/>
                <w:bCs/>
                <w:color w:val="auto"/>
                <w:sz w:val="40"/>
                <w:szCs w:val="40"/>
              </w:rPr>
            </w:pPr>
            <w:r>
              <w:rPr>
                <w:rFonts w:hint="eastAsia" w:ascii="宋体" w:hAnsi="宋体" w:eastAsia="宋体" w:cs="宋体"/>
                <w:b/>
                <w:bCs/>
                <w:color w:val="auto"/>
                <w:kern w:val="0"/>
                <w:sz w:val="40"/>
                <w:szCs w:val="40"/>
                <w:lang w:bidi="ar"/>
              </w:rPr>
              <w:t>分部分项工程量清单与计价表</w:t>
            </w:r>
          </w:p>
        </w:tc>
      </w:tr>
      <w:tr>
        <w:tblPrEx>
          <w:tblCellMar>
            <w:top w:w="0" w:type="dxa"/>
            <w:left w:w="108" w:type="dxa"/>
            <w:bottom w:w="0" w:type="dxa"/>
            <w:right w:w="108" w:type="dxa"/>
          </w:tblCellMar>
        </w:tblPrEx>
        <w:trPr>
          <w:trHeight w:val="90" w:hRule="atLeast"/>
        </w:trPr>
        <w:tc>
          <w:tcPr>
            <w:tcW w:w="10438" w:type="dxa"/>
            <w:gridSpan w:val="9"/>
            <w:tcBorders>
              <w:top w:val="nil"/>
              <w:left w:val="nil"/>
              <w:bottom w:val="nil"/>
              <w:right w:val="nil"/>
            </w:tcBorders>
            <w:shd w:val="clear" w:color="auto" w:fill="FFFFFF"/>
            <w:vAlign w:val="bottom"/>
          </w:tcPr>
          <w:p>
            <w:pPr>
              <w:widowControl/>
              <w:jc w:val="left"/>
              <w:textAlignment w:val="bottom"/>
              <w:rPr>
                <w:rFonts w:ascii="宋体" w:hAnsi="宋体" w:eastAsia="宋体" w:cs="宋体"/>
                <w:color w:val="auto"/>
                <w:sz w:val="18"/>
                <w:szCs w:val="18"/>
              </w:rPr>
            </w:pPr>
            <w:r>
              <w:rPr>
                <w:rFonts w:hint="eastAsia" w:ascii="宋体" w:hAnsi="宋体" w:eastAsia="宋体" w:cs="宋体"/>
                <w:color w:val="auto"/>
                <w:kern w:val="0"/>
                <w:sz w:val="18"/>
                <w:szCs w:val="18"/>
                <w:lang w:bidi="ar"/>
              </w:rPr>
              <w:t>单位工程(专业):单项工程1-建筑</w:t>
            </w:r>
          </w:p>
        </w:tc>
        <w:tc>
          <w:tcPr>
            <w:tcW w:w="3422" w:type="dxa"/>
            <w:gridSpan w:val="4"/>
            <w:tcBorders>
              <w:top w:val="nil"/>
              <w:left w:val="nil"/>
              <w:bottom w:val="nil"/>
              <w:right w:val="nil"/>
            </w:tcBorders>
            <w:shd w:val="clear" w:color="auto" w:fill="FFFFFF"/>
            <w:vAlign w:val="bottom"/>
          </w:tcPr>
          <w:p>
            <w:pPr>
              <w:widowControl/>
              <w:jc w:val="right"/>
              <w:textAlignment w:val="bottom"/>
              <w:rPr>
                <w:rFonts w:ascii="宋体" w:hAnsi="宋体" w:eastAsia="宋体" w:cs="宋体"/>
                <w:color w:val="auto"/>
                <w:sz w:val="18"/>
                <w:szCs w:val="18"/>
              </w:rPr>
            </w:pPr>
            <w:r>
              <w:rPr>
                <w:rFonts w:hint="eastAsia" w:ascii="宋体" w:hAnsi="宋体" w:eastAsia="宋体" w:cs="宋体"/>
                <w:color w:val="auto"/>
                <w:kern w:val="0"/>
                <w:sz w:val="18"/>
                <w:szCs w:val="18"/>
                <w:lang w:bidi="ar"/>
              </w:rPr>
              <w:t>第5页 共5页</w:t>
            </w:r>
          </w:p>
        </w:tc>
      </w:tr>
      <w:tr>
        <w:trPr>
          <w:trHeight w:val="90" w:hRule="atLeast"/>
        </w:trPr>
        <w:tc>
          <w:tcPr>
            <w:tcW w:w="600"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序号</w:t>
            </w:r>
          </w:p>
        </w:tc>
        <w:tc>
          <w:tcPr>
            <w:tcW w:w="1290"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项目编码</w:t>
            </w:r>
          </w:p>
        </w:tc>
        <w:tc>
          <w:tcPr>
            <w:tcW w:w="1913"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项目名称</w:t>
            </w:r>
          </w:p>
        </w:tc>
        <w:tc>
          <w:tcPr>
            <w:tcW w:w="2095"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项目特征</w:t>
            </w:r>
          </w:p>
        </w:tc>
        <w:tc>
          <w:tcPr>
            <w:tcW w:w="612"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计量</w:t>
            </w:r>
          </w:p>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单位</w:t>
            </w:r>
          </w:p>
        </w:tc>
        <w:tc>
          <w:tcPr>
            <w:tcW w:w="859"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工程量</w:t>
            </w:r>
          </w:p>
        </w:tc>
        <w:tc>
          <w:tcPr>
            <w:tcW w:w="1058"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综合单价</w:t>
            </w:r>
          </w:p>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(元)</w:t>
            </w:r>
          </w:p>
        </w:tc>
        <w:tc>
          <w:tcPr>
            <w:tcW w:w="1076"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合价</w:t>
            </w:r>
          </w:p>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(元)</w:t>
            </w:r>
          </w:p>
        </w:tc>
        <w:tc>
          <w:tcPr>
            <w:tcW w:w="3508" w:type="dxa"/>
            <w:gridSpan w:val="4"/>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其中(元)</w:t>
            </w:r>
          </w:p>
        </w:tc>
        <w:tc>
          <w:tcPr>
            <w:tcW w:w="849" w:type="dxa"/>
            <w:vMerge w:val="restart"/>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备注</w:t>
            </w:r>
          </w:p>
        </w:tc>
      </w:tr>
      <w:tr>
        <w:tblPrEx>
          <w:tblCellMar>
            <w:top w:w="0" w:type="dxa"/>
            <w:left w:w="108" w:type="dxa"/>
            <w:bottom w:w="0" w:type="dxa"/>
            <w:right w:w="108" w:type="dxa"/>
          </w:tblCellMar>
        </w:tblPrEx>
        <w:trPr>
          <w:trHeight w:val="90" w:hRule="atLeast"/>
        </w:trPr>
        <w:tc>
          <w:tcPr>
            <w:tcW w:w="6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29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913"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209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612"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59"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058"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076"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93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定额人工费</w:t>
            </w:r>
          </w:p>
        </w:tc>
        <w:tc>
          <w:tcPr>
            <w:tcW w:w="86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人工费价差</w:t>
            </w:r>
          </w:p>
        </w:tc>
        <w:tc>
          <w:tcPr>
            <w:tcW w:w="859"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定额机械费</w:t>
            </w:r>
          </w:p>
        </w:tc>
        <w:tc>
          <w:tcPr>
            <w:tcW w:w="849" w:type="dxa"/>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机械费价差</w:t>
            </w:r>
          </w:p>
        </w:tc>
        <w:tc>
          <w:tcPr>
            <w:tcW w:w="849"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60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52</w:t>
            </w:r>
          </w:p>
        </w:tc>
        <w:tc>
          <w:tcPr>
            <w:tcW w:w="129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01b029</w:t>
            </w:r>
          </w:p>
        </w:tc>
        <w:tc>
          <w:tcPr>
            <w:tcW w:w="1913"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全钢病理操作台</w:t>
            </w:r>
          </w:p>
        </w:tc>
        <w:tc>
          <w:tcPr>
            <w:tcW w:w="2095"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1.950*750*800全钢病理操作台</w:t>
            </w:r>
          </w:p>
        </w:tc>
        <w:tc>
          <w:tcPr>
            <w:tcW w:w="612"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台</w:t>
            </w:r>
          </w:p>
        </w:tc>
        <w:tc>
          <w:tcPr>
            <w:tcW w:w="859"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49"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60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53</w:t>
            </w:r>
          </w:p>
        </w:tc>
        <w:tc>
          <w:tcPr>
            <w:tcW w:w="129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01b030</w:t>
            </w:r>
          </w:p>
        </w:tc>
        <w:tc>
          <w:tcPr>
            <w:tcW w:w="1913"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全钢病理操作台</w:t>
            </w:r>
          </w:p>
        </w:tc>
        <w:tc>
          <w:tcPr>
            <w:tcW w:w="2095"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1.2000*750*800全钢病理操作台</w:t>
            </w:r>
          </w:p>
        </w:tc>
        <w:tc>
          <w:tcPr>
            <w:tcW w:w="612"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台</w:t>
            </w:r>
          </w:p>
        </w:tc>
        <w:tc>
          <w:tcPr>
            <w:tcW w:w="859"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49"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60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54</w:t>
            </w:r>
          </w:p>
        </w:tc>
        <w:tc>
          <w:tcPr>
            <w:tcW w:w="129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01b031</w:t>
            </w:r>
          </w:p>
        </w:tc>
        <w:tc>
          <w:tcPr>
            <w:tcW w:w="1913"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全钢病理操作台</w:t>
            </w:r>
          </w:p>
        </w:tc>
        <w:tc>
          <w:tcPr>
            <w:tcW w:w="2095"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1.3340*750*800全钢病理操作台</w:t>
            </w:r>
          </w:p>
        </w:tc>
        <w:tc>
          <w:tcPr>
            <w:tcW w:w="612"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台</w:t>
            </w:r>
          </w:p>
        </w:tc>
        <w:tc>
          <w:tcPr>
            <w:tcW w:w="859"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49"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60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55</w:t>
            </w:r>
          </w:p>
        </w:tc>
        <w:tc>
          <w:tcPr>
            <w:tcW w:w="129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01b032</w:t>
            </w:r>
          </w:p>
        </w:tc>
        <w:tc>
          <w:tcPr>
            <w:tcW w:w="1913"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通风晾片柜</w:t>
            </w:r>
          </w:p>
        </w:tc>
        <w:tc>
          <w:tcPr>
            <w:tcW w:w="2095"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1.1000*400*1800通风晾片柜</w:t>
            </w:r>
          </w:p>
        </w:tc>
        <w:tc>
          <w:tcPr>
            <w:tcW w:w="612"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台</w:t>
            </w:r>
          </w:p>
        </w:tc>
        <w:tc>
          <w:tcPr>
            <w:tcW w:w="859"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3</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49"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60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56</w:t>
            </w:r>
          </w:p>
        </w:tc>
        <w:tc>
          <w:tcPr>
            <w:tcW w:w="129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01b033</w:t>
            </w:r>
          </w:p>
        </w:tc>
        <w:tc>
          <w:tcPr>
            <w:tcW w:w="1913"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pp水池+三口水龙头</w:t>
            </w:r>
          </w:p>
        </w:tc>
        <w:tc>
          <w:tcPr>
            <w:tcW w:w="2095"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1.pp水池+三口水龙头</w:t>
            </w:r>
          </w:p>
        </w:tc>
        <w:tc>
          <w:tcPr>
            <w:tcW w:w="612"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套</w:t>
            </w:r>
          </w:p>
        </w:tc>
        <w:tc>
          <w:tcPr>
            <w:tcW w:w="859"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15</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49"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60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57</w:t>
            </w:r>
          </w:p>
        </w:tc>
        <w:tc>
          <w:tcPr>
            <w:tcW w:w="129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01b034</w:t>
            </w:r>
          </w:p>
        </w:tc>
        <w:tc>
          <w:tcPr>
            <w:tcW w:w="1913"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岛式插座</w:t>
            </w:r>
          </w:p>
        </w:tc>
        <w:tc>
          <w:tcPr>
            <w:tcW w:w="2095"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1.岛式插座</w:t>
            </w:r>
          </w:p>
        </w:tc>
        <w:tc>
          <w:tcPr>
            <w:tcW w:w="612"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套</w:t>
            </w:r>
          </w:p>
        </w:tc>
        <w:tc>
          <w:tcPr>
            <w:tcW w:w="859"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90</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49"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60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58</w:t>
            </w:r>
          </w:p>
        </w:tc>
        <w:tc>
          <w:tcPr>
            <w:tcW w:w="129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010605002001</w:t>
            </w:r>
          </w:p>
        </w:tc>
        <w:tc>
          <w:tcPr>
            <w:tcW w:w="1913"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钢板墙板</w:t>
            </w:r>
          </w:p>
        </w:tc>
        <w:tc>
          <w:tcPr>
            <w:tcW w:w="2095"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1.钢结构墙面板安装 彩钢夹芯板</w:t>
            </w:r>
          </w:p>
        </w:tc>
        <w:tc>
          <w:tcPr>
            <w:tcW w:w="612"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m2</w:t>
            </w:r>
          </w:p>
        </w:tc>
        <w:tc>
          <w:tcPr>
            <w:tcW w:w="859"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84.00</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49"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60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59</w:t>
            </w:r>
          </w:p>
        </w:tc>
        <w:tc>
          <w:tcPr>
            <w:tcW w:w="129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010605001001</w:t>
            </w:r>
          </w:p>
        </w:tc>
        <w:tc>
          <w:tcPr>
            <w:tcW w:w="1913"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钢板楼板</w:t>
            </w:r>
          </w:p>
        </w:tc>
        <w:tc>
          <w:tcPr>
            <w:tcW w:w="2095"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1.钢结构屋面板安装 彩钢夹芯板</w:t>
            </w:r>
          </w:p>
        </w:tc>
        <w:tc>
          <w:tcPr>
            <w:tcW w:w="612"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m2</w:t>
            </w:r>
          </w:p>
        </w:tc>
        <w:tc>
          <w:tcPr>
            <w:tcW w:w="859"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48.00</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49"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60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60</w:t>
            </w:r>
          </w:p>
        </w:tc>
        <w:tc>
          <w:tcPr>
            <w:tcW w:w="129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010603003001</w:t>
            </w:r>
          </w:p>
        </w:tc>
        <w:tc>
          <w:tcPr>
            <w:tcW w:w="1913"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钢管柱</w:t>
            </w:r>
          </w:p>
        </w:tc>
        <w:tc>
          <w:tcPr>
            <w:tcW w:w="2095"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1.住宅钢结构 40*60*1.5镀锌方管钢柱安装 质量（t以内）3</w:t>
            </w:r>
          </w:p>
        </w:tc>
        <w:tc>
          <w:tcPr>
            <w:tcW w:w="612"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t</w:t>
            </w:r>
          </w:p>
        </w:tc>
        <w:tc>
          <w:tcPr>
            <w:tcW w:w="859"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0.027</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49"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60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61</w:t>
            </w:r>
          </w:p>
        </w:tc>
        <w:tc>
          <w:tcPr>
            <w:tcW w:w="129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010604001001</w:t>
            </w:r>
          </w:p>
        </w:tc>
        <w:tc>
          <w:tcPr>
            <w:tcW w:w="1913"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钢梁</w:t>
            </w:r>
          </w:p>
        </w:tc>
        <w:tc>
          <w:tcPr>
            <w:tcW w:w="2095"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1.住宅钢结构 40*60*1.5镀锌方管钢梁安装 质量（t以内）0.5</w:t>
            </w:r>
          </w:p>
        </w:tc>
        <w:tc>
          <w:tcPr>
            <w:tcW w:w="612"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t</w:t>
            </w:r>
          </w:p>
        </w:tc>
        <w:tc>
          <w:tcPr>
            <w:tcW w:w="859"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0.064</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49"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290"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1913"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095"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612"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59"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49"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290"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1913"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095"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612"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59"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49"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290"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1913"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095"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612"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59"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49"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8427" w:type="dxa"/>
            <w:gridSpan w:val="7"/>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本页小计</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49" w:type="dxa"/>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8427" w:type="dxa"/>
            <w:gridSpan w:val="7"/>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 xml:space="preserve"> 合  计</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90" w:hRule="atLeast"/>
        </w:trPr>
        <w:tc>
          <w:tcPr>
            <w:tcW w:w="600"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290"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913"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2095"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612"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859"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058"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076"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935"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865"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859"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698" w:type="dxa"/>
            <w:gridSpan w:val="2"/>
            <w:tcBorders>
              <w:top w:val="nil"/>
              <w:left w:val="nil"/>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表-07</w:t>
            </w:r>
          </w:p>
        </w:tc>
      </w:tr>
    </w:tbl>
    <w:p>
      <w:pPr>
        <w:pStyle w:val="33"/>
        <w:rPr>
          <w:color w:val="auto"/>
        </w:rPr>
      </w:pPr>
    </w:p>
    <w:p>
      <w:pPr>
        <w:pStyle w:val="33"/>
        <w:rPr>
          <w:color w:val="auto"/>
        </w:rPr>
        <w:sectPr>
          <w:pgSz w:w="16838" w:h="11906" w:orient="landscape"/>
          <w:pgMar w:top="1440" w:right="1440" w:bottom="1440" w:left="1440" w:header="851" w:footer="992" w:gutter="0"/>
          <w:cols w:space="720" w:num="1"/>
          <w:docGrid w:linePitch="312" w:charSpace="0"/>
        </w:sectPr>
      </w:pPr>
    </w:p>
    <w:tbl>
      <w:tblPr>
        <w:tblStyle w:val="24"/>
        <w:tblW w:w="9340" w:type="dxa"/>
        <w:tblInd w:w="93" w:type="dxa"/>
        <w:tblLayout w:type="autofit"/>
        <w:tblCellMar>
          <w:top w:w="0" w:type="dxa"/>
          <w:left w:w="108" w:type="dxa"/>
          <w:bottom w:w="0" w:type="dxa"/>
          <w:right w:w="108" w:type="dxa"/>
        </w:tblCellMar>
      </w:tblPr>
      <w:tblGrid>
        <w:gridCol w:w="594"/>
        <w:gridCol w:w="3135"/>
        <w:gridCol w:w="2709"/>
        <w:gridCol w:w="1160"/>
        <w:gridCol w:w="1742"/>
      </w:tblGrid>
      <w:tr>
        <w:tblPrEx>
          <w:tblCellMar>
            <w:top w:w="0" w:type="dxa"/>
            <w:left w:w="108" w:type="dxa"/>
            <w:bottom w:w="0" w:type="dxa"/>
            <w:right w:w="108" w:type="dxa"/>
          </w:tblCellMar>
        </w:tblPrEx>
        <w:trPr>
          <w:trHeight w:val="851" w:hRule="atLeast"/>
        </w:trPr>
        <w:tc>
          <w:tcPr>
            <w:tcW w:w="9340" w:type="dxa"/>
            <w:gridSpan w:val="5"/>
            <w:tcBorders>
              <w:top w:val="nil"/>
              <w:left w:val="nil"/>
              <w:bottom w:val="nil"/>
              <w:right w:val="nil"/>
            </w:tcBorders>
            <w:shd w:val="clear" w:color="auto" w:fill="FFFFFF"/>
            <w:vAlign w:val="center"/>
          </w:tcPr>
          <w:p>
            <w:pPr>
              <w:widowControl/>
              <w:jc w:val="center"/>
              <w:textAlignment w:val="center"/>
              <w:rPr>
                <w:rFonts w:ascii="宋体" w:hAnsi="宋体" w:eastAsia="宋体" w:cs="宋体"/>
                <w:b/>
                <w:bCs/>
                <w:color w:val="auto"/>
                <w:sz w:val="40"/>
                <w:szCs w:val="40"/>
              </w:rPr>
            </w:pPr>
            <w:r>
              <w:rPr>
                <w:rFonts w:hint="eastAsia" w:ascii="宋体" w:hAnsi="宋体" w:eastAsia="宋体" w:cs="宋体"/>
                <w:b/>
                <w:bCs/>
                <w:color w:val="auto"/>
                <w:kern w:val="0"/>
                <w:sz w:val="40"/>
                <w:szCs w:val="40"/>
                <w:lang w:bidi="ar"/>
              </w:rPr>
              <w:t>施工组织措施项目清单与计价表</w:t>
            </w:r>
          </w:p>
        </w:tc>
      </w:tr>
      <w:tr>
        <w:tblPrEx>
          <w:tblCellMar>
            <w:top w:w="0" w:type="dxa"/>
            <w:left w:w="108" w:type="dxa"/>
            <w:bottom w:w="0" w:type="dxa"/>
            <w:right w:w="108" w:type="dxa"/>
          </w:tblCellMar>
        </w:tblPrEx>
        <w:trPr>
          <w:trHeight w:val="382" w:hRule="atLeast"/>
        </w:trPr>
        <w:tc>
          <w:tcPr>
            <w:tcW w:w="6438" w:type="dxa"/>
            <w:gridSpan w:val="3"/>
            <w:tcBorders>
              <w:top w:val="nil"/>
              <w:left w:val="nil"/>
              <w:bottom w:val="nil"/>
              <w:right w:val="nil"/>
            </w:tcBorders>
            <w:shd w:val="clear" w:color="auto" w:fill="FFFFFF"/>
            <w:vAlign w:val="bottom"/>
          </w:tcPr>
          <w:p>
            <w:pPr>
              <w:widowControl/>
              <w:jc w:val="left"/>
              <w:textAlignment w:val="bottom"/>
              <w:rPr>
                <w:rFonts w:ascii="宋体" w:hAnsi="宋体" w:eastAsia="宋体" w:cs="宋体"/>
                <w:color w:val="auto"/>
                <w:sz w:val="18"/>
                <w:szCs w:val="18"/>
              </w:rPr>
            </w:pPr>
            <w:r>
              <w:rPr>
                <w:rFonts w:hint="eastAsia" w:ascii="宋体" w:hAnsi="宋体" w:eastAsia="宋体" w:cs="宋体"/>
                <w:color w:val="auto"/>
                <w:kern w:val="0"/>
                <w:sz w:val="18"/>
                <w:szCs w:val="18"/>
                <w:lang w:bidi="ar"/>
              </w:rPr>
              <w:t>单位工程(专业):单项工程1-建筑</w:t>
            </w:r>
          </w:p>
        </w:tc>
        <w:tc>
          <w:tcPr>
            <w:tcW w:w="2902" w:type="dxa"/>
            <w:gridSpan w:val="2"/>
            <w:tcBorders>
              <w:top w:val="nil"/>
              <w:left w:val="nil"/>
              <w:bottom w:val="nil"/>
              <w:right w:val="nil"/>
            </w:tcBorders>
            <w:shd w:val="clear" w:color="auto" w:fill="FFFFFF"/>
            <w:vAlign w:val="bottom"/>
          </w:tcPr>
          <w:p>
            <w:pPr>
              <w:widowControl/>
              <w:jc w:val="right"/>
              <w:textAlignment w:val="bottom"/>
              <w:rPr>
                <w:rFonts w:ascii="宋体" w:hAnsi="宋体" w:eastAsia="宋体" w:cs="宋体"/>
                <w:color w:val="auto"/>
                <w:sz w:val="18"/>
                <w:szCs w:val="18"/>
              </w:rPr>
            </w:pPr>
            <w:r>
              <w:rPr>
                <w:rFonts w:hint="eastAsia" w:ascii="宋体" w:hAnsi="宋体" w:eastAsia="宋体" w:cs="宋体"/>
                <w:color w:val="auto"/>
                <w:kern w:val="0"/>
                <w:sz w:val="18"/>
                <w:szCs w:val="18"/>
                <w:lang w:bidi="ar"/>
              </w:rPr>
              <w:t>第1页 共1页</w:t>
            </w:r>
          </w:p>
        </w:tc>
      </w:tr>
      <w:tr>
        <w:trPr>
          <w:trHeight w:val="399" w:hRule="atLeast"/>
        </w:trPr>
        <w:tc>
          <w:tcPr>
            <w:tcW w:w="594"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序号</w:t>
            </w:r>
          </w:p>
        </w:tc>
        <w:tc>
          <w:tcPr>
            <w:tcW w:w="313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项 目 名 称</w:t>
            </w:r>
          </w:p>
        </w:tc>
        <w:tc>
          <w:tcPr>
            <w:tcW w:w="2709"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计算基础</w:t>
            </w:r>
          </w:p>
        </w:tc>
        <w:tc>
          <w:tcPr>
            <w:tcW w:w="116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费率(%)</w:t>
            </w:r>
          </w:p>
        </w:tc>
        <w:tc>
          <w:tcPr>
            <w:tcW w:w="1742" w:type="dxa"/>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金额(元)</w:t>
            </w:r>
          </w:p>
        </w:tc>
      </w:tr>
      <w:tr>
        <w:tblPrEx>
          <w:tblCellMar>
            <w:top w:w="0" w:type="dxa"/>
            <w:left w:w="108" w:type="dxa"/>
            <w:bottom w:w="0" w:type="dxa"/>
            <w:right w:w="108" w:type="dxa"/>
          </w:tblCellMar>
        </w:tblPrEx>
        <w:trPr>
          <w:trHeight w:val="399" w:hRule="atLeast"/>
        </w:trPr>
        <w:tc>
          <w:tcPr>
            <w:tcW w:w="594"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w:t>
            </w:r>
          </w:p>
        </w:tc>
        <w:tc>
          <w:tcPr>
            <w:tcW w:w="3135"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安全文明施工基本费</w:t>
            </w:r>
          </w:p>
        </w:tc>
        <w:tc>
          <w:tcPr>
            <w:tcW w:w="2709"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定额人工费+定额机械费</w:t>
            </w:r>
          </w:p>
        </w:tc>
        <w:tc>
          <w:tcPr>
            <w:tcW w:w="116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5.71</w:t>
            </w: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widowControl/>
              <w:jc w:val="right"/>
              <w:textAlignment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399" w:hRule="atLeast"/>
        </w:trPr>
        <w:tc>
          <w:tcPr>
            <w:tcW w:w="594"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w:t>
            </w:r>
          </w:p>
        </w:tc>
        <w:tc>
          <w:tcPr>
            <w:tcW w:w="3135"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提前竣工增加费</w:t>
            </w:r>
          </w:p>
        </w:tc>
        <w:tc>
          <w:tcPr>
            <w:tcW w:w="2709"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定额人工费+定额机械费</w:t>
            </w:r>
          </w:p>
        </w:tc>
        <w:tc>
          <w:tcPr>
            <w:tcW w:w="116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99" w:hRule="atLeast"/>
        </w:trPr>
        <w:tc>
          <w:tcPr>
            <w:tcW w:w="594"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3</w:t>
            </w:r>
          </w:p>
        </w:tc>
        <w:tc>
          <w:tcPr>
            <w:tcW w:w="3135"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二次搬运费</w:t>
            </w:r>
          </w:p>
        </w:tc>
        <w:tc>
          <w:tcPr>
            <w:tcW w:w="2709"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定额人工费+定额机械费</w:t>
            </w:r>
          </w:p>
        </w:tc>
        <w:tc>
          <w:tcPr>
            <w:tcW w:w="116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0.5</w:t>
            </w: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widowControl/>
              <w:jc w:val="right"/>
              <w:textAlignment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399" w:hRule="atLeast"/>
        </w:trPr>
        <w:tc>
          <w:tcPr>
            <w:tcW w:w="594"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4</w:t>
            </w:r>
          </w:p>
        </w:tc>
        <w:tc>
          <w:tcPr>
            <w:tcW w:w="3135"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冬雨季施工增加费</w:t>
            </w:r>
          </w:p>
        </w:tc>
        <w:tc>
          <w:tcPr>
            <w:tcW w:w="2709"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定额人工费+定额机械费</w:t>
            </w:r>
          </w:p>
        </w:tc>
        <w:tc>
          <w:tcPr>
            <w:tcW w:w="116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0.11</w:t>
            </w: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widowControl/>
              <w:jc w:val="right"/>
              <w:textAlignment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399" w:hRule="atLeast"/>
        </w:trPr>
        <w:tc>
          <w:tcPr>
            <w:tcW w:w="594"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5</w:t>
            </w:r>
          </w:p>
        </w:tc>
        <w:tc>
          <w:tcPr>
            <w:tcW w:w="3135"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行车、行人干扰增加费(限市政)</w:t>
            </w:r>
          </w:p>
        </w:tc>
        <w:tc>
          <w:tcPr>
            <w:tcW w:w="2709"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定额人工费+定额机械费</w:t>
            </w:r>
          </w:p>
        </w:tc>
        <w:tc>
          <w:tcPr>
            <w:tcW w:w="116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99" w:hRule="atLeast"/>
        </w:trPr>
        <w:tc>
          <w:tcPr>
            <w:tcW w:w="594"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6</w:t>
            </w:r>
          </w:p>
        </w:tc>
        <w:tc>
          <w:tcPr>
            <w:tcW w:w="3135"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其他施工组织措施费</w:t>
            </w:r>
          </w:p>
        </w:tc>
        <w:tc>
          <w:tcPr>
            <w:tcW w:w="2709"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定额人工费+定额机械费</w:t>
            </w:r>
          </w:p>
        </w:tc>
        <w:tc>
          <w:tcPr>
            <w:tcW w:w="116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99" w:hRule="atLeast"/>
        </w:trPr>
        <w:tc>
          <w:tcPr>
            <w:tcW w:w="594"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135"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709"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6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99" w:hRule="atLeast"/>
        </w:trPr>
        <w:tc>
          <w:tcPr>
            <w:tcW w:w="594"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135"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709"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6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99" w:hRule="atLeast"/>
        </w:trPr>
        <w:tc>
          <w:tcPr>
            <w:tcW w:w="594"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135"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709"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6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99" w:hRule="atLeast"/>
        </w:trPr>
        <w:tc>
          <w:tcPr>
            <w:tcW w:w="594"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135"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709"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6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99" w:hRule="atLeast"/>
        </w:trPr>
        <w:tc>
          <w:tcPr>
            <w:tcW w:w="594"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135"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709"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6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99" w:hRule="atLeast"/>
        </w:trPr>
        <w:tc>
          <w:tcPr>
            <w:tcW w:w="594"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135"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709"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6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99" w:hRule="atLeast"/>
        </w:trPr>
        <w:tc>
          <w:tcPr>
            <w:tcW w:w="594"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135"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709"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6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99" w:hRule="atLeast"/>
        </w:trPr>
        <w:tc>
          <w:tcPr>
            <w:tcW w:w="594"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135"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709"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6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99" w:hRule="atLeast"/>
        </w:trPr>
        <w:tc>
          <w:tcPr>
            <w:tcW w:w="594"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135"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709"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6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99" w:hRule="atLeast"/>
        </w:trPr>
        <w:tc>
          <w:tcPr>
            <w:tcW w:w="594"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135"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709"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6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99" w:hRule="atLeast"/>
        </w:trPr>
        <w:tc>
          <w:tcPr>
            <w:tcW w:w="594"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135"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709"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6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99" w:hRule="atLeast"/>
        </w:trPr>
        <w:tc>
          <w:tcPr>
            <w:tcW w:w="594"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135"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709"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6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99" w:hRule="atLeast"/>
        </w:trPr>
        <w:tc>
          <w:tcPr>
            <w:tcW w:w="594"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135"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709"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6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99" w:hRule="atLeast"/>
        </w:trPr>
        <w:tc>
          <w:tcPr>
            <w:tcW w:w="594"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135"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709"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6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99" w:hRule="atLeast"/>
        </w:trPr>
        <w:tc>
          <w:tcPr>
            <w:tcW w:w="594"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135"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709"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6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99" w:hRule="atLeast"/>
        </w:trPr>
        <w:tc>
          <w:tcPr>
            <w:tcW w:w="594"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135"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709"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6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99" w:hRule="atLeast"/>
        </w:trPr>
        <w:tc>
          <w:tcPr>
            <w:tcW w:w="594"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135"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709"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6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99" w:hRule="atLeast"/>
        </w:trPr>
        <w:tc>
          <w:tcPr>
            <w:tcW w:w="594"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135"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709"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6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99" w:hRule="atLeast"/>
        </w:trPr>
        <w:tc>
          <w:tcPr>
            <w:tcW w:w="594"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135"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709"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6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99" w:hRule="atLeast"/>
        </w:trPr>
        <w:tc>
          <w:tcPr>
            <w:tcW w:w="594"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3135"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709"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6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auto"/>
                <w:sz w:val="18"/>
                <w:szCs w:val="18"/>
              </w:rPr>
            </w:pPr>
          </w:p>
        </w:tc>
      </w:tr>
      <w:tr>
        <w:tblPrEx>
          <w:tblCellMar>
            <w:top w:w="0" w:type="dxa"/>
            <w:left w:w="108" w:type="dxa"/>
            <w:bottom w:w="0" w:type="dxa"/>
            <w:right w:w="108" w:type="dxa"/>
          </w:tblCellMar>
        </w:tblPrEx>
        <w:trPr>
          <w:trHeight w:val="399" w:hRule="atLeast"/>
        </w:trPr>
        <w:tc>
          <w:tcPr>
            <w:tcW w:w="7598" w:type="dxa"/>
            <w:gridSpan w:val="4"/>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合  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right"/>
              <w:textAlignment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392" w:hRule="atLeast"/>
        </w:trPr>
        <w:tc>
          <w:tcPr>
            <w:tcW w:w="0" w:type="auto"/>
            <w:tcBorders>
              <w:top w:val="nil"/>
              <w:left w:val="nil"/>
              <w:bottom w:val="nil"/>
              <w:right w:val="nil"/>
            </w:tcBorders>
            <w:shd w:val="clear" w:color="auto" w:fill="auto"/>
            <w:noWrap/>
            <w:vAlign w:val="bottom"/>
          </w:tcPr>
          <w:p>
            <w:pPr>
              <w:rPr>
                <w:rFonts w:ascii="Arial" w:hAnsi="Arial" w:cs="Arial"/>
                <w:color w:val="auto"/>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auto"/>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auto"/>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auto"/>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auto"/>
                <w:sz w:val="20"/>
                <w:szCs w:val="20"/>
              </w:rPr>
            </w:pPr>
          </w:p>
        </w:tc>
      </w:tr>
      <w:tr>
        <w:trPr>
          <w:trHeight w:val="382" w:hRule="atLeast"/>
        </w:trPr>
        <w:tc>
          <w:tcPr>
            <w:tcW w:w="9340" w:type="dxa"/>
            <w:gridSpan w:val="5"/>
            <w:tcBorders>
              <w:top w:val="nil"/>
              <w:left w:val="nil"/>
              <w:bottom w:val="nil"/>
              <w:right w:val="nil"/>
            </w:tcBorders>
            <w:shd w:val="clear" w:color="auto" w:fill="FFFFFF"/>
          </w:tcPr>
          <w:p>
            <w:pPr>
              <w:widowControl/>
              <w:jc w:val="right"/>
              <w:textAlignment w:val="top"/>
              <w:rPr>
                <w:rFonts w:ascii="宋体" w:hAnsi="宋体" w:eastAsia="宋体" w:cs="宋体"/>
                <w:color w:val="auto"/>
                <w:sz w:val="18"/>
                <w:szCs w:val="18"/>
              </w:rPr>
            </w:pPr>
            <w:r>
              <w:rPr>
                <w:rFonts w:hint="eastAsia" w:ascii="宋体" w:hAnsi="宋体" w:eastAsia="宋体" w:cs="宋体"/>
                <w:color w:val="auto"/>
                <w:kern w:val="0"/>
                <w:sz w:val="18"/>
                <w:szCs w:val="18"/>
                <w:lang w:bidi="ar"/>
              </w:rPr>
              <w:t>表-10</w:t>
            </w:r>
          </w:p>
        </w:tc>
      </w:tr>
    </w:tbl>
    <w:p>
      <w:pPr>
        <w:pStyle w:val="33"/>
        <w:rPr>
          <w:color w:val="auto"/>
        </w:rPr>
        <w:sectPr>
          <w:pgSz w:w="11906" w:h="16838"/>
          <w:pgMar w:top="1440" w:right="1440" w:bottom="1440" w:left="1440" w:header="851" w:footer="992" w:gutter="0"/>
          <w:cols w:space="720" w:num="1"/>
          <w:docGrid w:linePitch="312" w:charSpace="0"/>
        </w:sectPr>
      </w:pPr>
    </w:p>
    <w:tbl>
      <w:tblPr>
        <w:tblStyle w:val="24"/>
        <w:tblW w:w="13940" w:type="dxa"/>
        <w:tblInd w:w="93" w:type="dxa"/>
        <w:tblLayout w:type="autofit"/>
        <w:tblCellMar>
          <w:top w:w="0" w:type="dxa"/>
          <w:left w:w="108" w:type="dxa"/>
          <w:bottom w:w="0" w:type="dxa"/>
          <w:right w:w="108" w:type="dxa"/>
        </w:tblCellMar>
      </w:tblPr>
      <w:tblGrid>
        <w:gridCol w:w="626"/>
        <w:gridCol w:w="1296"/>
        <w:gridCol w:w="2001"/>
        <w:gridCol w:w="2125"/>
        <w:gridCol w:w="732"/>
        <w:gridCol w:w="883"/>
        <w:gridCol w:w="880"/>
        <w:gridCol w:w="1000"/>
        <w:gridCol w:w="882"/>
        <w:gridCol w:w="878"/>
        <w:gridCol w:w="878"/>
        <w:gridCol w:w="876"/>
        <w:gridCol w:w="883"/>
      </w:tblGrid>
      <w:tr>
        <w:tblPrEx>
          <w:tblCellMar>
            <w:top w:w="0" w:type="dxa"/>
            <w:left w:w="108" w:type="dxa"/>
            <w:bottom w:w="0" w:type="dxa"/>
            <w:right w:w="108" w:type="dxa"/>
          </w:tblCellMar>
        </w:tblPrEx>
        <w:trPr>
          <w:trHeight w:val="592" w:hRule="atLeast"/>
        </w:trPr>
        <w:tc>
          <w:tcPr>
            <w:tcW w:w="13940" w:type="dxa"/>
            <w:gridSpan w:val="13"/>
            <w:tcBorders>
              <w:top w:val="nil"/>
              <w:left w:val="nil"/>
              <w:bottom w:val="nil"/>
              <w:right w:val="nil"/>
            </w:tcBorders>
            <w:shd w:val="clear" w:color="auto" w:fill="FFFFFF"/>
            <w:vAlign w:val="center"/>
          </w:tcPr>
          <w:p>
            <w:pPr>
              <w:widowControl/>
              <w:jc w:val="center"/>
              <w:textAlignment w:val="center"/>
              <w:rPr>
                <w:rFonts w:ascii="宋体" w:hAnsi="宋体" w:eastAsia="宋体" w:cs="宋体"/>
                <w:b/>
                <w:bCs/>
                <w:color w:val="auto"/>
                <w:sz w:val="40"/>
                <w:szCs w:val="40"/>
              </w:rPr>
            </w:pPr>
            <w:r>
              <w:rPr>
                <w:rFonts w:hint="eastAsia" w:ascii="宋体" w:hAnsi="宋体" w:eastAsia="宋体" w:cs="宋体"/>
                <w:b/>
                <w:bCs/>
                <w:color w:val="auto"/>
                <w:kern w:val="0"/>
                <w:sz w:val="40"/>
                <w:szCs w:val="40"/>
                <w:lang w:bidi="ar"/>
              </w:rPr>
              <w:t>施工技术措施项目清单与计价表</w:t>
            </w:r>
          </w:p>
        </w:tc>
      </w:tr>
      <w:tr>
        <w:tblPrEx>
          <w:tblCellMar>
            <w:top w:w="0" w:type="dxa"/>
            <w:left w:w="108" w:type="dxa"/>
            <w:bottom w:w="0" w:type="dxa"/>
            <w:right w:w="108" w:type="dxa"/>
          </w:tblCellMar>
        </w:tblPrEx>
        <w:trPr>
          <w:trHeight w:val="296" w:hRule="atLeast"/>
        </w:trPr>
        <w:tc>
          <w:tcPr>
            <w:tcW w:w="10397" w:type="dxa"/>
            <w:gridSpan w:val="9"/>
            <w:tcBorders>
              <w:top w:val="nil"/>
              <w:left w:val="nil"/>
              <w:bottom w:val="nil"/>
              <w:right w:val="nil"/>
            </w:tcBorders>
            <w:shd w:val="clear" w:color="auto" w:fill="FFFFFF"/>
            <w:vAlign w:val="bottom"/>
          </w:tcPr>
          <w:p>
            <w:pPr>
              <w:widowControl/>
              <w:jc w:val="left"/>
              <w:textAlignment w:val="bottom"/>
              <w:rPr>
                <w:rFonts w:ascii="宋体" w:hAnsi="宋体" w:eastAsia="宋体" w:cs="宋体"/>
                <w:color w:val="auto"/>
                <w:sz w:val="18"/>
                <w:szCs w:val="18"/>
              </w:rPr>
            </w:pPr>
            <w:r>
              <w:rPr>
                <w:rFonts w:hint="eastAsia" w:ascii="宋体" w:hAnsi="宋体" w:eastAsia="宋体" w:cs="宋体"/>
                <w:color w:val="auto"/>
                <w:kern w:val="0"/>
                <w:sz w:val="18"/>
                <w:szCs w:val="18"/>
                <w:lang w:bidi="ar"/>
              </w:rPr>
              <w:t>单位工程(专业):单项工程1-建筑</w:t>
            </w:r>
          </w:p>
        </w:tc>
        <w:tc>
          <w:tcPr>
            <w:tcW w:w="3543" w:type="dxa"/>
            <w:gridSpan w:val="4"/>
            <w:tcBorders>
              <w:top w:val="nil"/>
              <w:left w:val="nil"/>
              <w:bottom w:val="nil"/>
              <w:right w:val="nil"/>
            </w:tcBorders>
            <w:shd w:val="clear" w:color="auto" w:fill="FFFFFF"/>
            <w:vAlign w:val="bottom"/>
          </w:tcPr>
          <w:p>
            <w:pPr>
              <w:widowControl/>
              <w:jc w:val="right"/>
              <w:textAlignment w:val="bottom"/>
              <w:rPr>
                <w:rFonts w:ascii="宋体" w:hAnsi="宋体" w:eastAsia="宋体" w:cs="宋体"/>
                <w:color w:val="auto"/>
                <w:sz w:val="18"/>
                <w:szCs w:val="18"/>
              </w:rPr>
            </w:pPr>
            <w:r>
              <w:rPr>
                <w:rFonts w:hint="eastAsia" w:ascii="宋体" w:hAnsi="宋体" w:eastAsia="宋体" w:cs="宋体"/>
                <w:color w:val="auto"/>
                <w:kern w:val="0"/>
                <w:sz w:val="18"/>
                <w:szCs w:val="18"/>
                <w:lang w:bidi="ar"/>
              </w:rPr>
              <w:t>第1页 共1页</w:t>
            </w:r>
          </w:p>
        </w:tc>
      </w:tr>
      <w:tr>
        <w:trPr>
          <w:trHeight w:val="303" w:hRule="atLeast"/>
        </w:trPr>
        <w:tc>
          <w:tcPr>
            <w:tcW w:w="630"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序号</w:t>
            </w:r>
          </w:p>
        </w:tc>
        <w:tc>
          <w:tcPr>
            <w:tcW w:w="1194"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项目编码</w:t>
            </w:r>
          </w:p>
        </w:tc>
        <w:tc>
          <w:tcPr>
            <w:tcW w:w="2025"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项目名称</w:t>
            </w:r>
          </w:p>
        </w:tc>
        <w:tc>
          <w:tcPr>
            <w:tcW w:w="2146"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项目特征</w:t>
            </w:r>
          </w:p>
        </w:tc>
        <w:tc>
          <w:tcPr>
            <w:tcW w:w="737"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计量</w:t>
            </w:r>
          </w:p>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单位</w:t>
            </w:r>
          </w:p>
        </w:tc>
        <w:tc>
          <w:tcPr>
            <w:tcW w:w="885"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工程量</w:t>
            </w:r>
          </w:p>
        </w:tc>
        <w:tc>
          <w:tcPr>
            <w:tcW w:w="885"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综合单价</w:t>
            </w:r>
          </w:p>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(元)</w:t>
            </w:r>
          </w:p>
        </w:tc>
        <w:tc>
          <w:tcPr>
            <w:tcW w:w="1006" w:type="dxa"/>
            <w:vMerge w:val="restart"/>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kern w:val="0"/>
                <w:sz w:val="18"/>
                <w:szCs w:val="18"/>
                <w:lang w:bidi="ar"/>
              </w:rPr>
            </w:pPr>
            <w:r>
              <w:rPr>
                <w:rFonts w:hint="eastAsia" w:ascii="宋体" w:hAnsi="宋体" w:eastAsia="宋体" w:cs="宋体"/>
                <w:color w:val="auto"/>
                <w:kern w:val="0"/>
                <w:sz w:val="18"/>
                <w:szCs w:val="18"/>
                <w:lang w:bidi="ar"/>
              </w:rPr>
              <w:t>合价</w:t>
            </w:r>
          </w:p>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(元)</w:t>
            </w:r>
          </w:p>
        </w:tc>
        <w:tc>
          <w:tcPr>
            <w:tcW w:w="3542" w:type="dxa"/>
            <w:gridSpan w:val="4"/>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其中(元)</w:t>
            </w:r>
          </w:p>
        </w:tc>
        <w:tc>
          <w:tcPr>
            <w:tcW w:w="890" w:type="dxa"/>
            <w:vMerge w:val="restart"/>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备注</w:t>
            </w:r>
          </w:p>
        </w:tc>
      </w:tr>
      <w:tr>
        <w:tblPrEx>
          <w:tblCellMar>
            <w:top w:w="0" w:type="dxa"/>
            <w:left w:w="108" w:type="dxa"/>
            <w:bottom w:w="0" w:type="dxa"/>
            <w:right w:w="108" w:type="dxa"/>
          </w:tblCellMar>
        </w:tblPrEx>
        <w:trPr>
          <w:trHeight w:val="313" w:hRule="atLeast"/>
        </w:trPr>
        <w:tc>
          <w:tcPr>
            <w:tcW w:w="63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94"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20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2146"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737"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006"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89"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定额人工费</w:t>
            </w:r>
          </w:p>
        </w:tc>
        <w:tc>
          <w:tcPr>
            <w:tcW w:w="88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人工费价差</w:t>
            </w:r>
          </w:p>
        </w:tc>
        <w:tc>
          <w:tcPr>
            <w:tcW w:w="885"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定额机械费</w:t>
            </w:r>
          </w:p>
        </w:tc>
        <w:tc>
          <w:tcPr>
            <w:tcW w:w="883" w:type="dxa"/>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机械费价差</w:t>
            </w:r>
          </w:p>
        </w:tc>
        <w:tc>
          <w:tcPr>
            <w:tcW w:w="89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382" w:hRule="atLeast"/>
        </w:trPr>
        <w:tc>
          <w:tcPr>
            <w:tcW w:w="63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w:t>
            </w:r>
          </w:p>
        </w:tc>
        <w:tc>
          <w:tcPr>
            <w:tcW w:w="119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011701006001</w:t>
            </w:r>
          </w:p>
        </w:tc>
        <w:tc>
          <w:tcPr>
            <w:tcW w:w="2025"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满堂脚手架</w:t>
            </w:r>
          </w:p>
        </w:tc>
        <w:tc>
          <w:tcPr>
            <w:tcW w:w="214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1.满堂脚手架 ~基本层3.6m～5.2m</w:t>
            </w:r>
          </w:p>
        </w:tc>
        <w:tc>
          <w:tcPr>
            <w:tcW w:w="737"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m2</w:t>
            </w:r>
          </w:p>
        </w:tc>
        <w:tc>
          <w:tcPr>
            <w:tcW w:w="885"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91.66</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90"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313" w:hRule="atLeast"/>
        </w:trPr>
        <w:tc>
          <w:tcPr>
            <w:tcW w:w="63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w:t>
            </w:r>
          </w:p>
        </w:tc>
        <w:tc>
          <w:tcPr>
            <w:tcW w:w="119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011701003001</w:t>
            </w:r>
          </w:p>
        </w:tc>
        <w:tc>
          <w:tcPr>
            <w:tcW w:w="2025"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里脚手架</w:t>
            </w:r>
          </w:p>
        </w:tc>
        <w:tc>
          <w:tcPr>
            <w:tcW w:w="214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1.内墙脚手架 高度3.6m以内</w:t>
            </w:r>
          </w:p>
        </w:tc>
        <w:tc>
          <w:tcPr>
            <w:tcW w:w="737"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m2</w:t>
            </w:r>
          </w:p>
        </w:tc>
        <w:tc>
          <w:tcPr>
            <w:tcW w:w="885"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479.94</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90"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678" w:hRule="atLeast"/>
        </w:trPr>
        <w:tc>
          <w:tcPr>
            <w:tcW w:w="63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3</w:t>
            </w:r>
          </w:p>
        </w:tc>
        <w:tc>
          <w:tcPr>
            <w:tcW w:w="1194"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011703001001</w:t>
            </w:r>
          </w:p>
        </w:tc>
        <w:tc>
          <w:tcPr>
            <w:tcW w:w="2025"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垂直运输</w:t>
            </w:r>
          </w:p>
        </w:tc>
        <w:tc>
          <w:tcPr>
            <w:tcW w:w="214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1.混凝土结构建筑物垂直运输 檐高20m内`檐高30m以下建筑物垂直运输机械不采用塔吊时`基价*0.2</w:t>
            </w:r>
          </w:p>
        </w:tc>
        <w:tc>
          <w:tcPr>
            <w:tcW w:w="737"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m2</w:t>
            </w:r>
          </w:p>
        </w:tc>
        <w:tc>
          <w:tcPr>
            <w:tcW w:w="885" w:type="dxa"/>
            <w:tcBorders>
              <w:top w:val="single" w:color="000000" w:sz="4" w:space="0"/>
              <w:left w:val="single" w:color="000000" w:sz="4" w:space="0"/>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942.48</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90"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303" w:hRule="atLeast"/>
        </w:trPr>
        <w:tc>
          <w:tcPr>
            <w:tcW w:w="6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9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025"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146"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737"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8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90"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303" w:hRule="atLeast"/>
        </w:trPr>
        <w:tc>
          <w:tcPr>
            <w:tcW w:w="6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9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025"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146"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737"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8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90"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303" w:hRule="atLeast"/>
        </w:trPr>
        <w:tc>
          <w:tcPr>
            <w:tcW w:w="6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9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025"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146"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737"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8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90"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303" w:hRule="atLeast"/>
        </w:trPr>
        <w:tc>
          <w:tcPr>
            <w:tcW w:w="6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9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025"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146"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737"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8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90"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303" w:hRule="atLeast"/>
        </w:trPr>
        <w:tc>
          <w:tcPr>
            <w:tcW w:w="6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9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025"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146"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737"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8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90"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303" w:hRule="atLeast"/>
        </w:trPr>
        <w:tc>
          <w:tcPr>
            <w:tcW w:w="6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9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025"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146"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737"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8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90"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303" w:hRule="atLeast"/>
        </w:trPr>
        <w:tc>
          <w:tcPr>
            <w:tcW w:w="6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9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025"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146"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737"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8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90"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303" w:hRule="atLeast"/>
        </w:trPr>
        <w:tc>
          <w:tcPr>
            <w:tcW w:w="6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9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025"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146"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737"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8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90"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303" w:hRule="atLeast"/>
        </w:trPr>
        <w:tc>
          <w:tcPr>
            <w:tcW w:w="6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9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025"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146"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737"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8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90"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303" w:hRule="atLeast"/>
        </w:trPr>
        <w:tc>
          <w:tcPr>
            <w:tcW w:w="6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9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025"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146"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737"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8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90"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303" w:hRule="atLeast"/>
        </w:trPr>
        <w:tc>
          <w:tcPr>
            <w:tcW w:w="6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1194"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025"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2146" w:type="dxa"/>
            <w:tcBorders>
              <w:top w:val="single" w:color="000000" w:sz="4" w:space="0"/>
              <w:left w:val="single" w:color="000000" w:sz="4" w:space="0"/>
              <w:bottom w:val="nil"/>
              <w:right w:val="nil"/>
            </w:tcBorders>
            <w:shd w:val="clear" w:color="auto" w:fill="FFFFFF"/>
            <w:vAlign w:val="center"/>
          </w:tcPr>
          <w:p>
            <w:pPr>
              <w:jc w:val="left"/>
              <w:rPr>
                <w:rFonts w:ascii="宋体" w:hAnsi="宋体" w:eastAsia="宋体" w:cs="宋体"/>
                <w:color w:val="auto"/>
                <w:sz w:val="18"/>
                <w:szCs w:val="18"/>
              </w:rPr>
            </w:pPr>
          </w:p>
        </w:tc>
        <w:tc>
          <w:tcPr>
            <w:tcW w:w="737"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auto"/>
                <w:sz w:val="18"/>
                <w:szCs w:val="18"/>
              </w:rPr>
            </w:pPr>
          </w:p>
        </w:tc>
        <w:tc>
          <w:tcPr>
            <w:tcW w:w="88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ascii="宋体" w:hAnsi="宋体" w:eastAsia="宋体" w:cs="宋体"/>
                <w:color w:val="auto"/>
                <w:sz w:val="18"/>
                <w:szCs w:val="18"/>
              </w:rPr>
            </w:pPr>
          </w:p>
        </w:tc>
        <w:tc>
          <w:tcPr>
            <w:tcW w:w="890" w:type="dxa"/>
            <w:tcBorders>
              <w:top w:val="single" w:color="000000" w:sz="4" w:space="0"/>
              <w:left w:val="single" w:color="000000" w:sz="4" w:space="0"/>
              <w:bottom w:val="nil"/>
              <w:right w:val="single" w:color="000000" w:sz="4" w:space="0"/>
            </w:tcBorders>
            <w:shd w:val="clear" w:color="auto" w:fill="FFFFFF"/>
            <w:vAlign w:val="center"/>
          </w:tcPr>
          <w:p>
            <w:pPr>
              <w:jc w:val="left"/>
              <w:rPr>
                <w:rFonts w:ascii="宋体" w:hAnsi="宋体" w:eastAsia="宋体" w:cs="宋体"/>
                <w:color w:val="auto"/>
                <w:sz w:val="18"/>
                <w:szCs w:val="18"/>
              </w:rPr>
            </w:pPr>
          </w:p>
        </w:tc>
      </w:tr>
      <w:tr>
        <w:tblPrEx>
          <w:tblCellMar>
            <w:top w:w="0" w:type="dxa"/>
            <w:left w:w="108" w:type="dxa"/>
            <w:bottom w:w="0" w:type="dxa"/>
            <w:right w:w="108" w:type="dxa"/>
          </w:tblCellMar>
        </w:tblPrEx>
        <w:trPr>
          <w:trHeight w:val="303" w:hRule="atLeast"/>
        </w:trPr>
        <w:tc>
          <w:tcPr>
            <w:tcW w:w="8502" w:type="dxa"/>
            <w:gridSpan w:val="7"/>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本页小计</w:t>
            </w: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nil"/>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90" w:type="dxa"/>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303" w:hRule="atLeast"/>
        </w:trPr>
        <w:tc>
          <w:tcPr>
            <w:tcW w:w="8502" w:type="dxa"/>
            <w:gridSpan w:val="7"/>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 xml:space="preserve"> 合计</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widowControl/>
              <w:jc w:val="right"/>
              <w:textAlignment w:val="center"/>
              <w:rPr>
                <w:rFonts w:ascii="宋体" w:hAnsi="宋体" w:eastAsia="宋体" w:cs="宋体"/>
                <w:color w:val="auto"/>
                <w:sz w:val="18"/>
                <w:szCs w:val="18"/>
              </w:rPr>
            </w:pPr>
          </w:p>
        </w:tc>
        <w:tc>
          <w:tcPr>
            <w:tcW w:w="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auto"/>
                <w:sz w:val="18"/>
                <w:szCs w:val="18"/>
              </w:rPr>
            </w:pPr>
          </w:p>
        </w:tc>
      </w:tr>
      <w:tr>
        <w:tblPrEx>
          <w:tblCellMar>
            <w:top w:w="0" w:type="dxa"/>
            <w:left w:w="108" w:type="dxa"/>
            <w:bottom w:w="0" w:type="dxa"/>
            <w:right w:w="108" w:type="dxa"/>
          </w:tblCellMar>
        </w:tblPrEx>
        <w:trPr>
          <w:trHeight w:val="158" w:hRule="atLeast"/>
        </w:trPr>
        <w:tc>
          <w:tcPr>
            <w:tcW w:w="0" w:type="auto"/>
            <w:tcBorders>
              <w:top w:val="nil"/>
              <w:left w:val="nil"/>
              <w:bottom w:val="nil"/>
              <w:right w:val="nil"/>
            </w:tcBorders>
            <w:shd w:val="clear" w:color="auto" w:fill="auto"/>
            <w:noWrap/>
            <w:vAlign w:val="bottom"/>
          </w:tcPr>
          <w:p>
            <w:pPr>
              <w:rPr>
                <w:rFonts w:ascii="Arial" w:hAnsi="Arial" w:cs="Arial"/>
                <w:color w:val="auto"/>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auto"/>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auto"/>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auto"/>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auto"/>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auto"/>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auto"/>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auto"/>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auto"/>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auto"/>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auto"/>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auto"/>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auto"/>
                <w:sz w:val="20"/>
                <w:szCs w:val="20"/>
              </w:rPr>
            </w:pPr>
          </w:p>
        </w:tc>
      </w:tr>
      <w:tr>
        <w:tblPrEx>
          <w:tblCellMar>
            <w:top w:w="0" w:type="dxa"/>
            <w:left w:w="108" w:type="dxa"/>
            <w:bottom w:w="0" w:type="dxa"/>
            <w:right w:w="108" w:type="dxa"/>
          </w:tblCellMar>
        </w:tblPrEx>
        <w:trPr>
          <w:trHeight w:val="296" w:hRule="atLeast"/>
        </w:trPr>
        <w:tc>
          <w:tcPr>
            <w:tcW w:w="630"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194"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2025"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2146"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737"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885"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885"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006"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889"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885"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885" w:type="dxa"/>
            <w:tcBorders>
              <w:top w:val="nil"/>
              <w:left w:val="nil"/>
              <w:bottom w:val="nil"/>
              <w:right w:val="nil"/>
            </w:tcBorders>
            <w:shd w:val="clear" w:color="auto" w:fill="FFFFFF"/>
            <w:vAlign w:val="center"/>
          </w:tcPr>
          <w:p>
            <w:pPr>
              <w:jc w:val="center"/>
              <w:rPr>
                <w:rFonts w:ascii="宋体" w:hAnsi="宋体" w:eastAsia="宋体" w:cs="宋体"/>
                <w:color w:val="auto"/>
                <w:sz w:val="18"/>
                <w:szCs w:val="18"/>
              </w:rPr>
            </w:pPr>
          </w:p>
        </w:tc>
        <w:tc>
          <w:tcPr>
            <w:tcW w:w="1773" w:type="dxa"/>
            <w:gridSpan w:val="2"/>
            <w:tcBorders>
              <w:top w:val="nil"/>
              <w:left w:val="nil"/>
              <w:bottom w:val="nil"/>
              <w:right w:val="nil"/>
            </w:tcBorders>
            <w:shd w:val="clear" w:color="auto" w:fill="FFFFFF"/>
            <w:vAlign w:val="center"/>
          </w:tcPr>
          <w:p>
            <w:pPr>
              <w:widowControl/>
              <w:jc w:val="righ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表-08</w:t>
            </w:r>
          </w:p>
        </w:tc>
      </w:tr>
    </w:tbl>
    <w:p>
      <w:pPr>
        <w:pStyle w:val="52"/>
        <w:spacing w:beforeLines="0"/>
        <w:rPr>
          <w:rFonts w:hint="default" w:ascii="宋体" w:hAnsi="宋体" w:cs="宋体"/>
          <w:bCs/>
          <w:color w:val="auto"/>
          <w:szCs w:val="24"/>
        </w:rPr>
        <w:sectPr>
          <w:pgSz w:w="16838" w:h="11906" w:orient="landscape"/>
          <w:pgMar w:top="1440" w:right="1440" w:bottom="1440" w:left="1440" w:header="851" w:footer="992" w:gutter="0"/>
          <w:cols w:space="720" w:num="1"/>
          <w:docGrid w:linePitch="312" w:charSpace="0"/>
        </w:sectPr>
      </w:pPr>
    </w:p>
    <w:p>
      <w:pPr>
        <w:keepNext/>
        <w:keepLines/>
        <w:spacing w:line="360" w:lineRule="auto"/>
        <w:ind w:firstLine="2249" w:firstLineChars="800"/>
        <w:jc w:val="left"/>
        <w:outlineLvl w:val="2"/>
        <w:rPr>
          <w:rFonts w:ascii="Times New Roman" w:hAnsi="Times New Roman" w:eastAsia="黑体" w:cs="Arial"/>
          <w:b/>
          <w:bCs/>
          <w:color w:val="auto"/>
          <w:sz w:val="28"/>
          <w:szCs w:val="28"/>
        </w:rPr>
      </w:pPr>
      <w:r>
        <w:rPr>
          <w:rFonts w:hint="eastAsia" w:ascii="Times New Roman" w:hAnsi="Times New Roman" w:eastAsia="宋体" w:cs="Arial"/>
          <w:b/>
          <w:bCs/>
          <w:color w:val="auto"/>
          <w:sz w:val="28"/>
          <w:szCs w:val="28"/>
        </w:rPr>
        <w:t>主要设备材料备选品牌一览表</w:t>
      </w:r>
    </w:p>
    <w:tbl>
      <w:tblPr>
        <w:tblStyle w:val="25"/>
        <w:tblW w:w="8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3"/>
        <w:gridCol w:w="2688"/>
        <w:gridCol w:w="4090"/>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tcPr>
          <w:p>
            <w:pPr>
              <w:jc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序号</w:t>
            </w:r>
          </w:p>
        </w:tc>
        <w:tc>
          <w:tcPr>
            <w:tcW w:w="2688" w:type="dxa"/>
          </w:tcPr>
          <w:p>
            <w:pPr>
              <w:jc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设备或材料名称</w:t>
            </w:r>
          </w:p>
        </w:tc>
        <w:tc>
          <w:tcPr>
            <w:tcW w:w="4090" w:type="dxa"/>
          </w:tcPr>
          <w:p>
            <w:pPr>
              <w:jc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备选品牌或厂家</w:t>
            </w:r>
          </w:p>
        </w:tc>
        <w:tc>
          <w:tcPr>
            <w:tcW w:w="1417" w:type="dxa"/>
          </w:tcPr>
          <w:p>
            <w:pPr>
              <w:jc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lang w:bidi="ar"/>
              </w:rPr>
              <w:t>1</w:t>
            </w:r>
          </w:p>
        </w:tc>
        <w:tc>
          <w:tcPr>
            <w:tcW w:w="2688"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塑料管</w:t>
            </w:r>
          </w:p>
        </w:tc>
        <w:tc>
          <w:tcPr>
            <w:tcW w:w="4090"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伟星、中财、联塑</w:t>
            </w:r>
          </w:p>
        </w:tc>
        <w:tc>
          <w:tcPr>
            <w:tcW w:w="1417"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lang w:bidi="ar"/>
              </w:rPr>
              <w:t>2</w:t>
            </w:r>
          </w:p>
        </w:tc>
        <w:tc>
          <w:tcPr>
            <w:tcW w:w="2688"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淋浴器</w:t>
            </w:r>
          </w:p>
        </w:tc>
        <w:tc>
          <w:tcPr>
            <w:tcW w:w="4090"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恒洁、九牧、箭牌</w:t>
            </w:r>
          </w:p>
        </w:tc>
        <w:tc>
          <w:tcPr>
            <w:tcW w:w="1417"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lang w:bidi="ar"/>
              </w:rPr>
              <w:t>3</w:t>
            </w:r>
          </w:p>
        </w:tc>
        <w:tc>
          <w:tcPr>
            <w:tcW w:w="2688"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lang w:bidi="ar"/>
              </w:rPr>
              <w:t>洗脸盆</w:t>
            </w:r>
          </w:p>
        </w:tc>
        <w:tc>
          <w:tcPr>
            <w:tcW w:w="4090"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恒洁、九牧、箭牌</w:t>
            </w:r>
          </w:p>
        </w:tc>
        <w:tc>
          <w:tcPr>
            <w:tcW w:w="1417"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lang w:bidi="ar"/>
              </w:rPr>
              <w:t>4</w:t>
            </w:r>
          </w:p>
        </w:tc>
        <w:tc>
          <w:tcPr>
            <w:tcW w:w="2688"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lang w:bidi="ar"/>
              </w:rPr>
              <w:t>给、排水附(配)件</w:t>
            </w:r>
          </w:p>
        </w:tc>
        <w:tc>
          <w:tcPr>
            <w:tcW w:w="4090"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潜水艇、九牧、箭牌</w:t>
            </w:r>
          </w:p>
        </w:tc>
        <w:tc>
          <w:tcPr>
            <w:tcW w:w="1417"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lang w:bidi="ar"/>
              </w:rPr>
              <w:t>5</w:t>
            </w:r>
          </w:p>
        </w:tc>
        <w:tc>
          <w:tcPr>
            <w:tcW w:w="2688"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lang w:bidi="ar"/>
              </w:rPr>
              <w:t>小便器</w:t>
            </w:r>
          </w:p>
        </w:tc>
        <w:tc>
          <w:tcPr>
            <w:tcW w:w="4090"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恒洁、九牧、箭牌</w:t>
            </w:r>
          </w:p>
        </w:tc>
        <w:tc>
          <w:tcPr>
            <w:tcW w:w="1417"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lang w:bidi="ar"/>
              </w:rPr>
              <w:t>6</w:t>
            </w:r>
          </w:p>
        </w:tc>
        <w:tc>
          <w:tcPr>
            <w:tcW w:w="2688"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lang w:bidi="ar"/>
              </w:rPr>
              <w:t>大便器</w:t>
            </w:r>
          </w:p>
        </w:tc>
        <w:tc>
          <w:tcPr>
            <w:tcW w:w="4090"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恒洁、九牧、箭牌</w:t>
            </w:r>
          </w:p>
        </w:tc>
        <w:tc>
          <w:tcPr>
            <w:tcW w:w="1417"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lang w:bidi="ar"/>
              </w:rPr>
              <w:t>7</w:t>
            </w:r>
          </w:p>
        </w:tc>
        <w:tc>
          <w:tcPr>
            <w:tcW w:w="2688"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镀锌钢管</w:t>
            </w:r>
          </w:p>
        </w:tc>
        <w:tc>
          <w:tcPr>
            <w:tcW w:w="4090"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宝钢、马钢、首钢</w:t>
            </w:r>
          </w:p>
        </w:tc>
        <w:tc>
          <w:tcPr>
            <w:tcW w:w="1417"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8</w:t>
            </w:r>
          </w:p>
        </w:tc>
        <w:tc>
          <w:tcPr>
            <w:tcW w:w="2688"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焊接法兰阀门</w:t>
            </w:r>
          </w:p>
        </w:tc>
        <w:tc>
          <w:tcPr>
            <w:tcW w:w="4090"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埃美柯、沪工、邦富</w:t>
            </w:r>
          </w:p>
        </w:tc>
        <w:tc>
          <w:tcPr>
            <w:tcW w:w="1417"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9</w:t>
            </w:r>
          </w:p>
        </w:tc>
        <w:tc>
          <w:tcPr>
            <w:tcW w:w="2688"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除污器(过滤器）</w:t>
            </w:r>
          </w:p>
        </w:tc>
        <w:tc>
          <w:tcPr>
            <w:tcW w:w="4090"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埃美柯、沪工、邦富</w:t>
            </w:r>
          </w:p>
        </w:tc>
        <w:tc>
          <w:tcPr>
            <w:tcW w:w="1417"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10</w:t>
            </w:r>
          </w:p>
        </w:tc>
        <w:tc>
          <w:tcPr>
            <w:tcW w:w="2688"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软接头（软管）</w:t>
            </w:r>
          </w:p>
        </w:tc>
        <w:tc>
          <w:tcPr>
            <w:tcW w:w="4090"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埃美柯、沪工、邦富</w:t>
            </w:r>
          </w:p>
        </w:tc>
        <w:tc>
          <w:tcPr>
            <w:tcW w:w="1417"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11</w:t>
            </w:r>
          </w:p>
        </w:tc>
        <w:tc>
          <w:tcPr>
            <w:tcW w:w="2688"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管道绝热</w:t>
            </w:r>
          </w:p>
        </w:tc>
        <w:tc>
          <w:tcPr>
            <w:tcW w:w="4090"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华美、杜肯、赢胜</w:t>
            </w:r>
          </w:p>
        </w:tc>
        <w:tc>
          <w:tcPr>
            <w:tcW w:w="1417"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12</w:t>
            </w:r>
          </w:p>
        </w:tc>
        <w:tc>
          <w:tcPr>
            <w:tcW w:w="2688"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配电箱</w:t>
            </w:r>
          </w:p>
        </w:tc>
        <w:tc>
          <w:tcPr>
            <w:tcW w:w="4090"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施耐德、ABB、西门子</w:t>
            </w:r>
          </w:p>
        </w:tc>
        <w:tc>
          <w:tcPr>
            <w:tcW w:w="1417"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13</w:t>
            </w:r>
          </w:p>
        </w:tc>
        <w:tc>
          <w:tcPr>
            <w:tcW w:w="2688"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原配电新增断路器</w:t>
            </w:r>
          </w:p>
        </w:tc>
        <w:tc>
          <w:tcPr>
            <w:tcW w:w="4090"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施耐德、ABB、西门子</w:t>
            </w:r>
          </w:p>
        </w:tc>
        <w:tc>
          <w:tcPr>
            <w:tcW w:w="1417"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14</w:t>
            </w:r>
          </w:p>
        </w:tc>
        <w:tc>
          <w:tcPr>
            <w:tcW w:w="2688"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lang w:bidi="ar"/>
              </w:rPr>
              <w:t>配线</w:t>
            </w:r>
          </w:p>
        </w:tc>
        <w:tc>
          <w:tcPr>
            <w:tcW w:w="4090"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sz w:val="21"/>
                <w:szCs w:val="21"/>
                <w:highlight w:val="none"/>
              </w:rPr>
              <w:t>江南、远东、东旭</w:t>
            </w:r>
          </w:p>
        </w:tc>
        <w:tc>
          <w:tcPr>
            <w:tcW w:w="1417"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15</w:t>
            </w:r>
          </w:p>
        </w:tc>
        <w:tc>
          <w:tcPr>
            <w:tcW w:w="2688"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插座</w:t>
            </w:r>
          </w:p>
        </w:tc>
        <w:tc>
          <w:tcPr>
            <w:tcW w:w="4090"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西门子、罗格朗、施耐德</w:t>
            </w:r>
          </w:p>
        </w:tc>
        <w:tc>
          <w:tcPr>
            <w:tcW w:w="1417"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16</w:t>
            </w:r>
          </w:p>
        </w:tc>
        <w:tc>
          <w:tcPr>
            <w:tcW w:w="2688"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荧光灯</w:t>
            </w:r>
          </w:p>
        </w:tc>
        <w:tc>
          <w:tcPr>
            <w:tcW w:w="4090"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飞利浦、雷士、欧普</w:t>
            </w:r>
          </w:p>
        </w:tc>
        <w:tc>
          <w:tcPr>
            <w:tcW w:w="1417"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17</w:t>
            </w:r>
          </w:p>
        </w:tc>
        <w:tc>
          <w:tcPr>
            <w:tcW w:w="2688"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离心式通风机(排风系统)</w:t>
            </w:r>
          </w:p>
        </w:tc>
        <w:tc>
          <w:tcPr>
            <w:tcW w:w="4090"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东门、应达、亿利达、菲兰、荆翼、特锐德</w:t>
            </w:r>
          </w:p>
        </w:tc>
        <w:tc>
          <w:tcPr>
            <w:tcW w:w="1417"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18</w:t>
            </w:r>
          </w:p>
        </w:tc>
        <w:tc>
          <w:tcPr>
            <w:tcW w:w="2688"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塑料通风管道</w:t>
            </w:r>
          </w:p>
        </w:tc>
        <w:tc>
          <w:tcPr>
            <w:tcW w:w="4090"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鸿远、欧立德、远达</w:t>
            </w:r>
          </w:p>
        </w:tc>
        <w:tc>
          <w:tcPr>
            <w:tcW w:w="1417"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19</w:t>
            </w:r>
          </w:p>
        </w:tc>
        <w:tc>
          <w:tcPr>
            <w:tcW w:w="2688"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模块化活性炭废气处理系统</w:t>
            </w:r>
          </w:p>
        </w:tc>
        <w:tc>
          <w:tcPr>
            <w:tcW w:w="4090"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东门、和气、特福佳、菲兰、荆翼、特锐德</w:t>
            </w:r>
          </w:p>
        </w:tc>
        <w:tc>
          <w:tcPr>
            <w:tcW w:w="1417"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20</w:t>
            </w:r>
          </w:p>
        </w:tc>
        <w:tc>
          <w:tcPr>
            <w:tcW w:w="2688"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模拟变风量电动调节阀</w:t>
            </w:r>
          </w:p>
        </w:tc>
        <w:tc>
          <w:tcPr>
            <w:tcW w:w="4090"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伊特耐尔、金永利、盈达</w:t>
            </w:r>
          </w:p>
        </w:tc>
        <w:tc>
          <w:tcPr>
            <w:tcW w:w="1417"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21</w:t>
            </w:r>
          </w:p>
        </w:tc>
        <w:tc>
          <w:tcPr>
            <w:tcW w:w="2688"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全不锈钢立式废气导流装置</w:t>
            </w:r>
          </w:p>
        </w:tc>
        <w:tc>
          <w:tcPr>
            <w:tcW w:w="4090"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金井、玖月、中博锐、菲兰、荆翼、特锐德</w:t>
            </w:r>
          </w:p>
        </w:tc>
        <w:tc>
          <w:tcPr>
            <w:tcW w:w="1417"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22</w:t>
            </w:r>
          </w:p>
        </w:tc>
        <w:tc>
          <w:tcPr>
            <w:tcW w:w="2688"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全不锈钢吸顶式废气集风装置</w:t>
            </w:r>
          </w:p>
        </w:tc>
        <w:tc>
          <w:tcPr>
            <w:tcW w:w="4090"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金井、玖月、中博锐、菲兰、天之海、思之泉</w:t>
            </w:r>
          </w:p>
        </w:tc>
        <w:tc>
          <w:tcPr>
            <w:tcW w:w="1417"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23</w:t>
            </w:r>
          </w:p>
        </w:tc>
        <w:tc>
          <w:tcPr>
            <w:tcW w:w="2688"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全不锈钢孔式层流新风布气装置</w:t>
            </w:r>
          </w:p>
        </w:tc>
        <w:tc>
          <w:tcPr>
            <w:tcW w:w="4090"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金井、玖月、中博锐、菲兰、天之海、思之泉</w:t>
            </w:r>
          </w:p>
        </w:tc>
        <w:tc>
          <w:tcPr>
            <w:tcW w:w="1417"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24</w:t>
            </w:r>
          </w:p>
        </w:tc>
        <w:tc>
          <w:tcPr>
            <w:tcW w:w="2688"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离心式通风机（新风系统）</w:t>
            </w:r>
          </w:p>
        </w:tc>
        <w:tc>
          <w:tcPr>
            <w:tcW w:w="4090"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天加、欧科、国祥</w:t>
            </w:r>
          </w:p>
        </w:tc>
        <w:tc>
          <w:tcPr>
            <w:tcW w:w="1417"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25</w:t>
            </w:r>
          </w:p>
        </w:tc>
        <w:tc>
          <w:tcPr>
            <w:tcW w:w="2688"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通风管道绝热</w:t>
            </w:r>
          </w:p>
        </w:tc>
        <w:tc>
          <w:tcPr>
            <w:tcW w:w="4090"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华美、杜肯、赢胜</w:t>
            </w:r>
          </w:p>
        </w:tc>
        <w:tc>
          <w:tcPr>
            <w:tcW w:w="1417"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26</w:t>
            </w:r>
          </w:p>
        </w:tc>
        <w:tc>
          <w:tcPr>
            <w:tcW w:w="2688"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墙面喷刷涂料</w:t>
            </w:r>
          </w:p>
        </w:tc>
        <w:tc>
          <w:tcPr>
            <w:tcW w:w="4090"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立邦、多乐士、华润、三棵树</w:t>
            </w:r>
          </w:p>
        </w:tc>
        <w:tc>
          <w:tcPr>
            <w:tcW w:w="1417"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27</w:t>
            </w:r>
          </w:p>
        </w:tc>
        <w:tc>
          <w:tcPr>
            <w:tcW w:w="2688"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金属（塑钢）门</w:t>
            </w:r>
          </w:p>
        </w:tc>
        <w:tc>
          <w:tcPr>
            <w:tcW w:w="4090"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协多利、中电创达（艾净）、畅达</w:t>
            </w:r>
          </w:p>
        </w:tc>
        <w:tc>
          <w:tcPr>
            <w:tcW w:w="1417"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28</w:t>
            </w:r>
          </w:p>
        </w:tc>
        <w:tc>
          <w:tcPr>
            <w:tcW w:w="2688"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电动气密门</w:t>
            </w:r>
          </w:p>
        </w:tc>
        <w:tc>
          <w:tcPr>
            <w:tcW w:w="4090"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马斯德克、汤臣瑞、畅达</w:t>
            </w:r>
          </w:p>
        </w:tc>
        <w:tc>
          <w:tcPr>
            <w:tcW w:w="1417"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29</w:t>
            </w:r>
          </w:p>
        </w:tc>
        <w:tc>
          <w:tcPr>
            <w:tcW w:w="2688"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块料墙面</w:t>
            </w:r>
          </w:p>
        </w:tc>
        <w:tc>
          <w:tcPr>
            <w:tcW w:w="4090"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冠军、马可波罗、斯米克</w:t>
            </w:r>
          </w:p>
        </w:tc>
        <w:tc>
          <w:tcPr>
            <w:tcW w:w="1417"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30</w:t>
            </w:r>
          </w:p>
        </w:tc>
        <w:tc>
          <w:tcPr>
            <w:tcW w:w="2688"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块料楼地面</w:t>
            </w:r>
          </w:p>
        </w:tc>
        <w:tc>
          <w:tcPr>
            <w:tcW w:w="4090"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冠军、马可波罗、斯米克</w:t>
            </w:r>
          </w:p>
        </w:tc>
        <w:tc>
          <w:tcPr>
            <w:tcW w:w="1417"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31</w:t>
            </w:r>
          </w:p>
        </w:tc>
        <w:tc>
          <w:tcPr>
            <w:tcW w:w="2688"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lang w:bidi="ar"/>
              </w:rPr>
              <w:t>吊顶天棚</w:t>
            </w:r>
          </w:p>
        </w:tc>
        <w:tc>
          <w:tcPr>
            <w:tcW w:w="4090"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sz w:val="21"/>
                <w:szCs w:val="21"/>
                <w:highlight w:val="none"/>
              </w:rPr>
              <w:t>建龙、法狮龙、友邦</w:t>
            </w:r>
          </w:p>
        </w:tc>
        <w:tc>
          <w:tcPr>
            <w:tcW w:w="1417"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32</w:t>
            </w:r>
          </w:p>
        </w:tc>
        <w:tc>
          <w:tcPr>
            <w:tcW w:w="2688"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取材记录台</w:t>
            </w:r>
          </w:p>
        </w:tc>
        <w:tc>
          <w:tcPr>
            <w:tcW w:w="4090"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金井、玖月、中博锐、菲兰、优派、泰尔</w:t>
            </w:r>
          </w:p>
        </w:tc>
        <w:tc>
          <w:tcPr>
            <w:tcW w:w="1417"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33</w:t>
            </w:r>
          </w:p>
        </w:tc>
        <w:tc>
          <w:tcPr>
            <w:tcW w:w="2688" w:type="dxa"/>
            <w:vAlign w:val="center"/>
          </w:tcPr>
          <w:p>
            <w:pPr>
              <w:widowControl/>
              <w:tabs>
                <w:tab w:val="left" w:pos="610"/>
              </w:tabs>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全钢病理操作台</w:t>
            </w:r>
          </w:p>
        </w:tc>
        <w:tc>
          <w:tcPr>
            <w:tcW w:w="4090"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金井、玖月、中博锐、菲兰、优派、泰尔</w:t>
            </w:r>
          </w:p>
        </w:tc>
        <w:tc>
          <w:tcPr>
            <w:tcW w:w="1417"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34</w:t>
            </w:r>
          </w:p>
        </w:tc>
        <w:tc>
          <w:tcPr>
            <w:tcW w:w="2688" w:type="dxa"/>
            <w:vAlign w:val="center"/>
          </w:tcPr>
          <w:p>
            <w:pPr>
              <w:widowControl/>
              <w:tabs>
                <w:tab w:val="left" w:pos="610"/>
              </w:tabs>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全不锈钢立式冲淋装置</w:t>
            </w:r>
          </w:p>
        </w:tc>
        <w:tc>
          <w:tcPr>
            <w:tcW w:w="4090"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科恩、博化、台雄</w:t>
            </w:r>
          </w:p>
        </w:tc>
        <w:tc>
          <w:tcPr>
            <w:tcW w:w="1417"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35</w:t>
            </w:r>
          </w:p>
        </w:tc>
        <w:tc>
          <w:tcPr>
            <w:tcW w:w="2688" w:type="dxa"/>
            <w:vAlign w:val="center"/>
          </w:tcPr>
          <w:p>
            <w:pPr>
              <w:widowControl/>
              <w:tabs>
                <w:tab w:val="left" w:pos="610"/>
              </w:tabs>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立式脱水机通风排毒柜</w:t>
            </w:r>
          </w:p>
        </w:tc>
        <w:tc>
          <w:tcPr>
            <w:tcW w:w="4090"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金井、玖月、中博锐、菲兰、优派、泰尔</w:t>
            </w:r>
          </w:p>
        </w:tc>
        <w:tc>
          <w:tcPr>
            <w:tcW w:w="1417"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36</w:t>
            </w:r>
          </w:p>
        </w:tc>
        <w:tc>
          <w:tcPr>
            <w:tcW w:w="2688" w:type="dxa"/>
            <w:vAlign w:val="center"/>
          </w:tcPr>
          <w:p>
            <w:pPr>
              <w:widowControl/>
              <w:tabs>
                <w:tab w:val="left" w:pos="610"/>
              </w:tabs>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大型染色封片一体机通风排毒柜</w:t>
            </w:r>
          </w:p>
        </w:tc>
        <w:tc>
          <w:tcPr>
            <w:tcW w:w="4090"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金井、玖月、中博锐、菲兰、优派、泰尔</w:t>
            </w:r>
          </w:p>
        </w:tc>
        <w:tc>
          <w:tcPr>
            <w:tcW w:w="1417"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37</w:t>
            </w:r>
          </w:p>
        </w:tc>
        <w:tc>
          <w:tcPr>
            <w:tcW w:w="2688" w:type="dxa"/>
            <w:vAlign w:val="center"/>
          </w:tcPr>
          <w:p>
            <w:pPr>
              <w:widowControl/>
              <w:tabs>
                <w:tab w:val="left" w:pos="610"/>
              </w:tabs>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手工染色通风排毒柜</w:t>
            </w:r>
          </w:p>
        </w:tc>
        <w:tc>
          <w:tcPr>
            <w:tcW w:w="4090"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金井、玖月、中博锐、菲兰、优派、泰尔</w:t>
            </w:r>
          </w:p>
        </w:tc>
        <w:tc>
          <w:tcPr>
            <w:tcW w:w="1417"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38</w:t>
            </w:r>
          </w:p>
        </w:tc>
        <w:tc>
          <w:tcPr>
            <w:tcW w:w="2688" w:type="dxa"/>
            <w:vAlign w:val="center"/>
          </w:tcPr>
          <w:p>
            <w:pPr>
              <w:widowControl/>
              <w:tabs>
                <w:tab w:val="left" w:pos="610"/>
              </w:tabs>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染色对片通风排毒柜</w:t>
            </w:r>
          </w:p>
        </w:tc>
        <w:tc>
          <w:tcPr>
            <w:tcW w:w="4090"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金井、玖月、中博锐、菲兰、优派、泰尔</w:t>
            </w:r>
          </w:p>
        </w:tc>
        <w:tc>
          <w:tcPr>
            <w:tcW w:w="1417"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39</w:t>
            </w:r>
          </w:p>
        </w:tc>
        <w:tc>
          <w:tcPr>
            <w:tcW w:w="2688" w:type="dxa"/>
            <w:vAlign w:val="center"/>
          </w:tcPr>
          <w:p>
            <w:pPr>
              <w:widowControl/>
              <w:tabs>
                <w:tab w:val="left" w:pos="610"/>
              </w:tabs>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烤箱通风排毒柜</w:t>
            </w:r>
          </w:p>
        </w:tc>
        <w:tc>
          <w:tcPr>
            <w:tcW w:w="4090"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金井、玖月、中博锐、菲兰、优派、泰尔</w:t>
            </w:r>
          </w:p>
        </w:tc>
        <w:tc>
          <w:tcPr>
            <w:tcW w:w="1417"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40</w:t>
            </w:r>
          </w:p>
        </w:tc>
        <w:tc>
          <w:tcPr>
            <w:tcW w:w="2688" w:type="dxa"/>
            <w:vAlign w:val="center"/>
          </w:tcPr>
          <w:p>
            <w:pPr>
              <w:widowControl/>
              <w:tabs>
                <w:tab w:val="left" w:pos="610"/>
              </w:tabs>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包埋机通风排毒柜</w:t>
            </w:r>
          </w:p>
        </w:tc>
        <w:tc>
          <w:tcPr>
            <w:tcW w:w="4090"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金井、玖月、中博锐、菲兰、优派、泰尔</w:t>
            </w:r>
          </w:p>
        </w:tc>
        <w:tc>
          <w:tcPr>
            <w:tcW w:w="1417"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41</w:t>
            </w:r>
          </w:p>
        </w:tc>
        <w:tc>
          <w:tcPr>
            <w:tcW w:w="2688" w:type="dxa"/>
            <w:vAlign w:val="center"/>
          </w:tcPr>
          <w:p>
            <w:pPr>
              <w:widowControl/>
              <w:tabs>
                <w:tab w:val="left" w:pos="610"/>
              </w:tabs>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全钢防震切片台</w:t>
            </w:r>
          </w:p>
        </w:tc>
        <w:tc>
          <w:tcPr>
            <w:tcW w:w="4090"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金井、玖月、中博锐、菲兰、优派、泰尔</w:t>
            </w:r>
          </w:p>
        </w:tc>
        <w:tc>
          <w:tcPr>
            <w:tcW w:w="1417"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42</w:t>
            </w:r>
          </w:p>
        </w:tc>
        <w:tc>
          <w:tcPr>
            <w:tcW w:w="2688" w:type="dxa"/>
            <w:vAlign w:val="center"/>
          </w:tcPr>
          <w:p>
            <w:pPr>
              <w:widowControl/>
              <w:tabs>
                <w:tab w:val="left" w:pos="610"/>
              </w:tabs>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全钢病理中央操作台</w:t>
            </w:r>
          </w:p>
        </w:tc>
        <w:tc>
          <w:tcPr>
            <w:tcW w:w="4090"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金井、玖月、中博锐、菲兰、优派、泰尔</w:t>
            </w:r>
          </w:p>
        </w:tc>
        <w:tc>
          <w:tcPr>
            <w:tcW w:w="1417"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43</w:t>
            </w:r>
          </w:p>
        </w:tc>
        <w:tc>
          <w:tcPr>
            <w:tcW w:w="2688"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耗材货架</w:t>
            </w:r>
          </w:p>
        </w:tc>
        <w:tc>
          <w:tcPr>
            <w:tcW w:w="4090"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sz w:val="21"/>
                <w:szCs w:val="21"/>
                <w:highlight w:val="none"/>
              </w:rPr>
              <w:t>金井、玖月、中博锐、菲兰、优派、泰尔</w:t>
            </w:r>
          </w:p>
        </w:tc>
        <w:tc>
          <w:tcPr>
            <w:tcW w:w="1417"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44</w:t>
            </w:r>
          </w:p>
        </w:tc>
        <w:tc>
          <w:tcPr>
            <w:tcW w:w="2688" w:type="dxa"/>
            <w:vAlign w:val="center"/>
          </w:tcPr>
          <w:p>
            <w:pPr>
              <w:widowControl/>
              <w:tabs>
                <w:tab w:val="left" w:pos="610"/>
              </w:tabs>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TCT液基制片仪通风排毒柜</w:t>
            </w:r>
          </w:p>
        </w:tc>
        <w:tc>
          <w:tcPr>
            <w:tcW w:w="4090"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金井、玖月、中博锐、菲兰、优派、泰尔</w:t>
            </w:r>
          </w:p>
        </w:tc>
        <w:tc>
          <w:tcPr>
            <w:tcW w:w="1417"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45</w:t>
            </w:r>
          </w:p>
        </w:tc>
        <w:tc>
          <w:tcPr>
            <w:tcW w:w="2688"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lang w:bidi="ar"/>
              </w:rPr>
              <w:t>生物安全柜</w:t>
            </w:r>
          </w:p>
        </w:tc>
        <w:tc>
          <w:tcPr>
            <w:tcW w:w="4090"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sz w:val="21"/>
                <w:szCs w:val="21"/>
                <w:highlight w:val="none"/>
              </w:rPr>
              <w:t>鑫贝西、海尔、苏净</w:t>
            </w:r>
          </w:p>
        </w:tc>
        <w:tc>
          <w:tcPr>
            <w:tcW w:w="1417"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46</w:t>
            </w:r>
          </w:p>
        </w:tc>
        <w:tc>
          <w:tcPr>
            <w:tcW w:w="2688" w:type="dxa"/>
            <w:vAlign w:val="center"/>
          </w:tcPr>
          <w:p>
            <w:pPr>
              <w:widowControl/>
              <w:tabs>
                <w:tab w:val="left" w:pos="610"/>
              </w:tabs>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常规通风排毒柜</w:t>
            </w:r>
          </w:p>
        </w:tc>
        <w:tc>
          <w:tcPr>
            <w:tcW w:w="4090"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金井、玖月、中博锐、菲兰、优派、泰尔</w:t>
            </w:r>
          </w:p>
        </w:tc>
        <w:tc>
          <w:tcPr>
            <w:tcW w:w="1417"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47</w:t>
            </w:r>
          </w:p>
        </w:tc>
        <w:tc>
          <w:tcPr>
            <w:tcW w:w="2688" w:type="dxa"/>
            <w:vAlign w:val="center"/>
          </w:tcPr>
          <w:p>
            <w:pPr>
              <w:widowControl/>
              <w:tabs>
                <w:tab w:val="left" w:pos="610"/>
              </w:tabs>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通风晾片柜</w:t>
            </w:r>
          </w:p>
        </w:tc>
        <w:tc>
          <w:tcPr>
            <w:tcW w:w="4090"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金井、玖月、中博锐、菲兰、优派、泰尔</w:t>
            </w:r>
          </w:p>
        </w:tc>
        <w:tc>
          <w:tcPr>
            <w:tcW w:w="1417"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48</w:t>
            </w:r>
          </w:p>
        </w:tc>
        <w:tc>
          <w:tcPr>
            <w:tcW w:w="2688" w:type="dxa"/>
            <w:vAlign w:val="center"/>
          </w:tcPr>
          <w:p>
            <w:pPr>
              <w:widowControl/>
              <w:tabs>
                <w:tab w:val="left" w:pos="610"/>
              </w:tabs>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pp水池+三口水龙头</w:t>
            </w:r>
          </w:p>
        </w:tc>
        <w:tc>
          <w:tcPr>
            <w:tcW w:w="4090"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科恩、博化、台雄</w:t>
            </w:r>
          </w:p>
        </w:tc>
        <w:tc>
          <w:tcPr>
            <w:tcW w:w="1417"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49</w:t>
            </w:r>
          </w:p>
        </w:tc>
        <w:tc>
          <w:tcPr>
            <w:tcW w:w="2688" w:type="dxa"/>
            <w:vAlign w:val="center"/>
          </w:tcPr>
          <w:p>
            <w:pPr>
              <w:widowControl/>
              <w:tabs>
                <w:tab w:val="left" w:pos="610"/>
              </w:tabs>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岛式插座</w:t>
            </w:r>
          </w:p>
        </w:tc>
        <w:tc>
          <w:tcPr>
            <w:tcW w:w="4090"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台雄、科恩、飞客</w:t>
            </w:r>
          </w:p>
        </w:tc>
        <w:tc>
          <w:tcPr>
            <w:tcW w:w="1417"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50</w:t>
            </w:r>
          </w:p>
        </w:tc>
        <w:tc>
          <w:tcPr>
            <w:tcW w:w="2688" w:type="dxa"/>
            <w:vAlign w:val="center"/>
          </w:tcPr>
          <w:p>
            <w:pPr>
              <w:widowControl/>
              <w:tabs>
                <w:tab w:val="left" w:pos="610"/>
              </w:tabs>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钢板墙板</w:t>
            </w:r>
          </w:p>
        </w:tc>
        <w:tc>
          <w:tcPr>
            <w:tcW w:w="4090"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协多利、中电创达（艾净）、畅达</w:t>
            </w:r>
          </w:p>
        </w:tc>
        <w:tc>
          <w:tcPr>
            <w:tcW w:w="1417"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51</w:t>
            </w:r>
          </w:p>
        </w:tc>
        <w:tc>
          <w:tcPr>
            <w:tcW w:w="2688" w:type="dxa"/>
            <w:vAlign w:val="center"/>
          </w:tcPr>
          <w:p>
            <w:pPr>
              <w:widowControl/>
              <w:tabs>
                <w:tab w:val="left" w:pos="610"/>
              </w:tabs>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钢板楼板</w:t>
            </w:r>
          </w:p>
        </w:tc>
        <w:tc>
          <w:tcPr>
            <w:tcW w:w="4090"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协多利、中电创达（艾净）、畅达</w:t>
            </w:r>
          </w:p>
        </w:tc>
        <w:tc>
          <w:tcPr>
            <w:tcW w:w="1417"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52</w:t>
            </w:r>
          </w:p>
        </w:tc>
        <w:tc>
          <w:tcPr>
            <w:tcW w:w="2688" w:type="dxa"/>
            <w:vAlign w:val="center"/>
          </w:tcPr>
          <w:p>
            <w:pPr>
              <w:widowControl/>
              <w:tabs>
                <w:tab w:val="left" w:pos="610"/>
              </w:tabs>
              <w:jc w:val="left"/>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智能一体式二合一福尔马林加液仪（</w:t>
            </w:r>
            <w:r>
              <w:rPr>
                <w:rFonts w:hint="eastAsia" w:ascii="宋体" w:hAnsi="宋体" w:eastAsia="宋体" w:cs="宋体"/>
                <w:b w:val="0"/>
                <w:bCs w:val="0"/>
                <w:color w:val="auto"/>
                <w:kern w:val="0"/>
                <w:sz w:val="21"/>
                <w:szCs w:val="21"/>
                <w:highlight w:val="none"/>
                <w:lang w:eastAsia="zh-CN" w:bidi="ar"/>
              </w:rPr>
              <w:t>中标供应商增配，已包含在投标总价内，采购方不再另行支付费用</w:t>
            </w:r>
            <w:r>
              <w:rPr>
                <w:rFonts w:hint="eastAsia" w:ascii="宋体" w:hAnsi="宋体" w:eastAsia="宋体" w:cs="宋体"/>
                <w:b w:val="0"/>
                <w:bCs w:val="0"/>
                <w:color w:val="auto"/>
                <w:kern w:val="0"/>
                <w:sz w:val="21"/>
                <w:szCs w:val="21"/>
                <w:highlight w:val="none"/>
                <w:lang w:bidi="ar"/>
              </w:rPr>
              <w:t>）</w:t>
            </w:r>
          </w:p>
        </w:tc>
        <w:tc>
          <w:tcPr>
            <w:tcW w:w="4090" w:type="dxa"/>
            <w:vAlign w:val="center"/>
          </w:tcPr>
          <w:p>
            <w:pPr>
              <w:widowControl/>
              <w:jc w:val="center"/>
              <w:textAlignment w:val="center"/>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金井、玖月、中博锐</w:t>
            </w:r>
          </w:p>
        </w:tc>
        <w:tc>
          <w:tcPr>
            <w:tcW w:w="1417" w:type="dxa"/>
            <w:vAlign w:val="center"/>
          </w:tcPr>
          <w:p>
            <w:pPr>
              <w:widowControl/>
              <w:jc w:val="center"/>
              <w:textAlignment w:val="center"/>
              <w:rPr>
                <w:rFonts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kern w:val="0"/>
                <w:sz w:val="24"/>
                <w:highlight w:val="none"/>
                <w:lang w:bidi="ar"/>
              </w:rPr>
            </w:pPr>
            <w:r>
              <w:rPr>
                <w:rFonts w:ascii="宋体" w:hAnsi="宋体" w:eastAsia="宋体" w:cs="宋体"/>
                <w:b w:val="0"/>
                <w:bCs w:val="0"/>
                <w:color w:val="auto"/>
                <w:kern w:val="0"/>
                <w:sz w:val="24"/>
                <w:highlight w:val="none"/>
                <w:lang w:bidi="ar"/>
              </w:rPr>
              <w:t>53</w:t>
            </w:r>
          </w:p>
        </w:tc>
        <w:tc>
          <w:tcPr>
            <w:tcW w:w="2688" w:type="dxa"/>
            <w:vAlign w:val="center"/>
          </w:tcPr>
          <w:p>
            <w:pPr>
              <w:widowControl/>
              <w:tabs>
                <w:tab w:val="left" w:pos="610"/>
              </w:tabs>
              <w:jc w:val="left"/>
              <w:textAlignment w:val="center"/>
              <w:rPr>
                <w:rFonts w:hint="eastAsia"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通风系统联动电器控制总成</w:t>
            </w:r>
          </w:p>
        </w:tc>
        <w:tc>
          <w:tcPr>
            <w:tcW w:w="4090" w:type="dxa"/>
            <w:vAlign w:val="center"/>
          </w:tcPr>
          <w:p>
            <w:pPr>
              <w:widowControl/>
              <w:jc w:val="center"/>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控制器：西门子、ABB、三菱</w:t>
            </w:r>
          </w:p>
          <w:p>
            <w:pPr>
              <w:widowControl/>
              <w:jc w:val="center"/>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继电器：和泉、欧姆龙、施耐德</w:t>
            </w:r>
          </w:p>
          <w:p>
            <w:pPr>
              <w:widowControl/>
              <w:jc w:val="center"/>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触摸屏：繁易、步科、威纶通</w:t>
            </w:r>
          </w:p>
        </w:tc>
        <w:tc>
          <w:tcPr>
            <w:tcW w:w="1417" w:type="dxa"/>
            <w:vAlign w:val="center"/>
          </w:tcPr>
          <w:p>
            <w:pPr>
              <w:widowControl/>
              <w:jc w:val="center"/>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3" w:type="dxa"/>
            <w:vAlign w:val="center"/>
          </w:tcPr>
          <w:p>
            <w:pPr>
              <w:widowControl/>
              <w:jc w:val="center"/>
              <w:textAlignment w:val="center"/>
              <w:rPr>
                <w:rFonts w:ascii="宋体" w:hAnsi="宋体" w:eastAsia="宋体" w:cs="宋体"/>
                <w:b w:val="0"/>
                <w:bCs w:val="0"/>
                <w:color w:val="auto"/>
                <w:kern w:val="0"/>
                <w:sz w:val="24"/>
                <w:highlight w:val="none"/>
                <w:lang w:bidi="ar"/>
              </w:rPr>
            </w:pPr>
            <w:r>
              <w:rPr>
                <w:rFonts w:hint="eastAsia" w:ascii="宋体" w:hAnsi="宋体" w:eastAsia="宋体" w:cs="宋体"/>
                <w:b w:val="0"/>
                <w:bCs w:val="0"/>
                <w:color w:val="auto"/>
                <w:kern w:val="0"/>
                <w:sz w:val="24"/>
                <w:highlight w:val="none"/>
                <w:lang w:bidi="ar"/>
              </w:rPr>
              <w:t>5</w:t>
            </w:r>
            <w:r>
              <w:rPr>
                <w:rFonts w:ascii="宋体" w:hAnsi="宋体" w:eastAsia="宋体" w:cs="宋体"/>
                <w:b w:val="0"/>
                <w:bCs w:val="0"/>
                <w:color w:val="auto"/>
                <w:kern w:val="0"/>
                <w:sz w:val="24"/>
                <w:highlight w:val="none"/>
                <w:lang w:bidi="ar"/>
              </w:rPr>
              <w:t>4</w:t>
            </w:r>
          </w:p>
        </w:tc>
        <w:tc>
          <w:tcPr>
            <w:tcW w:w="2688" w:type="dxa"/>
            <w:vAlign w:val="center"/>
          </w:tcPr>
          <w:p>
            <w:pPr>
              <w:widowControl/>
              <w:tabs>
                <w:tab w:val="left" w:pos="610"/>
              </w:tabs>
              <w:jc w:val="left"/>
              <w:textAlignment w:val="center"/>
              <w:rPr>
                <w:rFonts w:hint="eastAsia" w:ascii="宋体" w:hAnsi="宋体" w:eastAsia="宋体" w:cs="宋体"/>
                <w:b w:val="0"/>
                <w:bCs w:val="0"/>
                <w:color w:val="auto"/>
                <w:kern w:val="0"/>
                <w:sz w:val="21"/>
                <w:szCs w:val="21"/>
                <w:highlight w:val="none"/>
                <w:lang w:bidi="ar"/>
              </w:rPr>
            </w:pPr>
            <w:r>
              <w:rPr>
                <w:rFonts w:hint="eastAsia" w:ascii="宋体" w:hAnsi="宋体" w:eastAsia="宋体" w:cs="宋体"/>
                <w:b w:val="0"/>
                <w:bCs w:val="0"/>
                <w:color w:val="auto"/>
                <w:kern w:val="0"/>
                <w:sz w:val="21"/>
                <w:szCs w:val="21"/>
                <w:highlight w:val="none"/>
                <w:lang w:bidi="ar"/>
              </w:rPr>
              <w:t>等离子空气消毒机（</w:t>
            </w:r>
            <w:r>
              <w:rPr>
                <w:rFonts w:hint="eastAsia" w:ascii="宋体" w:hAnsi="宋体" w:eastAsia="宋体" w:cs="宋体"/>
                <w:b w:val="0"/>
                <w:bCs w:val="0"/>
                <w:color w:val="auto"/>
                <w:kern w:val="0"/>
                <w:sz w:val="21"/>
                <w:szCs w:val="21"/>
                <w:highlight w:val="none"/>
                <w:lang w:eastAsia="zh-CN" w:bidi="ar"/>
              </w:rPr>
              <w:t>中标供应商增配，已包含在投标总价内，采购方不再另行支付费用</w:t>
            </w:r>
            <w:r>
              <w:rPr>
                <w:rFonts w:hint="eastAsia" w:ascii="宋体" w:hAnsi="宋体" w:eastAsia="宋体" w:cs="宋体"/>
                <w:b w:val="0"/>
                <w:bCs w:val="0"/>
                <w:color w:val="auto"/>
                <w:kern w:val="0"/>
                <w:sz w:val="21"/>
                <w:szCs w:val="21"/>
                <w:highlight w:val="none"/>
                <w:lang w:bidi="ar"/>
              </w:rPr>
              <w:t>）</w:t>
            </w:r>
          </w:p>
        </w:tc>
        <w:tc>
          <w:tcPr>
            <w:tcW w:w="4090" w:type="dxa"/>
            <w:vAlign w:val="center"/>
          </w:tcPr>
          <w:p>
            <w:pPr>
              <w:widowControl/>
              <w:jc w:val="center"/>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佩洁尔、奥洁、欧朗德斯</w:t>
            </w:r>
          </w:p>
        </w:tc>
        <w:tc>
          <w:tcPr>
            <w:tcW w:w="1417" w:type="dxa"/>
            <w:vAlign w:val="center"/>
          </w:tcPr>
          <w:p>
            <w:pPr>
              <w:widowControl/>
              <w:jc w:val="center"/>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或相当于</w:t>
            </w:r>
          </w:p>
        </w:tc>
      </w:tr>
    </w:tbl>
    <w:p>
      <w:pPr>
        <w:tabs>
          <w:tab w:val="left" w:pos="8280"/>
        </w:tabs>
        <w:autoSpaceDE w:val="0"/>
        <w:autoSpaceDN w:val="0"/>
        <w:adjustRightInd w:val="0"/>
        <w:spacing w:line="380" w:lineRule="exact"/>
        <w:ind w:right="25" w:firstLine="210" w:firstLineChars="100"/>
        <w:rPr>
          <w:rFonts w:ascii="宋体" w:hAnsi="宋体" w:eastAsia="宋体" w:cs="宋体"/>
          <w:b w:val="0"/>
          <w:bCs w:val="0"/>
          <w:color w:val="auto"/>
          <w:sz w:val="21"/>
          <w:szCs w:val="21"/>
        </w:rPr>
      </w:pPr>
      <w:r>
        <w:rPr>
          <w:rFonts w:hint="eastAsia" w:ascii="宋体" w:hAnsi="宋体" w:eastAsia="宋体" w:cs="宋体"/>
          <w:b w:val="0"/>
          <w:bCs w:val="0"/>
          <w:color w:val="auto"/>
          <w:sz w:val="21"/>
          <w:szCs w:val="21"/>
        </w:rPr>
        <w:t>注：1.承包人应优先采用以上技术规格及参数的品牌、生产厂家产品，若采用其他品牌、生产厂家的产品时，替代产品品质不低于原有产品并经并提供相应的证明材料。</w:t>
      </w:r>
    </w:p>
    <w:p>
      <w:pPr>
        <w:tabs>
          <w:tab w:val="left" w:pos="8280"/>
        </w:tabs>
        <w:autoSpaceDE w:val="0"/>
        <w:autoSpaceDN w:val="0"/>
        <w:adjustRightInd w:val="0"/>
        <w:spacing w:line="380" w:lineRule="exact"/>
        <w:ind w:right="25" w:firstLine="630" w:firstLineChars="300"/>
        <w:rPr>
          <w:rFonts w:ascii="宋体" w:hAnsi="宋体" w:eastAsia="宋体" w:cs="宋体"/>
          <w:b w:val="0"/>
          <w:bCs w:val="0"/>
          <w:color w:val="auto"/>
          <w:sz w:val="24"/>
        </w:rPr>
      </w:pPr>
      <w:r>
        <w:rPr>
          <w:rFonts w:hint="eastAsia" w:ascii="宋体" w:hAnsi="宋体" w:eastAsia="宋体" w:cs="宋体"/>
          <w:b w:val="0"/>
          <w:bCs w:val="0"/>
          <w:color w:val="auto"/>
          <w:sz w:val="21"/>
          <w:szCs w:val="21"/>
        </w:rPr>
        <w:t>2.若某设备材料的品牌与厂家存在同名时，以品牌为先。</w:t>
      </w:r>
    </w:p>
    <w:p>
      <w:pPr>
        <w:tabs>
          <w:tab w:val="left" w:pos="8280"/>
        </w:tabs>
        <w:autoSpaceDE w:val="0"/>
        <w:autoSpaceDN w:val="0"/>
        <w:adjustRightInd w:val="0"/>
        <w:spacing w:line="380" w:lineRule="exact"/>
        <w:ind w:right="25" w:firstLine="630" w:firstLineChars="300"/>
        <w:rPr>
          <w:rFonts w:ascii="宋体" w:hAnsi="宋体" w:eastAsia="宋体" w:cs="宋体"/>
          <w:b w:val="0"/>
          <w:bCs w:val="0"/>
          <w:color w:val="auto"/>
          <w:kern w:val="0"/>
          <w:sz w:val="21"/>
          <w:szCs w:val="21"/>
        </w:rPr>
      </w:pPr>
      <w:r>
        <w:rPr>
          <w:rFonts w:hint="eastAsia" w:ascii="宋体" w:hAnsi="宋体" w:eastAsia="宋体" w:cs="宋体"/>
          <w:b w:val="0"/>
          <w:bCs w:val="0"/>
          <w:color w:val="auto"/>
          <w:kern w:val="0"/>
          <w:sz w:val="21"/>
          <w:szCs w:val="21"/>
        </w:rPr>
        <w:t>3、供应商在投标时必须按上述一览表中所列的“技术规格及参数”（如有）之一进行报价。</w:t>
      </w:r>
    </w:p>
    <w:p>
      <w:pPr>
        <w:rPr>
          <w:rFonts w:ascii="Times New Roman" w:hAnsi="Times New Roman" w:eastAsia="宋体"/>
          <w:b w:val="0"/>
          <w:bCs w:val="0"/>
          <w:color w:val="auto"/>
          <w:sz w:val="24"/>
          <w:lang w:val="zh-CN"/>
        </w:rPr>
      </w:pPr>
    </w:p>
    <w:p>
      <w:pPr>
        <w:pStyle w:val="33"/>
        <w:rPr>
          <w:color w:val="auto"/>
        </w:rPr>
      </w:pPr>
    </w:p>
    <w:p>
      <w:pPr>
        <w:pStyle w:val="33"/>
        <w:rPr>
          <w:color w:val="auto"/>
        </w:rPr>
      </w:pPr>
    </w:p>
    <w:p>
      <w:pPr>
        <w:pStyle w:val="33"/>
        <w:rPr>
          <w:color w:val="auto"/>
        </w:rPr>
      </w:pPr>
    </w:p>
    <w:p>
      <w:pPr>
        <w:pStyle w:val="33"/>
        <w:rPr>
          <w:color w:val="auto"/>
        </w:rPr>
      </w:pPr>
    </w:p>
    <w:p>
      <w:pPr>
        <w:rPr>
          <w:rFonts w:ascii="宋体" w:hAnsi="宋体" w:eastAsia="宋体" w:cs="宋体"/>
          <w:b/>
          <w:color w:val="auto"/>
          <w:sz w:val="24"/>
          <w:lang w:val="zh-CN"/>
        </w:rPr>
      </w:pPr>
      <w:r>
        <w:rPr>
          <w:rFonts w:hint="eastAsia" w:ascii="宋体" w:hAnsi="宋体" w:eastAsia="宋体" w:cs="宋体"/>
          <w:b/>
          <w:color w:val="auto"/>
          <w:sz w:val="24"/>
        </w:rPr>
        <w:t>附件十七：</w:t>
      </w:r>
    </w:p>
    <w:p>
      <w:pPr>
        <w:snapToGrid w:val="0"/>
        <w:spacing w:before="50" w:after="50"/>
        <w:jc w:val="center"/>
        <w:rPr>
          <w:rFonts w:ascii="宋体" w:hAnsi="宋体" w:eastAsia="宋体" w:cs="宋体"/>
          <w:b/>
          <w:color w:val="auto"/>
          <w:sz w:val="24"/>
        </w:rPr>
      </w:pPr>
      <w:r>
        <w:rPr>
          <w:rFonts w:hint="eastAsia" w:ascii="宋体" w:hAnsi="宋体" w:eastAsia="宋体" w:cs="宋体"/>
          <w:b/>
          <w:color w:val="auto"/>
          <w:sz w:val="24"/>
        </w:rPr>
        <w:t>磋商报价一览表</w:t>
      </w:r>
      <w:r>
        <w:rPr>
          <w:rFonts w:hint="eastAsia" w:ascii="宋体" w:hAnsi="宋体" w:eastAsia="宋体" w:cs="宋体"/>
          <w:b/>
          <w:bCs/>
          <w:color w:val="auto"/>
          <w:sz w:val="24"/>
        </w:rPr>
        <w:t>（最终报价）</w:t>
      </w:r>
    </w:p>
    <w:p>
      <w:pPr>
        <w:snapToGrid w:val="0"/>
        <w:spacing w:before="50" w:after="50" w:line="360" w:lineRule="auto"/>
        <w:ind w:right="-1058" w:rightChars="-294"/>
        <w:jc w:val="left"/>
        <w:rPr>
          <w:rFonts w:ascii="宋体" w:hAnsi="宋体" w:eastAsia="宋体" w:cs="宋体"/>
          <w:color w:val="auto"/>
          <w:sz w:val="24"/>
        </w:rPr>
      </w:pPr>
    </w:p>
    <w:p>
      <w:pPr>
        <w:snapToGrid w:val="0"/>
        <w:spacing w:before="50" w:after="50" w:line="360" w:lineRule="auto"/>
        <w:ind w:right="-1058" w:rightChars="-294"/>
        <w:jc w:val="left"/>
        <w:rPr>
          <w:rFonts w:ascii="宋体" w:hAnsi="宋体" w:eastAsia="宋体" w:cs="宋体"/>
          <w:color w:val="auto"/>
          <w:sz w:val="24"/>
        </w:rPr>
      </w:pPr>
      <w:r>
        <w:rPr>
          <w:rFonts w:hint="eastAsia" w:ascii="宋体" w:hAnsi="宋体" w:eastAsia="宋体" w:cs="宋体"/>
          <w:color w:val="auto"/>
          <w:sz w:val="24"/>
        </w:rPr>
        <w:t>项目名称：</w:t>
      </w:r>
      <w:r>
        <w:rPr>
          <w:rFonts w:hint="eastAsia" w:ascii="宋体" w:hAnsi="宋体" w:eastAsia="宋体" w:cs="宋体"/>
          <w:color w:val="auto"/>
          <w:sz w:val="24"/>
          <w:lang w:eastAsia="zh-CN"/>
        </w:rPr>
        <w:t>仙居县人民医院病理科改造项目（重新招标）</w:t>
      </w:r>
      <w:r>
        <w:rPr>
          <w:rFonts w:hint="eastAsia" w:ascii="宋体" w:hAnsi="宋体" w:eastAsia="宋体" w:cs="宋体"/>
          <w:color w:val="auto"/>
          <w:sz w:val="24"/>
        </w:rPr>
        <w:t xml:space="preserve"> </w:t>
      </w:r>
    </w:p>
    <w:tbl>
      <w:tblPr>
        <w:tblStyle w:val="24"/>
        <w:tblW w:w="88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3"/>
        <w:gridCol w:w="982"/>
        <w:gridCol w:w="4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71" w:hRule="atLeast"/>
        </w:trPr>
        <w:tc>
          <w:tcPr>
            <w:tcW w:w="3113" w:type="dxa"/>
            <w:vMerge w:val="restart"/>
            <w:vAlign w:val="center"/>
          </w:tcPr>
          <w:p>
            <w:pPr>
              <w:snapToGrid w:val="0"/>
              <w:spacing w:before="50" w:after="50" w:line="360" w:lineRule="auto"/>
              <w:ind w:right="-1058" w:rightChars="-294" w:firstLine="240" w:firstLineChars="100"/>
              <w:jc w:val="left"/>
              <w:rPr>
                <w:rFonts w:ascii="宋体" w:hAnsi="宋体"/>
                <w:b/>
                <w:bCs/>
                <w:color w:val="auto"/>
                <w:sz w:val="24"/>
              </w:rPr>
            </w:pPr>
            <w:r>
              <w:rPr>
                <w:rFonts w:hint="eastAsia" w:ascii="宋体" w:hAnsi="宋体"/>
                <w:b/>
                <w:bCs/>
                <w:color w:val="auto"/>
                <w:sz w:val="24"/>
              </w:rPr>
              <w:t>磋商总报价（元）</w:t>
            </w:r>
          </w:p>
        </w:tc>
        <w:tc>
          <w:tcPr>
            <w:tcW w:w="982" w:type="dxa"/>
            <w:vAlign w:val="center"/>
          </w:tcPr>
          <w:p>
            <w:pPr>
              <w:snapToGrid w:val="0"/>
              <w:spacing w:before="50" w:after="50" w:line="360" w:lineRule="auto"/>
              <w:ind w:right="-1058" w:rightChars="-294"/>
              <w:jc w:val="left"/>
              <w:rPr>
                <w:rFonts w:ascii="宋体" w:hAnsi="宋体" w:eastAsia="宋体"/>
                <w:b/>
                <w:bCs/>
                <w:color w:val="auto"/>
                <w:sz w:val="21"/>
                <w:szCs w:val="21"/>
              </w:rPr>
            </w:pPr>
            <w:r>
              <w:rPr>
                <w:rFonts w:hint="eastAsia" w:ascii="宋体" w:hAnsi="宋体"/>
                <w:b/>
                <w:bCs/>
                <w:color w:val="auto"/>
                <w:sz w:val="21"/>
                <w:szCs w:val="21"/>
              </w:rPr>
              <w:t>大写：</w:t>
            </w:r>
          </w:p>
        </w:tc>
        <w:tc>
          <w:tcPr>
            <w:tcW w:w="4750" w:type="dxa"/>
            <w:vAlign w:val="center"/>
          </w:tcPr>
          <w:p>
            <w:pPr>
              <w:snapToGrid w:val="0"/>
              <w:spacing w:before="50" w:after="50" w:line="360" w:lineRule="auto"/>
              <w:ind w:right="-1058" w:rightChars="-294"/>
              <w:jc w:val="left"/>
              <w:rPr>
                <w:rFonts w:ascii="宋体" w:hAnsi="宋体"/>
                <w:b/>
                <w:bCs/>
                <w:color w:val="auto"/>
                <w:sz w:val="24"/>
              </w:rPr>
            </w:pPr>
            <w:r>
              <w:rPr>
                <w:rFonts w:hint="eastAsia" w:ascii="宋体" w:hAnsi="宋体" w:eastAsia="宋体" w:cs="宋体"/>
                <w:b/>
                <w:bCs/>
                <w:color w:val="auto"/>
                <w:sz w:val="21"/>
                <w:szCs w:val="21"/>
              </w:rPr>
              <w:t>人民币</w:t>
            </w:r>
            <w:r>
              <w:rPr>
                <w:rFonts w:hint="eastAsia" w:ascii="宋体" w:hAnsi="宋体" w:eastAsia="宋体" w:cs="宋体"/>
                <w:b/>
                <w:bCs/>
                <w:color w:val="auto"/>
                <w:sz w:val="21"/>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3113" w:type="dxa"/>
            <w:vMerge w:val="continue"/>
            <w:vAlign w:val="center"/>
          </w:tcPr>
          <w:p>
            <w:pPr>
              <w:snapToGrid w:val="0"/>
              <w:spacing w:before="50" w:after="50" w:line="360" w:lineRule="auto"/>
              <w:ind w:right="-1058" w:rightChars="-294"/>
              <w:jc w:val="center"/>
              <w:rPr>
                <w:rFonts w:ascii="宋体" w:hAnsi="宋体"/>
                <w:b/>
                <w:bCs/>
                <w:color w:val="auto"/>
                <w:sz w:val="24"/>
              </w:rPr>
            </w:pPr>
          </w:p>
        </w:tc>
        <w:tc>
          <w:tcPr>
            <w:tcW w:w="982" w:type="dxa"/>
            <w:vAlign w:val="center"/>
          </w:tcPr>
          <w:p>
            <w:pPr>
              <w:snapToGrid w:val="0"/>
              <w:spacing w:before="50" w:after="50" w:line="360" w:lineRule="auto"/>
              <w:ind w:right="-1058" w:rightChars="-294"/>
              <w:jc w:val="left"/>
              <w:rPr>
                <w:rFonts w:ascii="宋体" w:hAnsi="宋体" w:eastAsia="宋体"/>
                <w:b/>
                <w:bCs/>
                <w:color w:val="auto"/>
                <w:sz w:val="21"/>
                <w:szCs w:val="21"/>
              </w:rPr>
            </w:pPr>
            <w:r>
              <w:rPr>
                <w:rFonts w:hint="eastAsia" w:ascii="宋体" w:hAnsi="宋体"/>
                <w:b/>
                <w:bCs/>
                <w:color w:val="auto"/>
                <w:sz w:val="21"/>
                <w:szCs w:val="21"/>
              </w:rPr>
              <w:t>小写</w:t>
            </w:r>
          </w:p>
        </w:tc>
        <w:tc>
          <w:tcPr>
            <w:tcW w:w="4750" w:type="dxa"/>
            <w:vAlign w:val="center"/>
          </w:tcPr>
          <w:p>
            <w:pPr>
              <w:snapToGrid w:val="0"/>
              <w:spacing w:before="50" w:after="50" w:line="360" w:lineRule="auto"/>
              <w:ind w:right="-1058" w:rightChars="-294"/>
              <w:jc w:val="left"/>
              <w:rPr>
                <w:rFonts w:ascii="宋体" w:hAnsi="宋体"/>
                <w:b/>
                <w:bCs/>
                <w:color w:val="auto"/>
                <w:sz w:val="24"/>
              </w:rPr>
            </w:pPr>
            <w:r>
              <w:rPr>
                <w:rFonts w:hint="eastAsia" w:ascii="宋体" w:hAnsi="宋体" w:eastAsia="宋体" w:cs="宋体"/>
                <w:b/>
                <w:bCs/>
                <w:color w:val="auto"/>
                <w:sz w:val="21"/>
                <w:szCs w:val="21"/>
              </w:rPr>
              <w:t>¥：</w:t>
            </w:r>
            <w:r>
              <w:rPr>
                <w:rFonts w:hint="eastAsia" w:ascii="宋体" w:hAnsi="宋体" w:eastAsia="宋体" w:cs="宋体"/>
                <w:b/>
                <w:bCs/>
                <w:color w:val="auto"/>
                <w:sz w:val="21"/>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4095" w:type="dxa"/>
            <w:gridSpan w:val="2"/>
            <w:vAlign w:val="center"/>
          </w:tcPr>
          <w:p>
            <w:pPr>
              <w:snapToGrid w:val="0"/>
              <w:spacing w:before="50" w:after="50" w:line="360" w:lineRule="auto"/>
              <w:ind w:right="-1058" w:rightChars="-294"/>
              <w:jc w:val="left"/>
              <w:rPr>
                <w:rFonts w:ascii="宋体" w:hAnsi="宋体" w:eastAsia="宋体" w:cs="宋体"/>
                <w:b/>
                <w:bCs/>
                <w:color w:val="auto"/>
                <w:sz w:val="24"/>
              </w:rPr>
            </w:pPr>
            <w:r>
              <w:rPr>
                <w:rFonts w:hint="eastAsia" w:ascii="宋体" w:hAnsi="宋体" w:eastAsia="宋体" w:cs="宋体"/>
                <w:b/>
                <w:bCs/>
                <w:color w:val="auto"/>
                <w:sz w:val="24"/>
              </w:rPr>
              <w:t>下浮率（%）</w:t>
            </w:r>
            <w:r>
              <w:rPr>
                <w:rFonts w:hint="eastAsia" w:ascii="宋体" w:hAnsi="宋体" w:cs="宋体"/>
                <w:b/>
                <w:bCs/>
                <w:color w:val="auto"/>
                <w:sz w:val="24"/>
              </w:rPr>
              <w:t>=(1-</w:t>
            </w:r>
            <w:r>
              <w:rPr>
                <w:rFonts w:hint="eastAsia" w:ascii="宋体" w:hAnsi="宋体" w:eastAsia="宋体" w:cs="宋体"/>
                <w:b/>
                <w:bCs/>
                <w:color w:val="auto"/>
                <w:sz w:val="24"/>
              </w:rPr>
              <w:t>最终报价</w:t>
            </w:r>
            <w:r>
              <w:rPr>
                <w:rFonts w:hint="eastAsia" w:ascii="宋体" w:hAnsi="宋体" w:cs="宋体"/>
                <w:b/>
                <w:bCs/>
                <w:color w:val="auto"/>
                <w:sz w:val="24"/>
              </w:rPr>
              <w:t>/</w:t>
            </w:r>
            <w:r>
              <w:rPr>
                <w:rFonts w:hint="eastAsia" w:ascii="宋体" w:hAnsi="宋体" w:eastAsia="宋体" w:cs="宋体"/>
                <w:b/>
                <w:bCs/>
                <w:color w:val="auto"/>
                <w:sz w:val="24"/>
              </w:rPr>
              <w:t>初次报价)×100%</w:t>
            </w:r>
          </w:p>
          <w:p>
            <w:pPr>
              <w:snapToGrid w:val="0"/>
              <w:spacing w:before="50" w:after="50" w:line="360" w:lineRule="auto"/>
              <w:ind w:right="-1058" w:rightChars="-294"/>
              <w:jc w:val="left"/>
              <w:rPr>
                <w:rFonts w:ascii="宋体" w:hAnsi="宋体"/>
                <w:b/>
                <w:bCs/>
                <w:color w:val="auto"/>
                <w:sz w:val="21"/>
                <w:szCs w:val="21"/>
              </w:rPr>
            </w:pPr>
            <w:r>
              <w:rPr>
                <w:rFonts w:hint="eastAsia" w:ascii="宋体" w:hAnsi="宋体" w:eastAsia="宋体" w:cs="宋体"/>
                <w:b/>
                <w:bCs/>
                <w:color w:val="auto"/>
                <w:sz w:val="24"/>
              </w:rPr>
              <w:t>（小数点后可保留四位小数）</w:t>
            </w:r>
          </w:p>
        </w:tc>
        <w:tc>
          <w:tcPr>
            <w:tcW w:w="4750" w:type="dxa"/>
            <w:vAlign w:val="bottom"/>
          </w:tcPr>
          <w:p>
            <w:pPr>
              <w:snapToGrid w:val="0"/>
              <w:spacing w:before="50" w:after="50" w:line="360" w:lineRule="auto"/>
              <w:ind w:right="-1058" w:rightChars="-294"/>
              <w:rPr>
                <w:rFonts w:ascii="宋体" w:hAnsi="宋体" w:eastAsia="宋体" w:cs="宋体"/>
                <w:b/>
                <w:bCs/>
                <w:color w:val="auto"/>
                <w:sz w:val="21"/>
                <w:szCs w:val="21"/>
              </w:rPr>
            </w:pPr>
            <w:r>
              <w:rPr>
                <w:rFonts w:hint="eastAsia" w:ascii="宋体" w:hAnsi="宋体" w:eastAsia="宋体" w:cs="宋体"/>
                <w:b/>
                <w:bCs/>
                <w:color w:val="auto"/>
                <w:sz w:val="24"/>
              </w:rPr>
              <w:t>下浮率</w:t>
            </w:r>
            <w:r>
              <w:rPr>
                <w:rFonts w:hint="eastAsia" w:ascii="宋体" w:hAnsi="宋体" w:cs="宋体"/>
                <w:b/>
                <w:bCs/>
                <w:color w:val="auto"/>
                <w:sz w:val="24"/>
                <w:u w:val="single"/>
              </w:rPr>
              <w:t xml:space="preserve">         </w:t>
            </w:r>
            <w:r>
              <w:rPr>
                <w:rFonts w:hint="eastAsia" w:ascii="宋体" w:hAnsi="宋体" w:eastAsia="宋体" w:cs="宋体"/>
                <w:b/>
                <w:bCs/>
                <w:color w:val="auto"/>
                <w:sz w:val="24"/>
              </w:rPr>
              <w:t>（%）</w:t>
            </w:r>
          </w:p>
        </w:tc>
      </w:tr>
    </w:tbl>
    <w:p>
      <w:pPr>
        <w:snapToGrid w:val="0"/>
        <w:spacing w:before="50" w:after="50" w:line="360" w:lineRule="auto"/>
        <w:jc w:val="left"/>
        <w:rPr>
          <w:rFonts w:ascii="宋体" w:hAnsi="宋体" w:eastAsia="宋体" w:cs="宋体"/>
          <w:color w:val="auto"/>
          <w:sz w:val="21"/>
          <w:szCs w:val="21"/>
        </w:rPr>
      </w:pPr>
      <w:r>
        <w:rPr>
          <w:rFonts w:hint="eastAsia" w:ascii="宋体" w:hAnsi="宋体" w:eastAsia="宋体" w:cs="宋体"/>
          <w:b/>
          <w:color w:val="auto"/>
          <w:sz w:val="21"/>
          <w:szCs w:val="21"/>
        </w:rPr>
        <w:t xml:space="preserve">注: </w:t>
      </w:r>
      <w:r>
        <w:rPr>
          <w:rFonts w:hint="eastAsia" w:ascii="宋体" w:hAnsi="宋体" w:eastAsia="宋体" w:cs="宋体"/>
          <w:color w:val="auto"/>
          <w:sz w:val="21"/>
          <w:szCs w:val="21"/>
        </w:rPr>
        <w:t>1、磋商报价指完成本项目所需的包含人工费、材料费、燃料费、设备的进退场费用、二次搬运费、冬雨季施工增加费、行车、行人干扰增加费、检测费、保险费、管理费、利润、税费、水费、电费、安全文明施工费、采购代理服务费、政策性文件规定及合同包含的所有风险责任等一切费用等完成合同所需的一切本身和不可或缺的所有工作开支、政策性文件规定及合同包含的所有风险、责任等各项全部费用并承担一切风险责任。</w:t>
      </w:r>
    </w:p>
    <w:p>
      <w:pPr>
        <w:snapToGrid w:val="0"/>
        <w:spacing w:before="50" w:after="50" w:line="360" w:lineRule="auto"/>
        <w:ind w:firstLine="420" w:firstLineChars="200"/>
        <w:jc w:val="left"/>
        <w:rPr>
          <w:rFonts w:ascii="宋体" w:hAnsi="宋体" w:eastAsia="宋体" w:cs="宋体"/>
          <w:color w:val="auto"/>
          <w:sz w:val="21"/>
          <w:szCs w:val="21"/>
        </w:rPr>
      </w:pPr>
      <w:r>
        <w:rPr>
          <w:rFonts w:hint="eastAsia" w:ascii="宋体" w:hAnsi="宋体" w:eastAsia="宋体" w:cs="宋体"/>
          <w:color w:val="auto"/>
          <w:sz w:val="21"/>
          <w:szCs w:val="21"/>
        </w:rPr>
        <w:t>2、报价一经涂改，应在涂改处加盖单位公章，或者由法定代表人或全权代表签字或盖章，否则其磋商无效。</w:t>
      </w:r>
    </w:p>
    <w:p>
      <w:pPr>
        <w:snapToGrid w:val="0"/>
        <w:spacing w:before="50" w:after="50" w:line="360" w:lineRule="auto"/>
        <w:ind w:firstLine="422" w:firstLineChars="200"/>
        <w:jc w:val="left"/>
        <w:rPr>
          <w:rFonts w:ascii="宋体" w:hAnsi="宋体" w:eastAsia="宋体" w:cs="宋体"/>
          <w:b/>
          <w:bCs/>
          <w:color w:val="auto"/>
          <w:sz w:val="21"/>
          <w:szCs w:val="21"/>
        </w:rPr>
      </w:pPr>
      <w:r>
        <w:rPr>
          <w:rFonts w:hint="eastAsia" w:ascii="宋体" w:hAnsi="宋体" w:eastAsia="宋体" w:cs="宋体"/>
          <w:b/>
          <w:bCs/>
          <w:color w:val="auto"/>
          <w:sz w:val="21"/>
          <w:szCs w:val="21"/>
        </w:rPr>
        <w:t>3.结算时的综合单价=初次报价时的综合单价×（1-下浮率%），工程量按实结算。</w:t>
      </w:r>
    </w:p>
    <w:p>
      <w:pPr>
        <w:snapToGrid w:val="0"/>
        <w:spacing w:before="50" w:after="50" w:line="360" w:lineRule="auto"/>
        <w:ind w:firstLine="422" w:firstLineChars="200"/>
        <w:jc w:val="left"/>
        <w:rPr>
          <w:rFonts w:ascii="宋体" w:hAnsi="宋体" w:eastAsia="宋体" w:cs="宋体"/>
          <w:b/>
          <w:bCs/>
          <w:color w:val="auto"/>
          <w:sz w:val="21"/>
          <w:szCs w:val="21"/>
        </w:rPr>
      </w:pPr>
      <w:r>
        <w:rPr>
          <w:rFonts w:hint="eastAsia" w:ascii="宋体" w:hAnsi="宋体" w:eastAsia="宋体" w:cs="宋体"/>
          <w:b/>
          <w:bCs/>
          <w:color w:val="auto"/>
          <w:sz w:val="21"/>
          <w:szCs w:val="21"/>
        </w:rPr>
        <w:t>4.最终报价一览表以磋商总报价为准，并修改下浮率。</w:t>
      </w:r>
    </w:p>
    <w:p>
      <w:pPr>
        <w:snapToGrid w:val="0"/>
        <w:spacing w:before="50" w:after="50"/>
        <w:ind w:right="-1400" w:rightChars="-389"/>
        <w:rPr>
          <w:rFonts w:ascii="宋体" w:hAnsi="宋体" w:eastAsia="宋体" w:cs="宋体"/>
          <w:color w:val="auto"/>
          <w:sz w:val="24"/>
        </w:rPr>
      </w:pPr>
    </w:p>
    <w:p>
      <w:pPr>
        <w:snapToGrid w:val="0"/>
        <w:spacing w:before="50" w:after="50"/>
        <w:ind w:right="-1400" w:rightChars="-389"/>
        <w:rPr>
          <w:rFonts w:ascii="宋体" w:hAnsi="宋体" w:eastAsia="宋体" w:cs="宋体"/>
          <w:color w:val="auto"/>
          <w:sz w:val="24"/>
        </w:rPr>
      </w:pPr>
    </w:p>
    <w:p>
      <w:pPr>
        <w:adjustRightInd w:val="0"/>
        <w:snapToGrid w:val="0"/>
        <w:spacing w:line="360" w:lineRule="auto"/>
        <w:ind w:firstLine="5775" w:firstLineChars="2750"/>
        <w:rPr>
          <w:rFonts w:ascii="宋体" w:hAnsi="宋体" w:eastAsia="宋体" w:cs="宋体"/>
          <w:color w:val="auto"/>
          <w:kern w:val="0"/>
          <w:sz w:val="21"/>
          <w:szCs w:val="21"/>
          <w:lang w:val="zh-CN"/>
        </w:rPr>
      </w:pPr>
      <w:r>
        <w:rPr>
          <w:rFonts w:hint="eastAsia" w:ascii="宋体" w:hAnsi="宋体" w:eastAsia="宋体" w:cs="宋体"/>
          <w:color w:val="auto"/>
          <w:kern w:val="0"/>
          <w:sz w:val="21"/>
          <w:szCs w:val="21"/>
          <w:lang w:val="zh-CN"/>
        </w:rPr>
        <w:t>磋商供应商(公章)：</w:t>
      </w:r>
    </w:p>
    <w:p>
      <w:pPr>
        <w:pStyle w:val="32"/>
        <w:rPr>
          <w:color w:val="auto"/>
          <w:lang w:val="zh-CN" w:eastAsia="zh-CN"/>
        </w:rPr>
      </w:pPr>
    </w:p>
    <w:p>
      <w:pPr>
        <w:adjustRightInd w:val="0"/>
        <w:snapToGrid w:val="0"/>
        <w:spacing w:line="360" w:lineRule="auto"/>
        <w:rPr>
          <w:rFonts w:ascii="宋体" w:hAnsi="宋体" w:eastAsia="宋体" w:cs="宋体"/>
          <w:color w:val="auto"/>
          <w:kern w:val="0"/>
          <w:sz w:val="21"/>
          <w:szCs w:val="21"/>
          <w:lang w:val="zh-CN"/>
        </w:rPr>
      </w:pPr>
      <w:r>
        <w:rPr>
          <w:rFonts w:hint="eastAsia" w:ascii="宋体" w:hAnsi="宋体" w:eastAsia="宋体" w:cs="宋体"/>
          <w:color w:val="auto"/>
          <w:kern w:val="0"/>
          <w:sz w:val="21"/>
          <w:szCs w:val="21"/>
          <w:lang w:val="zh-CN"/>
        </w:rPr>
        <w:t xml:space="preserve">                              </w:t>
      </w:r>
      <w:r>
        <w:rPr>
          <w:rFonts w:hint="eastAsia" w:ascii="宋体" w:hAnsi="宋体" w:eastAsia="宋体" w:cs="宋体"/>
          <w:color w:val="auto"/>
          <w:kern w:val="0"/>
          <w:sz w:val="21"/>
          <w:szCs w:val="21"/>
        </w:rPr>
        <w:t xml:space="preserve">          </w:t>
      </w:r>
      <w:r>
        <w:rPr>
          <w:rFonts w:hint="eastAsia" w:ascii="宋体" w:hAnsi="宋体" w:eastAsia="宋体" w:cs="宋体"/>
          <w:color w:val="auto"/>
          <w:kern w:val="0"/>
          <w:sz w:val="21"/>
          <w:szCs w:val="21"/>
          <w:lang w:val="zh-CN"/>
        </w:rPr>
        <w:t xml:space="preserve">   法定代表人或授权委托人(签字</w:t>
      </w:r>
      <w:r>
        <w:rPr>
          <w:rFonts w:hint="eastAsia" w:ascii="宋体" w:hAnsi="宋体" w:eastAsia="宋体" w:cs="宋体"/>
          <w:color w:val="auto"/>
          <w:kern w:val="0"/>
          <w:sz w:val="21"/>
          <w:szCs w:val="21"/>
        </w:rPr>
        <w:t>或盖章</w:t>
      </w:r>
      <w:r>
        <w:rPr>
          <w:rFonts w:hint="eastAsia" w:ascii="宋体" w:hAnsi="宋体" w:eastAsia="宋体" w:cs="宋体"/>
          <w:color w:val="auto"/>
          <w:kern w:val="0"/>
          <w:sz w:val="21"/>
          <w:szCs w:val="21"/>
          <w:lang w:val="zh-CN"/>
        </w:rPr>
        <w:t>)：</w:t>
      </w:r>
    </w:p>
    <w:p>
      <w:pPr>
        <w:pStyle w:val="32"/>
        <w:rPr>
          <w:color w:val="auto"/>
          <w:lang w:val="zh-CN" w:eastAsia="zh-CN"/>
        </w:rPr>
      </w:pPr>
    </w:p>
    <w:p>
      <w:pPr>
        <w:snapToGrid w:val="0"/>
        <w:spacing w:before="50" w:after="50"/>
        <w:jc w:val="right"/>
        <w:rPr>
          <w:rFonts w:ascii="宋体" w:hAnsi="宋体" w:eastAsia="宋体" w:cs="宋体"/>
          <w:color w:val="auto"/>
          <w:kern w:val="0"/>
          <w:sz w:val="21"/>
          <w:szCs w:val="21"/>
          <w:lang w:val="zh-CN"/>
        </w:rPr>
      </w:pPr>
      <w:r>
        <w:rPr>
          <w:rFonts w:hint="eastAsia" w:ascii="宋体" w:hAnsi="宋体" w:eastAsia="宋体" w:cs="宋体"/>
          <w:color w:val="auto"/>
          <w:kern w:val="0"/>
          <w:sz w:val="21"/>
          <w:szCs w:val="21"/>
          <w:lang w:val="zh-CN"/>
        </w:rPr>
        <w:t xml:space="preserve">                                  日期：</w:t>
      </w:r>
      <w:r>
        <w:rPr>
          <w:rFonts w:hint="eastAsia" w:ascii="宋体" w:hAnsi="宋体" w:eastAsia="宋体" w:cs="宋体"/>
          <w:color w:val="auto"/>
          <w:kern w:val="0"/>
          <w:sz w:val="21"/>
          <w:szCs w:val="21"/>
        </w:rPr>
        <w:t xml:space="preserve">       </w:t>
      </w:r>
      <w:r>
        <w:rPr>
          <w:rFonts w:hint="eastAsia" w:ascii="宋体" w:hAnsi="宋体" w:eastAsia="宋体" w:cs="宋体"/>
          <w:color w:val="auto"/>
          <w:kern w:val="0"/>
          <w:sz w:val="21"/>
          <w:szCs w:val="21"/>
          <w:lang w:val="zh-CN"/>
        </w:rPr>
        <w:t>年  月   日</w:t>
      </w:r>
    </w:p>
    <w:p>
      <w:pPr>
        <w:pStyle w:val="32"/>
        <w:rPr>
          <w:rFonts w:cs="宋体"/>
          <w:color w:val="auto"/>
          <w:sz w:val="21"/>
          <w:szCs w:val="21"/>
          <w:lang w:val="zh-CN" w:eastAsia="zh-CN"/>
        </w:rPr>
      </w:pPr>
    </w:p>
    <w:p>
      <w:pPr>
        <w:pStyle w:val="32"/>
        <w:rPr>
          <w:rFonts w:cs="宋体"/>
          <w:color w:val="auto"/>
          <w:sz w:val="21"/>
          <w:szCs w:val="21"/>
          <w:lang w:val="zh-CN" w:eastAsia="zh-CN"/>
        </w:rPr>
      </w:pPr>
    </w:p>
    <w:p>
      <w:pPr>
        <w:pStyle w:val="32"/>
        <w:rPr>
          <w:rFonts w:cs="宋体"/>
          <w:color w:val="auto"/>
          <w:sz w:val="21"/>
          <w:szCs w:val="21"/>
          <w:lang w:val="zh-CN" w:eastAsia="zh-CN"/>
        </w:rPr>
      </w:pPr>
    </w:p>
    <w:p>
      <w:pPr>
        <w:pStyle w:val="32"/>
        <w:rPr>
          <w:color w:val="auto"/>
          <w:lang w:eastAsia="zh-CN"/>
        </w:rPr>
      </w:pPr>
      <w:r>
        <w:rPr>
          <w:rFonts w:hint="eastAsia" w:hAnsi="Times New Roman"/>
          <w:b/>
          <w:i/>
          <w:iCs/>
          <w:color w:val="auto"/>
          <w:lang w:val="zh-CN" w:eastAsia="zh-CN"/>
        </w:rPr>
        <w:t>注：初次报价时无需提供。</w:t>
      </w:r>
    </w:p>
    <w:p>
      <w:pPr>
        <w:pStyle w:val="32"/>
        <w:rPr>
          <w:rFonts w:cs="宋体"/>
          <w:color w:val="auto"/>
          <w:sz w:val="21"/>
          <w:szCs w:val="21"/>
          <w:lang w:val="zh-CN" w:eastAsia="zh-CN"/>
        </w:rPr>
        <w:sectPr>
          <w:pgSz w:w="11906" w:h="16838"/>
          <w:pgMar w:top="1440" w:right="1440" w:bottom="1440" w:left="1440" w:header="851" w:footer="992" w:gutter="0"/>
          <w:cols w:space="720" w:num="1"/>
          <w:docGrid w:linePitch="312" w:charSpace="0"/>
        </w:sectPr>
      </w:pPr>
    </w:p>
    <w:p>
      <w:pPr>
        <w:rPr>
          <w:rFonts w:ascii="宋体" w:hAnsi="宋体" w:eastAsia="宋体" w:cs="宋体"/>
          <w:b/>
          <w:color w:val="auto"/>
          <w:sz w:val="24"/>
          <w:lang w:val="zh-CN"/>
        </w:rPr>
      </w:pPr>
      <w:r>
        <w:rPr>
          <w:rFonts w:hint="eastAsia" w:ascii="宋体" w:hAnsi="宋体" w:eastAsia="宋体" w:cs="宋体"/>
          <w:b/>
          <w:color w:val="auto"/>
          <w:sz w:val="24"/>
        </w:rPr>
        <w:t>附件十八：</w:t>
      </w:r>
    </w:p>
    <w:bookmarkEnd w:id="633"/>
    <w:bookmarkEnd w:id="634"/>
    <w:p>
      <w:pPr>
        <w:pStyle w:val="41"/>
        <w:widowControl w:val="0"/>
        <w:snapToGrid w:val="0"/>
        <w:spacing w:line="500" w:lineRule="exact"/>
        <w:jc w:val="center"/>
        <w:rPr>
          <w:rFonts w:hAnsi="宋体" w:cs="宋体"/>
          <w:color w:val="auto"/>
          <w:szCs w:val="21"/>
        </w:rPr>
      </w:pPr>
      <w:r>
        <w:rPr>
          <w:rFonts w:hint="eastAsia" w:hAnsi="宋体" w:cs="宋体"/>
          <w:b/>
          <w:bCs/>
          <w:color w:val="auto"/>
          <w:szCs w:val="21"/>
        </w:rPr>
        <w:t>政府采购活动现</w:t>
      </w:r>
      <w:r>
        <w:rPr>
          <w:rFonts w:hint="eastAsia" w:hAnsi="宋体" w:cs="宋体"/>
          <w:b/>
          <w:color w:val="auto"/>
          <w:szCs w:val="21"/>
        </w:rPr>
        <w:t>场确认声明书（被授权人）</w:t>
      </w:r>
    </w:p>
    <w:p>
      <w:pPr>
        <w:pStyle w:val="41"/>
        <w:widowControl w:val="0"/>
        <w:snapToGrid w:val="0"/>
        <w:spacing w:line="500" w:lineRule="exact"/>
        <w:jc w:val="both"/>
        <w:rPr>
          <w:rFonts w:hAnsi="宋体" w:cs="宋体"/>
          <w:b/>
          <w:color w:val="auto"/>
          <w:sz w:val="22"/>
        </w:rPr>
      </w:pPr>
      <w:r>
        <w:rPr>
          <w:rFonts w:hint="eastAsia" w:hAnsi="宋体" w:cs="宋体"/>
          <w:color w:val="auto"/>
          <w:kern w:val="0"/>
          <w:sz w:val="22"/>
          <w:u w:val="single"/>
        </w:rPr>
        <w:t xml:space="preserve"> 浙江广通工程咨询有限公司  </w:t>
      </w:r>
      <w:r>
        <w:rPr>
          <w:rFonts w:hint="eastAsia" w:hAnsi="宋体" w:cs="宋体"/>
          <w:color w:val="auto"/>
          <w:kern w:val="0"/>
          <w:sz w:val="22"/>
        </w:rPr>
        <w:t>（采购组织机构名称）：</w:t>
      </w:r>
    </w:p>
    <w:p>
      <w:pPr>
        <w:pStyle w:val="41"/>
        <w:widowControl w:val="0"/>
        <w:snapToGrid w:val="0"/>
        <w:spacing w:line="500" w:lineRule="exact"/>
        <w:ind w:firstLine="464" w:firstLineChars="200"/>
        <w:jc w:val="both"/>
        <w:rPr>
          <w:rFonts w:hAnsi="宋体" w:cs="宋体"/>
          <w:color w:val="auto"/>
          <w:spacing w:val="6"/>
          <w:sz w:val="22"/>
        </w:rPr>
      </w:pPr>
      <w:r>
        <w:rPr>
          <w:rFonts w:hint="eastAsia" w:hAnsi="宋体" w:cs="宋体"/>
          <w:color w:val="auto"/>
          <w:spacing w:val="6"/>
          <w:sz w:val="22"/>
        </w:rPr>
        <w:t>本人经由</w:t>
      </w:r>
      <w:r>
        <w:rPr>
          <w:rFonts w:hint="eastAsia" w:hAnsi="宋体" w:cs="宋体"/>
          <w:color w:val="auto"/>
          <w:spacing w:val="6"/>
          <w:sz w:val="22"/>
          <w:u w:val="single"/>
        </w:rPr>
        <w:t xml:space="preserve"> </w:t>
      </w:r>
      <w:r>
        <w:rPr>
          <w:rFonts w:hint="eastAsia" w:hAnsi="宋体" w:cs="宋体"/>
          <w:color w:val="auto"/>
          <w:kern w:val="0"/>
          <w:sz w:val="22"/>
          <w:u w:val="single"/>
        </w:rPr>
        <w:t xml:space="preserve">                </w:t>
      </w:r>
      <w:r>
        <w:rPr>
          <w:rFonts w:hint="eastAsia" w:hAnsi="宋体" w:cs="宋体"/>
          <w:color w:val="auto"/>
          <w:spacing w:val="6"/>
          <w:sz w:val="22"/>
          <w:u w:val="single"/>
        </w:rPr>
        <w:t>（单位）</w:t>
      </w:r>
      <w:r>
        <w:rPr>
          <w:rFonts w:hint="eastAsia" w:hAnsi="宋体" w:cs="宋体"/>
          <w:color w:val="auto"/>
          <w:spacing w:val="6"/>
          <w:sz w:val="22"/>
        </w:rPr>
        <w:t>负责人</w:t>
      </w:r>
      <w:r>
        <w:rPr>
          <w:rFonts w:hint="eastAsia" w:hAnsi="宋体" w:cs="宋体"/>
          <w:color w:val="auto"/>
          <w:spacing w:val="6"/>
          <w:sz w:val="22"/>
          <w:u w:val="single"/>
        </w:rPr>
        <w:t xml:space="preserve">       （姓名）</w:t>
      </w:r>
      <w:r>
        <w:rPr>
          <w:rFonts w:hint="eastAsia" w:hAnsi="宋体" w:cs="宋体"/>
          <w:color w:val="auto"/>
          <w:spacing w:val="6"/>
          <w:sz w:val="22"/>
        </w:rPr>
        <w:t>合法授权参加</w:t>
      </w:r>
      <w:r>
        <w:rPr>
          <w:rFonts w:hint="eastAsia" w:hAnsi="宋体" w:cs="宋体"/>
          <w:color w:val="auto"/>
          <w:spacing w:val="6"/>
          <w:sz w:val="22"/>
          <w:u w:val="single"/>
          <w:lang w:eastAsia="zh-CN"/>
        </w:rPr>
        <w:t>仙居县人民医院病理科改造项目（重新招标）</w:t>
      </w:r>
      <w:r>
        <w:rPr>
          <w:rFonts w:hint="eastAsia" w:hAnsi="宋体" w:cs="宋体"/>
          <w:color w:val="auto"/>
          <w:spacing w:val="6"/>
          <w:sz w:val="22"/>
          <w:u w:val="single"/>
        </w:rPr>
        <w:t xml:space="preserve"> </w:t>
      </w:r>
      <w:r>
        <w:rPr>
          <w:rFonts w:hint="eastAsia" w:hAnsi="宋体" w:cs="宋体"/>
          <w:color w:val="auto"/>
          <w:spacing w:val="6"/>
          <w:sz w:val="22"/>
        </w:rPr>
        <w:t>（编号：</w:t>
      </w:r>
      <w:r>
        <w:rPr>
          <w:rFonts w:hint="eastAsia" w:hAnsi="宋体" w:cs="宋体"/>
          <w:color w:val="auto"/>
          <w:spacing w:val="6"/>
          <w:sz w:val="22"/>
          <w:u w:val="single"/>
          <w:lang w:eastAsia="zh-CN"/>
        </w:rPr>
        <w:t>GTXJ（采购）-22001-1</w:t>
      </w:r>
      <w:r>
        <w:rPr>
          <w:rFonts w:hint="eastAsia" w:hAnsi="宋体" w:cs="宋体"/>
          <w:color w:val="auto"/>
          <w:spacing w:val="6"/>
          <w:sz w:val="22"/>
        </w:rPr>
        <w:t xml:space="preserve">）政府采购活动，经与本单位法人代表（负责人）联系确认，现就有关公平竞争事项郑重声明如下： </w:t>
      </w:r>
    </w:p>
    <w:p>
      <w:pPr>
        <w:pStyle w:val="42"/>
        <w:widowControl/>
        <w:numPr>
          <w:ilvl w:val="0"/>
          <w:numId w:val="11"/>
        </w:numPr>
        <w:snapToGrid w:val="0"/>
        <w:spacing w:line="500" w:lineRule="exact"/>
        <w:ind w:firstLine="415" w:firstLineChars="189"/>
        <w:rPr>
          <w:rFonts w:ascii="宋体" w:hAnsi="宋体" w:cs="宋体"/>
          <w:color w:val="auto"/>
          <w:kern w:val="0"/>
          <w:sz w:val="22"/>
        </w:rPr>
      </w:pPr>
      <w:r>
        <w:rPr>
          <w:rFonts w:hint="eastAsia" w:ascii="宋体" w:hAnsi="宋体" w:cs="宋体"/>
          <w:color w:val="auto"/>
          <w:kern w:val="0"/>
          <w:sz w:val="22"/>
        </w:rPr>
        <w:t>本单位与采购人之间 □不存在利害关系 □存在下列利害关系</w:t>
      </w:r>
      <w:r>
        <w:rPr>
          <w:rFonts w:hint="eastAsia" w:ascii="宋体" w:hAnsi="宋体" w:cs="宋体"/>
          <w:color w:val="auto"/>
          <w:kern w:val="0"/>
          <w:sz w:val="22"/>
          <w:u w:val="single"/>
        </w:rPr>
        <w:t xml:space="preserve">           </w:t>
      </w:r>
      <w:r>
        <w:rPr>
          <w:rFonts w:hint="eastAsia" w:ascii="宋体" w:hAnsi="宋体" w:cs="宋体"/>
          <w:color w:val="auto"/>
          <w:kern w:val="0"/>
          <w:sz w:val="22"/>
        </w:rPr>
        <w:t>：</w:t>
      </w:r>
    </w:p>
    <w:p>
      <w:pPr>
        <w:pStyle w:val="42"/>
        <w:widowControl/>
        <w:snapToGrid w:val="0"/>
        <w:spacing w:line="500" w:lineRule="exact"/>
        <w:rPr>
          <w:rFonts w:ascii="宋体" w:hAnsi="宋体" w:cs="宋体"/>
          <w:color w:val="auto"/>
          <w:kern w:val="0"/>
          <w:sz w:val="22"/>
        </w:rPr>
      </w:pPr>
      <w:r>
        <w:rPr>
          <w:rFonts w:hint="eastAsia" w:ascii="宋体" w:hAnsi="宋体" w:cs="宋体"/>
          <w:color w:val="auto"/>
          <w:kern w:val="0"/>
          <w:sz w:val="22"/>
        </w:rPr>
        <w:t xml:space="preserve">  A.投资关系    B.行政隶属关系    C.业务指导关系</w:t>
      </w:r>
    </w:p>
    <w:p>
      <w:pPr>
        <w:pStyle w:val="42"/>
        <w:widowControl/>
        <w:snapToGrid w:val="0"/>
        <w:spacing w:line="500" w:lineRule="exact"/>
        <w:rPr>
          <w:rFonts w:ascii="宋体" w:hAnsi="宋体" w:cs="宋体"/>
          <w:color w:val="auto"/>
          <w:kern w:val="0"/>
          <w:sz w:val="22"/>
        </w:rPr>
      </w:pPr>
      <w:r>
        <w:rPr>
          <w:rFonts w:hint="eastAsia" w:ascii="宋体" w:hAnsi="宋体" w:cs="宋体"/>
          <w:color w:val="auto"/>
          <w:kern w:val="0"/>
          <w:sz w:val="22"/>
        </w:rPr>
        <w:t xml:space="preserve">  D.其他可能</w:t>
      </w:r>
      <w:r>
        <w:rPr>
          <w:rFonts w:hint="eastAsia" w:ascii="宋体" w:hAnsi="宋体" w:cs="宋体"/>
          <w:color w:val="auto"/>
          <w:sz w:val="22"/>
        </w:rPr>
        <w:t>影响采购公正的</w:t>
      </w:r>
      <w:r>
        <w:rPr>
          <w:rFonts w:hint="eastAsia" w:ascii="宋体" w:hAnsi="宋体" w:cs="宋体"/>
          <w:color w:val="auto"/>
          <w:kern w:val="0"/>
          <w:sz w:val="22"/>
        </w:rPr>
        <w:t>利害关系</w:t>
      </w:r>
      <w:r>
        <w:rPr>
          <w:rFonts w:hint="eastAsia" w:ascii="宋体" w:hAnsi="宋体" w:cs="宋体"/>
          <w:color w:val="auto"/>
          <w:kern w:val="0"/>
          <w:sz w:val="22"/>
          <w:u w:val="single"/>
        </w:rPr>
        <w:t xml:space="preserve">（如有，请如实说明）                 </w:t>
      </w:r>
      <w:r>
        <w:rPr>
          <w:rFonts w:hint="eastAsia" w:ascii="宋体" w:hAnsi="宋体" w:cs="宋体"/>
          <w:color w:val="auto"/>
          <w:kern w:val="0"/>
          <w:sz w:val="22"/>
        </w:rPr>
        <w:t>。</w:t>
      </w:r>
    </w:p>
    <w:p>
      <w:pPr>
        <w:pStyle w:val="42"/>
        <w:widowControl/>
        <w:snapToGrid w:val="0"/>
        <w:spacing w:line="500" w:lineRule="exact"/>
        <w:rPr>
          <w:rFonts w:ascii="宋体" w:hAnsi="宋体" w:cs="宋体"/>
          <w:color w:val="auto"/>
          <w:kern w:val="0"/>
          <w:sz w:val="22"/>
        </w:rPr>
      </w:pPr>
      <w:r>
        <w:rPr>
          <w:rFonts w:hint="eastAsia" w:ascii="宋体" w:hAnsi="宋体" w:cs="宋体"/>
          <w:color w:val="auto"/>
          <w:spacing w:val="6"/>
          <w:sz w:val="22"/>
        </w:rPr>
        <w:t xml:space="preserve">  二、</w:t>
      </w:r>
      <w:r>
        <w:rPr>
          <w:rFonts w:hint="eastAsia" w:ascii="宋体" w:hAnsi="宋体" w:cs="宋体"/>
          <w:color w:val="auto"/>
          <w:kern w:val="0"/>
          <w:sz w:val="22"/>
        </w:rPr>
        <w:t>现已清楚知道参加本项目采购活动的其他所有供应商名称，本单位 □与其他所有供应商之间均不存在利害关系 □与</w:t>
      </w:r>
      <w:r>
        <w:rPr>
          <w:rFonts w:hint="eastAsia" w:ascii="宋体" w:hAnsi="宋体" w:cs="宋体"/>
          <w:color w:val="auto"/>
          <w:kern w:val="0"/>
          <w:sz w:val="22"/>
          <w:u w:val="single"/>
        </w:rPr>
        <w:t xml:space="preserve">           （供应商名称）</w:t>
      </w:r>
      <w:r>
        <w:rPr>
          <w:rFonts w:hint="eastAsia" w:ascii="宋体" w:hAnsi="宋体" w:cs="宋体"/>
          <w:color w:val="auto"/>
          <w:kern w:val="0"/>
          <w:sz w:val="22"/>
        </w:rPr>
        <w:t>之间存在下列利害关系</w:t>
      </w:r>
      <w:r>
        <w:rPr>
          <w:rFonts w:hint="eastAsia" w:ascii="宋体" w:hAnsi="宋体" w:cs="宋体"/>
          <w:color w:val="auto"/>
          <w:kern w:val="0"/>
          <w:sz w:val="22"/>
          <w:u w:val="single"/>
        </w:rPr>
        <w:t xml:space="preserve">          </w:t>
      </w:r>
      <w:r>
        <w:rPr>
          <w:rFonts w:hint="eastAsia" w:ascii="宋体" w:hAnsi="宋体" w:cs="宋体"/>
          <w:color w:val="auto"/>
          <w:kern w:val="0"/>
          <w:sz w:val="22"/>
        </w:rPr>
        <w:t>：</w:t>
      </w:r>
    </w:p>
    <w:p>
      <w:pPr>
        <w:pStyle w:val="41"/>
        <w:widowControl w:val="0"/>
        <w:snapToGrid w:val="0"/>
        <w:spacing w:line="500" w:lineRule="exact"/>
        <w:jc w:val="both"/>
        <w:rPr>
          <w:rFonts w:hAnsi="宋体" w:cs="宋体"/>
          <w:color w:val="auto"/>
          <w:kern w:val="0"/>
          <w:sz w:val="22"/>
        </w:rPr>
      </w:pPr>
      <w:r>
        <w:rPr>
          <w:rFonts w:hint="eastAsia" w:hAnsi="宋体" w:cs="宋体"/>
          <w:color w:val="auto"/>
          <w:kern w:val="0"/>
          <w:sz w:val="22"/>
        </w:rPr>
        <w:t xml:space="preserve">  A.法定代表人或负责人或实际控制人是同一人</w:t>
      </w:r>
    </w:p>
    <w:p>
      <w:pPr>
        <w:pStyle w:val="41"/>
        <w:widowControl w:val="0"/>
        <w:snapToGrid w:val="0"/>
        <w:spacing w:line="500" w:lineRule="exact"/>
        <w:jc w:val="both"/>
        <w:rPr>
          <w:rFonts w:hAnsi="宋体" w:cs="宋体"/>
          <w:color w:val="auto"/>
          <w:spacing w:val="6"/>
          <w:sz w:val="22"/>
        </w:rPr>
      </w:pPr>
      <w:r>
        <w:rPr>
          <w:rFonts w:hint="eastAsia" w:hAnsi="宋体" w:cs="宋体"/>
          <w:color w:val="auto"/>
          <w:kern w:val="0"/>
          <w:sz w:val="22"/>
        </w:rPr>
        <w:t xml:space="preserve">  B.法定代表人或负责人或实际控制人是夫妻关系</w:t>
      </w:r>
    </w:p>
    <w:p>
      <w:pPr>
        <w:pStyle w:val="41"/>
        <w:widowControl w:val="0"/>
        <w:snapToGrid w:val="0"/>
        <w:spacing w:line="500" w:lineRule="exact"/>
        <w:jc w:val="both"/>
        <w:rPr>
          <w:rFonts w:hAnsi="宋体" w:cs="宋体"/>
          <w:color w:val="auto"/>
          <w:spacing w:val="6"/>
          <w:sz w:val="22"/>
        </w:rPr>
      </w:pPr>
      <w:r>
        <w:rPr>
          <w:rFonts w:hint="eastAsia" w:hAnsi="宋体" w:cs="宋体"/>
          <w:color w:val="auto"/>
          <w:kern w:val="0"/>
          <w:sz w:val="22"/>
        </w:rPr>
        <w:t xml:space="preserve">  C.法定代表人或负责人或实际控制人是直系血亲关系</w:t>
      </w:r>
    </w:p>
    <w:p>
      <w:pPr>
        <w:pStyle w:val="41"/>
        <w:widowControl w:val="0"/>
        <w:snapToGrid w:val="0"/>
        <w:spacing w:line="500" w:lineRule="exact"/>
        <w:jc w:val="both"/>
        <w:rPr>
          <w:rFonts w:hAnsi="宋体" w:cs="宋体"/>
          <w:color w:val="auto"/>
          <w:spacing w:val="6"/>
          <w:sz w:val="22"/>
        </w:rPr>
      </w:pPr>
      <w:r>
        <w:rPr>
          <w:rFonts w:hint="eastAsia" w:hAnsi="宋体" w:cs="宋体"/>
          <w:color w:val="auto"/>
          <w:kern w:val="0"/>
          <w:sz w:val="22"/>
        </w:rPr>
        <w:t xml:space="preserve">  D.法定代表人或负责人或实际控制人存在三代以内旁系血亲关系</w:t>
      </w:r>
    </w:p>
    <w:p>
      <w:pPr>
        <w:pStyle w:val="41"/>
        <w:widowControl w:val="0"/>
        <w:snapToGrid w:val="0"/>
        <w:spacing w:line="500" w:lineRule="exact"/>
        <w:jc w:val="both"/>
        <w:rPr>
          <w:rFonts w:hAnsi="宋体" w:cs="宋体"/>
          <w:color w:val="auto"/>
          <w:kern w:val="0"/>
          <w:sz w:val="22"/>
        </w:rPr>
      </w:pPr>
      <w:r>
        <w:rPr>
          <w:rFonts w:hint="eastAsia" w:hAnsi="宋体" w:cs="宋体"/>
          <w:color w:val="auto"/>
          <w:kern w:val="0"/>
          <w:sz w:val="22"/>
        </w:rPr>
        <w:t xml:space="preserve">  E.法定代表人或负责人或实际控制人存在近姻亲关系</w:t>
      </w:r>
    </w:p>
    <w:p>
      <w:pPr>
        <w:pStyle w:val="41"/>
        <w:widowControl w:val="0"/>
        <w:snapToGrid w:val="0"/>
        <w:spacing w:line="500" w:lineRule="exact"/>
        <w:jc w:val="both"/>
        <w:rPr>
          <w:rFonts w:hAnsi="宋体" w:cs="宋体"/>
          <w:color w:val="auto"/>
          <w:kern w:val="0"/>
          <w:sz w:val="22"/>
        </w:rPr>
      </w:pPr>
      <w:r>
        <w:rPr>
          <w:rFonts w:hint="eastAsia" w:hAnsi="宋体" w:cs="宋体"/>
          <w:color w:val="auto"/>
          <w:kern w:val="0"/>
          <w:sz w:val="22"/>
        </w:rPr>
        <w:t xml:space="preserve">  F.法定代表人或负责人或实际控制人存在股份控制或实际控制关系</w:t>
      </w:r>
    </w:p>
    <w:p>
      <w:pPr>
        <w:pStyle w:val="41"/>
        <w:widowControl w:val="0"/>
        <w:snapToGrid w:val="0"/>
        <w:spacing w:line="500" w:lineRule="exact"/>
        <w:jc w:val="both"/>
        <w:outlineLvl w:val="0"/>
        <w:rPr>
          <w:rFonts w:hAnsi="宋体" w:cs="宋体"/>
          <w:color w:val="auto"/>
          <w:kern w:val="0"/>
          <w:sz w:val="22"/>
        </w:rPr>
      </w:pPr>
      <w:r>
        <w:rPr>
          <w:rFonts w:hint="eastAsia" w:hAnsi="宋体" w:cs="宋体"/>
          <w:color w:val="auto"/>
          <w:kern w:val="0"/>
          <w:sz w:val="22"/>
        </w:rPr>
        <w:t xml:space="preserve">  G.存在共同直接或间接投资设立子公司、联营企业和合营企业情况</w:t>
      </w:r>
    </w:p>
    <w:p>
      <w:pPr>
        <w:pStyle w:val="41"/>
        <w:widowControl w:val="0"/>
        <w:snapToGrid w:val="0"/>
        <w:spacing w:line="500" w:lineRule="exact"/>
        <w:jc w:val="both"/>
        <w:rPr>
          <w:rFonts w:hAnsi="宋体" w:cs="宋体"/>
          <w:color w:val="auto"/>
          <w:sz w:val="22"/>
        </w:rPr>
      </w:pPr>
      <w:r>
        <w:rPr>
          <w:rFonts w:hint="eastAsia" w:hAnsi="宋体" w:cs="宋体"/>
          <w:color w:val="auto"/>
          <w:kern w:val="0"/>
          <w:sz w:val="22"/>
        </w:rPr>
        <w:t xml:space="preserve">  H.存在分级代理或代销关系、同一生产制造商关系、</w:t>
      </w:r>
      <w:r>
        <w:rPr>
          <w:rFonts w:hint="eastAsia" w:hAnsi="宋体" w:cs="宋体"/>
          <w:color w:val="auto"/>
          <w:sz w:val="22"/>
        </w:rPr>
        <w:t>管理关系、重要业务（占主营业务收入50%以上）或重要财务往来关系（如融资）等其他实质性控制关系</w:t>
      </w:r>
    </w:p>
    <w:p>
      <w:pPr>
        <w:pStyle w:val="41"/>
        <w:widowControl w:val="0"/>
        <w:snapToGrid w:val="0"/>
        <w:spacing w:line="500" w:lineRule="exact"/>
        <w:jc w:val="both"/>
        <w:rPr>
          <w:rFonts w:hAnsi="宋体" w:cs="宋体"/>
          <w:color w:val="auto"/>
          <w:spacing w:val="6"/>
          <w:sz w:val="22"/>
        </w:rPr>
      </w:pPr>
      <w:r>
        <w:rPr>
          <w:rFonts w:hint="eastAsia" w:hAnsi="宋体" w:cs="宋体"/>
          <w:color w:val="auto"/>
          <w:sz w:val="22"/>
        </w:rPr>
        <w:t xml:space="preserve">  I</w:t>
      </w:r>
      <w:r>
        <w:rPr>
          <w:rFonts w:hint="eastAsia" w:hAnsi="宋体" w:cs="宋体"/>
          <w:color w:val="auto"/>
          <w:kern w:val="0"/>
          <w:sz w:val="22"/>
        </w:rPr>
        <w:t>.</w:t>
      </w:r>
      <w:r>
        <w:rPr>
          <w:rFonts w:hint="eastAsia" w:hAnsi="宋体" w:cs="宋体"/>
          <w:color w:val="auto"/>
          <w:sz w:val="22"/>
        </w:rPr>
        <w:t>其他利害关系情况</w:t>
      </w:r>
      <w:r>
        <w:rPr>
          <w:rFonts w:hint="eastAsia" w:hAnsi="宋体" w:cs="宋体"/>
          <w:color w:val="auto"/>
          <w:sz w:val="22"/>
          <w:u w:val="single"/>
        </w:rPr>
        <w:t xml:space="preserve">                              </w:t>
      </w:r>
      <w:r>
        <w:rPr>
          <w:rFonts w:hint="eastAsia" w:hAnsi="宋体" w:cs="宋体"/>
          <w:color w:val="auto"/>
          <w:kern w:val="0"/>
          <w:sz w:val="22"/>
        </w:rPr>
        <w:t>。</w:t>
      </w:r>
    </w:p>
    <w:p>
      <w:pPr>
        <w:pStyle w:val="42"/>
        <w:widowControl/>
        <w:numPr>
          <w:ilvl w:val="0"/>
          <w:numId w:val="12"/>
        </w:numPr>
        <w:snapToGrid w:val="0"/>
        <w:spacing w:line="500" w:lineRule="exact"/>
        <w:ind w:firstLine="415" w:firstLineChars="189"/>
        <w:rPr>
          <w:rFonts w:ascii="宋体" w:hAnsi="宋体" w:cs="宋体"/>
          <w:color w:val="auto"/>
          <w:kern w:val="0"/>
          <w:sz w:val="22"/>
        </w:rPr>
      </w:pPr>
      <w:r>
        <w:rPr>
          <w:rFonts w:hint="eastAsia" w:ascii="宋体" w:hAnsi="宋体" w:cs="宋体"/>
          <w:color w:val="auto"/>
          <w:sz w:val="22"/>
        </w:rPr>
        <w:t>现已清楚知道并</w:t>
      </w:r>
      <w:r>
        <w:rPr>
          <w:rFonts w:hint="eastAsia" w:ascii="宋体" w:hAnsi="宋体" w:cs="宋体"/>
          <w:color w:val="auto"/>
          <w:kern w:val="0"/>
          <w:sz w:val="22"/>
        </w:rPr>
        <w:t>严格遵守政府采购法律法规和现场纪律。</w:t>
      </w:r>
    </w:p>
    <w:p>
      <w:pPr>
        <w:pStyle w:val="42"/>
        <w:widowControl/>
        <w:numPr>
          <w:ilvl w:val="0"/>
          <w:numId w:val="12"/>
        </w:numPr>
        <w:snapToGrid w:val="0"/>
        <w:spacing w:line="500" w:lineRule="exact"/>
        <w:ind w:firstLine="415" w:firstLineChars="189"/>
        <w:rPr>
          <w:rFonts w:ascii="宋体" w:hAnsi="宋体" w:cs="宋体"/>
          <w:color w:val="auto"/>
          <w:kern w:val="0"/>
          <w:sz w:val="22"/>
        </w:rPr>
      </w:pPr>
      <w:r>
        <w:rPr>
          <w:rFonts w:hint="eastAsia" w:ascii="宋体" w:hAnsi="宋体" w:cs="宋体"/>
          <w:color w:val="auto"/>
          <w:kern w:val="0"/>
          <w:sz w:val="22"/>
          <w:u w:val="single"/>
        </w:rPr>
        <w:t xml:space="preserve">我发现                    </w:t>
      </w:r>
      <w:r>
        <w:rPr>
          <w:rFonts w:hint="eastAsia" w:ascii="宋体" w:hAnsi="宋体" w:cs="宋体"/>
          <w:color w:val="auto"/>
          <w:kern w:val="0"/>
          <w:sz w:val="22"/>
        </w:rPr>
        <w:t>供应商之间存在或可能存在上述第二条第</w:t>
      </w:r>
      <w:r>
        <w:rPr>
          <w:rFonts w:hint="eastAsia" w:ascii="宋体" w:hAnsi="宋体" w:cs="宋体"/>
          <w:color w:val="auto"/>
          <w:kern w:val="0"/>
          <w:sz w:val="22"/>
          <w:u w:val="single"/>
        </w:rPr>
        <w:t xml:space="preserve">        </w:t>
      </w:r>
      <w:r>
        <w:rPr>
          <w:rFonts w:hint="eastAsia" w:ascii="宋体" w:hAnsi="宋体" w:cs="宋体"/>
          <w:color w:val="auto"/>
          <w:kern w:val="0"/>
          <w:sz w:val="22"/>
        </w:rPr>
        <w:t>项利害关系。</w:t>
      </w:r>
    </w:p>
    <w:p>
      <w:pPr>
        <w:pStyle w:val="41"/>
        <w:widowControl w:val="0"/>
        <w:snapToGrid w:val="0"/>
        <w:spacing w:line="500" w:lineRule="exact"/>
        <w:jc w:val="both"/>
        <w:rPr>
          <w:rFonts w:hAnsi="宋体" w:cs="宋体"/>
          <w:color w:val="auto"/>
          <w:sz w:val="22"/>
        </w:rPr>
      </w:pPr>
      <w:r>
        <w:rPr>
          <w:rFonts w:hint="eastAsia" w:hAnsi="宋体" w:cs="宋体"/>
          <w:color w:val="auto"/>
          <w:sz w:val="22"/>
        </w:rPr>
        <w:t xml:space="preserve">                            供应商代表签名：                     2022年   月   日</w:t>
      </w:r>
    </w:p>
    <w:p>
      <w:pPr>
        <w:pStyle w:val="41"/>
        <w:widowControl w:val="0"/>
        <w:snapToGrid w:val="0"/>
        <w:spacing w:line="500" w:lineRule="exact"/>
        <w:jc w:val="center"/>
        <w:rPr>
          <w:rFonts w:hAnsi="宋体" w:cs="宋体"/>
          <w:b/>
          <w:bCs/>
          <w:color w:val="auto"/>
          <w:szCs w:val="21"/>
        </w:rPr>
      </w:pPr>
    </w:p>
    <w:p>
      <w:pPr>
        <w:pStyle w:val="41"/>
        <w:widowControl w:val="0"/>
        <w:snapToGrid w:val="0"/>
        <w:spacing w:line="500" w:lineRule="exact"/>
        <w:jc w:val="center"/>
        <w:rPr>
          <w:rFonts w:hAnsi="宋体" w:cs="宋体"/>
          <w:b/>
          <w:bCs/>
          <w:color w:val="auto"/>
          <w:szCs w:val="21"/>
        </w:rPr>
      </w:pPr>
    </w:p>
    <w:p>
      <w:pPr>
        <w:pStyle w:val="41"/>
        <w:widowControl w:val="0"/>
        <w:snapToGrid w:val="0"/>
        <w:spacing w:line="500" w:lineRule="exact"/>
        <w:jc w:val="center"/>
        <w:rPr>
          <w:rFonts w:hAnsi="宋体" w:cs="宋体"/>
          <w:b/>
          <w:bCs/>
          <w:color w:val="auto"/>
          <w:szCs w:val="21"/>
        </w:rPr>
      </w:pPr>
    </w:p>
    <w:p>
      <w:pPr>
        <w:pStyle w:val="41"/>
        <w:widowControl w:val="0"/>
        <w:snapToGrid w:val="0"/>
        <w:spacing w:line="500" w:lineRule="exact"/>
        <w:jc w:val="center"/>
        <w:rPr>
          <w:rFonts w:hAnsi="宋体" w:cs="宋体"/>
          <w:color w:val="auto"/>
          <w:szCs w:val="21"/>
        </w:rPr>
      </w:pPr>
      <w:r>
        <w:rPr>
          <w:rFonts w:hint="eastAsia" w:hAnsi="宋体" w:cs="宋体"/>
          <w:b/>
          <w:bCs/>
          <w:color w:val="auto"/>
          <w:szCs w:val="21"/>
        </w:rPr>
        <w:t>政府采购活动现</w:t>
      </w:r>
      <w:r>
        <w:rPr>
          <w:rFonts w:hint="eastAsia" w:hAnsi="宋体" w:cs="宋体"/>
          <w:b/>
          <w:color w:val="auto"/>
          <w:szCs w:val="21"/>
        </w:rPr>
        <w:t>场确认声明书（法人）</w:t>
      </w:r>
    </w:p>
    <w:p>
      <w:pPr>
        <w:pStyle w:val="41"/>
        <w:widowControl w:val="0"/>
        <w:snapToGrid w:val="0"/>
        <w:spacing w:line="500" w:lineRule="exact"/>
        <w:jc w:val="both"/>
        <w:rPr>
          <w:rFonts w:hAnsi="宋体" w:cs="宋体"/>
          <w:b/>
          <w:color w:val="auto"/>
          <w:sz w:val="22"/>
        </w:rPr>
      </w:pPr>
      <w:r>
        <w:rPr>
          <w:rFonts w:hint="eastAsia" w:hAnsi="宋体" w:cs="宋体"/>
          <w:color w:val="auto"/>
          <w:kern w:val="0"/>
          <w:sz w:val="22"/>
          <w:u w:val="single"/>
        </w:rPr>
        <w:t xml:space="preserve"> 浙江广通工程咨询有限公司  </w:t>
      </w:r>
      <w:r>
        <w:rPr>
          <w:rFonts w:hint="eastAsia" w:hAnsi="宋体" w:cs="宋体"/>
          <w:color w:val="auto"/>
          <w:kern w:val="0"/>
          <w:sz w:val="22"/>
        </w:rPr>
        <w:t>（采购组织机构名称）：</w:t>
      </w:r>
    </w:p>
    <w:p>
      <w:pPr>
        <w:pStyle w:val="41"/>
        <w:widowControl w:val="0"/>
        <w:snapToGrid w:val="0"/>
        <w:spacing w:line="500" w:lineRule="exact"/>
        <w:ind w:firstLine="464" w:firstLineChars="200"/>
        <w:jc w:val="both"/>
        <w:rPr>
          <w:rFonts w:hAnsi="宋体" w:cs="宋体"/>
          <w:color w:val="auto"/>
          <w:spacing w:val="6"/>
          <w:sz w:val="22"/>
        </w:rPr>
      </w:pPr>
      <w:r>
        <w:rPr>
          <w:rFonts w:hint="eastAsia" w:hAnsi="宋体" w:cs="宋体"/>
          <w:color w:val="auto"/>
          <w:spacing w:val="6"/>
          <w:sz w:val="22"/>
        </w:rPr>
        <w:t>本人为</w:t>
      </w:r>
      <w:r>
        <w:rPr>
          <w:rFonts w:hint="eastAsia" w:hAnsi="宋体" w:cs="宋体"/>
          <w:color w:val="auto"/>
          <w:spacing w:val="6"/>
          <w:sz w:val="22"/>
          <w:u w:val="single"/>
        </w:rPr>
        <w:t xml:space="preserve"> </w:t>
      </w:r>
      <w:r>
        <w:rPr>
          <w:rFonts w:hint="eastAsia" w:hAnsi="宋体" w:cs="宋体"/>
          <w:color w:val="auto"/>
          <w:kern w:val="0"/>
          <w:sz w:val="22"/>
          <w:u w:val="single"/>
        </w:rPr>
        <w:t xml:space="preserve">                           </w:t>
      </w:r>
      <w:r>
        <w:rPr>
          <w:rFonts w:hint="eastAsia" w:hAnsi="宋体" w:cs="宋体"/>
          <w:color w:val="auto"/>
          <w:spacing w:val="6"/>
          <w:sz w:val="22"/>
          <w:u w:val="single"/>
        </w:rPr>
        <w:t>（单位）</w:t>
      </w:r>
      <w:r>
        <w:rPr>
          <w:rFonts w:hint="eastAsia" w:hAnsi="宋体" w:cs="宋体"/>
          <w:color w:val="auto"/>
          <w:spacing w:val="6"/>
          <w:sz w:val="22"/>
        </w:rPr>
        <w:t>负责人参加</w:t>
      </w:r>
      <w:r>
        <w:rPr>
          <w:rFonts w:hint="eastAsia" w:hAnsi="宋体" w:cs="宋体"/>
          <w:color w:val="auto"/>
          <w:spacing w:val="6"/>
          <w:sz w:val="22"/>
          <w:u w:val="single"/>
          <w:lang w:eastAsia="zh-CN"/>
        </w:rPr>
        <w:t>仙居县人民医院病理科改造项目（重新招标）</w:t>
      </w:r>
      <w:r>
        <w:rPr>
          <w:rFonts w:hint="eastAsia" w:hAnsi="宋体" w:cs="宋体"/>
          <w:color w:val="auto"/>
          <w:spacing w:val="6"/>
          <w:sz w:val="22"/>
          <w:u w:val="single"/>
        </w:rPr>
        <w:t xml:space="preserve"> </w:t>
      </w:r>
      <w:r>
        <w:rPr>
          <w:rFonts w:hint="eastAsia" w:hAnsi="宋体" w:cs="宋体"/>
          <w:color w:val="auto"/>
          <w:spacing w:val="6"/>
          <w:sz w:val="22"/>
        </w:rPr>
        <w:t>（编号：</w:t>
      </w:r>
      <w:r>
        <w:rPr>
          <w:rFonts w:hint="eastAsia" w:hAnsi="宋体" w:cs="宋体"/>
          <w:color w:val="auto"/>
          <w:spacing w:val="6"/>
          <w:sz w:val="22"/>
          <w:u w:val="single"/>
          <w:lang w:eastAsia="zh-CN"/>
        </w:rPr>
        <w:t>GTXJ（采购）-22001-1</w:t>
      </w:r>
      <w:r>
        <w:rPr>
          <w:rFonts w:hint="eastAsia" w:hAnsi="宋体" w:cs="宋体"/>
          <w:color w:val="auto"/>
          <w:spacing w:val="6"/>
          <w:sz w:val="22"/>
        </w:rPr>
        <w:t xml:space="preserve">）政府采购活动，现就有关公平竞争事项郑重声明如下： </w:t>
      </w:r>
    </w:p>
    <w:p>
      <w:pPr>
        <w:pStyle w:val="42"/>
        <w:widowControl/>
        <w:numPr>
          <w:ilvl w:val="0"/>
          <w:numId w:val="11"/>
        </w:numPr>
        <w:snapToGrid w:val="0"/>
        <w:spacing w:line="500" w:lineRule="exact"/>
        <w:ind w:firstLine="415" w:firstLineChars="189"/>
        <w:rPr>
          <w:rFonts w:ascii="宋体" w:hAnsi="宋体" w:cs="宋体"/>
          <w:color w:val="auto"/>
          <w:kern w:val="0"/>
          <w:sz w:val="22"/>
        </w:rPr>
      </w:pPr>
      <w:r>
        <w:rPr>
          <w:rFonts w:hint="eastAsia" w:ascii="宋体" w:hAnsi="宋体" w:cs="宋体"/>
          <w:color w:val="auto"/>
          <w:kern w:val="0"/>
          <w:sz w:val="22"/>
        </w:rPr>
        <w:t>本单位与采购人之间 □不存在利害关系 □存在下列利害关系</w:t>
      </w:r>
      <w:r>
        <w:rPr>
          <w:rFonts w:hint="eastAsia" w:ascii="宋体" w:hAnsi="宋体" w:cs="宋体"/>
          <w:color w:val="auto"/>
          <w:kern w:val="0"/>
          <w:sz w:val="22"/>
          <w:u w:val="single"/>
        </w:rPr>
        <w:t xml:space="preserve">           </w:t>
      </w:r>
      <w:r>
        <w:rPr>
          <w:rFonts w:hint="eastAsia" w:ascii="宋体" w:hAnsi="宋体" w:cs="宋体"/>
          <w:color w:val="auto"/>
          <w:kern w:val="0"/>
          <w:sz w:val="22"/>
        </w:rPr>
        <w:t>：</w:t>
      </w:r>
    </w:p>
    <w:p>
      <w:pPr>
        <w:pStyle w:val="42"/>
        <w:widowControl/>
        <w:snapToGrid w:val="0"/>
        <w:spacing w:line="500" w:lineRule="exact"/>
        <w:rPr>
          <w:rFonts w:ascii="宋体" w:hAnsi="宋体" w:cs="宋体"/>
          <w:color w:val="auto"/>
          <w:kern w:val="0"/>
          <w:sz w:val="22"/>
        </w:rPr>
      </w:pPr>
      <w:r>
        <w:rPr>
          <w:rFonts w:hint="eastAsia" w:ascii="宋体" w:hAnsi="宋体" w:cs="宋体"/>
          <w:color w:val="auto"/>
          <w:kern w:val="0"/>
          <w:sz w:val="22"/>
        </w:rPr>
        <w:t xml:space="preserve">  A.投资关系    B.行政隶属关系    C.业务指导关系</w:t>
      </w:r>
    </w:p>
    <w:p>
      <w:pPr>
        <w:pStyle w:val="42"/>
        <w:widowControl/>
        <w:snapToGrid w:val="0"/>
        <w:spacing w:line="500" w:lineRule="exact"/>
        <w:rPr>
          <w:rFonts w:ascii="宋体" w:hAnsi="宋体" w:cs="宋体"/>
          <w:color w:val="auto"/>
          <w:kern w:val="0"/>
          <w:sz w:val="22"/>
        </w:rPr>
      </w:pPr>
      <w:r>
        <w:rPr>
          <w:rFonts w:hint="eastAsia" w:ascii="宋体" w:hAnsi="宋体" w:cs="宋体"/>
          <w:color w:val="auto"/>
          <w:kern w:val="0"/>
          <w:sz w:val="22"/>
        </w:rPr>
        <w:t xml:space="preserve">  D.其他可能</w:t>
      </w:r>
      <w:r>
        <w:rPr>
          <w:rFonts w:hint="eastAsia" w:ascii="宋体" w:hAnsi="宋体" w:cs="宋体"/>
          <w:color w:val="auto"/>
          <w:sz w:val="22"/>
        </w:rPr>
        <w:t>影响采购公正的</w:t>
      </w:r>
      <w:r>
        <w:rPr>
          <w:rFonts w:hint="eastAsia" w:ascii="宋体" w:hAnsi="宋体" w:cs="宋体"/>
          <w:color w:val="auto"/>
          <w:kern w:val="0"/>
          <w:sz w:val="22"/>
        </w:rPr>
        <w:t>利害关系</w:t>
      </w:r>
      <w:r>
        <w:rPr>
          <w:rFonts w:hint="eastAsia" w:ascii="宋体" w:hAnsi="宋体" w:cs="宋体"/>
          <w:color w:val="auto"/>
          <w:kern w:val="0"/>
          <w:sz w:val="22"/>
          <w:u w:val="single"/>
        </w:rPr>
        <w:t xml:space="preserve">（如有，请如实说明）                 </w:t>
      </w:r>
      <w:r>
        <w:rPr>
          <w:rFonts w:hint="eastAsia" w:ascii="宋体" w:hAnsi="宋体" w:cs="宋体"/>
          <w:color w:val="auto"/>
          <w:kern w:val="0"/>
          <w:sz w:val="22"/>
        </w:rPr>
        <w:t>。</w:t>
      </w:r>
    </w:p>
    <w:p>
      <w:pPr>
        <w:pStyle w:val="42"/>
        <w:widowControl/>
        <w:snapToGrid w:val="0"/>
        <w:spacing w:line="500" w:lineRule="exact"/>
        <w:rPr>
          <w:rFonts w:ascii="宋体" w:hAnsi="宋体" w:cs="宋体"/>
          <w:color w:val="auto"/>
          <w:kern w:val="0"/>
          <w:sz w:val="22"/>
        </w:rPr>
      </w:pPr>
      <w:r>
        <w:rPr>
          <w:rFonts w:hint="eastAsia" w:ascii="宋体" w:hAnsi="宋体" w:cs="宋体"/>
          <w:color w:val="auto"/>
          <w:spacing w:val="6"/>
          <w:sz w:val="22"/>
        </w:rPr>
        <w:t xml:space="preserve">  二、</w:t>
      </w:r>
      <w:r>
        <w:rPr>
          <w:rFonts w:hint="eastAsia" w:ascii="宋体" w:hAnsi="宋体" w:cs="宋体"/>
          <w:color w:val="auto"/>
          <w:kern w:val="0"/>
          <w:sz w:val="22"/>
        </w:rPr>
        <w:t>现已清楚知道参加本项目采购活动的其他所有供应商名称，本单位 □与其他所有供应商之间均不存在利害关系 □与</w:t>
      </w:r>
      <w:r>
        <w:rPr>
          <w:rFonts w:hint="eastAsia" w:ascii="宋体" w:hAnsi="宋体" w:cs="宋体"/>
          <w:color w:val="auto"/>
          <w:kern w:val="0"/>
          <w:sz w:val="22"/>
          <w:u w:val="single"/>
        </w:rPr>
        <w:t xml:space="preserve">           （供应商名称）</w:t>
      </w:r>
      <w:r>
        <w:rPr>
          <w:rFonts w:hint="eastAsia" w:ascii="宋体" w:hAnsi="宋体" w:cs="宋体"/>
          <w:color w:val="auto"/>
          <w:kern w:val="0"/>
          <w:sz w:val="22"/>
        </w:rPr>
        <w:t>之间存在下列利害关系</w:t>
      </w:r>
      <w:r>
        <w:rPr>
          <w:rFonts w:hint="eastAsia" w:ascii="宋体" w:hAnsi="宋体" w:cs="宋体"/>
          <w:color w:val="auto"/>
          <w:kern w:val="0"/>
          <w:sz w:val="22"/>
          <w:u w:val="single"/>
        </w:rPr>
        <w:t xml:space="preserve">          </w:t>
      </w:r>
      <w:r>
        <w:rPr>
          <w:rFonts w:hint="eastAsia" w:ascii="宋体" w:hAnsi="宋体" w:cs="宋体"/>
          <w:color w:val="auto"/>
          <w:kern w:val="0"/>
          <w:sz w:val="22"/>
        </w:rPr>
        <w:t>：</w:t>
      </w:r>
    </w:p>
    <w:p>
      <w:pPr>
        <w:pStyle w:val="41"/>
        <w:widowControl w:val="0"/>
        <w:snapToGrid w:val="0"/>
        <w:spacing w:line="500" w:lineRule="exact"/>
        <w:jc w:val="both"/>
        <w:rPr>
          <w:rFonts w:hAnsi="宋体" w:cs="宋体"/>
          <w:color w:val="auto"/>
          <w:kern w:val="0"/>
          <w:sz w:val="22"/>
        </w:rPr>
      </w:pPr>
      <w:r>
        <w:rPr>
          <w:rFonts w:hint="eastAsia" w:hAnsi="宋体" w:cs="宋体"/>
          <w:color w:val="auto"/>
          <w:kern w:val="0"/>
          <w:sz w:val="22"/>
        </w:rPr>
        <w:t xml:space="preserve">  A.法定代表人或负责人或实际控制人是同一人</w:t>
      </w:r>
    </w:p>
    <w:p>
      <w:pPr>
        <w:pStyle w:val="41"/>
        <w:widowControl w:val="0"/>
        <w:snapToGrid w:val="0"/>
        <w:spacing w:line="500" w:lineRule="exact"/>
        <w:jc w:val="both"/>
        <w:rPr>
          <w:rFonts w:hAnsi="宋体" w:cs="宋体"/>
          <w:color w:val="auto"/>
          <w:spacing w:val="6"/>
          <w:sz w:val="22"/>
        </w:rPr>
      </w:pPr>
      <w:r>
        <w:rPr>
          <w:rFonts w:hint="eastAsia" w:hAnsi="宋体" w:cs="宋体"/>
          <w:color w:val="auto"/>
          <w:kern w:val="0"/>
          <w:sz w:val="22"/>
        </w:rPr>
        <w:t xml:space="preserve">  B.法定代表人或负责人或实际控制人是夫妻关系</w:t>
      </w:r>
    </w:p>
    <w:p>
      <w:pPr>
        <w:pStyle w:val="41"/>
        <w:widowControl w:val="0"/>
        <w:snapToGrid w:val="0"/>
        <w:spacing w:line="500" w:lineRule="exact"/>
        <w:jc w:val="both"/>
        <w:rPr>
          <w:rFonts w:hAnsi="宋体" w:cs="宋体"/>
          <w:color w:val="auto"/>
          <w:spacing w:val="6"/>
          <w:sz w:val="22"/>
        </w:rPr>
      </w:pPr>
      <w:r>
        <w:rPr>
          <w:rFonts w:hint="eastAsia" w:hAnsi="宋体" w:cs="宋体"/>
          <w:color w:val="auto"/>
          <w:kern w:val="0"/>
          <w:sz w:val="22"/>
        </w:rPr>
        <w:t xml:space="preserve">  C.法定代表人或负责人或实际控制人是直系血亲关系</w:t>
      </w:r>
    </w:p>
    <w:p>
      <w:pPr>
        <w:pStyle w:val="41"/>
        <w:widowControl w:val="0"/>
        <w:snapToGrid w:val="0"/>
        <w:spacing w:line="500" w:lineRule="exact"/>
        <w:jc w:val="both"/>
        <w:rPr>
          <w:rFonts w:hAnsi="宋体" w:cs="宋体"/>
          <w:color w:val="auto"/>
          <w:spacing w:val="6"/>
          <w:sz w:val="22"/>
        </w:rPr>
      </w:pPr>
      <w:r>
        <w:rPr>
          <w:rFonts w:hint="eastAsia" w:hAnsi="宋体" w:cs="宋体"/>
          <w:color w:val="auto"/>
          <w:kern w:val="0"/>
          <w:sz w:val="22"/>
        </w:rPr>
        <w:t xml:space="preserve">  D.法定代表人或负责人或实际控制人存在三代以内旁系血亲关系</w:t>
      </w:r>
    </w:p>
    <w:p>
      <w:pPr>
        <w:pStyle w:val="41"/>
        <w:widowControl w:val="0"/>
        <w:snapToGrid w:val="0"/>
        <w:spacing w:line="500" w:lineRule="exact"/>
        <w:jc w:val="both"/>
        <w:rPr>
          <w:rFonts w:hAnsi="宋体" w:cs="宋体"/>
          <w:color w:val="auto"/>
          <w:kern w:val="0"/>
          <w:sz w:val="22"/>
        </w:rPr>
      </w:pPr>
      <w:r>
        <w:rPr>
          <w:rFonts w:hint="eastAsia" w:hAnsi="宋体" w:cs="宋体"/>
          <w:color w:val="auto"/>
          <w:kern w:val="0"/>
          <w:sz w:val="22"/>
        </w:rPr>
        <w:t xml:space="preserve">  E.法定代表人或负责人或实际控制人存在近姻亲关系</w:t>
      </w:r>
    </w:p>
    <w:p>
      <w:pPr>
        <w:pStyle w:val="41"/>
        <w:widowControl w:val="0"/>
        <w:snapToGrid w:val="0"/>
        <w:spacing w:line="500" w:lineRule="exact"/>
        <w:jc w:val="both"/>
        <w:rPr>
          <w:rFonts w:hAnsi="宋体" w:cs="宋体"/>
          <w:color w:val="auto"/>
          <w:kern w:val="0"/>
          <w:sz w:val="22"/>
        </w:rPr>
      </w:pPr>
      <w:r>
        <w:rPr>
          <w:rFonts w:hint="eastAsia" w:hAnsi="宋体" w:cs="宋体"/>
          <w:color w:val="auto"/>
          <w:kern w:val="0"/>
          <w:sz w:val="22"/>
        </w:rPr>
        <w:t xml:space="preserve">  F.法定代表人或负责人或实际控制人存在股份控制或实际控制关系</w:t>
      </w:r>
    </w:p>
    <w:p>
      <w:pPr>
        <w:pStyle w:val="41"/>
        <w:widowControl w:val="0"/>
        <w:snapToGrid w:val="0"/>
        <w:spacing w:line="500" w:lineRule="exact"/>
        <w:jc w:val="both"/>
        <w:outlineLvl w:val="0"/>
        <w:rPr>
          <w:rFonts w:hAnsi="宋体" w:cs="宋体"/>
          <w:color w:val="auto"/>
          <w:kern w:val="0"/>
          <w:sz w:val="22"/>
        </w:rPr>
      </w:pPr>
      <w:r>
        <w:rPr>
          <w:rFonts w:hint="eastAsia" w:hAnsi="宋体" w:cs="宋体"/>
          <w:color w:val="auto"/>
          <w:kern w:val="0"/>
          <w:sz w:val="22"/>
        </w:rPr>
        <w:t xml:space="preserve">  G.存在共同直接或间接投资设立子公司、联营企业和合营企业情况</w:t>
      </w:r>
    </w:p>
    <w:p>
      <w:pPr>
        <w:pStyle w:val="41"/>
        <w:widowControl w:val="0"/>
        <w:snapToGrid w:val="0"/>
        <w:spacing w:line="500" w:lineRule="exact"/>
        <w:jc w:val="both"/>
        <w:rPr>
          <w:rFonts w:hAnsi="宋体" w:cs="宋体"/>
          <w:color w:val="auto"/>
          <w:sz w:val="22"/>
        </w:rPr>
      </w:pPr>
      <w:r>
        <w:rPr>
          <w:rFonts w:hint="eastAsia" w:hAnsi="宋体" w:cs="宋体"/>
          <w:color w:val="auto"/>
          <w:kern w:val="0"/>
          <w:sz w:val="22"/>
        </w:rPr>
        <w:t xml:space="preserve">  H.存在分级代理或代销关系、同一生产制造商关系、</w:t>
      </w:r>
      <w:r>
        <w:rPr>
          <w:rFonts w:hint="eastAsia" w:hAnsi="宋体" w:cs="宋体"/>
          <w:color w:val="auto"/>
          <w:sz w:val="22"/>
        </w:rPr>
        <w:t>管理关系、重要业务（占主营业务收入50%以上）或重要财务往来关系（如融资）等其他实质性控制关系</w:t>
      </w:r>
    </w:p>
    <w:p>
      <w:pPr>
        <w:pStyle w:val="41"/>
        <w:widowControl w:val="0"/>
        <w:snapToGrid w:val="0"/>
        <w:spacing w:line="500" w:lineRule="exact"/>
        <w:jc w:val="both"/>
        <w:rPr>
          <w:rFonts w:hAnsi="宋体" w:cs="宋体"/>
          <w:color w:val="auto"/>
          <w:spacing w:val="6"/>
          <w:sz w:val="22"/>
        </w:rPr>
      </w:pPr>
      <w:r>
        <w:rPr>
          <w:rFonts w:hint="eastAsia" w:hAnsi="宋体" w:cs="宋体"/>
          <w:color w:val="auto"/>
          <w:sz w:val="22"/>
        </w:rPr>
        <w:t xml:space="preserve">  I</w:t>
      </w:r>
      <w:r>
        <w:rPr>
          <w:rFonts w:hint="eastAsia" w:hAnsi="宋体" w:cs="宋体"/>
          <w:color w:val="auto"/>
          <w:kern w:val="0"/>
          <w:sz w:val="22"/>
        </w:rPr>
        <w:t>.</w:t>
      </w:r>
      <w:r>
        <w:rPr>
          <w:rFonts w:hint="eastAsia" w:hAnsi="宋体" w:cs="宋体"/>
          <w:color w:val="auto"/>
          <w:sz w:val="22"/>
        </w:rPr>
        <w:t>其他利害关系情况</w:t>
      </w:r>
      <w:r>
        <w:rPr>
          <w:rFonts w:hint="eastAsia" w:hAnsi="宋体" w:cs="宋体"/>
          <w:color w:val="auto"/>
          <w:sz w:val="22"/>
          <w:u w:val="single"/>
        </w:rPr>
        <w:t xml:space="preserve">                              </w:t>
      </w:r>
      <w:r>
        <w:rPr>
          <w:rFonts w:hint="eastAsia" w:hAnsi="宋体" w:cs="宋体"/>
          <w:color w:val="auto"/>
          <w:kern w:val="0"/>
          <w:sz w:val="22"/>
        </w:rPr>
        <w:t>。</w:t>
      </w:r>
    </w:p>
    <w:p>
      <w:pPr>
        <w:pStyle w:val="42"/>
        <w:widowControl/>
        <w:numPr>
          <w:ilvl w:val="0"/>
          <w:numId w:val="12"/>
        </w:numPr>
        <w:snapToGrid w:val="0"/>
        <w:spacing w:line="500" w:lineRule="exact"/>
        <w:ind w:firstLine="415" w:firstLineChars="189"/>
        <w:rPr>
          <w:rFonts w:ascii="宋体" w:hAnsi="宋体" w:cs="宋体"/>
          <w:color w:val="auto"/>
          <w:kern w:val="0"/>
          <w:sz w:val="22"/>
        </w:rPr>
      </w:pPr>
      <w:r>
        <w:rPr>
          <w:rFonts w:hint="eastAsia" w:ascii="宋体" w:hAnsi="宋体" w:cs="宋体"/>
          <w:color w:val="auto"/>
          <w:sz w:val="22"/>
        </w:rPr>
        <w:t>现已清楚知道并</w:t>
      </w:r>
      <w:r>
        <w:rPr>
          <w:rFonts w:hint="eastAsia" w:ascii="宋体" w:hAnsi="宋体" w:cs="宋体"/>
          <w:color w:val="auto"/>
          <w:kern w:val="0"/>
          <w:sz w:val="22"/>
        </w:rPr>
        <w:t>严格遵守政府采购法律法规和现场纪律。</w:t>
      </w:r>
    </w:p>
    <w:p>
      <w:pPr>
        <w:pStyle w:val="42"/>
        <w:widowControl/>
        <w:numPr>
          <w:ilvl w:val="0"/>
          <w:numId w:val="12"/>
        </w:numPr>
        <w:snapToGrid w:val="0"/>
        <w:spacing w:line="500" w:lineRule="exact"/>
        <w:ind w:firstLine="415" w:firstLineChars="189"/>
        <w:rPr>
          <w:rFonts w:ascii="宋体" w:hAnsi="宋体" w:cs="宋体"/>
          <w:color w:val="auto"/>
          <w:kern w:val="0"/>
          <w:sz w:val="22"/>
        </w:rPr>
      </w:pPr>
      <w:r>
        <w:rPr>
          <w:rFonts w:hint="eastAsia" w:ascii="宋体" w:hAnsi="宋体" w:cs="宋体"/>
          <w:color w:val="auto"/>
          <w:kern w:val="0"/>
          <w:sz w:val="22"/>
          <w:u w:val="single"/>
        </w:rPr>
        <w:t xml:space="preserve">我发现                    </w:t>
      </w:r>
      <w:r>
        <w:rPr>
          <w:rFonts w:hint="eastAsia" w:ascii="宋体" w:hAnsi="宋体" w:cs="宋体"/>
          <w:color w:val="auto"/>
          <w:kern w:val="0"/>
          <w:sz w:val="22"/>
        </w:rPr>
        <w:t>供应商之间存在或可能存在上述第二条第</w:t>
      </w:r>
      <w:r>
        <w:rPr>
          <w:rFonts w:hint="eastAsia" w:ascii="宋体" w:hAnsi="宋体" w:cs="宋体"/>
          <w:color w:val="auto"/>
          <w:kern w:val="0"/>
          <w:sz w:val="22"/>
          <w:u w:val="single"/>
        </w:rPr>
        <w:t xml:space="preserve">        </w:t>
      </w:r>
      <w:r>
        <w:rPr>
          <w:rFonts w:hint="eastAsia" w:ascii="宋体" w:hAnsi="宋体" w:cs="宋体"/>
          <w:color w:val="auto"/>
          <w:kern w:val="0"/>
          <w:sz w:val="22"/>
        </w:rPr>
        <w:t>项利害关系。</w:t>
      </w:r>
    </w:p>
    <w:p>
      <w:pPr>
        <w:pStyle w:val="41"/>
        <w:widowControl w:val="0"/>
        <w:snapToGrid w:val="0"/>
        <w:spacing w:line="500" w:lineRule="exact"/>
        <w:jc w:val="center"/>
        <w:rPr>
          <w:rFonts w:hAnsi="宋体" w:cs="宋体"/>
          <w:color w:val="auto"/>
          <w:sz w:val="22"/>
        </w:rPr>
      </w:pPr>
      <w:r>
        <w:rPr>
          <w:rFonts w:hint="eastAsia" w:hAnsi="宋体" w:cs="宋体"/>
          <w:color w:val="auto"/>
          <w:sz w:val="22"/>
        </w:rPr>
        <w:t xml:space="preserve">                                                    供应商代表签名：</w:t>
      </w:r>
    </w:p>
    <w:p>
      <w:pPr>
        <w:jc w:val="right"/>
        <w:rPr>
          <w:rFonts w:ascii="宋体" w:hAnsi="宋体" w:eastAsia="宋体" w:cs="宋体"/>
          <w:b/>
          <w:color w:val="auto"/>
          <w:sz w:val="21"/>
          <w:szCs w:val="21"/>
        </w:rPr>
      </w:pPr>
      <w:r>
        <w:rPr>
          <w:rFonts w:hint="eastAsia" w:ascii="宋体" w:hAnsi="宋体" w:eastAsia="宋体" w:cs="宋体"/>
          <w:color w:val="auto"/>
          <w:sz w:val="22"/>
          <w:szCs w:val="22"/>
        </w:rPr>
        <w:t xml:space="preserve">                                      2022年   月   日</w:t>
      </w:r>
    </w:p>
    <w:bookmarkEnd w:id="601"/>
    <w:bookmarkEnd w:id="602"/>
    <w:bookmarkEnd w:id="603"/>
    <w:bookmarkEnd w:id="604"/>
    <w:bookmarkEnd w:id="605"/>
    <w:bookmarkEnd w:id="606"/>
    <w:bookmarkEnd w:id="607"/>
    <w:p>
      <w:pPr>
        <w:pStyle w:val="2"/>
        <w:spacing w:after="0" w:line="360" w:lineRule="auto"/>
        <w:rPr>
          <w:b/>
          <w:bCs/>
          <w:color w:val="FF0000"/>
          <w:sz w:val="22"/>
        </w:rPr>
      </w:pPr>
      <w:r>
        <w:rPr>
          <w:rFonts w:hint="eastAsia"/>
          <w:b/>
          <w:bCs/>
          <w:color w:val="FF0000"/>
          <w:sz w:val="22"/>
        </w:rPr>
        <w:t>注：1、本声明书非响应文件的组成内容，无须在响应文件中提供。</w:t>
      </w:r>
    </w:p>
    <w:p>
      <w:pPr>
        <w:pStyle w:val="2"/>
        <w:spacing w:after="0" w:line="360" w:lineRule="auto"/>
        <w:rPr>
          <w:color w:val="FF0000"/>
          <w:sz w:val="22"/>
        </w:rPr>
      </w:pPr>
      <w:r>
        <w:rPr>
          <w:rFonts w:hint="eastAsia"/>
          <w:b/>
          <w:bCs/>
          <w:color w:val="FF0000"/>
          <w:sz w:val="22"/>
        </w:rPr>
        <w:t xml:space="preserve">    2、各供应商代表应提前打印《政府采购活动现场确认声明书》（见附件或政采云平台），签署完毕后上传至钉钉直播群或邮箱3050868501@qq.com。</w:t>
      </w:r>
    </w:p>
    <w:p>
      <w:pPr>
        <w:pStyle w:val="12"/>
        <w:spacing w:line="360" w:lineRule="auto"/>
        <w:jc w:val="center"/>
        <w:outlineLvl w:val="1"/>
        <w:rPr>
          <w:rFonts w:hAnsi="宋体"/>
          <w:b/>
          <w:sz w:val="30"/>
          <w:szCs w:val="30"/>
        </w:rPr>
      </w:pPr>
      <w:r>
        <w:rPr>
          <w:rFonts w:hint="eastAsia" w:hAnsi="宋体"/>
          <w:b/>
          <w:sz w:val="30"/>
          <w:szCs w:val="30"/>
        </w:rPr>
        <w:t>中标供应商公告内容</w:t>
      </w:r>
    </w:p>
    <w:p>
      <w:pPr>
        <w:pStyle w:val="12"/>
        <w:spacing w:line="360" w:lineRule="auto"/>
        <w:outlineLvl w:val="1"/>
        <w:rPr>
          <w:rFonts w:hAnsi="宋体"/>
          <w:b/>
          <w:sz w:val="24"/>
        </w:rPr>
      </w:pPr>
      <w:r>
        <w:rPr>
          <w:rFonts w:hint="eastAsia" w:hAnsi="宋体"/>
          <w:b/>
          <w:sz w:val="24"/>
        </w:rPr>
        <w:t xml:space="preserve">项目名称及编号：                                                 </w:t>
      </w:r>
    </w:p>
    <w:tbl>
      <w:tblPr>
        <w:tblStyle w:val="24"/>
        <w:tblW w:w="10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5"/>
        <w:gridCol w:w="2730"/>
        <w:gridCol w:w="525"/>
        <w:gridCol w:w="1365"/>
        <w:gridCol w:w="420"/>
        <w:gridCol w:w="840"/>
        <w:gridCol w:w="1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2415" w:type="dxa"/>
            <w:vAlign w:val="center"/>
          </w:tcPr>
          <w:p>
            <w:pPr>
              <w:pStyle w:val="12"/>
              <w:spacing w:line="360" w:lineRule="auto"/>
              <w:jc w:val="center"/>
              <w:outlineLvl w:val="1"/>
              <w:rPr>
                <w:kern w:val="0"/>
                <w:sz w:val="24"/>
                <w:lang w:val="zh-CN"/>
              </w:rPr>
            </w:pPr>
            <w:r>
              <w:rPr>
                <w:rFonts w:hint="eastAsia"/>
                <w:kern w:val="0"/>
                <w:sz w:val="24"/>
                <w:lang w:val="zh-CN"/>
              </w:rPr>
              <w:t>中标供应商名称</w:t>
            </w:r>
          </w:p>
        </w:tc>
        <w:tc>
          <w:tcPr>
            <w:tcW w:w="2730" w:type="dxa"/>
            <w:vAlign w:val="center"/>
          </w:tcPr>
          <w:p>
            <w:pPr>
              <w:pStyle w:val="12"/>
              <w:spacing w:line="360" w:lineRule="auto"/>
              <w:jc w:val="center"/>
              <w:outlineLvl w:val="1"/>
              <w:rPr>
                <w:kern w:val="0"/>
                <w:sz w:val="24"/>
                <w:lang w:val="zh-CN"/>
              </w:rPr>
            </w:pPr>
          </w:p>
        </w:tc>
        <w:tc>
          <w:tcPr>
            <w:tcW w:w="2310" w:type="dxa"/>
            <w:gridSpan w:val="3"/>
            <w:vAlign w:val="center"/>
          </w:tcPr>
          <w:p>
            <w:pPr>
              <w:pStyle w:val="12"/>
              <w:spacing w:line="360" w:lineRule="auto"/>
              <w:jc w:val="center"/>
              <w:outlineLvl w:val="1"/>
              <w:rPr>
                <w:kern w:val="0"/>
                <w:sz w:val="24"/>
                <w:lang w:val="zh-CN"/>
              </w:rPr>
            </w:pPr>
            <w:r>
              <w:rPr>
                <w:rFonts w:hint="eastAsia"/>
                <w:kern w:val="0"/>
                <w:sz w:val="24"/>
                <w:lang w:val="zh-CN"/>
              </w:rPr>
              <w:t>法定代表人（负责人）（或营业执照中的负责人）</w:t>
            </w:r>
          </w:p>
        </w:tc>
        <w:tc>
          <w:tcPr>
            <w:tcW w:w="2625" w:type="dxa"/>
            <w:gridSpan w:val="2"/>
            <w:vAlign w:val="center"/>
          </w:tcPr>
          <w:p>
            <w:pPr>
              <w:pStyle w:val="12"/>
              <w:spacing w:line="360" w:lineRule="auto"/>
              <w:jc w:val="center"/>
              <w:outlineLvl w:val="1"/>
              <w:rPr>
                <w:kern w:val="0"/>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2415" w:type="dxa"/>
            <w:vAlign w:val="center"/>
          </w:tcPr>
          <w:p>
            <w:pPr>
              <w:pStyle w:val="12"/>
              <w:spacing w:line="360" w:lineRule="auto"/>
              <w:jc w:val="center"/>
              <w:outlineLvl w:val="1"/>
              <w:rPr>
                <w:kern w:val="0"/>
                <w:sz w:val="24"/>
                <w:lang w:val="zh-CN"/>
              </w:rPr>
            </w:pPr>
            <w:r>
              <w:rPr>
                <w:rFonts w:hint="eastAsia"/>
                <w:kern w:val="0"/>
                <w:sz w:val="24"/>
                <w:lang w:val="zh-CN"/>
              </w:rPr>
              <w:t>供应商地址</w:t>
            </w:r>
          </w:p>
        </w:tc>
        <w:tc>
          <w:tcPr>
            <w:tcW w:w="7665" w:type="dxa"/>
            <w:gridSpan w:val="6"/>
            <w:vAlign w:val="center"/>
          </w:tcPr>
          <w:p>
            <w:pPr>
              <w:pStyle w:val="12"/>
              <w:spacing w:line="360" w:lineRule="auto"/>
              <w:jc w:val="center"/>
              <w:outlineLvl w:val="1"/>
              <w:rPr>
                <w:kern w:val="0"/>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0080" w:type="dxa"/>
            <w:gridSpan w:val="7"/>
            <w:vAlign w:val="center"/>
          </w:tcPr>
          <w:p>
            <w:pPr>
              <w:pStyle w:val="12"/>
              <w:spacing w:line="360" w:lineRule="auto"/>
              <w:jc w:val="center"/>
              <w:outlineLvl w:val="1"/>
              <w:rPr>
                <w:kern w:val="0"/>
                <w:sz w:val="24"/>
                <w:lang w:val="zh-CN"/>
              </w:rPr>
            </w:pPr>
            <w:r>
              <w:rPr>
                <w:rFonts w:hint="eastAsia"/>
                <w:kern w:val="0"/>
                <w:sz w:val="24"/>
                <w:lang w:val="zh-CN"/>
              </w:rPr>
              <w:t>中标标的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415" w:type="dxa"/>
            <w:vAlign w:val="center"/>
          </w:tcPr>
          <w:p>
            <w:pPr>
              <w:pStyle w:val="12"/>
              <w:spacing w:line="360" w:lineRule="auto"/>
              <w:jc w:val="center"/>
              <w:outlineLvl w:val="1"/>
              <w:rPr>
                <w:kern w:val="0"/>
                <w:sz w:val="24"/>
                <w:lang w:val="zh-CN"/>
              </w:rPr>
            </w:pPr>
            <w:r>
              <w:rPr>
                <w:rFonts w:hint="eastAsia"/>
                <w:kern w:val="0"/>
                <w:sz w:val="24"/>
                <w:lang w:val="zh-CN"/>
              </w:rPr>
              <w:t>产品名称</w:t>
            </w:r>
          </w:p>
        </w:tc>
        <w:tc>
          <w:tcPr>
            <w:tcW w:w="3255" w:type="dxa"/>
            <w:gridSpan w:val="2"/>
            <w:vAlign w:val="center"/>
          </w:tcPr>
          <w:p>
            <w:pPr>
              <w:pStyle w:val="12"/>
              <w:spacing w:line="360" w:lineRule="auto"/>
              <w:jc w:val="center"/>
              <w:outlineLvl w:val="1"/>
              <w:rPr>
                <w:kern w:val="0"/>
                <w:sz w:val="24"/>
                <w:lang w:val="zh-CN"/>
              </w:rPr>
            </w:pPr>
            <w:r>
              <w:rPr>
                <w:rFonts w:hint="eastAsia"/>
                <w:kern w:val="0"/>
                <w:sz w:val="24"/>
                <w:lang w:val="zh-CN"/>
              </w:rPr>
              <w:t>规格型号</w:t>
            </w:r>
          </w:p>
        </w:tc>
        <w:tc>
          <w:tcPr>
            <w:tcW w:w="1365" w:type="dxa"/>
            <w:vAlign w:val="center"/>
          </w:tcPr>
          <w:p>
            <w:pPr>
              <w:pStyle w:val="12"/>
              <w:spacing w:line="360" w:lineRule="auto"/>
              <w:jc w:val="center"/>
              <w:outlineLvl w:val="1"/>
              <w:rPr>
                <w:kern w:val="0"/>
                <w:sz w:val="24"/>
                <w:lang w:val="zh-CN"/>
              </w:rPr>
            </w:pPr>
            <w:r>
              <w:rPr>
                <w:rFonts w:hint="eastAsia"/>
                <w:kern w:val="0"/>
                <w:sz w:val="24"/>
                <w:lang w:val="zh-CN"/>
              </w:rPr>
              <w:t>数量</w:t>
            </w:r>
          </w:p>
        </w:tc>
        <w:tc>
          <w:tcPr>
            <w:tcW w:w="1260" w:type="dxa"/>
            <w:gridSpan w:val="2"/>
            <w:vAlign w:val="center"/>
          </w:tcPr>
          <w:p>
            <w:pPr>
              <w:pStyle w:val="12"/>
              <w:spacing w:line="360" w:lineRule="auto"/>
              <w:jc w:val="center"/>
              <w:outlineLvl w:val="1"/>
              <w:rPr>
                <w:kern w:val="0"/>
                <w:sz w:val="24"/>
                <w:lang w:val="zh-CN"/>
              </w:rPr>
            </w:pPr>
            <w:r>
              <w:rPr>
                <w:rFonts w:hint="eastAsia"/>
                <w:kern w:val="0"/>
                <w:sz w:val="24"/>
                <w:lang w:val="zh-CN"/>
              </w:rPr>
              <w:t>单价</w:t>
            </w:r>
          </w:p>
        </w:tc>
        <w:tc>
          <w:tcPr>
            <w:tcW w:w="1785" w:type="dxa"/>
            <w:vAlign w:val="center"/>
          </w:tcPr>
          <w:p>
            <w:pPr>
              <w:pStyle w:val="12"/>
              <w:spacing w:line="360" w:lineRule="auto"/>
              <w:jc w:val="center"/>
              <w:outlineLvl w:val="1"/>
              <w:rPr>
                <w:kern w:val="0"/>
                <w:sz w:val="24"/>
                <w:lang w:val="zh-CN"/>
              </w:rPr>
            </w:pPr>
            <w:r>
              <w:rPr>
                <w:rFonts w:hint="eastAsia"/>
                <w:kern w:val="0"/>
                <w:sz w:val="24"/>
                <w:lang w:val="zh-CN"/>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0" w:hRule="atLeast"/>
          <w:jc w:val="center"/>
        </w:trPr>
        <w:tc>
          <w:tcPr>
            <w:tcW w:w="2415" w:type="dxa"/>
            <w:vAlign w:val="center"/>
          </w:tcPr>
          <w:p>
            <w:pPr>
              <w:pStyle w:val="12"/>
              <w:spacing w:line="360" w:lineRule="auto"/>
              <w:jc w:val="center"/>
              <w:outlineLvl w:val="1"/>
              <w:rPr>
                <w:kern w:val="0"/>
                <w:sz w:val="24"/>
                <w:lang w:val="zh-CN"/>
              </w:rPr>
            </w:pPr>
          </w:p>
        </w:tc>
        <w:tc>
          <w:tcPr>
            <w:tcW w:w="3255" w:type="dxa"/>
            <w:gridSpan w:val="2"/>
            <w:vAlign w:val="center"/>
          </w:tcPr>
          <w:p>
            <w:pPr>
              <w:pStyle w:val="12"/>
              <w:spacing w:line="360" w:lineRule="auto"/>
              <w:jc w:val="center"/>
              <w:outlineLvl w:val="1"/>
              <w:rPr>
                <w:kern w:val="0"/>
                <w:sz w:val="24"/>
                <w:lang w:val="zh-CN"/>
              </w:rPr>
            </w:pPr>
          </w:p>
        </w:tc>
        <w:tc>
          <w:tcPr>
            <w:tcW w:w="1365" w:type="dxa"/>
            <w:vAlign w:val="center"/>
          </w:tcPr>
          <w:p>
            <w:pPr>
              <w:pStyle w:val="12"/>
              <w:spacing w:line="360" w:lineRule="auto"/>
              <w:jc w:val="center"/>
              <w:outlineLvl w:val="1"/>
              <w:rPr>
                <w:kern w:val="0"/>
                <w:sz w:val="24"/>
                <w:lang w:val="zh-CN"/>
              </w:rPr>
            </w:pPr>
          </w:p>
        </w:tc>
        <w:tc>
          <w:tcPr>
            <w:tcW w:w="1260" w:type="dxa"/>
            <w:gridSpan w:val="2"/>
            <w:vAlign w:val="center"/>
          </w:tcPr>
          <w:p>
            <w:pPr>
              <w:pStyle w:val="12"/>
              <w:spacing w:line="360" w:lineRule="auto"/>
              <w:jc w:val="center"/>
              <w:outlineLvl w:val="1"/>
              <w:rPr>
                <w:kern w:val="0"/>
                <w:sz w:val="24"/>
                <w:lang w:val="zh-CN"/>
              </w:rPr>
            </w:pPr>
          </w:p>
        </w:tc>
        <w:tc>
          <w:tcPr>
            <w:tcW w:w="1785" w:type="dxa"/>
            <w:vAlign w:val="center"/>
          </w:tcPr>
          <w:p>
            <w:pPr>
              <w:pStyle w:val="12"/>
              <w:spacing w:line="360" w:lineRule="auto"/>
              <w:jc w:val="center"/>
              <w:outlineLvl w:val="1"/>
              <w:rPr>
                <w:kern w:val="0"/>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2415" w:type="dxa"/>
            <w:vAlign w:val="center"/>
          </w:tcPr>
          <w:p>
            <w:pPr>
              <w:pStyle w:val="12"/>
              <w:spacing w:line="360" w:lineRule="auto"/>
              <w:jc w:val="center"/>
              <w:outlineLvl w:val="1"/>
              <w:rPr>
                <w:kern w:val="0"/>
                <w:sz w:val="24"/>
                <w:lang w:val="zh-CN"/>
              </w:rPr>
            </w:pPr>
          </w:p>
        </w:tc>
        <w:tc>
          <w:tcPr>
            <w:tcW w:w="3255" w:type="dxa"/>
            <w:gridSpan w:val="2"/>
            <w:vAlign w:val="center"/>
          </w:tcPr>
          <w:p>
            <w:pPr>
              <w:pStyle w:val="12"/>
              <w:spacing w:line="360" w:lineRule="auto"/>
              <w:jc w:val="center"/>
              <w:outlineLvl w:val="1"/>
              <w:rPr>
                <w:kern w:val="0"/>
                <w:sz w:val="24"/>
                <w:lang w:val="zh-CN"/>
              </w:rPr>
            </w:pPr>
          </w:p>
        </w:tc>
        <w:tc>
          <w:tcPr>
            <w:tcW w:w="1365" w:type="dxa"/>
            <w:vAlign w:val="center"/>
          </w:tcPr>
          <w:p>
            <w:pPr>
              <w:pStyle w:val="12"/>
              <w:spacing w:line="360" w:lineRule="auto"/>
              <w:jc w:val="center"/>
              <w:outlineLvl w:val="1"/>
              <w:rPr>
                <w:kern w:val="0"/>
                <w:sz w:val="24"/>
                <w:lang w:val="zh-CN"/>
              </w:rPr>
            </w:pPr>
          </w:p>
        </w:tc>
        <w:tc>
          <w:tcPr>
            <w:tcW w:w="1260" w:type="dxa"/>
            <w:gridSpan w:val="2"/>
            <w:vAlign w:val="center"/>
          </w:tcPr>
          <w:p>
            <w:pPr>
              <w:pStyle w:val="12"/>
              <w:spacing w:line="360" w:lineRule="auto"/>
              <w:jc w:val="center"/>
              <w:outlineLvl w:val="1"/>
              <w:rPr>
                <w:kern w:val="0"/>
                <w:sz w:val="24"/>
                <w:lang w:val="zh-CN"/>
              </w:rPr>
            </w:pPr>
          </w:p>
        </w:tc>
        <w:tc>
          <w:tcPr>
            <w:tcW w:w="1785" w:type="dxa"/>
            <w:vAlign w:val="center"/>
          </w:tcPr>
          <w:p>
            <w:pPr>
              <w:pStyle w:val="12"/>
              <w:spacing w:line="360" w:lineRule="auto"/>
              <w:jc w:val="center"/>
              <w:outlineLvl w:val="1"/>
              <w:rPr>
                <w:kern w:val="0"/>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415" w:type="dxa"/>
            <w:vAlign w:val="center"/>
          </w:tcPr>
          <w:p>
            <w:pPr>
              <w:pStyle w:val="12"/>
              <w:spacing w:line="360" w:lineRule="auto"/>
              <w:jc w:val="center"/>
              <w:outlineLvl w:val="1"/>
              <w:rPr>
                <w:kern w:val="0"/>
                <w:sz w:val="24"/>
                <w:lang w:val="zh-CN"/>
              </w:rPr>
            </w:pPr>
          </w:p>
        </w:tc>
        <w:tc>
          <w:tcPr>
            <w:tcW w:w="3255" w:type="dxa"/>
            <w:gridSpan w:val="2"/>
            <w:vAlign w:val="center"/>
          </w:tcPr>
          <w:p>
            <w:pPr>
              <w:pStyle w:val="12"/>
              <w:spacing w:line="360" w:lineRule="auto"/>
              <w:jc w:val="center"/>
              <w:outlineLvl w:val="1"/>
              <w:rPr>
                <w:kern w:val="0"/>
                <w:sz w:val="24"/>
                <w:lang w:val="zh-CN"/>
              </w:rPr>
            </w:pPr>
          </w:p>
        </w:tc>
        <w:tc>
          <w:tcPr>
            <w:tcW w:w="1365" w:type="dxa"/>
            <w:vAlign w:val="center"/>
          </w:tcPr>
          <w:p>
            <w:pPr>
              <w:pStyle w:val="12"/>
              <w:spacing w:line="360" w:lineRule="auto"/>
              <w:jc w:val="center"/>
              <w:outlineLvl w:val="1"/>
              <w:rPr>
                <w:kern w:val="0"/>
                <w:sz w:val="24"/>
                <w:lang w:val="zh-CN"/>
              </w:rPr>
            </w:pPr>
          </w:p>
        </w:tc>
        <w:tc>
          <w:tcPr>
            <w:tcW w:w="1260" w:type="dxa"/>
            <w:gridSpan w:val="2"/>
            <w:vAlign w:val="center"/>
          </w:tcPr>
          <w:p>
            <w:pPr>
              <w:pStyle w:val="12"/>
              <w:spacing w:line="360" w:lineRule="auto"/>
              <w:jc w:val="center"/>
              <w:outlineLvl w:val="1"/>
              <w:rPr>
                <w:kern w:val="0"/>
                <w:sz w:val="24"/>
                <w:lang w:val="zh-CN"/>
              </w:rPr>
            </w:pPr>
          </w:p>
        </w:tc>
        <w:tc>
          <w:tcPr>
            <w:tcW w:w="1785" w:type="dxa"/>
            <w:vAlign w:val="center"/>
          </w:tcPr>
          <w:p>
            <w:pPr>
              <w:pStyle w:val="12"/>
              <w:spacing w:line="360" w:lineRule="auto"/>
              <w:jc w:val="center"/>
              <w:outlineLvl w:val="1"/>
              <w:rPr>
                <w:kern w:val="0"/>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95" w:type="dxa"/>
            <w:gridSpan w:val="6"/>
            <w:vAlign w:val="center"/>
          </w:tcPr>
          <w:p>
            <w:pPr>
              <w:pStyle w:val="12"/>
              <w:spacing w:line="360" w:lineRule="auto"/>
              <w:jc w:val="center"/>
              <w:outlineLvl w:val="1"/>
              <w:rPr>
                <w:kern w:val="0"/>
                <w:sz w:val="24"/>
                <w:lang w:val="zh-CN"/>
              </w:rPr>
            </w:pPr>
            <w:r>
              <w:rPr>
                <w:rFonts w:hint="eastAsia"/>
                <w:kern w:val="0"/>
                <w:sz w:val="24"/>
                <w:lang w:val="zh-CN"/>
              </w:rPr>
              <w:t>中标金额合计</w:t>
            </w:r>
          </w:p>
        </w:tc>
        <w:tc>
          <w:tcPr>
            <w:tcW w:w="1785" w:type="dxa"/>
            <w:vAlign w:val="center"/>
          </w:tcPr>
          <w:p>
            <w:pPr>
              <w:pStyle w:val="12"/>
              <w:spacing w:line="360" w:lineRule="auto"/>
              <w:jc w:val="center"/>
              <w:outlineLvl w:val="1"/>
              <w:rPr>
                <w:kern w:val="0"/>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3" w:hRule="atLeast"/>
          <w:jc w:val="center"/>
        </w:trPr>
        <w:tc>
          <w:tcPr>
            <w:tcW w:w="10080" w:type="dxa"/>
            <w:gridSpan w:val="7"/>
          </w:tcPr>
          <w:p>
            <w:pPr>
              <w:pStyle w:val="12"/>
              <w:spacing w:line="360" w:lineRule="auto"/>
              <w:outlineLvl w:val="1"/>
              <w:rPr>
                <w:kern w:val="0"/>
                <w:sz w:val="24"/>
                <w:lang w:val="zh-CN"/>
              </w:rPr>
            </w:pPr>
            <w:r>
              <w:rPr>
                <w:rFonts w:hint="eastAsia"/>
                <w:kern w:val="0"/>
                <w:sz w:val="24"/>
                <w:lang w:val="zh-CN"/>
              </w:rPr>
              <w:t>服务要求：</w:t>
            </w:r>
          </w:p>
        </w:tc>
      </w:tr>
    </w:tbl>
    <w:p>
      <w:pPr>
        <w:pStyle w:val="12"/>
        <w:spacing w:line="360" w:lineRule="auto"/>
        <w:outlineLvl w:val="1"/>
        <w:rPr>
          <w:kern w:val="0"/>
          <w:lang w:val="zh-CN"/>
        </w:rPr>
      </w:pPr>
      <w:r>
        <w:rPr>
          <w:rFonts w:hint="eastAsia"/>
          <w:kern w:val="0"/>
          <w:lang w:val="zh-CN"/>
        </w:rPr>
        <w:t>注：1、供应商应根据其投标情况填写该表，并保证其与报价文件内容的一致性、正确性和真实性；</w:t>
      </w:r>
    </w:p>
    <w:p>
      <w:pPr>
        <w:pStyle w:val="12"/>
        <w:spacing w:line="360" w:lineRule="auto"/>
        <w:outlineLvl w:val="1"/>
        <w:rPr>
          <w:kern w:val="0"/>
          <w:lang w:val="zh-CN"/>
        </w:rPr>
      </w:pPr>
      <w:r>
        <w:rPr>
          <w:rFonts w:hint="eastAsia"/>
          <w:kern w:val="0"/>
          <w:lang w:val="zh-CN"/>
        </w:rPr>
        <w:t>2、填写该表不代表供应商已具有成交供应商资格。本表只作为中标结果公告内容的一部分，进行公告使用；</w:t>
      </w:r>
    </w:p>
    <w:p>
      <w:pPr>
        <w:pStyle w:val="12"/>
        <w:spacing w:line="360" w:lineRule="auto"/>
        <w:outlineLvl w:val="1"/>
        <w:rPr>
          <w:kern w:val="0"/>
          <w:lang w:val="zh-CN"/>
        </w:rPr>
      </w:pPr>
      <w:r>
        <w:rPr>
          <w:rFonts w:hint="eastAsia"/>
          <w:kern w:val="0"/>
          <w:lang w:val="zh-CN"/>
        </w:rPr>
        <w:t>3、本表内容涉及较多，供应商可以适当增减表格行数，以保证表格内容的完整；</w:t>
      </w:r>
    </w:p>
    <w:p>
      <w:pPr>
        <w:pStyle w:val="12"/>
        <w:spacing w:line="360" w:lineRule="auto"/>
        <w:outlineLvl w:val="1"/>
        <w:rPr>
          <w:kern w:val="0"/>
          <w:lang w:val="zh-CN"/>
        </w:rPr>
      </w:pPr>
      <w:r>
        <w:rPr>
          <w:rFonts w:hint="eastAsia"/>
          <w:kern w:val="0"/>
          <w:lang w:val="zh-CN"/>
        </w:rPr>
        <w:t>4、评审结果排名第一的中标候选人在评审结束后1个工作日内将竞争性磋商文件附件《中标供应</w:t>
      </w:r>
      <w:r>
        <w:rPr>
          <w:rFonts w:hint="eastAsia" w:hAnsi="宋体" w:eastAsia="宋体" w:cs="宋体"/>
          <w:kern w:val="0"/>
          <w:lang w:val="zh-CN"/>
        </w:rPr>
        <w:t>商公告内容》填写完整后，以电子文档形式提交</w:t>
      </w:r>
      <w:r>
        <w:rPr>
          <w:rFonts w:hint="eastAsia"/>
          <w:kern w:val="0"/>
          <w:lang w:val="zh-CN"/>
        </w:rPr>
        <w:t>给采购代理机构项目经理（或者发送至电子邮箱：</w:t>
      </w:r>
      <w:r>
        <w:fldChar w:fldCharType="begin"/>
      </w:r>
      <w:r>
        <w:instrText xml:space="preserve"> HYPERLINK "mailto:109678775@qq.com）。未按时提供所造成的后果由供应商自行承担。" </w:instrText>
      </w:r>
      <w:r>
        <w:fldChar w:fldCharType="separate"/>
      </w:r>
      <w:r>
        <w:rPr>
          <w:rFonts w:hint="eastAsia"/>
          <w:kern w:val="0"/>
          <w:lang w:val="zh-CN"/>
        </w:rPr>
        <w:t>3050868501@qq.com）。未按时提供所造成的后果由供应商自行承担。</w:t>
      </w:r>
      <w:r>
        <w:rPr>
          <w:rFonts w:hint="eastAsia"/>
          <w:kern w:val="0"/>
          <w:lang w:val="zh-CN"/>
        </w:rPr>
        <w:fldChar w:fldCharType="end"/>
      </w:r>
    </w:p>
    <w:p>
      <w:pPr>
        <w:spacing w:line="440" w:lineRule="exact"/>
        <w:rPr>
          <w:rFonts w:ascii="宋体" w:hAnsi="宋体" w:eastAsia="宋体" w:cs="宋体"/>
          <w:b/>
          <w:sz w:val="24"/>
          <w:lang w:val="zh-CN"/>
        </w:rPr>
      </w:pPr>
    </w:p>
    <w:sectPr>
      <w:pgSz w:w="11906" w:h="16838"/>
      <w:pgMar w:top="1440" w:right="1440" w:bottom="1440" w:left="1440"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华文行楷">
    <w:altName w:val="微软雅黑"/>
    <w:panose1 w:val="02010800040101010101"/>
    <w:charset w:val="86"/>
    <w:family w:val="auto"/>
    <w:pitch w:val="default"/>
    <w:sig w:usb0="00000000" w:usb1="00000000" w:usb2="0000001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Segoe UI Symbol">
    <w:panose1 w:val="020B0502040204020203"/>
    <w:charset w:val="00"/>
    <w:family w:val="swiss"/>
    <w:pitch w:val="default"/>
    <w:sig w:usb0="8000006F" w:usb1="1200FBEF" w:usb2="0064C000" w:usb3="00000002"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eastAsia="宋体"/>
        <w:u w:val="single"/>
      </w:rPr>
    </w:pPr>
    <w:r>
      <w:rPr>
        <w:rFonts w:hint="eastAsia" w:eastAsia="宋体"/>
        <w:u w:val="single"/>
      </w:rPr>
      <w:t>浙江广通工程咨询有限公司</w:t>
    </w:r>
  </w:p>
  <w:p>
    <w:pPr>
      <w:pStyle w:val="14"/>
      <w:jc w:val="center"/>
    </w:pPr>
    <w:r>
      <w:fldChar w:fldCharType="begin"/>
    </w:r>
    <w:r>
      <w:rPr>
        <w:rStyle w:val="28"/>
      </w:rPr>
      <w:instrText xml:space="preserve"> PAGE </w:instrText>
    </w:r>
    <w:r>
      <w:fldChar w:fldCharType="separate"/>
    </w:r>
    <w:r>
      <w:rPr>
        <w:rStyle w:val="28"/>
      </w:rPr>
      <w:t>21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Times New Roman" w:hAnsi="Times New Roman" w:eastAsia="宋体"/>
        <w:sz w:val="21"/>
      </w:rPr>
    </w:pPr>
    <w:r>
      <w:rPr>
        <w:rFonts w:ascii="Times New Roman" w:hAnsi="Times New Roman" w:eastAsia="宋体"/>
        <w:sz w:val="21"/>
      </w:rPr>
      <w:fldChar w:fldCharType="begin"/>
    </w:r>
    <w:r>
      <w:rPr>
        <w:rFonts w:ascii="Times New Roman" w:hAnsi="Times New Roman" w:eastAsia="宋体"/>
        <w:sz w:val="21"/>
      </w:rPr>
      <w:instrText xml:space="preserve"> PAGE  \* MERGEFORMAT </w:instrText>
    </w:r>
    <w:r>
      <w:rPr>
        <w:rFonts w:ascii="Times New Roman" w:hAnsi="Times New Roman" w:eastAsia="宋体"/>
        <w:sz w:val="21"/>
      </w:rPr>
      <w:fldChar w:fldCharType="separate"/>
    </w:r>
    <w:r>
      <w:rPr>
        <w:rFonts w:ascii="Times New Roman" w:hAnsi="Times New Roman" w:eastAsia="宋体"/>
        <w:sz w:val="21"/>
      </w:rPr>
      <w:t>5</w:t>
    </w:r>
    <w:r>
      <w:rPr>
        <w:rFonts w:ascii="Times New Roman" w:hAnsi="Times New Roman" w:eastAsia="宋体"/>
        <w:sz w:val="2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snapToGrid w:val="0"/>
      <w:jc w:val="left"/>
      <w:rPr>
        <w:rFonts w:ascii="Tahoma" w:hAnsi="Tahoma" w:eastAsia="黑体"/>
        <w:snapToGrid w:val="0"/>
        <w:kern w:val="0"/>
        <w:sz w:val="18"/>
        <w:szCs w:val="18"/>
      </w:rPr>
    </w:pPr>
    <w:r>
      <w:rPr>
        <w:rFonts w:ascii="Tahoma" w:hAnsi="Tahoma" w:eastAsia="黑体"/>
        <w:snapToGrid w:val="0"/>
        <w:kern w:val="0"/>
        <w:sz w:val="18"/>
        <w:szCs w:val="18"/>
      </w:rPr>
      <w:fldChar w:fldCharType="begin"/>
    </w:r>
    <w:r>
      <w:rPr>
        <w:rFonts w:ascii="Tahoma" w:hAnsi="Tahoma" w:eastAsia="宋体"/>
        <w:snapToGrid w:val="0"/>
        <w:kern w:val="0"/>
        <w:sz w:val="24"/>
        <w:szCs w:val="18"/>
      </w:rPr>
      <w:instrText xml:space="preserve">PAGE  </w:instrText>
    </w:r>
    <w:r>
      <w:rPr>
        <w:rFonts w:ascii="Tahoma" w:hAnsi="Tahoma" w:eastAsia="黑体"/>
        <w:snapToGrid w:val="0"/>
        <w:kern w:val="0"/>
        <w:sz w:val="18"/>
        <w:szCs w:val="18"/>
      </w:rPr>
      <w:fldChar w:fldCharType="separate"/>
    </w:r>
    <w:r>
      <w:rPr>
        <w:rFonts w:ascii="Tahoma" w:hAnsi="Tahoma" w:eastAsia="宋体"/>
        <w:snapToGrid w:val="0"/>
        <w:kern w:val="0"/>
        <w:sz w:val="24"/>
        <w:szCs w:val="18"/>
      </w:rPr>
      <w:t>52</w:t>
    </w:r>
    <w:r>
      <w:rPr>
        <w:rFonts w:ascii="Tahoma" w:hAnsi="Tahoma" w:eastAsia="黑体"/>
        <w:snapToGrid w:val="0"/>
        <w:kern w:val="0"/>
        <w:sz w:val="18"/>
        <w:szCs w:val="18"/>
      </w:rPr>
      <w:fldChar w:fldCharType="end"/>
    </w:r>
  </w:p>
  <w:p>
    <w:pPr>
      <w:snapToGrid w:val="0"/>
      <w:jc w:val="left"/>
      <w:rPr>
        <w:rFonts w:ascii="Tahoma" w:hAnsi="Tahoma" w:eastAsia="黑体"/>
        <w:snapToGrid w:val="0"/>
        <w:kern w:val="0"/>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ind w:right="360"/>
      <w:rPr>
        <w:rFonts w:ascii="Tahoma" w:hAnsi="Tahoma" w:eastAsia="黑体"/>
        <w:snapToGrid w:val="0"/>
        <w:kern w:val="0"/>
        <w:sz w:val="18"/>
        <w:szCs w:val="18"/>
      </w:rPr>
    </w:pPr>
    <w:r>
      <w:rPr>
        <w:rFonts w:ascii="Tahoma" w:hAnsi="Tahoma" w:eastAsia="黑体"/>
        <w:snapToGrid w:val="0"/>
        <w:kern w:val="0"/>
        <w:sz w:val="18"/>
        <w:szCs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snapToGrid w:val="0"/>
                            <w:jc w:val="left"/>
                            <w:rPr>
                              <w:rFonts w:ascii="Tahoma" w:hAnsi="Tahoma" w:eastAsia="黑体"/>
                              <w:snapToGrid w:val="0"/>
                              <w:kern w:val="0"/>
                              <w:sz w:val="18"/>
                              <w:szCs w:val="18"/>
                            </w:rPr>
                          </w:pPr>
                          <w:r>
                            <w:rPr>
                              <w:rFonts w:hint="eastAsia" w:ascii="Tahoma" w:hAnsi="Tahoma" w:eastAsia="黑体"/>
                              <w:snapToGrid w:val="0"/>
                              <w:kern w:val="0"/>
                              <w:sz w:val="18"/>
                              <w:szCs w:val="18"/>
                            </w:rPr>
                            <w:fldChar w:fldCharType="begin"/>
                          </w:r>
                          <w:r>
                            <w:rPr>
                              <w:rFonts w:hint="eastAsia" w:ascii="Tahoma" w:hAnsi="Tahoma" w:eastAsia="黑体"/>
                              <w:snapToGrid w:val="0"/>
                              <w:kern w:val="0"/>
                              <w:sz w:val="18"/>
                              <w:szCs w:val="18"/>
                            </w:rPr>
                            <w:instrText xml:space="preserve"> PAGE  \* MERGEFORMAT </w:instrText>
                          </w:r>
                          <w:r>
                            <w:rPr>
                              <w:rFonts w:hint="eastAsia" w:ascii="Tahoma" w:hAnsi="Tahoma" w:eastAsia="黑体"/>
                              <w:snapToGrid w:val="0"/>
                              <w:kern w:val="0"/>
                              <w:sz w:val="18"/>
                              <w:szCs w:val="18"/>
                            </w:rPr>
                            <w:fldChar w:fldCharType="separate"/>
                          </w:r>
                          <w:r>
                            <w:rPr>
                              <w:rFonts w:ascii="Tahoma" w:hAnsi="Tahoma" w:eastAsia="黑体"/>
                              <w:snapToGrid w:val="0"/>
                              <w:kern w:val="0"/>
                              <w:sz w:val="18"/>
                              <w:szCs w:val="18"/>
                            </w:rPr>
                            <w:t>5</w:t>
                          </w:r>
                          <w:r>
                            <w:rPr>
                              <w:rFonts w:hint="eastAsia" w:ascii="Tahoma" w:hAnsi="Tahoma" w:eastAsia="黑体"/>
                              <w:snapToGrid w:val="0"/>
                              <w:kern w:val="0"/>
                              <w:sz w:val="18"/>
                              <w:szCs w:val="1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aGmCS9MAAAAFAQAADwAAAAAAAAABACAAAAAiAAAAZHJzL2Rv&#10;d25yZXYueG1sUEsBAhQAFAAAAAgAh07iQPBJ8DzNAQAAmQMAAA4AAAAAAAAAAQAgAAAAIgEAAGRy&#10;cy9lMm9Eb2MueG1sUEsFBgAAAAAGAAYAWQEAAGEFAAAAAA==&#10;">
              <v:fill on="f" focussize="0,0"/>
              <v:stroke on="f" weight="1.25pt"/>
              <v:imagedata o:title=""/>
              <o:lock v:ext="edit" aspectratio="f"/>
              <v:textbox inset="0mm,0mm,0mm,0mm" style="mso-fit-shape-to-text:t;">
                <w:txbxContent>
                  <w:p>
                    <w:pPr>
                      <w:snapToGrid w:val="0"/>
                      <w:jc w:val="left"/>
                      <w:rPr>
                        <w:rFonts w:ascii="Tahoma" w:hAnsi="Tahoma" w:eastAsia="黑体"/>
                        <w:snapToGrid w:val="0"/>
                        <w:kern w:val="0"/>
                        <w:sz w:val="18"/>
                        <w:szCs w:val="18"/>
                      </w:rPr>
                    </w:pPr>
                    <w:r>
                      <w:rPr>
                        <w:rFonts w:hint="eastAsia" w:ascii="Tahoma" w:hAnsi="Tahoma" w:eastAsia="黑体"/>
                        <w:snapToGrid w:val="0"/>
                        <w:kern w:val="0"/>
                        <w:sz w:val="18"/>
                        <w:szCs w:val="18"/>
                      </w:rPr>
                      <w:fldChar w:fldCharType="begin"/>
                    </w:r>
                    <w:r>
                      <w:rPr>
                        <w:rFonts w:hint="eastAsia" w:ascii="Tahoma" w:hAnsi="Tahoma" w:eastAsia="黑体"/>
                        <w:snapToGrid w:val="0"/>
                        <w:kern w:val="0"/>
                        <w:sz w:val="18"/>
                        <w:szCs w:val="18"/>
                      </w:rPr>
                      <w:instrText xml:space="preserve"> PAGE  \* MERGEFORMAT </w:instrText>
                    </w:r>
                    <w:r>
                      <w:rPr>
                        <w:rFonts w:hint="eastAsia" w:ascii="Tahoma" w:hAnsi="Tahoma" w:eastAsia="黑体"/>
                        <w:snapToGrid w:val="0"/>
                        <w:kern w:val="0"/>
                        <w:sz w:val="18"/>
                        <w:szCs w:val="18"/>
                      </w:rPr>
                      <w:fldChar w:fldCharType="separate"/>
                    </w:r>
                    <w:r>
                      <w:rPr>
                        <w:rFonts w:ascii="Tahoma" w:hAnsi="Tahoma" w:eastAsia="黑体"/>
                        <w:snapToGrid w:val="0"/>
                        <w:kern w:val="0"/>
                        <w:sz w:val="18"/>
                        <w:szCs w:val="18"/>
                      </w:rPr>
                      <w:t>5</w:t>
                    </w:r>
                    <w:r>
                      <w:rPr>
                        <w:rFonts w:hint="eastAsia" w:ascii="Tahoma" w:hAnsi="Tahoma" w:eastAsia="黑体"/>
                        <w:snapToGrid w:val="0"/>
                        <w:kern w:val="0"/>
                        <w:sz w:val="18"/>
                        <w:szCs w:val="18"/>
                      </w:rPr>
                      <w:fldChar w:fldCharType="end"/>
                    </w:r>
                  </w:p>
                </w:txbxContent>
              </v:textbox>
            </v:shape>
          </w:pict>
        </mc:Fallback>
      </mc:AlternateContent>
    </w:r>
    <w:r>
      <w:rPr>
        <w:rFonts w:hint="eastAsia" w:ascii="Tahoma" w:hAnsi="Tahoma" w:eastAsia="黑体"/>
        <w:snapToGrid w:val="0"/>
        <w:kern w:val="0"/>
        <w:sz w:val="18"/>
        <w:szCs w:val="18"/>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jc w:val="both"/>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31</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aGmCS9MAAAAFAQAADwAAAAAAAAABACAAAAAiAAAAZHJzL2Rvd25y&#10;ZXYueG1sUEsBAhQAFAAAAAgAh07iQFq6k8jKAQAAlwMAAA4AAAAAAAAAAQAgAAAAIgEAAGRycy9l&#10;Mm9Eb2MueG1sUEsFBgAAAAAGAAYAWQEAAF4FAAAAAA==&#10;">
              <v:fill on="f" focussize="0,0"/>
              <v:stroke on="f" weight="1.25pt"/>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31</w:t>
                    </w:r>
                    <w:r>
                      <w:rPr>
                        <w:rFonts w:hint="eastAsia"/>
                      </w:rPr>
                      <w:fldChar w:fldCharType="end"/>
                    </w:r>
                  </w:p>
                </w:txbxContent>
              </v:textbox>
            </v:shape>
          </w:pict>
        </mc:Fallback>
      </mc:AlternateContent>
    </w:r>
    <w:r>
      <w:rPr>
        <w:rFonts w:hint="eastAsia"/>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page" w:x="5897" w:y="97"/>
      <w:snapToGrid w:val="0"/>
      <w:jc w:val="left"/>
      <w:rPr>
        <w:rStyle w:val="30"/>
        <w:rFonts w:ascii="Times New Roman" w:hAnsi="Times New Roman" w:eastAsia="仿宋_GB2312"/>
        <w:sz w:val="18"/>
        <w:szCs w:val="20"/>
      </w:rPr>
    </w:pPr>
    <w:r>
      <w:rPr>
        <w:rFonts w:ascii="Times New Roman" w:hAnsi="Times New Roman" w:eastAsia="仿宋_GB2312"/>
        <w:sz w:val="18"/>
        <w:szCs w:val="20"/>
      </w:rPr>
      <w:fldChar w:fldCharType="begin"/>
    </w:r>
    <w:r>
      <w:rPr>
        <w:rStyle w:val="30"/>
        <w:rFonts w:ascii="Times New Roman" w:hAnsi="Times New Roman" w:eastAsia="宋体"/>
        <w:sz w:val="18"/>
        <w:szCs w:val="20"/>
      </w:rPr>
      <w:instrText xml:space="preserve">PAGE  </w:instrText>
    </w:r>
    <w:r>
      <w:rPr>
        <w:rFonts w:ascii="Times New Roman" w:hAnsi="Times New Roman" w:eastAsia="仿宋_GB2312"/>
        <w:sz w:val="18"/>
        <w:szCs w:val="20"/>
      </w:rPr>
      <w:fldChar w:fldCharType="separate"/>
    </w:r>
    <w:r>
      <w:rPr>
        <w:rStyle w:val="30"/>
        <w:rFonts w:ascii="Times New Roman" w:hAnsi="Times New Roman" w:eastAsia="宋体"/>
        <w:sz w:val="18"/>
        <w:szCs w:val="20"/>
      </w:rPr>
      <w:t>70</w:t>
    </w:r>
    <w:r>
      <w:rPr>
        <w:rFonts w:ascii="Times New Roman" w:hAnsi="Times New Roman" w:eastAsia="仿宋_GB2312"/>
        <w:sz w:val="18"/>
        <w:szCs w:val="20"/>
      </w:rPr>
      <w:fldChar w:fldCharType="end"/>
    </w:r>
  </w:p>
  <w:p>
    <w:pPr>
      <w:snapToGrid w:val="0"/>
      <w:ind w:right="360"/>
      <w:jc w:val="left"/>
      <w:rPr>
        <w:rFonts w:ascii="Times New Roman" w:hAnsi="Times New Roman" w:eastAsia="仿宋_GB2312"/>
        <w:sz w:val="18"/>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hint="eastAsia" w:eastAsia="宋体"/>
                            </w:rPr>
                            <w:t>66</w:t>
                          </w:r>
                          <w:r>
                            <w:rPr>
                              <w:rFonts w:hint="eastAsia" w:eastAsia="宋体"/>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pPr>
                      <w:pStyle w:val="14"/>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hint="eastAsia" w:eastAsia="宋体"/>
                      </w:rPr>
                      <w:t>66</w:t>
                    </w:r>
                    <w:r>
                      <w:rPr>
                        <w:rFonts w:hint="eastAsia" w:eastAsia="宋体"/>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jc w:val="left"/>
      <w:rPr>
        <w:rFonts w:ascii="宋体" w:hAnsi="宋体"/>
      </w:rPr>
    </w:pPr>
    <w:r>
      <w:rPr>
        <w:rFonts w:hint="eastAsia" w:ascii="宋体" w:hAnsi="宋体" w:eastAsia="宋体"/>
        <w:lang w:eastAsia="zh-CN"/>
      </w:rPr>
      <w:t>仙居县人民医院病理科改造项目（重新招标）</w:t>
    </w:r>
    <w:r>
      <w:rPr>
        <w:rFonts w:hint="eastAsia" w:ascii="宋体" w:hAnsi="宋体"/>
      </w:rPr>
      <w:t xml:space="preserve"> </w:t>
    </w:r>
    <w:r>
      <w:rPr>
        <w:rFonts w:hint="eastAsia" w:ascii="宋体" w:hAnsi="宋体" w:eastAsia="宋体"/>
      </w:rPr>
      <w:t xml:space="preserve">                                       </w:t>
    </w:r>
    <w:r>
      <w:rPr>
        <w:rFonts w:hint="eastAsia" w:ascii="宋体" w:hAnsi="宋体"/>
      </w:rPr>
      <w:t xml:space="preserve">竞争性磋商文件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101C60"/>
    <w:multiLevelType w:val="singleLevel"/>
    <w:tmpl w:val="95101C60"/>
    <w:lvl w:ilvl="0" w:tentative="0">
      <w:start w:val="1"/>
      <w:numFmt w:val="decimal"/>
      <w:suff w:val="space"/>
      <w:lvlText w:val="%1."/>
      <w:lvlJc w:val="left"/>
    </w:lvl>
  </w:abstractNum>
  <w:abstractNum w:abstractNumId="1">
    <w:nsid w:val="D383743B"/>
    <w:multiLevelType w:val="singleLevel"/>
    <w:tmpl w:val="D383743B"/>
    <w:lvl w:ilvl="0" w:tentative="0">
      <w:start w:val="1"/>
      <w:numFmt w:val="decimal"/>
      <w:suff w:val="nothing"/>
      <w:lvlText w:val="%1、"/>
      <w:lvlJc w:val="left"/>
    </w:lvl>
  </w:abstractNum>
  <w:abstractNum w:abstractNumId="2">
    <w:nsid w:val="E569491F"/>
    <w:multiLevelType w:val="multilevel"/>
    <w:tmpl w:val="E569491F"/>
    <w:lvl w:ilvl="0" w:tentative="0">
      <w:start w:val="1"/>
      <w:numFmt w:val="chineseCountingThousand"/>
      <w:lvlText w:val="%1、"/>
      <w:lvlJc w:val="left"/>
      <w:pPr>
        <w:tabs>
          <w:tab w:val="left" w:pos="0"/>
        </w:tabs>
        <w:ind w:left="420" w:hanging="420"/>
      </w:p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3">
    <w:nsid w:val="16527DA9"/>
    <w:multiLevelType w:val="singleLevel"/>
    <w:tmpl w:val="16527DA9"/>
    <w:lvl w:ilvl="0" w:tentative="0">
      <w:start w:val="5"/>
      <w:numFmt w:val="chineseCounting"/>
      <w:suff w:val="space"/>
      <w:lvlText w:val="第%1部分"/>
      <w:lvlJc w:val="left"/>
      <w:rPr>
        <w:rFonts w:hint="eastAsia"/>
      </w:rPr>
    </w:lvl>
  </w:abstractNum>
  <w:abstractNum w:abstractNumId="4">
    <w:nsid w:val="1C7B43CE"/>
    <w:multiLevelType w:val="singleLevel"/>
    <w:tmpl w:val="1C7B43CE"/>
    <w:lvl w:ilvl="0" w:tentative="0">
      <w:start w:val="3"/>
      <w:numFmt w:val="decimal"/>
      <w:suff w:val="nothing"/>
      <w:lvlText w:val="（%1）"/>
      <w:lvlJc w:val="left"/>
    </w:lvl>
  </w:abstractNum>
  <w:abstractNum w:abstractNumId="5">
    <w:nsid w:val="5270CB86"/>
    <w:multiLevelType w:val="singleLevel"/>
    <w:tmpl w:val="5270CB86"/>
    <w:lvl w:ilvl="0" w:tentative="0">
      <w:start w:val="2"/>
      <w:numFmt w:val="decimal"/>
      <w:suff w:val="nothing"/>
      <w:lvlText w:val="%1、"/>
      <w:lvlJc w:val="left"/>
    </w:lvl>
  </w:abstractNum>
  <w:abstractNum w:abstractNumId="6">
    <w:nsid w:val="549E6E47"/>
    <w:multiLevelType w:val="singleLevel"/>
    <w:tmpl w:val="549E6E47"/>
    <w:lvl w:ilvl="0" w:tentative="0">
      <w:start w:val="2"/>
      <w:numFmt w:val="decimal"/>
      <w:suff w:val="nothing"/>
      <w:lvlText w:val="%1）"/>
      <w:lvlJc w:val="left"/>
    </w:lvl>
  </w:abstractNum>
  <w:abstractNum w:abstractNumId="7">
    <w:nsid w:val="54F403B5"/>
    <w:multiLevelType w:val="singleLevel"/>
    <w:tmpl w:val="54F403B5"/>
    <w:lvl w:ilvl="0" w:tentative="0">
      <w:start w:val="1"/>
      <w:numFmt w:val="chineseCounting"/>
      <w:suff w:val="nothing"/>
      <w:lvlText w:val="%1、"/>
      <w:lvlJc w:val="left"/>
      <w:rPr>
        <w:rFonts w:cs="Times New Roman"/>
      </w:rPr>
    </w:lvl>
  </w:abstractNum>
  <w:abstractNum w:abstractNumId="8">
    <w:nsid w:val="557FD3DA"/>
    <w:multiLevelType w:val="singleLevel"/>
    <w:tmpl w:val="557FD3DA"/>
    <w:lvl w:ilvl="0" w:tentative="0">
      <w:start w:val="3"/>
      <w:numFmt w:val="chineseCounting"/>
      <w:suff w:val="nothing"/>
      <w:lvlText w:val="%1、"/>
      <w:lvlJc w:val="left"/>
      <w:rPr>
        <w:rFonts w:cs="Times New Roman"/>
      </w:rPr>
    </w:lvl>
  </w:abstractNum>
  <w:abstractNum w:abstractNumId="9">
    <w:nsid w:val="5A205BE0"/>
    <w:multiLevelType w:val="singleLevel"/>
    <w:tmpl w:val="5A205BE0"/>
    <w:lvl w:ilvl="0" w:tentative="0">
      <w:start w:val="1"/>
      <w:numFmt w:val="decimal"/>
      <w:suff w:val="space"/>
      <w:lvlText w:val="%1."/>
      <w:lvlJc w:val="left"/>
    </w:lvl>
  </w:abstractNum>
  <w:abstractNum w:abstractNumId="10">
    <w:nsid w:val="6A922762"/>
    <w:multiLevelType w:val="multilevel"/>
    <w:tmpl w:val="6A922762"/>
    <w:lvl w:ilvl="0" w:tentative="0">
      <w:start w:val="1"/>
      <w:numFmt w:val="decimal"/>
      <w:lvlText w:val="%1、"/>
      <w:lvlJc w:val="left"/>
      <w:pPr>
        <w:tabs>
          <w:tab w:val="left" w:pos="840"/>
        </w:tabs>
        <w:ind w:left="84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711E1C2E"/>
    <w:multiLevelType w:val="singleLevel"/>
    <w:tmpl w:val="711E1C2E"/>
    <w:lvl w:ilvl="0" w:tentative="0">
      <w:start w:val="2"/>
      <w:numFmt w:val="chineseCounting"/>
      <w:suff w:val="nothing"/>
      <w:lvlText w:val="%1、"/>
      <w:lvlJc w:val="left"/>
      <w:rPr>
        <w:rFonts w:hint="eastAsia"/>
      </w:rPr>
    </w:lvl>
  </w:abstractNum>
  <w:num w:numId="1">
    <w:abstractNumId w:val="2"/>
    <w:lvlOverride w:ilvl="0">
      <w:lvl w:ilvl="0" w:tentative="1">
        <w:start w:val="1"/>
        <w:numFmt w:val="chineseCountingThousand"/>
        <w:suff w:val="space"/>
        <w:lvlText w:val="%1、"/>
        <w:lvlJc w:val="left"/>
        <w:pPr>
          <w:ind w:left="420" w:hanging="420"/>
        </w:pPr>
        <w:rPr>
          <w:rFonts w:hint="eastAsia"/>
          <w:b/>
          <w:bCs/>
        </w:rPr>
      </w:lvl>
    </w:lvlOverride>
    <w:lvlOverride w:ilvl="1">
      <w:lvl w:ilvl="1" w:tentative="1">
        <w:start w:val="1"/>
        <w:numFmt w:val="lowerLetter"/>
        <w:lvlRestart w:val="0"/>
        <w:lvlText w:val="%2)"/>
        <w:lvlJc w:val="left"/>
        <w:pPr>
          <w:ind w:left="840" w:hanging="420"/>
        </w:pPr>
      </w:lvl>
    </w:lvlOverride>
    <w:lvlOverride w:ilvl="2">
      <w:lvl w:ilvl="2" w:tentative="1">
        <w:start w:val="1"/>
        <w:numFmt w:val="lowerRoman"/>
        <w:lvlRestart w:val="0"/>
        <w:lvlText w:val="%3."/>
        <w:lvlJc w:val="right"/>
        <w:pPr>
          <w:ind w:left="1260" w:hanging="420"/>
        </w:pPr>
      </w:lvl>
    </w:lvlOverride>
    <w:lvlOverride w:ilvl="3">
      <w:lvl w:ilvl="3" w:tentative="1">
        <w:start w:val="1"/>
        <w:numFmt w:val="decimal"/>
        <w:lvlRestart w:val="0"/>
        <w:lvlText w:val="%4."/>
        <w:lvlJc w:val="left"/>
        <w:pPr>
          <w:ind w:left="1680" w:hanging="420"/>
        </w:pPr>
      </w:lvl>
    </w:lvlOverride>
    <w:lvlOverride w:ilvl="4">
      <w:lvl w:ilvl="4" w:tentative="1">
        <w:start w:val="1"/>
        <w:numFmt w:val="lowerLetter"/>
        <w:lvlRestart w:val="0"/>
        <w:lvlText w:val="%5)"/>
        <w:lvlJc w:val="left"/>
        <w:pPr>
          <w:ind w:left="2100" w:hanging="420"/>
        </w:pPr>
      </w:lvl>
    </w:lvlOverride>
    <w:lvlOverride w:ilvl="5">
      <w:lvl w:ilvl="5" w:tentative="1">
        <w:start w:val="1"/>
        <w:numFmt w:val="lowerRoman"/>
        <w:lvlRestart w:val="0"/>
        <w:lvlText w:val="%6."/>
        <w:lvlJc w:val="right"/>
        <w:pPr>
          <w:ind w:left="2520" w:hanging="420"/>
        </w:pPr>
      </w:lvl>
    </w:lvlOverride>
    <w:lvlOverride w:ilvl="6">
      <w:lvl w:ilvl="6" w:tentative="1">
        <w:start w:val="1"/>
        <w:numFmt w:val="decimal"/>
        <w:lvlRestart w:val="0"/>
        <w:lvlText w:val="%7."/>
        <w:lvlJc w:val="left"/>
        <w:pPr>
          <w:ind w:left="2940" w:hanging="420"/>
        </w:pPr>
      </w:lvl>
    </w:lvlOverride>
    <w:lvlOverride w:ilvl="7">
      <w:lvl w:ilvl="7" w:tentative="1">
        <w:start w:val="1"/>
        <w:numFmt w:val="lowerLetter"/>
        <w:lvlRestart w:val="0"/>
        <w:lvlText w:val="%8)"/>
        <w:lvlJc w:val="left"/>
        <w:pPr>
          <w:ind w:left="3360" w:hanging="420"/>
        </w:pPr>
      </w:lvl>
    </w:lvlOverride>
    <w:lvlOverride w:ilvl="8">
      <w:lvl w:ilvl="8" w:tentative="1">
        <w:start w:val="1"/>
        <w:numFmt w:val="lowerRoman"/>
        <w:lvlRestart w:val="0"/>
        <w:lvlText w:val="%9."/>
        <w:lvlJc w:val="right"/>
        <w:pPr>
          <w:ind w:left="3780" w:hanging="420"/>
        </w:pPr>
      </w:lvl>
    </w:lvlOverride>
  </w:num>
  <w:num w:numId="2">
    <w:abstractNumId w:val="11"/>
  </w:num>
  <w:num w:numId="3">
    <w:abstractNumId w:val="1"/>
  </w:num>
  <w:num w:numId="4">
    <w:abstractNumId w:val="10"/>
    <w:lvlOverride w:ilvl="0">
      <w:startOverride w:val="1"/>
    </w:lvlOverride>
  </w:num>
  <w:num w:numId="5">
    <w:abstractNumId w:val="4"/>
  </w:num>
  <w:num w:numId="6">
    <w:abstractNumId w:val="3"/>
  </w:num>
  <w:num w:numId="7">
    <w:abstractNumId w:val="6"/>
  </w:num>
  <w:num w:numId="8">
    <w:abstractNumId w:val="0"/>
  </w:num>
  <w:num w:numId="9">
    <w:abstractNumId w:val="9"/>
  </w:num>
  <w:num w:numId="10">
    <w:abstractNumId w:val="5"/>
  </w:num>
  <w:num w:numId="11">
    <w:abstractNumId w:val="7"/>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2045A"/>
    <w:rsid w:val="000A42AD"/>
    <w:rsid w:val="00172A27"/>
    <w:rsid w:val="0018299B"/>
    <w:rsid w:val="00184D8F"/>
    <w:rsid w:val="00260B5A"/>
    <w:rsid w:val="00282611"/>
    <w:rsid w:val="002F30B6"/>
    <w:rsid w:val="00340D73"/>
    <w:rsid w:val="00464BDA"/>
    <w:rsid w:val="004A36C2"/>
    <w:rsid w:val="004E4532"/>
    <w:rsid w:val="005614FA"/>
    <w:rsid w:val="00574D09"/>
    <w:rsid w:val="006B656B"/>
    <w:rsid w:val="006F5DD8"/>
    <w:rsid w:val="00737860"/>
    <w:rsid w:val="007A16E3"/>
    <w:rsid w:val="008A2B60"/>
    <w:rsid w:val="009325CE"/>
    <w:rsid w:val="00A36FDD"/>
    <w:rsid w:val="00A43012"/>
    <w:rsid w:val="00A5727E"/>
    <w:rsid w:val="00B15B6F"/>
    <w:rsid w:val="00B55C47"/>
    <w:rsid w:val="00B86DCD"/>
    <w:rsid w:val="00B8797E"/>
    <w:rsid w:val="00BE6A36"/>
    <w:rsid w:val="00BE6E21"/>
    <w:rsid w:val="00C3247E"/>
    <w:rsid w:val="00C552D0"/>
    <w:rsid w:val="00C66A04"/>
    <w:rsid w:val="00D76331"/>
    <w:rsid w:val="00D92C1F"/>
    <w:rsid w:val="00EE1CA0"/>
    <w:rsid w:val="00F96679"/>
    <w:rsid w:val="01112BA5"/>
    <w:rsid w:val="01213759"/>
    <w:rsid w:val="017C3495"/>
    <w:rsid w:val="019307F8"/>
    <w:rsid w:val="01974B71"/>
    <w:rsid w:val="019F7B19"/>
    <w:rsid w:val="01C3295C"/>
    <w:rsid w:val="01D825D1"/>
    <w:rsid w:val="01F10F4B"/>
    <w:rsid w:val="02071C2B"/>
    <w:rsid w:val="0220496D"/>
    <w:rsid w:val="026315F8"/>
    <w:rsid w:val="029A1778"/>
    <w:rsid w:val="02B33C2A"/>
    <w:rsid w:val="030A45AF"/>
    <w:rsid w:val="030F0B59"/>
    <w:rsid w:val="03100F08"/>
    <w:rsid w:val="034302BB"/>
    <w:rsid w:val="03A8134A"/>
    <w:rsid w:val="03BA4ADC"/>
    <w:rsid w:val="03DB1C3F"/>
    <w:rsid w:val="03EE3DD5"/>
    <w:rsid w:val="04681FB9"/>
    <w:rsid w:val="046D394C"/>
    <w:rsid w:val="047F5600"/>
    <w:rsid w:val="04CE20AC"/>
    <w:rsid w:val="05113C74"/>
    <w:rsid w:val="05DB5FB0"/>
    <w:rsid w:val="06047D48"/>
    <w:rsid w:val="061E0357"/>
    <w:rsid w:val="061E12E0"/>
    <w:rsid w:val="062C0B41"/>
    <w:rsid w:val="063B7107"/>
    <w:rsid w:val="068B06D2"/>
    <w:rsid w:val="068D685F"/>
    <w:rsid w:val="06927EA4"/>
    <w:rsid w:val="069C07BF"/>
    <w:rsid w:val="07742C6F"/>
    <w:rsid w:val="07AD1777"/>
    <w:rsid w:val="07B45E98"/>
    <w:rsid w:val="07F817E1"/>
    <w:rsid w:val="08452A08"/>
    <w:rsid w:val="08455DB5"/>
    <w:rsid w:val="08512A26"/>
    <w:rsid w:val="08DB2EDC"/>
    <w:rsid w:val="08E21F8A"/>
    <w:rsid w:val="08F15320"/>
    <w:rsid w:val="090F5A95"/>
    <w:rsid w:val="09772C97"/>
    <w:rsid w:val="09C31987"/>
    <w:rsid w:val="0A0C4954"/>
    <w:rsid w:val="0A132985"/>
    <w:rsid w:val="0A231045"/>
    <w:rsid w:val="0A2E0445"/>
    <w:rsid w:val="0A3C34DB"/>
    <w:rsid w:val="0AB46065"/>
    <w:rsid w:val="0B225D20"/>
    <w:rsid w:val="0B304245"/>
    <w:rsid w:val="0B583635"/>
    <w:rsid w:val="0B82510B"/>
    <w:rsid w:val="0BBD04AE"/>
    <w:rsid w:val="0BCD2A75"/>
    <w:rsid w:val="0C446FD3"/>
    <w:rsid w:val="0C454BE6"/>
    <w:rsid w:val="0C5D3945"/>
    <w:rsid w:val="0CA8108B"/>
    <w:rsid w:val="0CC17A74"/>
    <w:rsid w:val="0D9E17F6"/>
    <w:rsid w:val="0E105184"/>
    <w:rsid w:val="0E461019"/>
    <w:rsid w:val="0E6D5C0B"/>
    <w:rsid w:val="0E9456CA"/>
    <w:rsid w:val="0F4800AD"/>
    <w:rsid w:val="0F5A5216"/>
    <w:rsid w:val="0F88614D"/>
    <w:rsid w:val="0FCE087C"/>
    <w:rsid w:val="0FFB5583"/>
    <w:rsid w:val="100D01C3"/>
    <w:rsid w:val="100D715A"/>
    <w:rsid w:val="105070ED"/>
    <w:rsid w:val="10BB6875"/>
    <w:rsid w:val="10E0041E"/>
    <w:rsid w:val="11345108"/>
    <w:rsid w:val="114511DC"/>
    <w:rsid w:val="11526E1B"/>
    <w:rsid w:val="115B693C"/>
    <w:rsid w:val="1177110F"/>
    <w:rsid w:val="11B455BF"/>
    <w:rsid w:val="11FE6595"/>
    <w:rsid w:val="123815EE"/>
    <w:rsid w:val="12AF7A76"/>
    <w:rsid w:val="12D23E0C"/>
    <w:rsid w:val="132E5F05"/>
    <w:rsid w:val="134347E7"/>
    <w:rsid w:val="13AB567E"/>
    <w:rsid w:val="13EF1A79"/>
    <w:rsid w:val="142E4A09"/>
    <w:rsid w:val="143E77CB"/>
    <w:rsid w:val="14577EEB"/>
    <w:rsid w:val="14587892"/>
    <w:rsid w:val="14780FF6"/>
    <w:rsid w:val="14AC0A8A"/>
    <w:rsid w:val="155A6281"/>
    <w:rsid w:val="155B65CD"/>
    <w:rsid w:val="15A30DBE"/>
    <w:rsid w:val="16153A78"/>
    <w:rsid w:val="162214C3"/>
    <w:rsid w:val="16352940"/>
    <w:rsid w:val="163B4A6C"/>
    <w:rsid w:val="166101D9"/>
    <w:rsid w:val="166159FD"/>
    <w:rsid w:val="16745A13"/>
    <w:rsid w:val="16B50AE5"/>
    <w:rsid w:val="16C04CC9"/>
    <w:rsid w:val="16E048FA"/>
    <w:rsid w:val="17BC3165"/>
    <w:rsid w:val="1802084F"/>
    <w:rsid w:val="180C5755"/>
    <w:rsid w:val="18565215"/>
    <w:rsid w:val="18DE625B"/>
    <w:rsid w:val="18EF014F"/>
    <w:rsid w:val="19087725"/>
    <w:rsid w:val="1987591A"/>
    <w:rsid w:val="19892BBB"/>
    <w:rsid w:val="199221AE"/>
    <w:rsid w:val="19F54C03"/>
    <w:rsid w:val="1A6F5A2A"/>
    <w:rsid w:val="1A9B379E"/>
    <w:rsid w:val="1AC0257F"/>
    <w:rsid w:val="1ADB4120"/>
    <w:rsid w:val="1B0D6FB3"/>
    <w:rsid w:val="1B907EBD"/>
    <w:rsid w:val="1B9D182D"/>
    <w:rsid w:val="1BA63978"/>
    <w:rsid w:val="1BC16993"/>
    <w:rsid w:val="1C334A43"/>
    <w:rsid w:val="1C567880"/>
    <w:rsid w:val="1CE0113E"/>
    <w:rsid w:val="1CE67A02"/>
    <w:rsid w:val="1D047CC2"/>
    <w:rsid w:val="1D0E21DE"/>
    <w:rsid w:val="1D6503FF"/>
    <w:rsid w:val="1D6F1AEC"/>
    <w:rsid w:val="1D7B0DBA"/>
    <w:rsid w:val="1D850ACF"/>
    <w:rsid w:val="1D9D42B0"/>
    <w:rsid w:val="1DF95A93"/>
    <w:rsid w:val="1E2E76AC"/>
    <w:rsid w:val="1E3B1FCF"/>
    <w:rsid w:val="1E89254D"/>
    <w:rsid w:val="1ECC40A2"/>
    <w:rsid w:val="1F613E65"/>
    <w:rsid w:val="1F6C5F0D"/>
    <w:rsid w:val="1FC80FBA"/>
    <w:rsid w:val="21364425"/>
    <w:rsid w:val="213B7B85"/>
    <w:rsid w:val="214C2DAB"/>
    <w:rsid w:val="21880210"/>
    <w:rsid w:val="21C30EB8"/>
    <w:rsid w:val="21FF70E4"/>
    <w:rsid w:val="223E7F8C"/>
    <w:rsid w:val="227634FA"/>
    <w:rsid w:val="229F513C"/>
    <w:rsid w:val="235E60BE"/>
    <w:rsid w:val="23985636"/>
    <w:rsid w:val="23E3514C"/>
    <w:rsid w:val="24672932"/>
    <w:rsid w:val="250E2F46"/>
    <w:rsid w:val="25433BD1"/>
    <w:rsid w:val="25F947F6"/>
    <w:rsid w:val="26326B85"/>
    <w:rsid w:val="264A07E2"/>
    <w:rsid w:val="26672A31"/>
    <w:rsid w:val="26B6474F"/>
    <w:rsid w:val="275577CA"/>
    <w:rsid w:val="275E705B"/>
    <w:rsid w:val="2774085F"/>
    <w:rsid w:val="279B0575"/>
    <w:rsid w:val="27B32BD6"/>
    <w:rsid w:val="27BA53E2"/>
    <w:rsid w:val="27BD65F2"/>
    <w:rsid w:val="27D8527D"/>
    <w:rsid w:val="27DE7711"/>
    <w:rsid w:val="27E76349"/>
    <w:rsid w:val="27F26027"/>
    <w:rsid w:val="282B03D3"/>
    <w:rsid w:val="28631545"/>
    <w:rsid w:val="287D7F87"/>
    <w:rsid w:val="28D87824"/>
    <w:rsid w:val="28DD4F6F"/>
    <w:rsid w:val="28FB5CEC"/>
    <w:rsid w:val="293A48C5"/>
    <w:rsid w:val="29494A74"/>
    <w:rsid w:val="29845B02"/>
    <w:rsid w:val="29A23F11"/>
    <w:rsid w:val="29B35671"/>
    <w:rsid w:val="29B66195"/>
    <w:rsid w:val="29C9632A"/>
    <w:rsid w:val="29F44B2A"/>
    <w:rsid w:val="2A157D84"/>
    <w:rsid w:val="2A4422D8"/>
    <w:rsid w:val="2A88034A"/>
    <w:rsid w:val="2A8F7FF2"/>
    <w:rsid w:val="2AA026CA"/>
    <w:rsid w:val="2ADB6B33"/>
    <w:rsid w:val="2B634913"/>
    <w:rsid w:val="2BAF5A15"/>
    <w:rsid w:val="2BDC3649"/>
    <w:rsid w:val="2C027583"/>
    <w:rsid w:val="2C2326A6"/>
    <w:rsid w:val="2C2605B8"/>
    <w:rsid w:val="2C4958B7"/>
    <w:rsid w:val="2C4A4B08"/>
    <w:rsid w:val="2C7D4B16"/>
    <w:rsid w:val="2CB4112A"/>
    <w:rsid w:val="2CB70A4F"/>
    <w:rsid w:val="2CC401C8"/>
    <w:rsid w:val="2CD177B2"/>
    <w:rsid w:val="2CD60930"/>
    <w:rsid w:val="2CFB11C5"/>
    <w:rsid w:val="2D2F1D12"/>
    <w:rsid w:val="2D605E4C"/>
    <w:rsid w:val="2D6E1C48"/>
    <w:rsid w:val="2DED3EDA"/>
    <w:rsid w:val="2DF21472"/>
    <w:rsid w:val="2E320F70"/>
    <w:rsid w:val="2E3A783F"/>
    <w:rsid w:val="2E4C207C"/>
    <w:rsid w:val="2F1E4025"/>
    <w:rsid w:val="2FBB6C80"/>
    <w:rsid w:val="2FBC0CDA"/>
    <w:rsid w:val="2FD559DB"/>
    <w:rsid w:val="2FF879CE"/>
    <w:rsid w:val="300317B5"/>
    <w:rsid w:val="30045288"/>
    <w:rsid w:val="302379D5"/>
    <w:rsid w:val="306079FE"/>
    <w:rsid w:val="306E1418"/>
    <w:rsid w:val="307548C9"/>
    <w:rsid w:val="30D121E7"/>
    <w:rsid w:val="30F5490B"/>
    <w:rsid w:val="314E2ED5"/>
    <w:rsid w:val="317D67FB"/>
    <w:rsid w:val="31940135"/>
    <w:rsid w:val="319A390E"/>
    <w:rsid w:val="31AA2C10"/>
    <w:rsid w:val="31D25C85"/>
    <w:rsid w:val="31E02924"/>
    <w:rsid w:val="31EC2FE5"/>
    <w:rsid w:val="324C5B1F"/>
    <w:rsid w:val="325A0BAA"/>
    <w:rsid w:val="32830C45"/>
    <w:rsid w:val="32A36C20"/>
    <w:rsid w:val="32D837C2"/>
    <w:rsid w:val="32DB2990"/>
    <w:rsid w:val="33092CE2"/>
    <w:rsid w:val="33221D4F"/>
    <w:rsid w:val="33546FD4"/>
    <w:rsid w:val="335B41DB"/>
    <w:rsid w:val="335C2B97"/>
    <w:rsid w:val="336D14C8"/>
    <w:rsid w:val="338A6271"/>
    <w:rsid w:val="338B7ECF"/>
    <w:rsid w:val="33B6166E"/>
    <w:rsid w:val="33CB564B"/>
    <w:rsid w:val="34544192"/>
    <w:rsid w:val="34647B46"/>
    <w:rsid w:val="34AF3444"/>
    <w:rsid w:val="34BE09C1"/>
    <w:rsid w:val="34C14C6E"/>
    <w:rsid w:val="35002630"/>
    <w:rsid w:val="350E01C9"/>
    <w:rsid w:val="358C1262"/>
    <w:rsid w:val="35990657"/>
    <w:rsid w:val="35B3578F"/>
    <w:rsid w:val="36260117"/>
    <w:rsid w:val="362D7AA7"/>
    <w:rsid w:val="363E2205"/>
    <w:rsid w:val="366833D8"/>
    <w:rsid w:val="368534FD"/>
    <w:rsid w:val="369029E5"/>
    <w:rsid w:val="37031BBD"/>
    <w:rsid w:val="370E0429"/>
    <w:rsid w:val="371F767A"/>
    <w:rsid w:val="37385818"/>
    <w:rsid w:val="375474F1"/>
    <w:rsid w:val="37572143"/>
    <w:rsid w:val="37F24E5C"/>
    <w:rsid w:val="380415DF"/>
    <w:rsid w:val="3813788B"/>
    <w:rsid w:val="38243BAF"/>
    <w:rsid w:val="388403FA"/>
    <w:rsid w:val="388A1FDA"/>
    <w:rsid w:val="38D40BFF"/>
    <w:rsid w:val="39033E4D"/>
    <w:rsid w:val="39091D94"/>
    <w:rsid w:val="39553BA9"/>
    <w:rsid w:val="396E2BAA"/>
    <w:rsid w:val="39743816"/>
    <w:rsid w:val="398805DD"/>
    <w:rsid w:val="39A9504D"/>
    <w:rsid w:val="39DF785B"/>
    <w:rsid w:val="39ED0A25"/>
    <w:rsid w:val="3AB53672"/>
    <w:rsid w:val="3ADF3E50"/>
    <w:rsid w:val="3B5239A0"/>
    <w:rsid w:val="3B7D7E86"/>
    <w:rsid w:val="3B947E00"/>
    <w:rsid w:val="3BB31140"/>
    <w:rsid w:val="3C2C24F3"/>
    <w:rsid w:val="3C8C2898"/>
    <w:rsid w:val="3D5B20FD"/>
    <w:rsid w:val="3DA23CB3"/>
    <w:rsid w:val="3DA308E6"/>
    <w:rsid w:val="3DC2102F"/>
    <w:rsid w:val="3DC2196D"/>
    <w:rsid w:val="3DD11929"/>
    <w:rsid w:val="3DD27E2F"/>
    <w:rsid w:val="3E277162"/>
    <w:rsid w:val="3E79182A"/>
    <w:rsid w:val="3F6B653E"/>
    <w:rsid w:val="3F6C033B"/>
    <w:rsid w:val="3F8A496B"/>
    <w:rsid w:val="3F9A1125"/>
    <w:rsid w:val="3FA76BE6"/>
    <w:rsid w:val="407A5E7E"/>
    <w:rsid w:val="40E36E0F"/>
    <w:rsid w:val="41775F87"/>
    <w:rsid w:val="41A00A5C"/>
    <w:rsid w:val="41B4624F"/>
    <w:rsid w:val="41C42948"/>
    <w:rsid w:val="41CC7832"/>
    <w:rsid w:val="422376E7"/>
    <w:rsid w:val="423B5334"/>
    <w:rsid w:val="42871D21"/>
    <w:rsid w:val="43A713E9"/>
    <w:rsid w:val="43A85A27"/>
    <w:rsid w:val="43CF2F38"/>
    <w:rsid w:val="43E806CC"/>
    <w:rsid w:val="44022325"/>
    <w:rsid w:val="443D592D"/>
    <w:rsid w:val="444556FB"/>
    <w:rsid w:val="44643939"/>
    <w:rsid w:val="446E6091"/>
    <w:rsid w:val="44C10289"/>
    <w:rsid w:val="44C63384"/>
    <w:rsid w:val="44D53400"/>
    <w:rsid w:val="44ED3F8B"/>
    <w:rsid w:val="453E7679"/>
    <w:rsid w:val="45A46568"/>
    <w:rsid w:val="45AA46B8"/>
    <w:rsid w:val="45B253F4"/>
    <w:rsid w:val="45B62104"/>
    <w:rsid w:val="46425AFD"/>
    <w:rsid w:val="466D4783"/>
    <w:rsid w:val="46A22098"/>
    <w:rsid w:val="46C3483E"/>
    <w:rsid w:val="46C75A99"/>
    <w:rsid w:val="46F10D66"/>
    <w:rsid w:val="471600DB"/>
    <w:rsid w:val="47262018"/>
    <w:rsid w:val="475E2707"/>
    <w:rsid w:val="479967DF"/>
    <w:rsid w:val="48010421"/>
    <w:rsid w:val="481D4AC2"/>
    <w:rsid w:val="482A1636"/>
    <w:rsid w:val="48855A71"/>
    <w:rsid w:val="48A91182"/>
    <w:rsid w:val="49A14300"/>
    <w:rsid w:val="49C07329"/>
    <w:rsid w:val="49C36E71"/>
    <w:rsid w:val="4A0329E0"/>
    <w:rsid w:val="4A320017"/>
    <w:rsid w:val="4A562F7B"/>
    <w:rsid w:val="4A600780"/>
    <w:rsid w:val="4ADF17DE"/>
    <w:rsid w:val="4AE56975"/>
    <w:rsid w:val="4AF61082"/>
    <w:rsid w:val="4AF7124F"/>
    <w:rsid w:val="4B73170A"/>
    <w:rsid w:val="4B780E46"/>
    <w:rsid w:val="4BEE74AB"/>
    <w:rsid w:val="4C3C1669"/>
    <w:rsid w:val="4C5425E7"/>
    <w:rsid w:val="4C91269F"/>
    <w:rsid w:val="4CAC2C25"/>
    <w:rsid w:val="4CCF7B3D"/>
    <w:rsid w:val="4CD21630"/>
    <w:rsid w:val="4CFB3C34"/>
    <w:rsid w:val="4D08430D"/>
    <w:rsid w:val="4D1438C5"/>
    <w:rsid w:val="4D1B518D"/>
    <w:rsid w:val="4DEE715F"/>
    <w:rsid w:val="4DF93C38"/>
    <w:rsid w:val="4E19336F"/>
    <w:rsid w:val="4E2052B7"/>
    <w:rsid w:val="4E522529"/>
    <w:rsid w:val="4E6363FD"/>
    <w:rsid w:val="4EA41689"/>
    <w:rsid w:val="4EE417ED"/>
    <w:rsid w:val="4FB078D6"/>
    <w:rsid w:val="50310D2E"/>
    <w:rsid w:val="503F55E5"/>
    <w:rsid w:val="508A320D"/>
    <w:rsid w:val="5095714B"/>
    <w:rsid w:val="50DC5868"/>
    <w:rsid w:val="50F33A6E"/>
    <w:rsid w:val="51113C99"/>
    <w:rsid w:val="5149077F"/>
    <w:rsid w:val="5155776B"/>
    <w:rsid w:val="51643504"/>
    <w:rsid w:val="51864D34"/>
    <w:rsid w:val="5193364D"/>
    <w:rsid w:val="51D117C8"/>
    <w:rsid w:val="51EC6467"/>
    <w:rsid w:val="52300BC9"/>
    <w:rsid w:val="52437418"/>
    <w:rsid w:val="527E7910"/>
    <w:rsid w:val="528742F6"/>
    <w:rsid w:val="52921307"/>
    <w:rsid w:val="529A036B"/>
    <w:rsid w:val="53143572"/>
    <w:rsid w:val="532F2D47"/>
    <w:rsid w:val="53884282"/>
    <w:rsid w:val="539D280D"/>
    <w:rsid w:val="53D648EF"/>
    <w:rsid w:val="53FF2A29"/>
    <w:rsid w:val="54556FA0"/>
    <w:rsid w:val="54603D49"/>
    <w:rsid w:val="546C6344"/>
    <w:rsid w:val="54762A9B"/>
    <w:rsid w:val="548C6DB7"/>
    <w:rsid w:val="554D29A3"/>
    <w:rsid w:val="556E29AB"/>
    <w:rsid w:val="55850194"/>
    <w:rsid w:val="55CA321C"/>
    <w:rsid w:val="55D01C30"/>
    <w:rsid w:val="55D54B09"/>
    <w:rsid w:val="56371C22"/>
    <w:rsid w:val="5639439B"/>
    <w:rsid w:val="56581353"/>
    <w:rsid w:val="56863B13"/>
    <w:rsid w:val="56965119"/>
    <w:rsid w:val="56B26470"/>
    <w:rsid w:val="56CA4C98"/>
    <w:rsid w:val="56F546FF"/>
    <w:rsid w:val="57406386"/>
    <w:rsid w:val="575636C0"/>
    <w:rsid w:val="57EB1E99"/>
    <w:rsid w:val="57F00089"/>
    <w:rsid w:val="583849DE"/>
    <w:rsid w:val="584F1820"/>
    <w:rsid w:val="586A1985"/>
    <w:rsid w:val="58A95D1D"/>
    <w:rsid w:val="58C05632"/>
    <w:rsid w:val="590F6B64"/>
    <w:rsid w:val="592523F7"/>
    <w:rsid w:val="5963251C"/>
    <w:rsid w:val="59CE5964"/>
    <w:rsid w:val="5A057B46"/>
    <w:rsid w:val="5A297D55"/>
    <w:rsid w:val="5A3B437B"/>
    <w:rsid w:val="5A5041F7"/>
    <w:rsid w:val="5A6951F3"/>
    <w:rsid w:val="5A804A3A"/>
    <w:rsid w:val="5AD53D45"/>
    <w:rsid w:val="5AE71DE1"/>
    <w:rsid w:val="5AF3365C"/>
    <w:rsid w:val="5B1909C7"/>
    <w:rsid w:val="5B4C11A1"/>
    <w:rsid w:val="5B7D2D1C"/>
    <w:rsid w:val="5B990E98"/>
    <w:rsid w:val="5BD1008F"/>
    <w:rsid w:val="5C09102A"/>
    <w:rsid w:val="5C0B52ED"/>
    <w:rsid w:val="5C130339"/>
    <w:rsid w:val="5C872B8C"/>
    <w:rsid w:val="5CC62510"/>
    <w:rsid w:val="5D6B3030"/>
    <w:rsid w:val="5DBB029F"/>
    <w:rsid w:val="5DDA2782"/>
    <w:rsid w:val="5E057D13"/>
    <w:rsid w:val="5E6019ED"/>
    <w:rsid w:val="5E6864FB"/>
    <w:rsid w:val="5F317755"/>
    <w:rsid w:val="5F4E06B5"/>
    <w:rsid w:val="5F585B41"/>
    <w:rsid w:val="5F7E751F"/>
    <w:rsid w:val="5FA53244"/>
    <w:rsid w:val="5FC61FA3"/>
    <w:rsid w:val="5FD4012F"/>
    <w:rsid w:val="602006BF"/>
    <w:rsid w:val="60D263B9"/>
    <w:rsid w:val="614672B1"/>
    <w:rsid w:val="616746B4"/>
    <w:rsid w:val="61D27B22"/>
    <w:rsid w:val="61EF5721"/>
    <w:rsid w:val="626C118A"/>
    <w:rsid w:val="627860AA"/>
    <w:rsid w:val="62D17D13"/>
    <w:rsid w:val="63132977"/>
    <w:rsid w:val="63D00B3E"/>
    <w:rsid w:val="641F13B8"/>
    <w:rsid w:val="642377E2"/>
    <w:rsid w:val="6430011B"/>
    <w:rsid w:val="649522CA"/>
    <w:rsid w:val="64BB19FA"/>
    <w:rsid w:val="64F31B53"/>
    <w:rsid w:val="655A58A0"/>
    <w:rsid w:val="65DE3B6B"/>
    <w:rsid w:val="65E01AD1"/>
    <w:rsid w:val="65E07344"/>
    <w:rsid w:val="660A6B55"/>
    <w:rsid w:val="66911E92"/>
    <w:rsid w:val="66CC190A"/>
    <w:rsid w:val="66D71736"/>
    <w:rsid w:val="66E83EB0"/>
    <w:rsid w:val="6731630F"/>
    <w:rsid w:val="673E15C1"/>
    <w:rsid w:val="67887E3B"/>
    <w:rsid w:val="678E43CB"/>
    <w:rsid w:val="683C1A5E"/>
    <w:rsid w:val="68E62429"/>
    <w:rsid w:val="693C4753"/>
    <w:rsid w:val="695C22B9"/>
    <w:rsid w:val="69CF39C9"/>
    <w:rsid w:val="69E55018"/>
    <w:rsid w:val="69E974C0"/>
    <w:rsid w:val="69F43372"/>
    <w:rsid w:val="6ACC6FDD"/>
    <w:rsid w:val="6B5C104C"/>
    <w:rsid w:val="6B601BD5"/>
    <w:rsid w:val="6B6E41E6"/>
    <w:rsid w:val="6B750ED4"/>
    <w:rsid w:val="6B8A4463"/>
    <w:rsid w:val="6B8B7FE5"/>
    <w:rsid w:val="6B9D670B"/>
    <w:rsid w:val="6BBA58AE"/>
    <w:rsid w:val="6BD463A8"/>
    <w:rsid w:val="6BDE1851"/>
    <w:rsid w:val="6C295B28"/>
    <w:rsid w:val="6C460A48"/>
    <w:rsid w:val="6C4A051E"/>
    <w:rsid w:val="6C5C24F6"/>
    <w:rsid w:val="6CEF7F24"/>
    <w:rsid w:val="6D003795"/>
    <w:rsid w:val="6D0A1917"/>
    <w:rsid w:val="6D247158"/>
    <w:rsid w:val="6D2B560E"/>
    <w:rsid w:val="6D656A50"/>
    <w:rsid w:val="6DC92E52"/>
    <w:rsid w:val="6DD62F6D"/>
    <w:rsid w:val="6DE45584"/>
    <w:rsid w:val="6E285F5B"/>
    <w:rsid w:val="6E6B74F4"/>
    <w:rsid w:val="6E8C0157"/>
    <w:rsid w:val="6EBD1966"/>
    <w:rsid w:val="6F021908"/>
    <w:rsid w:val="6F1E7738"/>
    <w:rsid w:val="6F4C222E"/>
    <w:rsid w:val="6F537493"/>
    <w:rsid w:val="6F5573F9"/>
    <w:rsid w:val="6F59631C"/>
    <w:rsid w:val="6FB45BB1"/>
    <w:rsid w:val="6FC00AF9"/>
    <w:rsid w:val="6FDF31BC"/>
    <w:rsid w:val="70045E98"/>
    <w:rsid w:val="70506D0C"/>
    <w:rsid w:val="70893AA1"/>
    <w:rsid w:val="709A5CAE"/>
    <w:rsid w:val="70CB7AC7"/>
    <w:rsid w:val="71033860"/>
    <w:rsid w:val="715275D8"/>
    <w:rsid w:val="71824084"/>
    <w:rsid w:val="71994510"/>
    <w:rsid w:val="71A508D5"/>
    <w:rsid w:val="71D040AD"/>
    <w:rsid w:val="7202792D"/>
    <w:rsid w:val="722E7304"/>
    <w:rsid w:val="723353C4"/>
    <w:rsid w:val="72A01462"/>
    <w:rsid w:val="72A36844"/>
    <w:rsid w:val="72BF1536"/>
    <w:rsid w:val="73134B97"/>
    <w:rsid w:val="731727FD"/>
    <w:rsid w:val="732D6CD9"/>
    <w:rsid w:val="7355594F"/>
    <w:rsid w:val="73646061"/>
    <w:rsid w:val="7368497B"/>
    <w:rsid w:val="73AC78C7"/>
    <w:rsid w:val="73D6436E"/>
    <w:rsid w:val="73E61E94"/>
    <w:rsid w:val="740D541F"/>
    <w:rsid w:val="74107CAE"/>
    <w:rsid w:val="74204417"/>
    <w:rsid w:val="743C5116"/>
    <w:rsid w:val="748E607C"/>
    <w:rsid w:val="74BD7237"/>
    <w:rsid w:val="74C43856"/>
    <w:rsid w:val="74CC1DDA"/>
    <w:rsid w:val="74D91E8B"/>
    <w:rsid w:val="74DF2758"/>
    <w:rsid w:val="74DF6442"/>
    <w:rsid w:val="750A02E6"/>
    <w:rsid w:val="752360E0"/>
    <w:rsid w:val="7596365D"/>
    <w:rsid w:val="75A538D4"/>
    <w:rsid w:val="75D342AB"/>
    <w:rsid w:val="76800903"/>
    <w:rsid w:val="768A7841"/>
    <w:rsid w:val="76DF271A"/>
    <w:rsid w:val="771C10D4"/>
    <w:rsid w:val="77234719"/>
    <w:rsid w:val="773C2DCA"/>
    <w:rsid w:val="77614BCA"/>
    <w:rsid w:val="776D42F2"/>
    <w:rsid w:val="778576B9"/>
    <w:rsid w:val="778D5B3B"/>
    <w:rsid w:val="77AB6C5B"/>
    <w:rsid w:val="77AB73F8"/>
    <w:rsid w:val="77DC3D43"/>
    <w:rsid w:val="77E96525"/>
    <w:rsid w:val="77EA6D8C"/>
    <w:rsid w:val="780A1DE0"/>
    <w:rsid w:val="78762F0C"/>
    <w:rsid w:val="787E60A1"/>
    <w:rsid w:val="788D0370"/>
    <w:rsid w:val="78DC619C"/>
    <w:rsid w:val="78E82058"/>
    <w:rsid w:val="790A6328"/>
    <w:rsid w:val="79184013"/>
    <w:rsid w:val="792B0CBC"/>
    <w:rsid w:val="79310F9C"/>
    <w:rsid w:val="79506B50"/>
    <w:rsid w:val="79B16B6B"/>
    <w:rsid w:val="79CF3C89"/>
    <w:rsid w:val="79F93008"/>
    <w:rsid w:val="79FC004D"/>
    <w:rsid w:val="7A8A24EB"/>
    <w:rsid w:val="7B0B7EAE"/>
    <w:rsid w:val="7B9F1606"/>
    <w:rsid w:val="7BD32D57"/>
    <w:rsid w:val="7C0F2203"/>
    <w:rsid w:val="7C6A6119"/>
    <w:rsid w:val="7C791715"/>
    <w:rsid w:val="7CA00A65"/>
    <w:rsid w:val="7CFC40F4"/>
    <w:rsid w:val="7D086AFF"/>
    <w:rsid w:val="7D2B1B03"/>
    <w:rsid w:val="7D8E039B"/>
    <w:rsid w:val="7D9A0499"/>
    <w:rsid w:val="7DAA4474"/>
    <w:rsid w:val="7DD6561D"/>
    <w:rsid w:val="7DFF302C"/>
    <w:rsid w:val="7E074679"/>
    <w:rsid w:val="7E673515"/>
    <w:rsid w:val="7E6E2872"/>
    <w:rsid w:val="7EB925C4"/>
    <w:rsid w:val="7ECB097A"/>
    <w:rsid w:val="7F036A00"/>
    <w:rsid w:val="7F1D66B9"/>
    <w:rsid w:val="7F996430"/>
    <w:rsid w:val="7FD2342D"/>
    <w:rsid w:val="7FF0561E"/>
    <w:rsid w:val="7FFA10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Calibri" w:cs="Times New Roman"/>
      <w:kern w:val="2"/>
      <w:sz w:val="36"/>
      <w:szCs w:val="24"/>
      <w:lang w:val="en-US" w:eastAsia="zh-CN" w:bidi="ar-SA"/>
    </w:rPr>
  </w:style>
  <w:style w:type="paragraph" w:styleId="4">
    <w:name w:val="heading 1"/>
    <w:basedOn w:val="1"/>
    <w:next w:val="1"/>
    <w:qFormat/>
    <w:uiPriority w:val="0"/>
    <w:pPr>
      <w:keepNext/>
      <w:keepLines/>
      <w:spacing w:before="340" w:after="330" w:line="576" w:lineRule="auto"/>
      <w:outlineLvl w:val="0"/>
    </w:pPr>
    <w:rPr>
      <w:b/>
      <w:bCs/>
      <w:kern w:val="44"/>
      <w:sz w:val="44"/>
      <w:szCs w:val="44"/>
    </w:rPr>
  </w:style>
  <w:style w:type="paragraph" w:styleId="5">
    <w:name w:val="heading 2"/>
    <w:basedOn w:val="1"/>
    <w:next w:val="1"/>
    <w:qFormat/>
    <w:uiPriority w:val="0"/>
    <w:pPr>
      <w:keepNext/>
      <w:keepLines/>
      <w:spacing w:before="260" w:after="260" w:line="413" w:lineRule="auto"/>
      <w:outlineLvl w:val="1"/>
    </w:pPr>
    <w:rPr>
      <w:rFonts w:ascii="Arial" w:hAnsi="Arial" w:eastAsia="黑体"/>
      <w:b/>
      <w:bCs/>
      <w:sz w:val="32"/>
      <w:szCs w:val="32"/>
    </w:rPr>
  </w:style>
  <w:style w:type="paragraph" w:styleId="6">
    <w:name w:val="heading 3"/>
    <w:basedOn w:val="1"/>
    <w:next w:val="1"/>
    <w:unhideWhenUsed/>
    <w:qFormat/>
    <w:uiPriority w:val="0"/>
    <w:pPr>
      <w:spacing w:beforeAutospacing="1" w:afterAutospacing="1"/>
      <w:jc w:val="left"/>
      <w:outlineLvl w:val="2"/>
    </w:pPr>
    <w:rPr>
      <w:rFonts w:hint="eastAsia" w:ascii="宋体" w:hAnsi="宋体" w:eastAsia="宋体"/>
      <w:b/>
      <w:kern w:val="0"/>
      <w:sz w:val="27"/>
      <w:szCs w:val="27"/>
    </w:rPr>
  </w:style>
  <w:style w:type="paragraph" w:styleId="7">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1"/>
    <w:qFormat/>
    <w:uiPriority w:val="0"/>
    <w:pPr>
      <w:spacing w:before="200" w:after="80"/>
      <w:outlineLvl w:val="4"/>
    </w:pPr>
    <w:rPr>
      <w:rFonts w:ascii="Cambria" w:hAnsi="Cambria"/>
      <w:color w:val="4F81BD"/>
      <w:kern w:val="0"/>
      <w:sz w:val="20"/>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after="120"/>
    </w:pPr>
    <w:rPr>
      <w:sz w:val="21"/>
      <w:szCs w:val="22"/>
    </w:rPr>
  </w:style>
  <w:style w:type="paragraph" w:styleId="3">
    <w:name w:val="toc 4"/>
    <w:basedOn w:val="1"/>
    <w:next w:val="1"/>
    <w:qFormat/>
    <w:uiPriority w:val="0"/>
    <w:pPr>
      <w:ind w:left="630"/>
      <w:jc w:val="left"/>
    </w:pPr>
    <w:rPr>
      <w:sz w:val="18"/>
      <w:szCs w:val="18"/>
    </w:rPr>
  </w:style>
  <w:style w:type="paragraph" w:styleId="9">
    <w:name w:val="Normal Indent"/>
    <w:basedOn w:val="1"/>
    <w:qFormat/>
    <w:uiPriority w:val="0"/>
    <w:pPr>
      <w:ind w:firstLine="420"/>
    </w:pPr>
    <w:rPr>
      <w:sz w:val="21"/>
      <w:szCs w:val="20"/>
    </w:rPr>
  </w:style>
  <w:style w:type="paragraph" w:styleId="10">
    <w:name w:val="Body Text 3"/>
    <w:basedOn w:val="1"/>
    <w:qFormat/>
    <w:uiPriority w:val="0"/>
    <w:rPr>
      <w:rFonts w:ascii="宋体"/>
      <w:sz w:val="24"/>
      <w:szCs w:val="20"/>
    </w:rPr>
  </w:style>
  <w:style w:type="paragraph" w:styleId="11">
    <w:name w:val="Body Text Indent"/>
    <w:basedOn w:val="1"/>
    <w:next w:val="1"/>
    <w:qFormat/>
    <w:uiPriority w:val="0"/>
    <w:pPr>
      <w:adjustRightInd w:val="0"/>
      <w:spacing w:line="500" w:lineRule="atLeast"/>
      <w:ind w:firstLine="210"/>
      <w:textAlignment w:val="baseline"/>
    </w:pPr>
    <w:rPr>
      <w:rFonts w:ascii="仿宋_GB2312" w:eastAsia="仿宋_GB2312"/>
      <w:kern w:val="0"/>
      <w:sz w:val="24"/>
      <w:szCs w:val="20"/>
    </w:rPr>
  </w:style>
  <w:style w:type="paragraph" w:styleId="12">
    <w:name w:val="Plain Text"/>
    <w:basedOn w:val="1"/>
    <w:next w:val="13"/>
    <w:qFormat/>
    <w:uiPriority w:val="0"/>
    <w:rPr>
      <w:rFonts w:ascii="宋体" w:hAnsi="Courier New"/>
      <w:sz w:val="21"/>
      <w:szCs w:val="20"/>
    </w:rPr>
  </w:style>
  <w:style w:type="paragraph" w:styleId="13">
    <w:name w:val="Date"/>
    <w:basedOn w:val="1"/>
    <w:next w:val="1"/>
    <w:qFormat/>
    <w:uiPriority w:val="0"/>
    <w:pPr>
      <w:ind w:left="100" w:leftChars="2500"/>
    </w:pPr>
  </w:style>
  <w:style w:type="paragraph" w:styleId="14">
    <w:name w:val="footer"/>
    <w:basedOn w:val="1"/>
    <w:qFormat/>
    <w:uiPriority w:val="0"/>
    <w:pPr>
      <w:tabs>
        <w:tab w:val="center" w:pos="4153"/>
        <w:tab w:val="right" w:pos="8306"/>
      </w:tabs>
      <w:snapToGrid w:val="0"/>
      <w:jc w:val="left"/>
    </w:pPr>
    <w:rPr>
      <w:sz w:val="18"/>
      <w:szCs w:val="18"/>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0"/>
    <w:pPr>
      <w:tabs>
        <w:tab w:val="right" w:leader="dot" w:pos="9628"/>
      </w:tabs>
      <w:jc w:val="center"/>
    </w:pPr>
    <w:rPr>
      <w:b/>
      <w:sz w:val="52"/>
      <w:szCs w:val="52"/>
    </w:rPr>
  </w:style>
  <w:style w:type="paragraph" w:styleId="17">
    <w:name w:val="footnote text"/>
    <w:basedOn w:val="1"/>
    <w:semiHidden/>
    <w:qFormat/>
    <w:uiPriority w:val="0"/>
    <w:pPr>
      <w:snapToGrid w:val="0"/>
      <w:jc w:val="left"/>
    </w:pPr>
    <w:rPr>
      <w:rFonts w:eastAsia="仿宋_GB2312"/>
      <w:sz w:val="18"/>
      <w:szCs w:val="20"/>
    </w:rPr>
  </w:style>
  <w:style w:type="paragraph" w:styleId="18">
    <w:name w:val="toc 6"/>
    <w:basedOn w:val="1"/>
    <w:next w:val="1"/>
    <w:qFormat/>
    <w:uiPriority w:val="0"/>
    <w:pPr>
      <w:ind w:left="1000" w:leftChars="1000"/>
    </w:pPr>
  </w:style>
  <w:style w:type="paragraph" w:styleId="19">
    <w:name w:val="Body Text Indent 3"/>
    <w:basedOn w:val="1"/>
    <w:qFormat/>
    <w:uiPriority w:val="0"/>
    <w:pPr>
      <w:spacing w:after="120"/>
      <w:ind w:left="420" w:leftChars="200"/>
    </w:pPr>
    <w:rPr>
      <w:sz w:val="16"/>
      <w:szCs w:val="16"/>
    </w:rPr>
  </w:style>
  <w:style w:type="paragraph" w:styleId="20">
    <w:name w:val="Normal (Web)"/>
    <w:basedOn w:val="1"/>
    <w:qFormat/>
    <w:uiPriority w:val="0"/>
    <w:pPr>
      <w:widowControl/>
      <w:spacing w:before="100" w:beforeAutospacing="1" w:after="100" w:afterAutospacing="1"/>
      <w:jc w:val="left"/>
    </w:pPr>
    <w:rPr>
      <w:rFonts w:hint="eastAsia" w:ascii="宋体" w:hAnsi="宋体"/>
      <w:kern w:val="0"/>
      <w:sz w:val="24"/>
    </w:rPr>
  </w:style>
  <w:style w:type="paragraph" w:styleId="21">
    <w:name w:val="Title"/>
    <w:basedOn w:val="1"/>
    <w:next w:val="1"/>
    <w:qFormat/>
    <w:uiPriority w:val="0"/>
    <w:pPr>
      <w:widowControl/>
      <w:overflowPunct w:val="0"/>
      <w:autoSpaceDE w:val="0"/>
      <w:autoSpaceDN w:val="0"/>
      <w:adjustRightInd w:val="0"/>
      <w:jc w:val="center"/>
      <w:textAlignment w:val="baseline"/>
    </w:pPr>
    <w:rPr>
      <w:b/>
      <w:kern w:val="0"/>
      <w:sz w:val="24"/>
      <w:szCs w:val="20"/>
      <w:lang w:val="en-GB"/>
    </w:rPr>
  </w:style>
  <w:style w:type="paragraph" w:styleId="22">
    <w:name w:val="Body Text First Indent"/>
    <w:basedOn w:val="2"/>
    <w:next w:val="18"/>
    <w:qFormat/>
    <w:uiPriority w:val="0"/>
    <w:pPr>
      <w:ind w:firstLine="420" w:firstLineChars="100"/>
    </w:pPr>
  </w:style>
  <w:style w:type="paragraph" w:styleId="23">
    <w:name w:val="Body Text First Indent 2"/>
    <w:basedOn w:val="11"/>
    <w:qFormat/>
    <w:uiPriority w:val="0"/>
    <w:pPr>
      <w:autoSpaceDE w:val="0"/>
      <w:autoSpaceDN w:val="0"/>
      <w:spacing w:after="120"/>
      <w:ind w:left="420" w:leftChars="200" w:firstLine="420" w:firstLineChars="200"/>
      <w:jc w:val="left"/>
    </w:pPr>
    <w:rPr>
      <w:rFonts w:ascii="宋体"/>
      <w:sz w:val="34"/>
    </w:rPr>
  </w:style>
  <w:style w:type="table" w:styleId="25">
    <w:name w:val="Table Grid"/>
    <w:basedOn w:val="24"/>
    <w:unhideWhenUse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uiPriority w:val="0"/>
  </w:style>
  <w:style w:type="character" w:styleId="28">
    <w:name w:val="page number"/>
    <w:basedOn w:val="26"/>
    <w:qFormat/>
    <w:uiPriority w:val="0"/>
  </w:style>
  <w:style w:type="character" w:styleId="29">
    <w:name w:val="Hyperlink"/>
    <w:basedOn w:val="26"/>
    <w:qFormat/>
    <w:uiPriority w:val="0"/>
    <w:rPr>
      <w:color w:val="0000FF"/>
      <w:u w:val="single"/>
    </w:rPr>
  </w:style>
  <w:style w:type="character" w:styleId="30">
    <w:name w:val="footnote reference"/>
    <w:semiHidden/>
    <w:qFormat/>
    <w:uiPriority w:val="0"/>
    <w:rPr>
      <w:vertAlign w:val="superscript"/>
    </w:rPr>
  </w:style>
  <w:style w:type="paragraph" w:customStyle="1" w:styleId="31">
    <w:name w:val="Char"/>
    <w:basedOn w:val="1"/>
    <w:qFormat/>
    <w:uiPriority w:val="0"/>
    <w:pPr>
      <w:widowControl/>
      <w:spacing w:after="160" w:line="240" w:lineRule="exact"/>
      <w:jc w:val="left"/>
    </w:pPr>
    <w:rPr>
      <w:rFonts w:ascii="Verdana" w:hAnsi="Verdana" w:eastAsia="楷体_GB2312"/>
      <w:b/>
      <w:i/>
      <w:iCs/>
      <w:color w:val="000000"/>
      <w:kern w:val="0"/>
      <w:sz w:val="20"/>
      <w:szCs w:val="20"/>
      <w:lang w:eastAsia="en-US"/>
    </w:rPr>
  </w:style>
  <w:style w:type="paragraph" w:customStyle="1" w:styleId="32">
    <w:name w:val="[Normal]"/>
    <w:qFormat/>
    <w:uiPriority w:val="0"/>
    <w:rPr>
      <w:rFonts w:ascii="宋体" w:hAnsi="宋体" w:eastAsia="宋体" w:cs="Times New Roman"/>
      <w:sz w:val="24"/>
      <w:szCs w:val="22"/>
      <w:lang w:val="en-US" w:eastAsia="en-US" w:bidi="ar-SA"/>
    </w:rPr>
  </w:style>
  <w:style w:type="paragraph" w:customStyle="1" w:styleId="33">
    <w:name w:val="首行缩进"/>
    <w:basedOn w:val="1"/>
    <w:qFormat/>
    <w:uiPriority w:val="0"/>
    <w:rPr>
      <w:lang w:val="zh-CN"/>
    </w:rPr>
  </w:style>
  <w:style w:type="paragraph" w:customStyle="1" w:styleId="34">
    <w:name w:val="表格文字"/>
    <w:basedOn w:val="1"/>
    <w:next w:val="2"/>
    <w:qFormat/>
    <w:uiPriority w:val="0"/>
    <w:pPr>
      <w:spacing w:before="25" w:after="25"/>
      <w:jc w:val="left"/>
    </w:pPr>
    <w:rPr>
      <w:bCs/>
      <w:spacing w:val="10"/>
      <w:kern w:val="0"/>
      <w:sz w:val="24"/>
      <w:szCs w:val="20"/>
    </w:rPr>
  </w:style>
  <w:style w:type="paragraph" w:customStyle="1" w:styleId="35">
    <w:name w:val="无间隔1"/>
    <w:qFormat/>
    <w:uiPriority w:val="99"/>
    <w:pPr>
      <w:adjustRightInd w:val="0"/>
      <w:snapToGrid w:val="0"/>
    </w:pPr>
    <w:rPr>
      <w:rFonts w:ascii="Tahoma" w:hAnsi="Tahoma" w:eastAsia="微软雅黑" w:cs="Times New Roman"/>
      <w:sz w:val="22"/>
      <w:szCs w:val="22"/>
      <w:lang w:val="en-US" w:eastAsia="zh-CN" w:bidi="ar-SA"/>
    </w:rPr>
  </w:style>
  <w:style w:type="paragraph" w:customStyle="1" w:styleId="36">
    <w:name w:val="正文1"/>
    <w:basedOn w:val="1"/>
    <w:qFormat/>
    <w:uiPriority w:val="0"/>
    <w:pPr>
      <w:spacing w:line="360" w:lineRule="auto"/>
      <w:ind w:firstLine="200" w:firstLineChars="200"/>
      <w:jc w:val="left"/>
    </w:pPr>
    <w:rPr>
      <w:rFonts w:ascii="宋体" w:hAnsi="宋体"/>
      <w:color w:val="000000"/>
      <w:kern w:val="0"/>
      <w:sz w:val="24"/>
      <w:szCs w:val="20"/>
    </w:rPr>
  </w:style>
  <w:style w:type="paragraph" w:customStyle="1" w:styleId="37">
    <w:name w:val="列出段落"/>
    <w:basedOn w:val="1"/>
    <w:qFormat/>
    <w:uiPriority w:val="0"/>
    <w:pPr>
      <w:ind w:firstLine="420" w:firstLineChars="200"/>
    </w:pPr>
    <w:rPr>
      <w:sz w:val="21"/>
      <w:szCs w:val="22"/>
    </w:rPr>
  </w:style>
  <w:style w:type="paragraph" w:customStyle="1" w:styleId="38">
    <w:name w:val="表格内容"/>
    <w:basedOn w:val="1"/>
    <w:qFormat/>
    <w:uiPriority w:val="2"/>
    <w:pPr>
      <w:widowControl/>
      <w:jc w:val="center"/>
    </w:pPr>
    <w:rPr>
      <w:kern w:val="0"/>
      <w:sz w:val="24"/>
      <w:szCs w:val="28"/>
    </w:rPr>
  </w:style>
  <w:style w:type="paragraph" w:customStyle="1" w:styleId="39">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0">
    <w:name w:val="正文_6"/>
    <w:qFormat/>
    <w:uiPriority w:val="0"/>
    <w:pPr>
      <w:widowControl w:val="0"/>
      <w:jc w:val="both"/>
    </w:pPr>
    <w:rPr>
      <w:rFonts w:ascii="Calibri" w:hAnsi="Calibri" w:eastAsia="Calibri" w:cs="Times New Roman"/>
      <w:kern w:val="2"/>
      <w:sz w:val="21"/>
      <w:szCs w:val="24"/>
      <w:lang w:val="en-US" w:eastAsia="zh-CN" w:bidi="ar-SA"/>
    </w:rPr>
  </w:style>
  <w:style w:type="paragraph" w:customStyle="1" w:styleId="41">
    <w:name w:val="Plain Text1"/>
    <w:basedOn w:val="42"/>
    <w:qFormat/>
    <w:uiPriority w:val="99"/>
    <w:pPr>
      <w:widowControl/>
      <w:jc w:val="left"/>
    </w:pPr>
    <w:rPr>
      <w:rFonts w:ascii="宋体" w:hAnsi="Courier New"/>
    </w:rPr>
  </w:style>
  <w:style w:type="paragraph" w:customStyle="1" w:styleId="42">
    <w:name w:val="Normal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3">
    <w:name w:val="reader-word-layer reader-word-s3-4"/>
    <w:basedOn w:val="1"/>
    <w:qFormat/>
    <w:uiPriority w:val="0"/>
    <w:pPr>
      <w:widowControl/>
      <w:spacing w:before="100" w:beforeAutospacing="1" w:after="100" w:afterAutospacing="1"/>
      <w:jc w:val="left"/>
    </w:pPr>
    <w:rPr>
      <w:rFonts w:ascii="宋体" w:hAnsi="宋体" w:cs="宋体"/>
      <w:kern w:val="0"/>
      <w:sz w:val="24"/>
    </w:rPr>
  </w:style>
  <w:style w:type="character" w:customStyle="1" w:styleId="44">
    <w:name w:val="font51"/>
    <w:basedOn w:val="26"/>
    <w:qFormat/>
    <w:uiPriority w:val="0"/>
    <w:rPr>
      <w:rFonts w:hint="eastAsia" w:ascii="宋体" w:hAnsi="宋体" w:eastAsia="宋体" w:cs="宋体"/>
      <w:color w:val="000000"/>
      <w:sz w:val="18"/>
      <w:szCs w:val="18"/>
      <w:u w:val="none"/>
    </w:rPr>
  </w:style>
  <w:style w:type="paragraph" w:customStyle="1" w:styleId="45">
    <w:name w:val="内文正文"/>
    <w:basedOn w:val="12"/>
    <w:qFormat/>
    <w:uiPriority w:val="99"/>
    <w:pPr>
      <w:adjustRightInd w:val="0"/>
      <w:snapToGrid w:val="0"/>
      <w:spacing w:line="400" w:lineRule="exact"/>
      <w:ind w:firstLine="200" w:firstLineChars="200"/>
    </w:pPr>
    <w:rPr>
      <w:rFonts w:ascii="Arial" w:hAnsi="Arial"/>
      <w:color w:val="000000"/>
      <w:szCs w:val="21"/>
    </w:rPr>
  </w:style>
  <w:style w:type="paragraph" w:customStyle="1" w:styleId="46">
    <w:name w:val="Normal Indent1"/>
    <w:basedOn w:val="1"/>
    <w:qFormat/>
    <w:uiPriority w:val="0"/>
    <w:pPr>
      <w:ind w:firstLine="420" w:firstLineChars="200"/>
    </w:pPr>
  </w:style>
  <w:style w:type="paragraph" w:customStyle="1" w:styleId="47">
    <w:name w:val="批注框文本1"/>
    <w:basedOn w:val="1"/>
    <w:qFormat/>
    <w:uiPriority w:val="99"/>
    <w:rPr>
      <w:sz w:val="18"/>
      <w:szCs w:val="18"/>
    </w:rPr>
  </w:style>
  <w:style w:type="paragraph" w:customStyle="1" w:styleId="48">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49">
    <w:name w:val="纯文本1"/>
    <w:basedOn w:val="50"/>
    <w:qFormat/>
    <w:uiPriority w:val="0"/>
    <w:pPr>
      <w:widowControl/>
      <w:jc w:val="left"/>
    </w:pPr>
    <w:rPr>
      <w:rFonts w:ascii="宋体" w:hAnsi="Courier New"/>
    </w:rPr>
  </w:style>
  <w:style w:type="paragraph" w:customStyle="1" w:styleId="50">
    <w:name w:val="正文2"/>
    <w:qFormat/>
    <w:uiPriority w:val="0"/>
    <w:pPr>
      <w:widowControl w:val="0"/>
      <w:jc w:val="both"/>
    </w:pPr>
    <w:rPr>
      <w:rFonts w:hint="eastAsia" w:ascii="Times New Roman" w:hAnsi="Times New Roman" w:eastAsia="宋体" w:cs="Times New Roman"/>
      <w:kern w:val="2"/>
      <w:sz w:val="21"/>
      <w:szCs w:val="22"/>
      <w:lang w:val="en-US" w:eastAsia="zh-CN" w:bidi="ar-SA"/>
    </w:rPr>
  </w:style>
  <w:style w:type="paragraph" w:customStyle="1" w:styleId="5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52">
    <w:name w:val="样式 标题 3 + Arial"/>
    <w:basedOn w:val="6"/>
    <w:qFormat/>
    <w:uiPriority w:val="0"/>
    <w:pPr>
      <w:spacing w:beforeLines="100" w:line="360" w:lineRule="auto"/>
    </w:pPr>
    <w:rPr>
      <w:rFonts w:ascii="Arial" w:hAnsi="Arial"/>
      <w:sz w:val="24"/>
    </w:rPr>
  </w:style>
  <w:style w:type="paragraph" w:customStyle="1" w:styleId="53">
    <w:name w:val="_Style 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4">
    <w:name w:val="样式 标题 2 + Times New Roman 四号 非加粗 段前: 5 磅 段后: 0 磅 行距: 固定值 20..."/>
    <w:basedOn w:val="5"/>
    <w:qFormat/>
    <w:uiPriority w:val="0"/>
    <w:pPr>
      <w:tabs>
        <w:tab w:val="left" w:pos="3765"/>
      </w:tabs>
      <w:spacing w:before="100" w:after="0" w:line="400" w:lineRule="exact"/>
    </w:pPr>
    <w:rPr>
      <w:rFonts w:ascii="Times New Roman" w:hAnsi="Times New Roman" w:cs="宋体"/>
      <w:b w:val="0"/>
      <w:bCs w:val="0"/>
      <w:sz w:val="28"/>
      <w:szCs w:val="20"/>
    </w:rPr>
  </w:style>
  <w:style w:type="paragraph" w:customStyle="1" w:styleId="55">
    <w:name w:val="样式 样式1 + 首行缩进:  2 字符"/>
    <w:basedOn w:val="1"/>
    <w:qFormat/>
    <w:uiPriority w:val="0"/>
    <w:pPr>
      <w:spacing w:line="360" w:lineRule="exact"/>
      <w:ind w:firstLine="420" w:firstLineChars="200"/>
    </w:pPr>
    <w:rPr>
      <w:rFonts w:ascii="Arial" w:hAnsi="Arial" w:cs="宋体"/>
      <w:szCs w:val="20"/>
    </w:rPr>
  </w:style>
  <w:style w:type="paragraph" w:customStyle="1" w:styleId="56">
    <w:name w:val="Default"/>
    <w:next w:val="57"/>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7">
    <w:name w:val="目录 71"/>
    <w:next w:val="1"/>
    <w:qFormat/>
    <w:uiPriority w:val="0"/>
    <w:pPr>
      <w:wordWrap w:val="0"/>
      <w:ind w:left="2550"/>
      <w:jc w:val="both"/>
    </w:pPr>
    <w:rPr>
      <w:rFonts w:ascii="Calibri" w:hAnsi="Calibri" w:eastAsia="宋体" w:cs="Times New Roman"/>
      <w:sz w:val="21"/>
      <w:lang w:val="en-US" w:eastAsia="zh-CN" w:bidi="ar-SA"/>
    </w:rPr>
  </w:style>
  <w:style w:type="paragraph" w:customStyle="1" w:styleId="58">
    <w:name w:val="标题4"/>
    <w:basedOn w:val="1"/>
    <w:qFormat/>
    <w:uiPriority w:val="0"/>
    <w:rPr>
      <w:rFonts w:eastAsia="仿宋_GB2312"/>
      <w:sz w:val="32"/>
      <w:szCs w:val="20"/>
    </w:rPr>
  </w:style>
  <w:style w:type="paragraph" w:customStyle="1" w:styleId="59">
    <w:name w:val="样式 标题 3 + (中文) 黑体 小四 非加粗 段前: 7.8 磅 段后: 0 磅 行距: 固定值 20 磅"/>
    <w:basedOn w:val="6"/>
    <w:qFormat/>
    <w:uiPriority w:val="0"/>
    <w:pPr>
      <w:spacing w:line="400" w:lineRule="exact"/>
    </w:pPr>
    <w:rPr>
      <w:rFonts w:eastAsia="黑体" w:cs="宋体"/>
      <w:b w:val="0"/>
      <w:sz w:val="24"/>
      <w:szCs w:val="20"/>
    </w:rPr>
  </w:style>
  <w:style w:type="paragraph" w:customStyle="1" w:styleId="60">
    <w:name w:val="正文_2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61">
    <w:name w:val="TOC 标题2"/>
    <w:basedOn w:val="4"/>
    <w:next w:val="1"/>
    <w:unhideWhenUsed/>
    <w:qFormat/>
    <w:uiPriority w:val="0"/>
    <w:pPr>
      <w:outlineLvl w:val="9"/>
    </w:pPr>
    <w:rPr>
      <w:rFonts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jpe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jpeg"/><Relationship Id="rId27" Type="http://schemas.openxmlformats.org/officeDocument/2006/relationships/image" Target="media/image15.pn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151</Pages>
  <Words>84362</Words>
  <Characters>92667</Characters>
  <Lines>770</Lines>
  <Paragraphs>216</Paragraphs>
  <TotalTime>5</TotalTime>
  <ScaleCrop>false</ScaleCrop>
  <LinksUpToDate>false</LinksUpToDate>
  <CharactersWithSpaces>99408</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2020-08-10T07:26:00Z</dcterms:created>
  <dc:creator>Administrator</dc:creator>
  <cp:lastModifiedBy>菲菲 15068634199</cp:lastModifiedBy>
  <cp:lastPrinted>2022-03-31T07:55:00Z</cp:lastPrinted>
  <dcterms:modified xsi:type="dcterms:W3CDTF">2022-04-20T08:41:44Z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56DFCC41D5DD4EC19F59BBA9677EEA8F</vt:lpwstr>
  </property>
</Properties>
</file>