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52"/>
          <w:szCs w:val="52"/>
        </w:rPr>
      </w:pPr>
    </w:p>
    <w:p>
      <w:pPr>
        <w:pStyle w:val="12"/>
        <w:rPr>
          <w:rFonts w:ascii="宋体" w:hAnsi="宋体" w:cs="宋体"/>
          <w:sz w:val="52"/>
          <w:szCs w:val="52"/>
        </w:rPr>
      </w:pPr>
    </w:p>
    <w:p>
      <w:pPr>
        <w:pStyle w:val="12"/>
        <w:rPr>
          <w:rFonts w:ascii="宋体" w:hAnsi="宋体" w:cs="宋体"/>
          <w:sz w:val="52"/>
          <w:szCs w:val="52"/>
        </w:rPr>
      </w:pPr>
    </w:p>
    <w:p>
      <w:pPr>
        <w:jc w:val="center"/>
        <w:rPr>
          <w:rFonts w:ascii="宋体" w:hAnsi="宋体" w:cs="宋体"/>
          <w:b/>
          <w:color w:val="auto"/>
          <w:sz w:val="72"/>
          <w:szCs w:val="72"/>
        </w:rPr>
      </w:pPr>
      <w:r>
        <w:rPr>
          <w:rFonts w:hint="eastAsia" w:ascii="宋体" w:hAnsi="宋体" w:cs="宋体"/>
          <w:color w:val="auto"/>
          <w:sz w:val="72"/>
          <w:szCs w:val="72"/>
        </w:rPr>
        <w:t xml:space="preserve">     </w:t>
      </w:r>
    </w:p>
    <w:p>
      <w:pPr>
        <w:shd w:val="clear" w:color="auto" w:fill="FFFFFF"/>
        <w:spacing w:line="360" w:lineRule="auto"/>
        <w:jc w:val="center"/>
        <w:textAlignment w:val="bottom"/>
        <w:rPr>
          <w:rFonts w:ascii="宋体"/>
          <w:b/>
          <w:color w:val="auto"/>
          <w:kern w:val="0"/>
          <w:sz w:val="52"/>
          <w:szCs w:val="52"/>
        </w:rPr>
      </w:pPr>
      <w:r>
        <w:rPr>
          <w:rFonts w:hint="eastAsia" w:ascii="宋体"/>
          <w:b/>
          <w:color w:val="auto"/>
          <w:kern w:val="0"/>
          <w:sz w:val="52"/>
          <w:szCs w:val="52"/>
        </w:rPr>
        <w:t>政府采购电子招标文件</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52"/>
          <w:szCs w:val="52"/>
        </w:rPr>
      </w:pPr>
    </w:p>
    <w:p>
      <w:pPr>
        <w:pStyle w:val="12"/>
        <w:rPr>
          <w:color w:val="auto"/>
        </w:rPr>
      </w:pPr>
    </w:p>
    <w:p>
      <w:pPr>
        <w:pStyle w:val="12"/>
        <w:rPr>
          <w:color w:val="auto"/>
        </w:rPr>
      </w:pPr>
    </w:p>
    <w:p>
      <w:pPr>
        <w:adjustRightInd w:val="0"/>
        <w:snapToGrid w:val="0"/>
        <w:spacing w:line="360" w:lineRule="auto"/>
        <w:ind w:left="1521" w:hanging="1521" w:hangingChars="541"/>
        <w:rPr>
          <w:rFonts w:ascii="宋体" w:hAnsi="宋体" w:cs="宋体"/>
          <w:b/>
          <w:bCs/>
          <w:color w:val="auto"/>
          <w:sz w:val="28"/>
          <w:szCs w:val="28"/>
        </w:rPr>
      </w:pPr>
    </w:p>
    <w:p>
      <w:pPr>
        <w:autoSpaceDE w:val="0"/>
        <w:autoSpaceDN w:val="0"/>
        <w:adjustRightInd w:val="0"/>
        <w:spacing w:line="360" w:lineRule="auto"/>
        <w:ind w:firstLine="1400" w:firstLineChars="500"/>
        <w:rPr>
          <w:rFonts w:ascii="宋体" w:hAnsi="宋体" w:cs="宋体"/>
          <w:color w:val="auto"/>
          <w:kern w:val="0"/>
          <w:sz w:val="28"/>
        </w:rPr>
      </w:pPr>
      <w:r>
        <w:rPr>
          <w:rFonts w:hint="eastAsia" w:ascii="宋体" w:hAnsi="宋体" w:cs="宋体"/>
          <w:color w:val="auto"/>
          <w:kern w:val="0"/>
          <w:sz w:val="28"/>
        </w:rPr>
        <w:t xml:space="preserve">项目编号：ZJHD2021-0112 </w:t>
      </w:r>
    </w:p>
    <w:p>
      <w:pPr>
        <w:autoSpaceDE w:val="0"/>
        <w:autoSpaceDN w:val="0"/>
        <w:adjustRightInd w:val="0"/>
        <w:spacing w:line="360" w:lineRule="auto"/>
        <w:ind w:firstLine="1400" w:firstLineChars="500"/>
        <w:jc w:val="left"/>
        <w:rPr>
          <w:rFonts w:hint="eastAsia" w:ascii="宋体" w:hAnsi="宋体" w:eastAsia="宋体" w:cs="宋体"/>
          <w:color w:val="auto"/>
          <w:kern w:val="0"/>
          <w:sz w:val="28"/>
          <w:lang w:eastAsia="zh-CN"/>
        </w:rPr>
      </w:pPr>
      <w:r>
        <w:rPr>
          <w:rFonts w:hint="eastAsia" w:ascii="宋体" w:hAnsi="宋体" w:cs="宋体"/>
          <w:color w:val="auto"/>
          <w:kern w:val="0"/>
          <w:sz w:val="28"/>
        </w:rPr>
        <w:t>采购项目：</w:t>
      </w:r>
      <w:bookmarkStart w:id="8" w:name="_GoBack"/>
      <w:r>
        <w:rPr>
          <w:rFonts w:hint="eastAsia" w:ascii="宋体" w:hAnsi="宋体" w:cs="宋体"/>
          <w:color w:val="auto"/>
          <w:kern w:val="0"/>
          <w:sz w:val="28"/>
          <w:lang w:eastAsia="zh-CN"/>
        </w:rPr>
        <w:t>椒江沿岸工业地块和河滩专项排查</w:t>
      </w:r>
      <w:bookmarkEnd w:id="8"/>
    </w:p>
    <w:p>
      <w:pPr>
        <w:autoSpaceDE w:val="0"/>
        <w:autoSpaceDN w:val="0"/>
        <w:adjustRightInd w:val="0"/>
        <w:spacing w:line="360" w:lineRule="auto"/>
        <w:ind w:firstLine="1400" w:firstLineChars="500"/>
        <w:rPr>
          <w:rFonts w:ascii="宋体" w:hAnsi="宋体" w:cs="宋体"/>
          <w:color w:val="auto"/>
          <w:kern w:val="0"/>
          <w:sz w:val="28"/>
        </w:rPr>
      </w:pPr>
      <w:r>
        <w:rPr>
          <w:rFonts w:hint="eastAsia" w:ascii="宋体" w:hAnsi="宋体" w:cs="宋体"/>
          <w:color w:val="auto"/>
          <w:kern w:val="0"/>
          <w:sz w:val="28"/>
        </w:rPr>
        <w:t>采购人：台州市生态环境局椒江分局</w:t>
      </w:r>
    </w:p>
    <w:p>
      <w:pPr>
        <w:autoSpaceDE w:val="0"/>
        <w:autoSpaceDN w:val="0"/>
        <w:adjustRightInd w:val="0"/>
        <w:spacing w:line="360" w:lineRule="auto"/>
        <w:ind w:firstLine="1400" w:firstLineChars="500"/>
        <w:rPr>
          <w:rFonts w:ascii="宋体" w:hAnsi="宋体" w:cs="宋体"/>
          <w:color w:val="auto"/>
          <w:kern w:val="0"/>
          <w:sz w:val="28"/>
        </w:rPr>
      </w:pPr>
      <w:r>
        <w:rPr>
          <w:rFonts w:hint="eastAsia" w:ascii="宋体" w:hAnsi="宋体" w:cs="宋体"/>
          <w:color w:val="auto"/>
          <w:kern w:val="0"/>
          <w:sz w:val="28"/>
        </w:rPr>
        <w:t>采购代理机构：浙江洪大工程咨询有限公司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color w:val="auto"/>
          <w:kern w:val="0"/>
          <w:sz w:val="32"/>
        </w:rPr>
      </w:pPr>
    </w:p>
    <w:p>
      <w:pPr>
        <w:spacing w:line="360" w:lineRule="auto"/>
        <w:jc w:val="center"/>
        <w:rPr>
          <w:rFonts w:ascii="宋体" w:hAnsi="宋体" w:cs="宋体"/>
          <w:color w:val="auto"/>
          <w:sz w:val="28"/>
          <w:szCs w:val="28"/>
        </w:rPr>
      </w:pPr>
      <w:r>
        <w:rPr>
          <w:rFonts w:hint="eastAsia" w:ascii="宋体" w:hAnsi="宋体" w:cs="宋体"/>
          <w:color w:val="auto"/>
          <w:sz w:val="28"/>
          <w:szCs w:val="28"/>
        </w:rPr>
        <w:t>2021年1月</w:t>
      </w:r>
    </w:p>
    <w:p>
      <w:pPr>
        <w:rPr>
          <w:rFonts w:ascii="宋体" w:hAnsi="宋体" w:cs="宋体"/>
          <w:color w:val="auto"/>
          <w:sz w:val="28"/>
          <w:szCs w:val="28"/>
        </w:rPr>
      </w:pPr>
      <w:r>
        <w:rPr>
          <w:rFonts w:hint="eastAsia" w:ascii="宋体" w:hAnsi="宋体" w:cs="宋体"/>
          <w:color w:val="auto"/>
          <w:sz w:val="28"/>
          <w:szCs w:val="28"/>
        </w:rPr>
        <w:br w:type="page"/>
      </w:r>
    </w:p>
    <w:p>
      <w:pPr>
        <w:pStyle w:val="12"/>
        <w:rPr>
          <w:color w:val="auto"/>
        </w:rPr>
        <w:sectPr>
          <w:headerReference r:id="rId3" w:type="default"/>
          <w:footerReference r:id="rId4" w:type="even"/>
          <w:pgSz w:w="11906" w:h="16838"/>
          <w:pgMar w:top="1021" w:right="1588" w:bottom="851" w:left="1588" w:header="567" w:footer="454" w:gutter="0"/>
          <w:cols w:space="720" w:num="1"/>
          <w:docGrid w:linePitch="286" w:charSpace="0"/>
        </w:sectPr>
      </w:pPr>
    </w:p>
    <w:p>
      <w:pPr>
        <w:spacing w:line="360" w:lineRule="auto"/>
        <w:ind w:firstLine="480" w:firstLineChars="200"/>
        <w:rPr>
          <w:rFonts w:ascii="宋体" w:hAnsi="宋体" w:cs="宋体"/>
          <w:color w:val="auto"/>
          <w:sz w:val="24"/>
          <w:szCs w:val="32"/>
        </w:rPr>
      </w:pPr>
    </w:p>
    <w:p>
      <w:pPr>
        <w:spacing w:line="360" w:lineRule="auto"/>
        <w:ind w:firstLine="480" w:firstLineChars="200"/>
        <w:rPr>
          <w:rFonts w:ascii="宋体" w:hAnsi="宋体" w:cs="宋体"/>
          <w:color w:val="auto"/>
          <w:sz w:val="24"/>
          <w:szCs w:val="32"/>
        </w:rPr>
      </w:pPr>
    </w:p>
    <w:p>
      <w:pPr>
        <w:spacing w:line="360" w:lineRule="auto"/>
        <w:ind w:firstLine="480" w:firstLineChars="200"/>
        <w:rPr>
          <w:rFonts w:ascii="宋体" w:hAnsi="宋体" w:cs="宋体"/>
          <w:color w:val="auto"/>
          <w:sz w:val="24"/>
          <w:szCs w:val="32"/>
        </w:rPr>
      </w:pPr>
    </w:p>
    <w:p>
      <w:pPr>
        <w:jc w:val="center"/>
        <w:rPr>
          <w:rFonts w:ascii="宋体" w:hAnsi="宋体" w:cs="宋体"/>
          <w:b/>
          <w:bCs/>
          <w:color w:val="auto"/>
          <w:sz w:val="36"/>
          <w:szCs w:val="36"/>
        </w:rPr>
      </w:pPr>
      <w:r>
        <w:rPr>
          <w:rFonts w:hint="eastAsia" w:ascii="宋体" w:hAnsi="宋体" w:cs="宋体"/>
          <w:b/>
          <w:bCs/>
          <w:color w:val="auto"/>
          <w:sz w:val="36"/>
          <w:szCs w:val="36"/>
        </w:rPr>
        <w:t>目  录</w:t>
      </w:r>
    </w:p>
    <w:p>
      <w:pPr>
        <w:spacing w:line="360" w:lineRule="auto"/>
        <w:rPr>
          <w:rFonts w:ascii="宋体" w:hAnsi="宋体" w:cs="宋体"/>
          <w:color w:val="auto"/>
          <w:sz w:val="28"/>
          <w:szCs w:val="28"/>
        </w:rPr>
      </w:pPr>
    </w:p>
    <w:p>
      <w:pPr>
        <w:spacing w:line="360" w:lineRule="auto"/>
        <w:ind w:firstLine="643" w:firstLineChars="200"/>
        <w:rPr>
          <w:rFonts w:ascii="宋体" w:hAnsi="宋体" w:cs="宋体"/>
          <w:b/>
          <w:bCs/>
          <w:color w:val="auto"/>
          <w:sz w:val="32"/>
          <w:szCs w:val="32"/>
        </w:rPr>
      </w:pPr>
      <w:r>
        <w:rPr>
          <w:rFonts w:hint="eastAsia" w:ascii="宋体" w:hAnsi="宋体" w:cs="宋体"/>
          <w:b/>
          <w:bCs/>
          <w:color w:val="auto"/>
          <w:sz w:val="32"/>
          <w:szCs w:val="32"/>
        </w:rPr>
        <w:t>第一章 公开招标采购公告</w:t>
      </w:r>
    </w:p>
    <w:p>
      <w:pPr>
        <w:spacing w:line="360" w:lineRule="auto"/>
        <w:ind w:firstLine="643" w:firstLineChars="200"/>
        <w:rPr>
          <w:rFonts w:ascii="宋体" w:hAnsi="宋体" w:cs="宋体"/>
          <w:b/>
          <w:bCs/>
          <w:color w:val="auto"/>
          <w:sz w:val="32"/>
          <w:szCs w:val="32"/>
        </w:rPr>
      </w:pPr>
      <w:r>
        <w:rPr>
          <w:rFonts w:hint="eastAsia" w:ascii="宋体" w:hAnsi="宋体" w:cs="宋体"/>
          <w:b/>
          <w:bCs/>
          <w:color w:val="auto"/>
          <w:sz w:val="32"/>
          <w:szCs w:val="32"/>
        </w:rPr>
        <w:t>第二章 投标人须知</w:t>
      </w:r>
    </w:p>
    <w:p>
      <w:pPr>
        <w:spacing w:line="360" w:lineRule="auto"/>
        <w:ind w:firstLine="643" w:firstLineChars="200"/>
        <w:rPr>
          <w:rFonts w:ascii="宋体" w:hAnsi="宋体" w:cs="宋体"/>
          <w:b/>
          <w:bCs/>
          <w:color w:val="auto"/>
          <w:sz w:val="32"/>
          <w:szCs w:val="32"/>
        </w:rPr>
      </w:pPr>
      <w:r>
        <w:rPr>
          <w:rFonts w:hint="eastAsia" w:ascii="宋体" w:hAnsi="宋体" w:cs="宋体"/>
          <w:b/>
          <w:bCs/>
          <w:color w:val="auto"/>
          <w:sz w:val="32"/>
          <w:szCs w:val="32"/>
        </w:rPr>
        <w:t>第三章 评标办法及评分标准</w:t>
      </w:r>
    </w:p>
    <w:p>
      <w:pPr>
        <w:spacing w:line="360" w:lineRule="auto"/>
        <w:ind w:firstLine="643" w:firstLineChars="200"/>
        <w:rPr>
          <w:rFonts w:ascii="宋体" w:hAnsi="宋体" w:cs="宋体"/>
          <w:b/>
          <w:bCs/>
          <w:color w:val="auto"/>
          <w:sz w:val="32"/>
          <w:szCs w:val="32"/>
        </w:rPr>
      </w:pPr>
      <w:r>
        <w:rPr>
          <w:rFonts w:hint="eastAsia" w:ascii="宋体" w:hAnsi="宋体" w:cs="宋体"/>
          <w:b/>
          <w:bCs/>
          <w:color w:val="auto"/>
          <w:sz w:val="32"/>
          <w:szCs w:val="32"/>
        </w:rPr>
        <w:t>第四章 公开招标需求</w:t>
      </w:r>
    </w:p>
    <w:p>
      <w:pPr>
        <w:spacing w:line="360" w:lineRule="auto"/>
        <w:ind w:firstLine="643" w:firstLineChars="200"/>
        <w:rPr>
          <w:rFonts w:ascii="宋体" w:hAnsi="宋体" w:cs="宋体"/>
          <w:b/>
          <w:bCs/>
          <w:color w:val="auto"/>
          <w:sz w:val="32"/>
          <w:szCs w:val="32"/>
        </w:rPr>
      </w:pPr>
      <w:r>
        <w:rPr>
          <w:rFonts w:hint="eastAsia" w:ascii="宋体" w:hAnsi="宋体" w:cs="宋体"/>
          <w:b/>
          <w:bCs/>
          <w:color w:val="auto"/>
          <w:sz w:val="32"/>
          <w:szCs w:val="32"/>
        </w:rPr>
        <w:t>第五章 政府采购合同主要条款指引</w:t>
      </w:r>
    </w:p>
    <w:p>
      <w:pPr>
        <w:spacing w:line="360" w:lineRule="auto"/>
        <w:ind w:firstLine="643" w:firstLineChars="200"/>
        <w:rPr>
          <w:rFonts w:ascii="宋体" w:hAnsi="宋体" w:cs="宋体"/>
          <w:b/>
          <w:bCs/>
          <w:color w:val="auto"/>
          <w:sz w:val="32"/>
          <w:szCs w:val="32"/>
        </w:rPr>
      </w:pPr>
      <w:r>
        <w:rPr>
          <w:rFonts w:hint="eastAsia" w:ascii="宋体" w:hAnsi="宋体" w:cs="宋体"/>
          <w:b/>
          <w:bCs/>
          <w:color w:val="auto"/>
          <w:sz w:val="32"/>
          <w:szCs w:val="32"/>
        </w:rPr>
        <w:t>第六章 投标文件格式附件</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ind w:firstLine="480" w:firstLineChars="200"/>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ind w:firstLine="723" w:firstLineChars="200"/>
        <w:jc w:val="center"/>
        <w:rPr>
          <w:rFonts w:ascii="宋体" w:hAnsi="宋体" w:cs="宋体"/>
          <w:b/>
          <w:bCs/>
          <w:color w:val="auto"/>
          <w:sz w:val="36"/>
          <w:szCs w:val="44"/>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spacing w:line="360" w:lineRule="auto"/>
        <w:ind w:firstLine="723" w:firstLineChars="200"/>
        <w:jc w:val="center"/>
        <w:rPr>
          <w:rFonts w:ascii="宋体" w:hAnsi="宋体" w:cs="宋体"/>
          <w:b/>
          <w:bCs/>
          <w:color w:val="auto"/>
          <w:sz w:val="36"/>
          <w:szCs w:val="44"/>
        </w:rPr>
      </w:pPr>
      <w:r>
        <w:rPr>
          <w:rFonts w:hint="eastAsia" w:ascii="宋体" w:hAnsi="宋体" w:cs="宋体"/>
          <w:b/>
          <w:bCs/>
          <w:color w:val="auto"/>
          <w:sz w:val="36"/>
          <w:szCs w:val="44"/>
        </w:rPr>
        <w:t>第一章 公开招标采购公告</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rPr>
        <w:t>浙江洪大工程咨询有限公司</w:t>
      </w:r>
      <w:r>
        <w:rPr>
          <w:rFonts w:hint="eastAsia" w:ascii="宋体" w:hAnsi="宋体" w:cs="宋体"/>
          <w:color w:val="auto"/>
          <w:sz w:val="24"/>
          <w:szCs w:val="32"/>
        </w:rPr>
        <w:t>受</w:t>
      </w:r>
      <w:r>
        <w:rPr>
          <w:rFonts w:hint="eastAsia" w:ascii="宋体" w:hAnsi="宋体" w:cs="宋体"/>
          <w:b/>
          <w:bCs/>
          <w:color w:val="auto"/>
          <w:sz w:val="24"/>
          <w:szCs w:val="32"/>
        </w:rPr>
        <w:t>台州市生态环境局椒江分局</w:t>
      </w:r>
      <w:r>
        <w:rPr>
          <w:rFonts w:hint="eastAsia" w:ascii="宋体" w:hAnsi="宋体" w:cs="宋体"/>
          <w:color w:val="auto"/>
          <w:sz w:val="24"/>
          <w:szCs w:val="32"/>
        </w:rPr>
        <w:t>委托，现就其</w:t>
      </w:r>
      <w:r>
        <w:rPr>
          <w:rFonts w:hint="eastAsia" w:ascii="宋体" w:hAnsi="宋体" w:cs="宋体"/>
          <w:color w:val="auto"/>
          <w:sz w:val="24"/>
          <w:szCs w:val="32"/>
          <w:lang w:eastAsia="zh-CN"/>
        </w:rPr>
        <w:t>椒江沿岸工业地块和河滩专项排查</w:t>
      </w:r>
      <w:r>
        <w:rPr>
          <w:rFonts w:hint="eastAsia" w:ascii="宋体" w:hAnsi="宋体" w:cs="宋体"/>
          <w:color w:val="auto"/>
          <w:sz w:val="24"/>
          <w:szCs w:val="32"/>
        </w:rPr>
        <w:t>进行公开招标采购，欢迎合格供应商前来投标。</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一、项目编号：ZJHD2021-0112。</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二、项目名称：</w:t>
      </w:r>
      <w:r>
        <w:rPr>
          <w:rFonts w:hint="eastAsia" w:ascii="宋体" w:hAnsi="宋体" w:cs="宋体"/>
          <w:b/>
          <w:bCs/>
          <w:color w:val="auto"/>
          <w:sz w:val="24"/>
          <w:szCs w:val="32"/>
          <w:lang w:eastAsia="zh-CN"/>
        </w:rPr>
        <w:t>椒江沿岸工业地块和河滩专项排查</w:t>
      </w:r>
      <w:r>
        <w:rPr>
          <w:rFonts w:hint="eastAsia" w:ascii="宋体" w:hAnsi="宋体" w:cs="宋体"/>
          <w:b/>
          <w:bCs/>
          <w:color w:val="auto"/>
          <w:sz w:val="24"/>
          <w:szCs w:val="32"/>
        </w:rPr>
        <w:t>。</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三、招标项目概况：</w:t>
      </w:r>
    </w:p>
    <w:tbl>
      <w:tblPr>
        <w:tblStyle w:val="24"/>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309"/>
        <w:gridCol w:w="1527"/>
        <w:gridCol w:w="736"/>
        <w:gridCol w:w="800"/>
        <w:gridCol w:w="1038"/>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75" w:type="dxa"/>
            <w:vAlign w:val="center"/>
          </w:tcPr>
          <w:p>
            <w:pPr>
              <w:tabs>
                <w:tab w:val="left" w:pos="8280"/>
              </w:tabs>
              <w:autoSpaceDE w:val="0"/>
              <w:autoSpaceDN w:val="0"/>
              <w:adjustRightInd w:val="0"/>
              <w:spacing w:line="360" w:lineRule="auto"/>
              <w:ind w:right="25"/>
              <w:jc w:val="center"/>
              <w:rPr>
                <w:rFonts w:ascii="宋体" w:hAnsi="宋体" w:cs="宋体"/>
                <w:b/>
                <w:color w:val="auto"/>
                <w:szCs w:val="21"/>
              </w:rPr>
            </w:pPr>
            <w:r>
              <w:rPr>
                <w:rFonts w:hint="eastAsia" w:ascii="宋体" w:hAnsi="宋体" w:cs="宋体"/>
                <w:b/>
                <w:color w:val="auto"/>
                <w:szCs w:val="21"/>
              </w:rPr>
              <w:t>序号</w:t>
            </w:r>
          </w:p>
        </w:tc>
        <w:tc>
          <w:tcPr>
            <w:tcW w:w="2309" w:type="dxa"/>
            <w:vAlign w:val="center"/>
          </w:tcPr>
          <w:p>
            <w:pPr>
              <w:tabs>
                <w:tab w:val="left" w:pos="8280"/>
              </w:tabs>
              <w:autoSpaceDE w:val="0"/>
              <w:autoSpaceDN w:val="0"/>
              <w:adjustRightInd w:val="0"/>
              <w:spacing w:line="360" w:lineRule="auto"/>
              <w:ind w:right="25" w:firstLine="105" w:firstLineChars="50"/>
              <w:jc w:val="center"/>
              <w:rPr>
                <w:rFonts w:ascii="宋体" w:hAnsi="宋体" w:cs="宋体"/>
                <w:b/>
                <w:color w:val="auto"/>
                <w:szCs w:val="21"/>
              </w:rPr>
            </w:pPr>
            <w:r>
              <w:rPr>
                <w:rFonts w:hint="eastAsia" w:ascii="宋体" w:hAnsi="宋体" w:cs="宋体"/>
                <w:b/>
                <w:color w:val="auto"/>
                <w:szCs w:val="21"/>
              </w:rPr>
              <w:t>项目名称</w:t>
            </w:r>
          </w:p>
        </w:tc>
        <w:tc>
          <w:tcPr>
            <w:tcW w:w="1527" w:type="dxa"/>
            <w:vAlign w:val="center"/>
          </w:tcPr>
          <w:p>
            <w:pPr>
              <w:tabs>
                <w:tab w:val="left" w:pos="8280"/>
              </w:tabs>
              <w:autoSpaceDE w:val="0"/>
              <w:autoSpaceDN w:val="0"/>
              <w:adjustRightInd w:val="0"/>
              <w:spacing w:line="360" w:lineRule="auto"/>
              <w:ind w:right="25"/>
              <w:jc w:val="center"/>
              <w:rPr>
                <w:rFonts w:ascii="宋体" w:hAnsi="宋体" w:cs="宋体"/>
                <w:b/>
                <w:color w:val="auto"/>
                <w:szCs w:val="21"/>
              </w:rPr>
            </w:pPr>
            <w:r>
              <w:rPr>
                <w:rFonts w:hint="eastAsia" w:ascii="宋体" w:hAnsi="宋体" w:cs="宋体"/>
                <w:b/>
                <w:color w:val="auto"/>
                <w:kern w:val="0"/>
                <w:szCs w:val="21"/>
              </w:rPr>
              <w:t>简要技术要求</w:t>
            </w:r>
          </w:p>
        </w:tc>
        <w:tc>
          <w:tcPr>
            <w:tcW w:w="736" w:type="dxa"/>
            <w:vAlign w:val="center"/>
          </w:tcPr>
          <w:p>
            <w:pPr>
              <w:tabs>
                <w:tab w:val="left" w:pos="8280"/>
              </w:tabs>
              <w:autoSpaceDE w:val="0"/>
              <w:autoSpaceDN w:val="0"/>
              <w:adjustRightInd w:val="0"/>
              <w:spacing w:line="360" w:lineRule="auto"/>
              <w:ind w:right="25"/>
              <w:jc w:val="center"/>
              <w:rPr>
                <w:rFonts w:ascii="宋体" w:hAnsi="宋体" w:cs="宋体"/>
                <w:b/>
                <w:color w:val="auto"/>
                <w:szCs w:val="21"/>
              </w:rPr>
            </w:pPr>
            <w:r>
              <w:rPr>
                <w:rFonts w:hint="eastAsia" w:ascii="宋体" w:hAnsi="宋体" w:cs="宋体"/>
                <w:b/>
                <w:color w:val="auto"/>
                <w:szCs w:val="21"/>
              </w:rPr>
              <w:t>数量</w:t>
            </w:r>
          </w:p>
        </w:tc>
        <w:tc>
          <w:tcPr>
            <w:tcW w:w="800" w:type="dxa"/>
            <w:vAlign w:val="center"/>
          </w:tcPr>
          <w:p>
            <w:pPr>
              <w:tabs>
                <w:tab w:val="left" w:pos="8280"/>
              </w:tabs>
              <w:autoSpaceDE w:val="0"/>
              <w:autoSpaceDN w:val="0"/>
              <w:adjustRightInd w:val="0"/>
              <w:spacing w:line="360" w:lineRule="auto"/>
              <w:ind w:right="25"/>
              <w:jc w:val="center"/>
              <w:rPr>
                <w:rFonts w:ascii="宋体" w:hAnsi="宋体" w:cs="宋体"/>
                <w:b/>
                <w:color w:val="auto"/>
                <w:szCs w:val="21"/>
              </w:rPr>
            </w:pPr>
            <w:r>
              <w:rPr>
                <w:rFonts w:hint="eastAsia" w:ascii="宋体" w:hAnsi="宋体" w:cs="宋体"/>
                <w:b/>
                <w:color w:val="auto"/>
                <w:szCs w:val="21"/>
              </w:rPr>
              <w:t>单位</w:t>
            </w:r>
          </w:p>
        </w:tc>
        <w:tc>
          <w:tcPr>
            <w:tcW w:w="1038" w:type="dxa"/>
            <w:vAlign w:val="center"/>
          </w:tcPr>
          <w:p>
            <w:pPr>
              <w:tabs>
                <w:tab w:val="left" w:pos="8280"/>
              </w:tabs>
              <w:autoSpaceDE w:val="0"/>
              <w:autoSpaceDN w:val="0"/>
              <w:adjustRightInd w:val="0"/>
              <w:spacing w:line="360" w:lineRule="auto"/>
              <w:ind w:right="25"/>
              <w:jc w:val="center"/>
              <w:rPr>
                <w:rFonts w:ascii="宋体" w:hAnsi="宋体" w:cs="宋体"/>
                <w:b/>
                <w:color w:val="auto"/>
                <w:szCs w:val="21"/>
              </w:rPr>
            </w:pPr>
            <w:r>
              <w:rPr>
                <w:rFonts w:hint="eastAsia" w:ascii="宋体" w:hAnsi="宋体" w:cs="宋体"/>
                <w:b/>
                <w:color w:val="auto"/>
                <w:szCs w:val="21"/>
              </w:rPr>
              <w:t>预算</w:t>
            </w:r>
          </w:p>
        </w:tc>
        <w:tc>
          <w:tcPr>
            <w:tcW w:w="1533" w:type="dxa"/>
            <w:vAlign w:val="center"/>
          </w:tcPr>
          <w:p>
            <w:pPr>
              <w:tabs>
                <w:tab w:val="left" w:pos="8280"/>
              </w:tabs>
              <w:autoSpaceDE w:val="0"/>
              <w:autoSpaceDN w:val="0"/>
              <w:adjustRightInd w:val="0"/>
              <w:spacing w:line="360" w:lineRule="auto"/>
              <w:ind w:right="25"/>
              <w:jc w:val="center"/>
              <w:rPr>
                <w:rFonts w:ascii="宋体" w:hAnsi="宋体" w:cs="宋体"/>
                <w:b/>
                <w:color w:val="auto"/>
                <w:szCs w:val="21"/>
              </w:rPr>
            </w:pPr>
            <w:r>
              <w:rPr>
                <w:rFonts w:hint="eastAsia" w:ascii="宋体" w:hAnsi="宋体" w:cs="宋体"/>
                <w:b/>
                <w:color w:val="auto"/>
                <w:szCs w:val="21"/>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75" w:type="dxa"/>
            <w:vAlign w:val="center"/>
          </w:tcPr>
          <w:p>
            <w:pPr>
              <w:tabs>
                <w:tab w:val="left" w:pos="8280"/>
              </w:tabs>
              <w:autoSpaceDE w:val="0"/>
              <w:autoSpaceDN w:val="0"/>
              <w:adjustRightInd w:val="0"/>
              <w:spacing w:line="360" w:lineRule="auto"/>
              <w:ind w:right="25"/>
              <w:jc w:val="center"/>
              <w:rPr>
                <w:rFonts w:ascii="宋体" w:hAnsi="宋体" w:cs="宋体"/>
                <w:color w:val="auto"/>
                <w:szCs w:val="21"/>
              </w:rPr>
            </w:pPr>
            <w:r>
              <w:rPr>
                <w:rFonts w:hint="eastAsia" w:ascii="宋体" w:hAnsi="宋体" w:cs="宋体"/>
                <w:color w:val="auto"/>
                <w:szCs w:val="21"/>
              </w:rPr>
              <w:t>1</w:t>
            </w:r>
          </w:p>
        </w:tc>
        <w:tc>
          <w:tcPr>
            <w:tcW w:w="2309" w:type="dxa"/>
            <w:vAlign w:val="center"/>
          </w:tcPr>
          <w:p>
            <w:pPr>
              <w:tabs>
                <w:tab w:val="left" w:pos="8280"/>
              </w:tabs>
              <w:autoSpaceDE w:val="0"/>
              <w:autoSpaceDN w:val="0"/>
              <w:adjustRightInd w:val="0"/>
              <w:spacing w:line="360" w:lineRule="auto"/>
              <w:ind w:right="25"/>
              <w:jc w:val="center"/>
              <w:rPr>
                <w:rFonts w:hint="eastAsia" w:ascii="宋体" w:hAnsi="宋体" w:eastAsia="宋体" w:cs="宋体"/>
                <w:color w:val="auto"/>
                <w:szCs w:val="21"/>
                <w:lang w:eastAsia="zh-CN"/>
              </w:rPr>
            </w:pPr>
            <w:r>
              <w:rPr>
                <w:rFonts w:hint="eastAsia" w:ascii="宋体" w:hAnsi="宋体" w:cs="宋体"/>
                <w:color w:val="auto"/>
                <w:szCs w:val="21"/>
              </w:rPr>
              <w:t xml:space="preserve"> </w:t>
            </w:r>
            <w:r>
              <w:rPr>
                <w:rFonts w:hint="eastAsia" w:ascii="宋体" w:hAnsi="宋体" w:cs="宋体"/>
                <w:b/>
                <w:bCs/>
                <w:color w:val="auto"/>
                <w:sz w:val="24"/>
                <w:szCs w:val="32"/>
                <w:lang w:eastAsia="zh-CN"/>
              </w:rPr>
              <w:t>椒江沿岸工业地块和河滩专项排查</w:t>
            </w:r>
          </w:p>
        </w:tc>
        <w:tc>
          <w:tcPr>
            <w:tcW w:w="1527" w:type="dxa"/>
            <w:vAlign w:val="center"/>
          </w:tcPr>
          <w:p>
            <w:pPr>
              <w:tabs>
                <w:tab w:val="left" w:pos="8280"/>
              </w:tabs>
              <w:autoSpaceDE w:val="0"/>
              <w:autoSpaceDN w:val="0"/>
              <w:adjustRightInd w:val="0"/>
              <w:spacing w:line="360" w:lineRule="auto"/>
              <w:ind w:right="25"/>
              <w:jc w:val="center"/>
              <w:rPr>
                <w:rFonts w:ascii="宋体" w:hAnsi="宋体" w:cs="宋体"/>
                <w:color w:val="auto"/>
                <w:szCs w:val="21"/>
              </w:rPr>
            </w:pPr>
            <w:r>
              <w:rPr>
                <w:rFonts w:hint="eastAsia" w:ascii="宋体" w:hAnsi="宋体" w:cs="宋体"/>
                <w:color w:val="auto"/>
                <w:szCs w:val="21"/>
              </w:rPr>
              <w:t>详见招标文件招标需求</w:t>
            </w:r>
          </w:p>
        </w:tc>
        <w:tc>
          <w:tcPr>
            <w:tcW w:w="736" w:type="dxa"/>
            <w:vAlign w:val="center"/>
          </w:tcPr>
          <w:p>
            <w:pPr>
              <w:tabs>
                <w:tab w:val="left" w:pos="8280"/>
              </w:tabs>
              <w:autoSpaceDE w:val="0"/>
              <w:autoSpaceDN w:val="0"/>
              <w:adjustRightInd w:val="0"/>
              <w:spacing w:line="360" w:lineRule="auto"/>
              <w:ind w:right="25"/>
              <w:jc w:val="center"/>
              <w:rPr>
                <w:rFonts w:ascii="宋体" w:hAnsi="宋体" w:cs="宋体"/>
                <w:color w:val="auto"/>
                <w:szCs w:val="21"/>
              </w:rPr>
            </w:pPr>
            <w:r>
              <w:rPr>
                <w:rFonts w:hint="eastAsia" w:ascii="宋体" w:hAnsi="宋体" w:cs="宋体"/>
                <w:color w:val="auto"/>
                <w:szCs w:val="21"/>
              </w:rPr>
              <w:t>1</w:t>
            </w:r>
          </w:p>
        </w:tc>
        <w:tc>
          <w:tcPr>
            <w:tcW w:w="800" w:type="dxa"/>
            <w:vAlign w:val="center"/>
          </w:tcPr>
          <w:p>
            <w:pPr>
              <w:tabs>
                <w:tab w:val="left" w:pos="8280"/>
              </w:tabs>
              <w:autoSpaceDE w:val="0"/>
              <w:autoSpaceDN w:val="0"/>
              <w:adjustRightInd w:val="0"/>
              <w:spacing w:line="360" w:lineRule="auto"/>
              <w:ind w:right="25"/>
              <w:jc w:val="center"/>
              <w:rPr>
                <w:rFonts w:ascii="宋体" w:hAnsi="宋体" w:cs="宋体"/>
                <w:color w:val="auto"/>
                <w:szCs w:val="21"/>
              </w:rPr>
            </w:pPr>
            <w:r>
              <w:rPr>
                <w:rFonts w:hint="eastAsia" w:ascii="宋体" w:hAnsi="宋体" w:cs="宋体"/>
                <w:color w:val="auto"/>
                <w:szCs w:val="21"/>
              </w:rPr>
              <w:t>项</w:t>
            </w:r>
          </w:p>
        </w:tc>
        <w:tc>
          <w:tcPr>
            <w:tcW w:w="1038" w:type="dxa"/>
            <w:vAlign w:val="center"/>
          </w:tcPr>
          <w:p>
            <w:pPr>
              <w:tabs>
                <w:tab w:val="left" w:pos="8280"/>
              </w:tabs>
              <w:autoSpaceDE w:val="0"/>
              <w:autoSpaceDN w:val="0"/>
              <w:adjustRightInd w:val="0"/>
              <w:spacing w:line="360" w:lineRule="auto"/>
              <w:ind w:right="25"/>
              <w:jc w:val="center"/>
              <w:rPr>
                <w:rFonts w:ascii="宋体" w:hAnsi="宋体" w:eastAsia="仿宋_GB2312" w:cs="宋体"/>
                <w:color w:val="auto"/>
                <w:szCs w:val="21"/>
              </w:rPr>
            </w:pPr>
            <w:r>
              <w:rPr>
                <w:rFonts w:hint="eastAsia" w:eastAsia="仿宋_GB2312"/>
                <w:color w:val="auto"/>
                <w:szCs w:val="21"/>
              </w:rPr>
              <w:t>580万元</w:t>
            </w:r>
          </w:p>
        </w:tc>
        <w:tc>
          <w:tcPr>
            <w:tcW w:w="1533" w:type="dxa"/>
            <w:vAlign w:val="center"/>
          </w:tcPr>
          <w:p>
            <w:pPr>
              <w:tabs>
                <w:tab w:val="left" w:pos="8280"/>
              </w:tabs>
              <w:autoSpaceDE w:val="0"/>
              <w:autoSpaceDN w:val="0"/>
              <w:adjustRightInd w:val="0"/>
              <w:spacing w:line="360" w:lineRule="auto"/>
              <w:ind w:right="25"/>
              <w:jc w:val="center"/>
              <w:rPr>
                <w:rFonts w:ascii="宋体" w:hAnsi="宋体" w:eastAsia="仿宋_GB2312" w:cs="宋体"/>
                <w:color w:val="auto"/>
                <w:szCs w:val="21"/>
              </w:rPr>
            </w:pPr>
            <w:r>
              <w:rPr>
                <w:rFonts w:ascii="宋体" w:hAnsi="宋体" w:cs="宋体"/>
                <w:color w:val="auto"/>
                <w:szCs w:val="21"/>
              </w:rPr>
              <w:t>2021年11月底前</w:t>
            </w:r>
            <w:r>
              <w:rPr>
                <w:rFonts w:hint="eastAsia" w:ascii="宋体" w:hAnsi="宋体" w:cs="宋体"/>
                <w:color w:val="auto"/>
                <w:szCs w:val="21"/>
              </w:rPr>
              <w:t>完成</w:t>
            </w:r>
          </w:p>
        </w:tc>
      </w:tr>
    </w:tbl>
    <w:p>
      <w:pPr>
        <w:spacing w:line="360" w:lineRule="auto"/>
        <w:ind w:firstLine="480" w:firstLineChars="200"/>
        <w:rPr>
          <w:rFonts w:ascii="宋体" w:hAnsi="宋体" w:cs="宋体"/>
          <w:b/>
          <w:bCs/>
          <w:color w:val="auto"/>
          <w:sz w:val="24"/>
          <w:szCs w:val="32"/>
        </w:rPr>
      </w:pPr>
      <w:r>
        <w:rPr>
          <w:rFonts w:hint="eastAsia" w:ascii="宋体" w:hAnsi="宋体" w:cs="宋体"/>
          <w:color w:val="auto"/>
          <w:sz w:val="24"/>
        </w:rPr>
        <w:t xml:space="preserve"> </w:t>
      </w:r>
      <w:r>
        <w:rPr>
          <w:rFonts w:hint="eastAsia" w:ascii="宋体" w:hAnsi="宋体" w:cs="宋体"/>
          <w:b/>
          <w:bCs/>
          <w:color w:val="auto"/>
          <w:sz w:val="24"/>
          <w:szCs w:val="32"/>
        </w:rPr>
        <w:t>四、合格投标人的资格条件：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1、符合《中华人民共和国政府采购法》第二十二条规定的投标人资格条件；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2、本项目不接受联合体投标。</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五、</w:t>
      </w:r>
      <w:r>
        <w:rPr>
          <w:rFonts w:hint="eastAsia" w:ascii="宋体" w:hAnsi="宋体" w:cs="宋体"/>
          <w:b/>
          <w:bCs/>
          <w:color w:val="auto"/>
          <w:sz w:val="24"/>
          <w:szCs w:val="32"/>
        </w:rPr>
        <w:t>招标文件获取的时间、方式：</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1.</w:t>
      </w:r>
      <w:r>
        <w:rPr>
          <w:rFonts w:hint="eastAsia" w:ascii="宋体" w:hAnsi="宋体" w:cs="宋体"/>
          <w:color w:val="auto"/>
          <w:sz w:val="24"/>
        </w:rPr>
        <w:t>获取时间：自本公告发布之日起至投标文件递交截止时间止；</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2.获取地址</w:t>
      </w:r>
      <w:r>
        <w:rPr>
          <w:rFonts w:hint="eastAsia" w:ascii="宋体" w:hAnsi="宋体" w:cs="宋体"/>
          <w:color w:val="auto"/>
          <w:sz w:val="24"/>
          <w:szCs w:val="32"/>
        </w:rPr>
        <w:t>：政采云平台（</w:t>
      </w:r>
      <w:r>
        <w:rPr>
          <w:color w:val="auto"/>
        </w:rPr>
        <w:fldChar w:fldCharType="begin"/>
      </w:r>
      <w:r>
        <w:rPr>
          <w:color w:val="auto"/>
        </w:rPr>
        <w:instrText xml:space="preserve"> HYPERLINK "http://zfcg.czt.zj.gov.cn/" </w:instrText>
      </w:r>
      <w:r>
        <w:rPr>
          <w:color w:val="auto"/>
        </w:rPr>
        <w:fldChar w:fldCharType="separate"/>
      </w:r>
      <w:r>
        <w:rPr>
          <w:rFonts w:hint="eastAsia" w:ascii="宋体" w:hAnsi="宋体" w:cs="宋体"/>
          <w:color w:val="auto"/>
          <w:sz w:val="24"/>
          <w:szCs w:val="32"/>
        </w:rPr>
        <w:t>http://zfcg.czt.zj.gov.cn</w:t>
      </w:r>
      <w:r>
        <w:rPr>
          <w:rFonts w:hint="eastAsia" w:ascii="宋体" w:hAnsi="宋体" w:cs="宋体"/>
          <w:color w:val="auto"/>
          <w:sz w:val="24"/>
          <w:szCs w:val="32"/>
        </w:rPr>
        <w:fldChar w:fldCharType="end"/>
      </w:r>
      <w:r>
        <w:rPr>
          <w:rFonts w:hint="eastAsia" w:ascii="宋体" w:hAnsi="宋体" w:cs="宋体"/>
          <w:color w:val="auto"/>
          <w:sz w:val="24"/>
          <w:szCs w:val="32"/>
        </w:rPr>
        <w:t>）；</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3.获取采购文件方式</w:t>
      </w:r>
      <w:r>
        <w:rPr>
          <w:rFonts w:hint="eastAsia" w:ascii="宋体" w:hAnsi="宋体" w:cs="宋体"/>
          <w:color w:val="auto"/>
          <w:sz w:val="24"/>
          <w:szCs w:val="32"/>
        </w:rPr>
        <w:t>：本项目招标文件实行“政府采购云平台”在线获取，不提供招标文件纸质版。供应商获取招标文件前应先完成“政府采购云平台”的账号注册。</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供应商网上报名操作指南：“浙江政府采购网-办事指南-省采中心-网上报名”（</w:t>
      </w:r>
      <w:r>
        <w:rPr>
          <w:rFonts w:hint="eastAsia" w:ascii="宋体" w:hAnsi="宋体" w:cs="宋体"/>
          <w:color w:val="auto"/>
        </w:rPr>
        <w:t>http://zfcg.czt.zj.gov.cn/bs_other/2018-03-30/12002.html</w:t>
      </w:r>
      <w:r>
        <w:rPr>
          <w:rFonts w:hint="eastAsia" w:ascii="宋体" w:hAnsi="宋体" w:cs="宋体"/>
          <w:color w:val="auto"/>
          <w:sz w:val="24"/>
          <w:szCs w:val="32"/>
        </w:rPr>
        <w:t>）。</w:t>
      </w:r>
    </w:p>
    <w:p>
      <w:pPr>
        <w:pStyle w:val="12"/>
        <w:spacing w:line="360" w:lineRule="auto"/>
        <w:ind w:firstLine="480" w:firstLineChars="200"/>
        <w:rPr>
          <w:rFonts w:ascii="宋体" w:hAnsi="宋体" w:cs="宋体"/>
          <w:color w:val="auto"/>
        </w:rPr>
      </w:pPr>
      <w:r>
        <w:rPr>
          <w:rFonts w:hint="eastAsia" w:ascii="宋体" w:hAnsi="宋体" w:cs="宋体"/>
          <w:color w:val="auto"/>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pStyle w:val="12"/>
        <w:spacing w:line="360" w:lineRule="auto"/>
        <w:ind w:firstLine="480" w:firstLineChars="200"/>
        <w:rPr>
          <w:rFonts w:ascii="宋体" w:hAnsi="宋体" w:cs="宋体"/>
          <w:color w:val="auto"/>
        </w:rPr>
      </w:pPr>
      <w:r>
        <w:rPr>
          <w:rFonts w:hint="eastAsia" w:ascii="宋体" w:hAnsi="宋体" w:cs="宋体"/>
          <w:color w:val="auto"/>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54"/>
        <w:spacing w:line="360" w:lineRule="auto"/>
        <w:ind w:firstLine="480"/>
        <w:rPr>
          <w:rStyle w:val="27"/>
          <w:rFonts w:ascii="宋体" w:hAnsi="宋体" w:cs="宋体"/>
          <w:color w:val="auto"/>
          <w:sz w:val="24"/>
        </w:rPr>
      </w:pPr>
      <w:r>
        <w:rPr>
          <w:rStyle w:val="27"/>
          <w:rFonts w:hint="eastAsia" w:ascii="宋体" w:hAnsi="宋体" w:cs="宋体"/>
          <w:color w:val="auto"/>
          <w:sz w:val="24"/>
        </w:rPr>
        <w:t>六、投标说明：</w:t>
      </w:r>
    </w:p>
    <w:p>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2.投标人通过政采云平台电子投标工具制作投标文件，电子投标工具请供应商自行前往浙江政府采购网下载并安装，（下载网址：http://zfcg.czt.zj.gov.cn/bidClientTemplate/2019-05-27/12946.html）。</w:t>
      </w:r>
    </w:p>
    <w:p>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3.投标人应在开标前完成CA数字证书办理。（办理流程详见</w:t>
      </w:r>
      <w:r>
        <w:rPr>
          <w:color w:val="auto"/>
        </w:rPr>
        <w:fldChar w:fldCharType="begin"/>
      </w:r>
      <w:r>
        <w:rPr>
          <w:color w:val="auto"/>
        </w:rPr>
        <w:instrText xml:space="preserve"> HYPERLINK "http://www.zjzfcg.gov.cn/bidClientTemplate/2019-05-27/12945.html" </w:instrText>
      </w:r>
      <w:r>
        <w:rPr>
          <w:color w:val="auto"/>
        </w:rPr>
        <w:fldChar w:fldCharType="separate"/>
      </w:r>
      <w:r>
        <w:rPr>
          <w:rFonts w:hint="eastAsia" w:ascii="宋体" w:hAnsi="宋体" w:cs="宋体"/>
          <w:color w:val="auto"/>
          <w:kern w:val="0"/>
          <w:sz w:val="24"/>
          <w:u w:val="single"/>
        </w:rPr>
        <w:t>http://zfcg.czt.zj.gov.cn/bidClientTemplate/2019-05-27/12945.html</w:t>
      </w:r>
      <w:r>
        <w:rPr>
          <w:rFonts w:hint="eastAsia" w:ascii="宋体" w:hAnsi="宋体" w:cs="宋体"/>
          <w:color w:val="auto"/>
          <w:kern w:val="0"/>
          <w:sz w:val="24"/>
          <w:u w:val="single"/>
        </w:rPr>
        <w:fldChar w:fldCharType="end"/>
      </w:r>
      <w:r>
        <w:rPr>
          <w:rFonts w:hint="eastAsia" w:ascii="宋体" w:hAnsi="宋体" w:cs="宋体"/>
          <w:color w:val="auto"/>
          <w:kern w:val="0"/>
          <w:sz w:val="24"/>
          <w:u w:val="single"/>
        </w:rPr>
        <w:t>，完成CA数字证书办理预计一周左右，请各投标人自行把握时间）</w:t>
      </w:r>
    </w:p>
    <w:p>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u w:val="single"/>
          <w:lang w:val="en-GB"/>
        </w:rPr>
        <w:t>在开标后规定的投标有效期内，投标人不能撤销投标文件。</w:t>
      </w:r>
    </w:p>
    <w:p>
      <w:pPr>
        <w:spacing w:line="360" w:lineRule="auto"/>
        <w:ind w:firstLine="480" w:firstLineChars="200"/>
        <w:rPr>
          <w:rFonts w:ascii="宋体" w:hAnsi="宋体" w:cs="宋体"/>
          <w:bCs/>
          <w:color w:val="auto"/>
          <w:sz w:val="24"/>
        </w:rPr>
      </w:pPr>
      <w:r>
        <w:rPr>
          <w:rFonts w:hint="eastAsia" w:ascii="宋体" w:hAnsi="宋体" w:cs="宋体"/>
          <w:bCs/>
          <w:color w:val="auto"/>
          <w:sz w:val="24"/>
        </w:rPr>
        <w:t>5.投标文件的组成、份数、密封、效力</w:t>
      </w:r>
    </w:p>
    <w:p>
      <w:pPr>
        <w:spacing w:line="360" w:lineRule="auto"/>
        <w:ind w:firstLine="480" w:firstLineChars="200"/>
        <w:rPr>
          <w:rFonts w:ascii="宋体" w:hAnsi="宋体" w:cs="宋体"/>
          <w:color w:val="auto"/>
          <w:sz w:val="24"/>
        </w:rPr>
      </w:pPr>
      <w:r>
        <w:rPr>
          <w:rFonts w:hint="eastAsia" w:ascii="宋体" w:hAnsi="宋体" w:cs="宋体"/>
          <w:color w:val="auto"/>
          <w:sz w:val="24"/>
        </w:rPr>
        <w:t>本项目实行电子投标，供应商应准备电子投标文件、以介质（U盘）存储的数据电文形式、纸质备份投标文件三类：</w:t>
      </w:r>
    </w:p>
    <w:p>
      <w:pPr>
        <w:spacing w:line="360" w:lineRule="auto"/>
        <w:ind w:firstLine="480" w:firstLineChars="200"/>
        <w:rPr>
          <w:rFonts w:ascii="宋体" w:hAnsi="宋体" w:cs="宋体"/>
          <w:color w:val="auto"/>
          <w:sz w:val="24"/>
        </w:rPr>
      </w:pPr>
      <w:r>
        <w:rPr>
          <w:rFonts w:hint="eastAsia" w:ascii="宋体" w:hAnsi="宋体" w:cs="宋体"/>
          <w:color w:val="auto"/>
          <w:sz w:val="24"/>
        </w:rPr>
        <w:t>5.1电子投标文件，按政采云平台项目采购--电子招投标操作指南及本招标文件要求编制。</w:t>
      </w:r>
    </w:p>
    <w:p>
      <w:pPr>
        <w:spacing w:line="360" w:lineRule="auto"/>
        <w:ind w:firstLine="480" w:firstLineChars="200"/>
        <w:rPr>
          <w:rFonts w:ascii="宋体" w:hAnsi="宋体" w:cs="宋体"/>
          <w:color w:val="auto"/>
          <w:sz w:val="24"/>
        </w:rPr>
      </w:pPr>
      <w:r>
        <w:rPr>
          <w:rFonts w:hint="eastAsia" w:ascii="宋体" w:hAnsi="宋体" w:cs="宋体"/>
          <w:color w:val="auto"/>
          <w:sz w:val="24"/>
        </w:rPr>
        <w:t>5.2</w:t>
      </w:r>
      <w:bookmarkStart w:id="0" w:name="_Hlk34638143"/>
      <w:r>
        <w:rPr>
          <w:rFonts w:hint="eastAsia" w:ascii="宋体" w:hAnsi="宋体" w:cs="宋体"/>
          <w:color w:val="auto"/>
          <w:sz w:val="24"/>
        </w:rPr>
        <w:t>纸质</w:t>
      </w:r>
      <w:bookmarkEnd w:id="0"/>
      <w:r>
        <w:rPr>
          <w:rFonts w:hint="eastAsia" w:ascii="宋体" w:hAnsi="宋体" w:cs="宋体"/>
          <w:color w:val="auto"/>
          <w:sz w:val="24"/>
        </w:rPr>
        <w:t>备份投标文件以纸质文件的形式编制，按资格及商务技术文件、报价文件分别编制并单独装订成册，</w:t>
      </w:r>
      <w:r>
        <w:rPr>
          <w:rFonts w:hint="eastAsia" w:ascii="宋体" w:hAnsi="宋体" w:cs="宋体"/>
          <w:b/>
          <w:bCs/>
          <w:color w:val="auto"/>
          <w:sz w:val="24"/>
        </w:rPr>
        <w:t>数量均为2份（一正一副）</w:t>
      </w:r>
      <w:r>
        <w:rPr>
          <w:rFonts w:hint="eastAsia" w:ascii="宋体" w:hAnsi="宋体" w:cs="宋体"/>
          <w:color w:val="auto"/>
          <w:sz w:val="24"/>
        </w:rPr>
        <w:t>。资格及商务技术文件、报价文件须分别密封封装，</w:t>
      </w:r>
      <w:r>
        <w:rPr>
          <w:rFonts w:hint="eastAsia" w:ascii="宋体" w:hAnsi="宋体" w:cs="宋体"/>
          <w:color w:val="auto"/>
          <w:sz w:val="24"/>
          <w:u w:val="single"/>
        </w:rPr>
        <w:t>资格及商务技术文件、报价文件未分别密封的投标文件将为无效。</w:t>
      </w:r>
    </w:p>
    <w:p>
      <w:pPr>
        <w:spacing w:line="360" w:lineRule="auto"/>
        <w:ind w:firstLine="480" w:firstLineChars="200"/>
        <w:rPr>
          <w:rFonts w:ascii="宋体" w:hAnsi="宋体" w:cs="宋体"/>
          <w:color w:val="auto"/>
          <w:sz w:val="24"/>
          <w:u w:val="single"/>
        </w:rPr>
      </w:pPr>
      <w:bookmarkStart w:id="1" w:name="_Hlk34639647"/>
      <w:r>
        <w:rPr>
          <w:rFonts w:hint="eastAsia" w:ascii="宋体" w:hAnsi="宋体" w:cs="宋体"/>
          <w:color w:val="auto"/>
          <w:sz w:val="24"/>
        </w:rPr>
        <w:t>5.3</w:t>
      </w:r>
      <w:r>
        <w:rPr>
          <w:rFonts w:hint="eastAsia" w:ascii="宋体" w:hAnsi="宋体" w:cs="宋体"/>
          <w:color w:val="auto"/>
          <w:sz w:val="24"/>
          <w:u w:val="single"/>
        </w:rPr>
        <w:t>投标供应商在“政府采购云平台”完成“电子加密投标文件”的上传递交后，还可以（邮寄形式）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line="360" w:lineRule="auto"/>
        <w:ind w:firstLine="480" w:firstLineChars="200"/>
        <w:rPr>
          <w:rFonts w:ascii="宋体" w:hAnsi="宋体" w:cs="宋体"/>
          <w:color w:val="auto"/>
          <w:sz w:val="24"/>
        </w:rPr>
      </w:pPr>
      <w:r>
        <w:rPr>
          <w:rFonts w:hint="eastAsia" w:ascii="宋体" w:hAnsi="宋体" w:cs="宋体"/>
          <w:color w:val="auto"/>
          <w:sz w:val="24"/>
        </w:rPr>
        <w:t>①在投标当日投标截止时间前送交到开标地点；</w:t>
      </w:r>
    </w:p>
    <w:p>
      <w:pPr>
        <w:spacing w:line="360" w:lineRule="auto"/>
        <w:ind w:firstLine="480" w:firstLineChars="200"/>
        <w:rPr>
          <w:rFonts w:ascii="宋体" w:hAnsi="宋体" w:cs="宋体"/>
          <w:color w:val="auto"/>
          <w:sz w:val="24"/>
        </w:rPr>
      </w:pPr>
      <w:r>
        <w:rPr>
          <w:rFonts w:hint="eastAsia" w:ascii="宋体" w:hAnsi="宋体" w:cs="宋体"/>
          <w:color w:val="auto"/>
          <w:sz w:val="24"/>
        </w:rPr>
        <w:t>②采用邮寄方式，邮寄公司统一采用顺丰（包裹外包装上请注明单位、项目名称、联系电话等信息，以便代理机构作接收登记工作），邮寄接收截止时间为投标截止时间前一个工作日下午16:00整，邮寄地址：浙江洪大工程咨询有限公司（椒江区解放南路30号一鼎公寓1号楼503室，联系人：洪先生，电话：0576-88217718。)。逾期或不符合规定的备份投标文件恕不接受，供应商自行对邮寄的备份投标文件完整性和快递过程中的一切问题负责，以快递送达时间为准，建议供应商提前快递，不接受到付的快递。</w:t>
      </w:r>
    </w:p>
    <w:p>
      <w:pPr>
        <w:spacing w:line="360" w:lineRule="auto"/>
        <w:ind w:firstLine="480" w:firstLineChars="200"/>
        <w:rPr>
          <w:rFonts w:ascii="宋体" w:hAnsi="宋体" w:cs="宋体"/>
          <w:color w:val="auto"/>
          <w:sz w:val="24"/>
        </w:rPr>
      </w:pPr>
      <w:r>
        <w:rPr>
          <w:rFonts w:hint="eastAsia" w:ascii="宋体" w:hAnsi="宋体" w:cs="宋体"/>
          <w:color w:val="auto"/>
          <w:sz w:val="24"/>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1"/>
    <w:p>
      <w:pPr>
        <w:spacing w:line="360" w:lineRule="auto"/>
        <w:ind w:firstLine="480" w:firstLineChars="200"/>
        <w:rPr>
          <w:rFonts w:ascii="宋体" w:hAnsi="宋体" w:cs="宋体"/>
          <w:color w:val="auto"/>
          <w:sz w:val="24"/>
          <w:u w:val="single"/>
        </w:rPr>
      </w:pPr>
      <w:bookmarkStart w:id="2" w:name="_Hlk34638256"/>
      <w:r>
        <w:rPr>
          <w:rFonts w:hint="eastAsia" w:ascii="宋体" w:hAnsi="宋体" w:cs="宋体"/>
          <w:color w:val="auto"/>
          <w:sz w:val="24"/>
          <w:u w:val="single"/>
        </w:rPr>
        <w:t>5.5投标文件启用顺序和效力：投标文件的启用，按先后顺位分别为</w:t>
      </w:r>
      <w:bookmarkStart w:id="3" w:name="_Hlk34637932"/>
      <w:r>
        <w:rPr>
          <w:rFonts w:hint="eastAsia" w:ascii="宋体" w:hAnsi="宋体" w:cs="宋体"/>
          <w:color w:val="auto"/>
          <w:sz w:val="24"/>
          <w:u w:val="single"/>
        </w:rPr>
        <w:t>电子投标文件</w:t>
      </w:r>
      <w:bookmarkEnd w:id="3"/>
      <w:r>
        <w:rPr>
          <w:rFonts w:hint="eastAsia" w:ascii="宋体" w:hAnsi="宋体" w:cs="宋体"/>
          <w:color w:val="auto"/>
          <w:sz w:val="24"/>
          <w:u w:val="single"/>
        </w:rPr>
        <w:t>、以介质存储的数据电文形式的备份投标文件和纸质备份投标文件。</w:t>
      </w:r>
      <w:bookmarkStart w:id="4" w:name="_Hlk34637983"/>
      <w:r>
        <w:rPr>
          <w:rFonts w:hint="eastAsia" w:ascii="宋体" w:hAnsi="宋体" w:cs="宋体"/>
          <w:color w:val="auto"/>
          <w:sz w:val="24"/>
          <w:u w:val="single"/>
        </w:rPr>
        <w:t>全部投标人的</w:t>
      </w:r>
      <w:bookmarkStart w:id="5" w:name="_Hlk34638083"/>
      <w:r>
        <w:rPr>
          <w:rFonts w:hint="eastAsia" w:ascii="宋体" w:hAnsi="宋体" w:cs="宋体"/>
          <w:color w:val="auto"/>
          <w:sz w:val="24"/>
          <w:u w:val="single"/>
        </w:rPr>
        <w:t>电子投标文件均已按时解密的，</w:t>
      </w:r>
      <w:bookmarkEnd w:id="5"/>
      <w:r>
        <w:rPr>
          <w:rFonts w:hint="eastAsia" w:ascii="宋体" w:hAnsi="宋体" w:cs="宋体"/>
          <w:color w:val="auto"/>
          <w:sz w:val="24"/>
          <w:u w:val="single"/>
        </w:rPr>
        <w:t>备份投标文件自动失效，全部投标人的电子投标文件均无法按时解密的，</w:t>
      </w:r>
      <w:bookmarkStart w:id="6" w:name="_Hlk34638161"/>
      <w:r>
        <w:rPr>
          <w:rFonts w:hint="eastAsia" w:ascii="宋体" w:hAnsi="宋体" w:cs="宋体"/>
          <w:color w:val="auto"/>
          <w:sz w:val="24"/>
          <w:u w:val="single"/>
        </w:rPr>
        <w:t>启用纸质备份投标文件进行线下开评标。</w:t>
      </w:r>
      <w:bookmarkEnd w:id="6"/>
      <w:r>
        <w:rPr>
          <w:rFonts w:hint="eastAsia" w:ascii="宋体" w:hAnsi="宋体" w:cs="宋体"/>
          <w:color w:val="auto"/>
          <w:sz w:val="24"/>
          <w:u w:val="single"/>
        </w:rPr>
        <w:t>如果某位投标人的电子投标文件无法按时解密的，可启用以介质（U盘）存储的数据电文形式的备份投标文件，以上两种方式均无法解密时，其投标文件为无效标，不启用纸质备份投标文件。</w:t>
      </w:r>
      <w:bookmarkEnd w:id="2"/>
      <w:bookmarkEnd w:id="4"/>
    </w:p>
    <w:p>
      <w:pP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5.6▲未传输递交电子投标文件的，投标无效。未按规定提供相应的备份投标文件，造成项目开评标活动无法进行下去的，投标无效。</w:t>
      </w:r>
    </w:p>
    <w:p>
      <w:pPr>
        <w:spacing w:line="360" w:lineRule="auto"/>
        <w:ind w:firstLine="480" w:firstLineChars="200"/>
        <w:rPr>
          <w:color w:val="auto"/>
        </w:rPr>
      </w:pPr>
      <w:r>
        <w:rPr>
          <w:rFonts w:hint="eastAsia" w:ascii="宋体" w:hAnsi="宋体" w:cs="宋体"/>
          <w:color w:val="auto"/>
          <w:sz w:val="24"/>
          <w:u w:val="single"/>
        </w:rPr>
        <w:t>5.7投标文件结束解密后，供应商应当通过邮件形式，将经授权代表签署的《政府采购活动现场确认声明书》（格式见招标文件最后一页政府采购活动现场确认声明书）扫描件发至代理机构电子邮箱（475623349</w:t>
      </w:r>
      <w:r>
        <w:rPr>
          <w:color w:val="auto"/>
        </w:rPr>
        <w:fldChar w:fldCharType="begin"/>
      </w:r>
      <w:r>
        <w:rPr>
          <w:color w:val="auto"/>
        </w:rPr>
        <w:instrText xml:space="preserve"> HYPERLINK "mailto:lhzb.gov.cn@163.com）,联系人" </w:instrText>
      </w:r>
      <w:r>
        <w:rPr>
          <w:color w:val="auto"/>
        </w:rPr>
        <w:fldChar w:fldCharType="separate"/>
      </w:r>
      <w:r>
        <w:rPr>
          <w:rFonts w:hint="eastAsia" w:ascii="宋体" w:hAnsi="宋体" w:cs="宋体"/>
          <w:color w:val="auto"/>
          <w:sz w:val="24"/>
          <w:u w:val="single"/>
        </w:rPr>
        <w:t>.com）,联系人</w:t>
      </w:r>
      <w:r>
        <w:rPr>
          <w:rFonts w:hint="eastAsia" w:ascii="宋体" w:hAnsi="宋体" w:cs="宋体"/>
          <w:color w:val="auto"/>
          <w:sz w:val="24"/>
          <w:u w:val="single"/>
        </w:rPr>
        <w:fldChar w:fldCharType="end"/>
      </w:r>
      <w:r>
        <w:rPr>
          <w:rFonts w:hint="eastAsia" w:ascii="宋体" w:hAnsi="宋体" w:cs="宋体"/>
          <w:color w:val="auto"/>
          <w:sz w:val="24"/>
          <w:u w:val="single"/>
        </w:rPr>
        <w:t xml:space="preserve">：李女士，电话：0576-88217718  </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七、投标截止时间及开标时间：</w:t>
      </w:r>
      <w:r>
        <w:rPr>
          <w:rFonts w:hint="eastAsia" w:ascii="宋体" w:hAnsi="宋体" w:cs="宋体"/>
          <w:color w:val="auto"/>
          <w:sz w:val="24"/>
          <w:szCs w:val="32"/>
          <w:highlight w:val="yellow"/>
        </w:rPr>
        <w:t xml:space="preserve">2021年2月23日 上午9:30 </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八、投标及开标地址：</w:t>
      </w:r>
      <w:r>
        <w:rPr>
          <w:rFonts w:hint="eastAsia" w:ascii="宋体" w:hAnsi="宋体" w:cs="宋体"/>
          <w:color w:val="auto"/>
          <w:sz w:val="24"/>
          <w:szCs w:val="32"/>
        </w:rPr>
        <w:t>椒江区解放南路30号一鼎公寓1号楼503浙江洪大工程咨询有限公司开标室。</w:t>
      </w:r>
    </w:p>
    <w:p>
      <w:pPr>
        <w:spacing w:line="360" w:lineRule="auto"/>
        <w:ind w:firstLine="482" w:firstLineChars="200"/>
        <w:outlineLvl w:val="0"/>
        <w:rPr>
          <w:rFonts w:ascii="宋体" w:hAnsi="宋体" w:cs="宋体"/>
          <w:b/>
          <w:bCs/>
          <w:color w:val="auto"/>
          <w:sz w:val="24"/>
          <w:szCs w:val="32"/>
        </w:rPr>
      </w:pPr>
      <w:r>
        <w:rPr>
          <w:rFonts w:hint="eastAsia" w:ascii="宋体" w:hAnsi="宋体" w:cs="宋体"/>
          <w:b/>
          <w:bCs/>
          <w:color w:val="auto"/>
          <w:sz w:val="24"/>
          <w:szCs w:val="32"/>
        </w:rPr>
        <w:t>九、相关注意事项：</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1.采购公告期限：自本公告发布之日起5个工作日。</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w:t>
      </w:r>
      <w:r>
        <w:rPr>
          <w:rFonts w:hint="eastAsia" w:ascii="宋体" w:hAnsi="宋体" w:cs="宋体"/>
          <w:color w:val="auto"/>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rPr>
        <w:t>。</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3.根据财库[2016]125号《关于在政府采购活动中查询及使用信用记录有关问题的通知》要求，采购代理机构会对供应商信用记录进行查询并甄别。</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1）信用信息查询的截止时点：投标截止前一个工作日；</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2）查询渠道：“信用中国”（</w:t>
      </w:r>
      <w:r>
        <w:rPr>
          <w:color w:val="auto"/>
        </w:rPr>
        <w:fldChar w:fldCharType="begin"/>
      </w:r>
      <w:r>
        <w:rPr>
          <w:color w:val="auto"/>
        </w:rPr>
        <w:instrText xml:space="preserve"> HYPERLINK "qq://txfile/" </w:instrText>
      </w:r>
      <w:r>
        <w:rPr>
          <w:color w:val="auto"/>
        </w:rPr>
        <w:fldChar w:fldCharType="separate"/>
      </w:r>
      <w:r>
        <w:rPr>
          <w:rFonts w:hint="eastAsia" w:ascii="宋体" w:hAnsi="宋体" w:cs="宋体"/>
          <w:color w:val="auto"/>
          <w:sz w:val="24"/>
          <w:szCs w:val="32"/>
        </w:rPr>
        <w:t>www.creditchina.gov.cn</w:t>
      </w:r>
      <w:r>
        <w:rPr>
          <w:rFonts w:hint="eastAsia" w:ascii="宋体" w:hAnsi="宋体" w:cs="宋体"/>
          <w:color w:val="auto"/>
          <w:sz w:val="24"/>
          <w:szCs w:val="32"/>
        </w:rPr>
        <w:fldChar w:fldCharType="end"/>
      </w:r>
      <w:r>
        <w:rPr>
          <w:rFonts w:hint="eastAsia" w:ascii="宋体" w:hAnsi="宋体" w:cs="宋体"/>
          <w:color w:val="auto"/>
          <w:sz w:val="24"/>
          <w:szCs w:val="32"/>
        </w:rPr>
        <w:t>）、“中国政府采购网”（</w:t>
      </w:r>
      <w:r>
        <w:rPr>
          <w:color w:val="auto"/>
        </w:rPr>
        <w:fldChar w:fldCharType="begin"/>
      </w:r>
      <w:r>
        <w:rPr>
          <w:color w:val="auto"/>
        </w:rPr>
        <w:instrText xml:space="preserve"> HYPERLINK "qq://txfile/" </w:instrText>
      </w:r>
      <w:r>
        <w:rPr>
          <w:color w:val="auto"/>
        </w:rPr>
        <w:fldChar w:fldCharType="separate"/>
      </w:r>
      <w:r>
        <w:rPr>
          <w:rFonts w:hint="eastAsia" w:ascii="宋体" w:hAnsi="宋体" w:cs="宋体"/>
          <w:color w:val="auto"/>
          <w:sz w:val="24"/>
          <w:szCs w:val="32"/>
        </w:rPr>
        <w:t>www.ccgp.gov.cn</w:t>
      </w:r>
      <w:r>
        <w:rPr>
          <w:rFonts w:hint="eastAsia" w:ascii="宋体" w:hAnsi="宋体" w:cs="宋体"/>
          <w:color w:val="auto"/>
          <w:sz w:val="24"/>
          <w:szCs w:val="32"/>
        </w:rPr>
        <w:fldChar w:fldCharType="end"/>
      </w:r>
      <w:r>
        <w:rPr>
          <w:rFonts w:hint="eastAsia" w:ascii="宋体" w:hAnsi="宋体" w:cs="宋体"/>
          <w:color w:val="auto"/>
          <w:sz w:val="24"/>
          <w:szCs w:val="32"/>
        </w:rPr>
        <w:t>）；</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3）信用信息查询记录和证据留存具体方式：采购代理机构经办人和监督人员将查询网页打印、签字与其他采购文件一并保存；</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4）信用信息的使用规则：投标人存在不良信用记录的，其投标将被作为无效投标被拒绝。</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4.不良信用记录指：被列入失信被执行人、重大税收违法案件当事人名单、政府采购严重违法失信行为记录名单或浙江政府采购网曝光台中尚在行政处罚期内的。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5.采购文件发售截止时间之后有潜在供应商提出要求获取采购文件的允许其报名获取，但对采购文件有异议应按规定的时间提出，逾期提出的，采购组织机构可不予受理、答复。</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6.开标时间后30分钟内，供应商须登录“政采云”平台，用“项目采购-开标评标”功能解密投标文件，投标人未按时解密或解密失败的，其上传的电子投标文件自动失效。电脑及CA解密设备自备。</w:t>
      </w:r>
    </w:p>
    <w:p>
      <w:pPr>
        <w:spacing w:line="360" w:lineRule="auto"/>
        <w:rPr>
          <w:rFonts w:ascii="宋体" w:hAnsi="宋体" w:cs="宋体"/>
          <w:b/>
          <w:bCs/>
          <w:color w:val="auto"/>
          <w:sz w:val="24"/>
        </w:rPr>
      </w:pPr>
      <w:r>
        <w:rPr>
          <w:rFonts w:hint="eastAsia" w:ascii="宋体" w:hAnsi="宋体" w:cs="宋体"/>
          <w:b/>
          <w:bCs/>
          <w:color w:val="auto"/>
          <w:sz w:val="24"/>
        </w:rPr>
        <w:t>十、联系方式：</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1、采购代理机构名称：</w:t>
      </w:r>
      <w:r>
        <w:rPr>
          <w:rFonts w:hint="eastAsia" w:ascii="宋体" w:hAnsi="宋体" w:cs="宋体"/>
          <w:color w:val="auto"/>
          <w:sz w:val="24"/>
          <w:szCs w:val="32"/>
        </w:rPr>
        <w:t>浙江洪大工程咨询有限公司</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项目负责人：洪仙法；联系电话：13616680909；</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质疑接受人：李女士；联系电话：0576-88217718；</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报名联系人：李女士；联系电话：0576-88217718；</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地点：椒江区解放南路30号一鼎公寓1号楼503。</w:t>
      </w:r>
    </w:p>
    <w:p>
      <w:pPr>
        <w:spacing w:line="360" w:lineRule="auto"/>
        <w:ind w:firstLine="482" w:firstLineChars="200"/>
        <w:rPr>
          <w:rFonts w:ascii="宋体" w:hAnsi="宋体" w:cs="宋体"/>
          <w:color w:val="auto"/>
          <w:sz w:val="24"/>
          <w:szCs w:val="32"/>
        </w:rPr>
      </w:pPr>
      <w:r>
        <w:rPr>
          <w:rFonts w:hint="eastAsia" w:ascii="宋体" w:hAnsi="宋体" w:cs="宋体"/>
          <w:b/>
          <w:bCs/>
          <w:color w:val="auto"/>
          <w:sz w:val="24"/>
          <w:szCs w:val="32"/>
        </w:rPr>
        <w:t>2、采购人：</w:t>
      </w:r>
    </w:p>
    <w:p>
      <w:pPr>
        <w:snapToGrid w:val="0"/>
        <w:spacing w:line="360" w:lineRule="auto"/>
        <w:ind w:firstLine="600" w:firstLineChars="250"/>
        <w:rPr>
          <w:rFonts w:ascii="宋体" w:hAnsi="宋体" w:cs="宋体"/>
          <w:color w:val="auto"/>
          <w:sz w:val="24"/>
        </w:rPr>
      </w:pPr>
      <w:r>
        <w:rPr>
          <w:rFonts w:hint="eastAsia" w:ascii="宋体" w:hAnsi="宋体" w:cs="宋体"/>
          <w:color w:val="auto"/>
          <w:sz w:val="24"/>
        </w:rPr>
        <w:t xml:space="preserve">采购人名称：台州市生态环境局椒江分局  </w:t>
      </w:r>
    </w:p>
    <w:p>
      <w:pPr>
        <w:snapToGrid w:val="0"/>
        <w:spacing w:line="360" w:lineRule="auto"/>
        <w:ind w:firstLine="600" w:firstLineChars="250"/>
        <w:rPr>
          <w:rFonts w:ascii="宋体" w:hAnsi="宋体" w:cs="宋体"/>
          <w:color w:val="auto"/>
          <w:sz w:val="24"/>
        </w:rPr>
      </w:pPr>
      <w:r>
        <w:rPr>
          <w:rFonts w:hint="eastAsia" w:ascii="宋体" w:hAnsi="宋体" w:cs="宋体"/>
          <w:color w:val="auto"/>
          <w:sz w:val="24"/>
        </w:rPr>
        <w:t xml:space="preserve">联系人：林雯         联系电话：13906599987  </w:t>
      </w:r>
    </w:p>
    <w:p>
      <w:pPr>
        <w:snapToGrid w:val="0"/>
        <w:spacing w:line="360" w:lineRule="auto"/>
        <w:ind w:firstLine="600" w:firstLineChars="250"/>
        <w:rPr>
          <w:rFonts w:ascii="宋体" w:hAnsi="宋体" w:cs="宋体"/>
          <w:color w:val="auto"/>
          <w:sz w:val="24"/>
        </w:rPr>
      </w:pPr>
      <w:r>
        <w:rPr>
          <w:rFonts w:hint="eastAsia" w:ascii="宋体" w:hAnsi="宋体" w:cs="宋体"/>
          <w:color w:val="auto"/>
          <w:sz w:val="24"/>
        </w:rPr>
        <w:t xml:space="preserve">质疑联系人：胡蒙嘉    质疑联系方式：0576-88898099 </w:t>
      </w:r>
    </w:p>
    <w:p>
      <w:pPr>
        <w:snapToGrid w:val="0"/>
        <w:spacing w:line="360" w:lineRule="auto"/>
        <w:ind w:firstLine="525" w:firstLineChars="250"/>
        <w:rPr>
          <w:rFonts w:ascii="宋体" w:hAnsi="宋体" w:cs="宋体"/>
          <w:color w:val="auto"/>
          <w:sz w:val="24"/>
          <w:szCs w:val="32"/>
        </w:rPr>
      </w:pPr>
      <w:r>
        <w:rPr>
          <w:rFonts w:hint="eastAsia"/>
          <w:color w:val="auto"/>
        </w:rPr>
        <w:t> </w:t>
      </w:r>
      <w:r>
        <w:rPr>
          <w:rFonts w:hint="eastAsia" w:ascii="宋体" w:hAnsi="宋体" w:cs="宋体"/>
          <w:b/>
          <w:bCs/>
          <w:color w:val="auto"/>
          <w:sz w:val="24"/>
          <w:szCs w:val="32"/>
        </w:rPr>
        <w:t>3、同级政府采购监督管理部门：</w:t>
      </w:r>
      <w:r>
        <w:rPr>
          <w:rFonts w:hint="eastAsia" w:ascii="宋体" w:hAnsi="宋体" w:cs="宋体"/>
          <w:color w:val="auto"/>
          <w:sz w:val="24"/>
          <w:szCs w:val="32"/>
        </w:rPr>
        <w:t xml:space="preserve">台州市椒江区财政局政府采购监管科 </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联系人：杨先生；监督投诉电话：0576-88223583 </w:t>
      </w:r>
    </w:p>
    <w:p>
      <w:pPr>
        <w:pStyle w:val="12"/>
        <w:spacing w:line="360" w:lineRule="auto"/>
        <w:ind w:firstLine="482" w:firstLineChars="200"/>
        <w:rPr>
          <w:rFonts w:ascii="宋体" w:hAnsi="宋体" w:cs="宋体"/>
          <w:color w:val="auto"/>
        </w:rPr>
      </w:pPr>
      <w:r>
        <w:rPr>
          <w:rFonts w:hint="eastAsia" w:ascii="宋体" w:hAnsi="宋体" w:cs="宋体"/>
          <w:b/>
          <w:bCs/>
          <w:color w:val="auto"/>
          <w:szCs w:val="32"/>
        </w:rPr>
        <w:t>4、其余事项：中标供应商如有融资需求，可使用以下银行的政采贷服务</w:t>
      </w:r>
    </w:p>
    <w:tbl>
      <w:tblPr>
        <w:tblStyle w:val="24"/>
        <w:tblW w:w="4998" w:type="pct"/>
        <w:tblCellSpacing w:w="15" w:type="dxa"/>
        <w:tblInd w:w="0" w:type="dxa"/>
        <w:tblLayout w:type="autofit"/>
        <w:tblCellMar>
          <w:top w:w="15" w:type="dxa"/>
          <w:left w:w="15" w:type="dxa"/>
          <w:bottom w:w="15" w:type="dxa"/>
          <w:right w:w="15" w:type="dxa"/>
        </w:tblCellMar>
      </w:tblPr>
      <w:tblGrid>
        <w:gridCol w:w="3012"/>
        <w:gridCol w:w="1175"/>
        <w:gridCol w:w="1494"/>
        <w:gridCol w:w="2798"/>
      </w:tblGrid>
      <w:tr>
        <w:tblPrEx>
          <w:tblCellMar>
            <w:top w:w="15" w:type="dxa"/>
            <w:left w:w="15" w:type="dxa"/>
            <w:bottom w:w="15" w:type="dxa"/>
            <w:right w:w="15" w:type="dxa"/>
          </w:tblCellMar>
        </w:tblPrEx>
        <w:trPr>
          <w:trHeight w:val="15" w:hRule="atLeast"/>
          <w:tblCellSpacing w:w="15" w:type="dxa"/>
        </w:trPr>
        <w:tc>
          <w:tcPr>
            <w:tcW w:w="1749" w:type="pct"/>
            <w:tcBorders>
              <w:top w:val="single" w:color="auto" w:sz="2" w:space="0"/>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银行</w:t>
            </w:r>
          </w:p>
        </w:tc>
        <w:tc>
          <w:tcPr>
            <w:tcW w:w="675" w:type="pct"/>
            <w:tcBorders>
              <w:top w:val="single" w:color="auto" w:sz="2" w:space="0"/>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贷款年利率</w:t>
            </w:r>
          </w:p>
        </w:tc>
        <w:tc>
          <w:tcPr>
            <w:tcW w:w="863" w:type="pct"/>
            <w:tcBorders>
              <w:top w:val="single" w:color="auto" w:sz="2" w:space="0"/>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联系人</w:t>
            </w:r>
          </w:p>
        </w:tc>
        <w:tc>
          <w:tcPr>
            <w:tcW w:w="1622" w:type="pct"/>
            <w:tcBorders>
              <w:top w:val="single" w:color="auto" w:sz="2" w:space="0"/>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联系电话</w:t>
            </w:r>
          </w:p>
        </w:tc>
      </w:tr>
      <w:tr>
        <w:tblPrEx>
          <w:tblCellMar>
            <w:top w:w="15" w:type="dxa"/>
            <w:left w:w="15" w:type="dxa"/>
            <w:bottom w:w="15" w:type="dxa"/>
            <w:right w:w="15" w:type="dxa"/>
          </w:tblCellMar>
        </w:tblPrEx>
        <w:trPr>
          <w:trHeight w:val="15"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中国工商银行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3.8%起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王霖</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88588246  13857654562</w:t>
            </w:r>
          </w:p>
        </w:tc>
      </w:tr>
      <w:tr>
        <w:tblPrEx>
          <w:tblCellMar>
            <w:top w:w="15" w:type="dxa"/>
            <w:left w:w="15" w:type="dxa"/>
            <w:bottom w:w="15" w:type="dxa"/>
            <w:right w:w="15" w:type="dxa"/>
          </w:tblCellMar>
        </w:tblPrEx>
        <w:trPr>
          <w:trHeight w:val="15"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中国农业银行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3.8%起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龚盛</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15858682216</w:t>
            </w:r>
          </w:p>
        </w:tc>
      </w:tr>
      <w:tr>
        <w:tblPrEx>
          <w:tblCellMar>
            <w:top w:w="15" w:type="dxa"/>
            <w:left w:w="15" w:type="dxa"/>
            <w:bottom w:w="15" w:type="dxa"/>
            <w:right w:w="15" w:type="dxa"/>
          </w:tblCellMar>
        </w:tblPrEx>
        <w:trPr>
          <w:trHeight w:val="991"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中国建设银行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3.8%起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梅晶晶</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before="93" w:beforeLines="30" w:beforeAutospacing="0" w:after="93" w:afterLines="30" w:afterAutospacing="0"/>
              <w:jc w:val="center"/>
              <w:rPr>
                <w:rFonts w:cs="宋体"/>
                <w:color w:val="auto"/>
              </w:rPr>
            </w:pPr>
            <w:r>
              <w:rPr>
                <w:rFonts w:hint="eastAsia" w:cs="宋体"/>
                <w:color w:val="auto"/>
              </w:rPr>
              <w:t>88525339</w:t>
            </w:r>
          </w:p>
          <w:p>
            <w:pPr>
              <w:pStyle w:val="22"/>
              <w:spacing w:before="93" w:beforeLines="30" w:beforeAutospacing="0" w:after="93" w:afterLines="30" w:afterAutospacing="0"/>
              <w:jc w:val="center"/>
              <w:rPr>
                <w:rFonts w:cs="宋体"/>
                <w:color w:val="auto"/>
              </w:rPr>
            </w:pPr>
            <w:r>
              <w:rPr>
                <w:rFonts w:hint="eastAsia" w:cs="宋体"/>
                <w:color w:val="auto"/>
              </w:rPr>
              <w:t>13736585303</w:t>
            </w:r>
          </w:p>
        </w:tc>
      </w:tr>
      <w:tr>
        <w:tblPrEx>
          <w:tblCellMar>
            <w:top w:w="15" w:type="dxa"/>
            <w:left w:w="15" w:type="dxa"/>
            <w:bottom w:w="15" w:type="dxa"/>
            <w:right w:w="15" w:type="dxa"/>
          </w:tblCellMar>
        </w:tblPrEx>
        <w:trPr>
          <w:trHeight w:val="15"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中国银行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3.75%起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任茜</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13857695378</w:t>
            </w:r>
          </w:p>
        </w:tc>
      </w:tr>
      <w:tr>
        <w:tblPrEx>
          <w:tblCellMar>
            <w:top w:w="15" w:type="dxa"/>
            <w:left w:w="15" w:type="dxa"/>
            <w:bottom w:w="15" w:type="dxa"/>
            <w:right w:w="15" w:type="dxa"/>
          </w:tblCellMar>
        </w:tblPrEx>
        <w:trPr>
          <w:trHeight w:val="15"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浦发银行台州分行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4.05%起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王渊</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13616676319</w:t>
            </w:r>
          </w:p>
        </w:tc>
      </w:tr>
      <w:tr>
        <w:tblPrEx>
          <w:tblCellMar>
            <w:top w:w="15" w:type="dxa"/>
            <w:left w:w="15" w:type="dxa"/>
            <w:bottom w:w="15" w:type="dxa"/>
            <w:right w:w="15" w:type="dxa"/>
          </w:tblCellMar>
        </w:tblPrEx>
        <w:trPr>
          <w:trHeight w:val="15"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浦发银行椒江分行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4.05%起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孙瑞华</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13857688081</w:t>
            </w:r>
          </w:p>
        </w:tc>
      </w:tr>
      <w:tr>
        <w:tblPrEx>
          <w:tblCellMar>
            <w:top w:w="15" w:type="dxa"/>
            <w:left w:w="15" w:type="dxa"/>
            <w:bottom w:w="15" w:type="dxa"/>
            <w:right w:w="15" w:type="dxa"/>
          </w:tblCellMar>
        </w:tblPrEx>
        <w:trPr>
          <w:trHeight w:val="15"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交通银行台州分行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3.75%起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周翔宇</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13867697018</w:t>
            </w:r>
          </w:p>
        </w:tc>
      </w:tr>
      <w:tr>
        <w:tblPrEx>
          <w:tblCellMar>
            <w:top w:w="15" w:type="dxa"/>
            <w:left w:w="15" w:type="dxa"/>
            <w:bottom w:w="15" w:type="dxa"/>
            <w:right w:w="15" w:type="dxa"/>
          </w:tblCellMar>
        </w:tblPrEx>
        <w:trPr>
          <w:trHeight w:val="15" w:hRule="atLeast"/>
          <w:tblCellSpacing w:w="15" w:type="dxa"/>
        </w:trPr>
        <w:tc>
          <w:tcPr>
            <w:tcW w:w="1749"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招商银行台州分行</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4.32%起</w:t>
            </w:r>
          </w:p>
        </w:tc>
        <w:tc>
          <w:tcPr>
            <w:tcW w:w="863"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王海玲</w:t>
            </w:r>
          </w:p>
        </w:tc>
        <w:tc>
          <w:tcPr>
            <w:tcW w:w="1622"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13566413827</w:t>
            </w:r>
          </w:p>
        </w:tc>
      </w:tr>
      <w:tr>
        <w:tblPrEx>
          <w:tblCellMar>
            <w:top w:w="15" w:type="dxa"/>
            <w:left w:w="15" w:type="dxa"/>
            <w:bottom w:w="15" w:type="dxa"/>
            <w:right w:w="15" w:type="dxa"/>
          </w:tblCellMar>
        </w:tblPrEx>
        <w:trPr>
          <w:trHeight w:val="15" w:hRule="atLeast"/>
          <w:tblCellSpacing w:w="15" w:type="dxa"/>
        </w:trPr>
        <w:tc>
          <w:tcPr>
            <w:tcW w:w="1749"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浙商银行台州分行</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5.01%起</w:t>
            </w:r>
          </w:p>
        </w:tc>
        <w:tc>
          <w:tcPr>
            <w:tcW w:w="863"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章涉漪</w:t>
            </w:r>
          </w:p>
        </w:tc>
        <w:tc>
          <w:tcPr>
            <w:tcW w:w="1622"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before="93" w:beforeLines="30" w:beforeAutospacing="0" w:after="93" w:afterLines="30" w:afterAutospacing="0"/>
              <w:jc w:val="center"/>
              <w:rPr>
                <w:rFonts w:cs="宋体"/>
                <w:color w:val="auto"/>
              </w:rPr>
            </w:pPr>
            <w:r>
              <w:rPr>
                <w:rFonts w:hint="eastAsia" w:cs="宋体"/>
                <w:color w:val="auto"/>
              </w:rPr>
              <w:t>81880185</w:t>
            </w:r>
          </w:p>
          <w:p>
            <w:pPr>
              <w:pStyle w:val="22"/>
              <w:spacing w:before="93" w:beforeLines="30" w:beforeAutospacing="0" w:after="93" w:afterLines="30" w:afterAutospacing="0"/>
              <w:jc w:val="center"/>
              <w:rPr>
                <w:rFonts w:cs="宋体"/>
                <w:color w:val="auto"/>
              </w:rPr>
            </w:pPr>
            <w:r>
              <w:rPr>
                <w:rFonts w:hint="eastAsia" w:cs="宋体"/>
                <w:color w:val="auto"/>
              </w:rPr>
              <w:t>13606681262</w:t>
            </w:r>
          </w:p>
        </w:tc>
      </w:tr>
      <w:tr>
        <w:tblPrEx>
          <w:tblCellMar>
            <w:top w:w="15" w:type="dxa"/>
            <w:left w:w="15" w:type="dxa"/>
            <w:bottom w:w="15" w:type="dxa"/>
            <w:right w:w="15" w:type="dxa"/>
          </w:tblCellMar>
        </w:tblPrEx>
        <w:trPr>
          <w:trHeight w:val="15"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中信银行台州分行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4.15%起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陈金园</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13586052161</w:t>
            </w:r>
          </w:p>
        </w:tc>
      </w:tr>
      <w:tr>
        <w:tblPrEx>
          <w:tblCellMar>
            <w:top w:w="15" w:type="dxa"/>
            <w:left w:w="15" w:type="dxa"/>
            <w:bottom w:w="15" w:type="dxa"/>
            <w:right w:w="15" w:type="dxa"/>
          </w:tblCellMar>
        </w:tblPrEx>
        <w:trPr>
          <w:trHeight w:val="15"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华夏银行台州分行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4.5%起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邱明达</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before="93" w:beforeLines="30" w:beforeAutospacing="0" w:after="93" w:afterLines="30" w:afterAutospacing="0"/>
              <w:jc w:val="center"/>
              <w:rPr>
                <w:rFonts w:cs="宋体"/>
                <w:color w:val="auto"/>
              </w:rPr>
            </w:pPr>
            <w:r>
              <w:rPr>
                <w:rFonts w:hint="eastAsia" w:cs="宋体"/>
                <w:color w:val="auto"/>
              </w:rPr>
              <w:t>81871518</w:t>
            </w:r>
          </w:p>
          <w:p>
            <w:pPr>
              <w:pStyle w:val="22"/>
              <w:spacing w:before="93" w:beforeLines="30" w:beforeAutospacing="0" w:after="93" w:afterLines="30" w:afterAutospacing="0"/>
              <w:jc w:val="center"/>
              <w:rPr>
                <w:rFonts w:cs="宋体"/>
                <w:color w:val="auto"/>
              </w:rPr>
            </w:pPr>
            <w:r>
              <w:rPr>
                <w:rFonts w:hint="eastAsia" w:cs="宋体"/>
                <w:color w:val="auto"/>
              </w:rPr>
              <w:t>13736252233</w:t>
            </w:r>
          </w:p>
        </w:tc>
      </w:tr>
      <w:tr>
        <w:tblPrEx>
          <w:tblCellMar>
            <w:top w:w="15" w:type="dxa"/>
            <w:left w:w="15" w:type="dxa"/>
            <w:bottom w:w="15" w:type="dxa"/>
            <w:right w:w="15" w:type="dxa"/>
          </w:tblCellMar>
        </w:tblPrEx>
        <w:trPr>
          <w:trHeight w:val="15"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泰隆银行开发区支行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5.6%起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梁宛莉</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13306869100</w:t>
            </w:r>
          </w:p>
        </w:tc>
      </w:tr>
      <w:tr>
        <w:tblPrEx>
          <w:tblCellMar>
            <w:top w:w="15" w:type="dxa"/>
            <w:left w:w="15" w:type="dxa"/>
            <w:bottom w:w="15" w:type="dxa"/>
            <w:right w:w="15" w:type="dxa"/>
          </w:tblCellMar>
        </w:tblPrEx>
        <w:trPr>
          <w:trHeight w:val="15"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民泰银行椒江支行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5.8%起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陈慧珠</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13857699669</w:t>
            </w:r>
          </w:p>
        </w:tc>
      </w:tr>
      <w:tr>
        <w:tblPrEx>
          <w:tblCellMar>
            <w:top w:w="15" w:type="dxa"/>
            <w:left w:w="15" w:type="dxa"/>
            <w:bottom w:w="15" w:type="dxa"/>
            <w:right w:w="15" w:type="dxa"/>
          </w:tblCellMar>
        </w:tblPrEx>
        <w:trPr>
          <w:trHeight w:val="15"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绍兴银行台州分行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5.1%起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郭庭斌</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15958633119</w:t>
            </w:r>
          </w:p>
        </w:tc>
      </w:tr>
      <w:tr>
        <w:tblPrEx>
          <w:tblCellMar>
            <w:top w:w="15" w:type="dxa"/>
            <w:left w:w="15" w:type="dxa"/>
            <w:bottom w:w="15" w:type="dxa"/>
            <w:right w:w="15" w:type="dxa"/>
          </w:tblCellMar>
        </w:tblPrEx>
        <w:trPr>
          <w:trHeight w:val="15"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温州银行台州分行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4.55%起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王晓波</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15824005475</w:t>
            </w:r>
          </w:p>
        </w:tc>
      </w:tr>
      <w:tr>
        <w:tblPrEx>
          <w:tblCellMar>
            <w:top w:w="15" w:type="dxa"/>
            <w:left w:w="15" w:type="dxa"/>
            <w:bottom w:w="15" w:type="dxa"/>
            <w:right w:w="15" w:type="dxa"/>
          </w:tblCellMar>
        </w:tblPrEx>
        <w:trPr>
          <w:trHeight w:val="15"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平安银行台州分行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6.53%起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李俊丽</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15906861025</w:t>
            </w:r>
          </w:p>
        </w:tc>
      </w:tr>
      <w:tr>
        <w:tblPrEx>
          <w:tblCellMar>
            <w:top w:w="15" w:type="dxa"/>
            <w:left w:w="15" w:type="dxa"/>
            <w:bottom w:w="15" w:type="dxa"/>
            <w:right w:w="15" w:type="dxa"/>
          </w:tblCellMar>
        </w:tblPrEx>
        <w:trPr>
          <w:trHeight w:val="15"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宁波银行台州分行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4.35%起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戴莉丽</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13566627207</w:t>
            </w:r>
          </w:p>
        </w:tc>
      </w:tr>
      <w:tr>
        <w:tblPrEx>
          <w:tblCellMar>
            <w:top w:w="15" w:type="dxa"/>
            <w:left w:w="15" w:type="dxa"/>
            <w:bottom w:w="15" w:type="dxa"/>
            <w:right w:w="15" w:type="dxa"/>
          </w:tblCellMar>
        </w:tblPrEx>
        <w:trPr>
          <w:trHeight w:val="873" w:hRule="atLeast"/>
          <w:tblCellSpacing w:w="15" w:type="dxa"/>
        </w:trPr>
        <w:tc>
          <w:tcPr>
            <w:tcW w:w="1749" w:type="pct"/>
            <w:tcBorders>
              <w:top w:val="nil"/>
              <w:left w:val="single" w:color="auto" w:sz="2" w:space="0"/>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金华银行台州分行</w:t>
            </w:r>
          </w:p>
        </w:tc>
        <w:tc>
          <w:tcPr>
            <w:tcW w:w="675"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4.05%起</w:t>
            </w:r>
          </w:p>
        </w:tc>
        <w:tc>
          <w:tcPr>
            <w:tcW w:w="863"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金雪婷</w:t>
            </w:r>
          </w:p>
        </w:tc>
        <w:tc>
          <w:tcPr>
            <w:tcW w:w="1622" w:type="pct"/>
            <w:tcBorders>
              <w:top w:val="nil"/>
              <w:left w:val="nil"/>
              <w:bottom w:val="single" w:color="auto" w:sz="2" w:space="0"/>
              <w:right w:val="single" w:color="auto" w:sz="2" w:space="0"/>
            </w:tcBorders>
            <w:shd w:val="clear" w:color="auto" w:fill="auto"/>
            <w:tcMar>
              <w:top w:w="0" w:type="dxa"/>
              <w:left w:w="53" w:type="dxa"/>
              <w:bottom w:w="0" w:type="dxa"/>
              <w:right w:w="53" w:type="dxa"/>
            </w:tcMar>
            <w:vAlign w:val="center"/>
          </w:tcPr>
          <w:p>
            <w:pPr>
              <w:pStyle w:val="22"/>
              <w:spacing w:before="93" w:beforeLines="30" w:beforeAutospacing="0" w:after="93" w:afterLines="30" w:afterAutospacing="0" w:line="120" w:lineRule="auto"/>
              <w:jc w:val="center"/>
              <w:rPr>
                <w:rFonts w:cs="宋体"/>
                <w:color w:val="auto"/>
              </w:rPr>
            </w:pPr>
            <w:r>
              <w:rPr>
                <w:rFonts w:hint="eastAsia" w:cs="宋体"/>
                <w:color w:val="auto"/>
              </w:rPr>
              <w:t>81886670</w:t>
            </w:r>
          </w:p>
          <w:p>
            <w:pPr>
              <w:pStyle w:val="22"/>
              <w:spacing w:before="93" w:beforeLines="30" w:beforeAutospacing="0" w:after="93" w:afterLines="30" w:afterAutospacing="0" w:line="120" w:lineRule="auto"/>
              <w:jc w:val="center"/>
              <w:rPr>
                <w:rFonts w:cs="宋体"/>
                <w:color w:val="auto"/>
              </w:rPr>
            </w:pPr>
            <w:r>
              <w:rPr>
                <w:rFonts w:hint="eastAsia" w:cs="宋体"/>
                <w:color w:val="auto"/>
              </w:rPr>
              <w:t>15968661569</w:t>
            </w:r>
          </w:p>
        </w:tc>
      </w:tr>
      <w:tr>
        <w:tblPrEx>
          <w:tblCellMar>
            <w:top w:w="15" w:type="dxa"/>
            <w:left w:w="15" w:type="dxa"/>
            <w:bottom w:w="15" w:type="dxa"/>
            <w:right w:w="15" w:type="dxa"/>
          </w:tblCellMar>
        </w:tblPrEx>
        <w:trPr>
          <w:trHeight w:val="15" w:hRule="atLeast"/>
          <w:tblCellSpacing w:w="15" w:type="dxa"/>
        </w:trPr>
        <w:tc>
          <w:tcPr>
            <w:tcW w:w="1749"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台州银行</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5.6%起</w:t>
            </w:r>
          </w:p>
        </w:tc>
        <w:tc>
          <w:tcPr>
            <w:tcW w:w="863"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洪婷</w:t>
            </w:r>
          </w:p>
        </w:tc>
        <w:tc>
          <w:tcPr>
            <w:tcW w:w="1622"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15858624999</w:t>
            </w:r>
          </w:p>
        </w:tc>
      </w:tr>
      <w:tr>
        <w:tblPrEx>
          <w:tblCellMar>
            <w:top w:w="15" w:type="dxa"/>
            <w:left w:w="15" w:type="dxa"/>
            <w:bottom w:w="15" w:type="dxa"/>
            <w:right w:w="15" w:type="dxa"/>
          </w:tblCellMar>
        </w:tblPrEx>
        <w:trPr>
          <w:trHeight w:val="15" w:hRule="atLeast"/>
          <w:tblCellSpacing w:w="15" w:type="dxa"/>
        </w:trPr>
        <w:tc>
          <w:tcPr>
            <w:tcW w:w="1749"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邮储银行台州分行</w:t>
            </w:r>
          </w:p>
        </w:tc>
        <w:tc>
          <w:tcPr>
            <w:tcW w:w="675"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3.85%起</w:t>
            </w:r>
          </w:p>
        </w:tc>
        <w:tc>
          <w:tcPr>
            <w:tcW w:w="863"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line="360" w:lineRule="auto"/>
              <w:jc w:val="center"/>
              <w:rPr>
                <w:rFonts w:cs="宋体"/>
                <w:color w:val="auto"/>
              </w:rPr>
            </w:pPr>
            <w:r>
              <w:rPr>
                <w:rFonts w:hint="eastAsia" w:cs="宋体"/>
                <w:color w:val="auto"/>
              </w:rPr>
              <w:t>董庆</w:t>
            </w:r>
          </w:p>
        </w:tc>
        <w:tc>
          <w:tcPr>
            <w:tcW w:w="1622" w:type="pct"/>
            <w:tcBorders>
              <w:top w:val="single" w:color="auto" w:sz="4" w:space="0"/>
              <w:left w:val="single" w:color="auto" w:sz="4" w:space="0"/>
              <w:bottom w:val="single" w:color="auto" w:sz="4" w:space="0"/>
              <w:right w:val="single" w:color="auto" w:sz="4" w:space="0"/>
            </w:tcBorders>
            <w:shd w:val="clear" w:color="auto" w:fill="auto"/>
            <w:tcMar>
              <w:top w:w="0" w:type="dxa"/>
              <w:left w:w="53" w:type="dxa"/>
              <w:bottom w:w="0" w:type="dxa"/>
              <w:right w:w="53" w:type="dxa"/>
            </w:tcMar>
            <w:vAlign w:val="center"/>
          </w:tcPr>
          <w:p>
            <w:pPr>
              <w:pStyle w:val="22"/>
              <w:spacing w:before="93" w:beforeLines="30" w:beforeAutospacing="0" w:after="93" w:afterLines="30" w:afterAutospacing="0" w:line="120" w:lineRule="auto"/>
              <w:jc w:val="center"/>
              <w:rPr>
                <w:rFonts w:cs="宋体"/>
                <w:color w:val="auto"/>
              </w:rPr>
            </w:pPr>
            <w:r>
              <w:rPr>
                <w:rFonts w:hint="eastAsia" w:cs="宋体"/>
                <w:color w:val="auto"/>
              </w:rPr>
              <w:t>81888982</w:t>
            </w:r>
          </w:p>
          <w:p>
            <w:pPr>
              <w:pStyle w:val="22"/>
              <w:spacing w:before="93" w:beforeLines="30" w:beforeAutospacing="0" w:after="93" w:afterLines="30" w:afterAutospacing="0" w:line="120" w:lineRule="auto"/>
              <w:jc w:val="center"/>
              <w:rPr>
                <w:rFonts w:cs="宋体"/>
                <w:color w:val="auto"/>
              </w:rPr>
            </w:pPr>
            <w:r>
              <w:rPr>
                <w:rFonts w:hint="eastAsia" w:cs="宋体"/>
                <w:color w:val="auto"/>
              </w:rPr>
              <w:t>18957683735</w:t>
            </w:r>
          </w:p>
        </w:tc>
      </w:tr>
    </w:tbl>
    <w:p>
      <w:pPr>
        <w:pStyle w:val="12"/>
        <w:spacing w:line="360" w:lineRule="auto"/>
        <w:jc w:val="right"/>
        <w:rPr>
          <w:rFonts w:ascii="宋体" w:hAnsi="宋体" w:cs="宋体"/>
          <w:color w:val="auto"/>
        </w:rPr>
      </w:pPr>
    </w:p>
    <w:p>
      <w:pPr>
        <w:pStyle w:val="12"/>
        <w:spacing w:line="360" w:lineRule="auto"/>
        <w:jc w:val="right"/>
        <w:rPr>
          <w:rFonts w:ascii="宋体" w:hAnsi="宋体" w:cs="宋体"/>
          <w:color w:val="auto"/>
        </w:rPr>
      </w:pPr>
      <w:r>
        <w:rPr>
          <w:rFonts w:hint="eastAsia" w:ascii="宋体" w:hAnsi="宋体" w:cs="宋体"/>
          <w:color w:val="auto"/>
        </w:rPr>
        <w:t>浙江洪大工程咨询有限公司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cs="宋体"/>
          <w:color w:val="auto"/>
          <w:sz w:val="24"/>
        </w:rPr>
      </w:pPr>
      <w:r>
        <w:rPr>
          <w:rFonts w:hint="eastAsia" w:ascii="宋体" w:hAnsi="宋体" w:cs="宋体"/>
          <w:color w:val="auto"/>
          <w:sz w:val="24"/>
        </w:rPr>
        <w:t xml:space="preserve">                                         2021年1月</w:t>
      </w:r>
    </w:p>
    <w:p>
      <w:pPr>
        <w:rPr>
          <w:rFonts w:ascii="宋体" w:hAnsi="宋体" w:cs="宋体"/>
          <w:b/>
          <w:bCs/>
          <w:color w:val="auto"/>
          <w:sz w:val="36"/>
          <w:szCs w:val="44"/>
        </w:rPr>
      </w:pPr>
      <w:r>
        <w:rPr>
          <w:rFonts w:hint="eastAsia" w:ascii="宋体" w:hAnsi="宋体" w:cs="宋体"/>
          <w:b/>
          <w:bCs/>
          <w:color w:val="auto"/>
          <w:sz w:val="36"/>
          <w:szCs w:val="44"/>
        </w:rPr>
        <w:br w:type="page"/>
      </w:r>
    </w:p>
    <w:p>
      <w:pPr>
        <w:spacing w:line="360" w:lineRule="auto"/>
        <w:ind w:firstLine="723" w:firstLineChars="200"/>
        <w:jc w:val="center"/>
        <w:rPr>
          <w:rFonts w:ascii="宋体" w:hAnsi="宋体" w:cs="宋体"/>
          <w:b/>
          <w:bCs/>
          <w:color w:val="auto"/>
          <w:sz w:val="36"/>
          <w:szCs w:val="44"/>
        </w:rPr>
      </w:pPr>
      <w:r>
        <w:rPr>
          <w:rFonts w:hint="eastAsia" w:ascii="宋体" w:hAnsi="宋体" w:cs="宋体"/>
          <w:b/>
          <w:bCs/>
          <w:color w:val="auto"/>
          <w:sz w:val="36"/>
          <w:szCs w:val="44"/>
        </w:rPr>
        <w:t>第二章 投标人须知</w:t>
      </w:r>
    </w:p>
    <w:p>
      <w:pPr>
        <w:spacing w:line="360" w:lineRule="auto"/>
        <w:ind w:firstLine="482" w:firstLineChars="200"/>
        <w:jc w:val="center"/>
        <w:rPr>
          <w:rFonts w:ascii="宋体" w:hAnsi="宋体" w:cs="宋体"/>
          <w:b/>
          <w:bCs/>
          <w:color w:val="auto"/>
          <w:sz w:val="24"/>
          <w:szCs w:val="32"/>
        </w:rPr>
      </w:pPr>
      <w:r>
        <w:rPr>
          <w:rFonts w:hint="eastAsia" w:ascii="宋体" w:hAnsi="宋体" w:cs="宋体"/>
          <w:b/>
          <w:bCs/>
          <w:color w:val="auto"/>
          <w:sz w:val="24"/>
          <w:szCs w:val="32"/>
        </w:rPr>
        <w:t>前附表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15"/>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2415" w:type="dxa"/>
            <w:vAlign w:val="center"/>
          </w:tcPr>
          <w:p>
            <w:pPr>
              <w:spacing w:line="360" w:lineRule="auto"/>
              <w:jc w:val="center"/>
              <w:rPr>
                <w:rFonts w:ascii="宋体" w:hAnsi="宋体" w:cs="宋体"/>
                <w:color w:val="auto"/>
                <w:sz w:val="24"/>
              </w:rPr>
            </w:pPr>
            <w:r>
              <w:rPr>
                <w:rFonts w:hint="eastAsia" w:ascii="宋体" w:hAnsi="宋体" w:cs="宋体"/>
                <w:color w:val="auto"/>
                <w:sz w:val="24"/>
              </w:rPr>
              <w:t>项    目</w:t>
            </w:r>
          </w:p>
        </w:tc>
        <w:tc>
          <w:tcPr>
            <w:tcW w:w="7050" w:type="dxa"/>
            <w:vAlign w:val="center"/>
          </w:tcPr>
          <w:p>
            <w:pPr>
              <w:spacing w:line="360" w:lineRule="auto"/>
              <w:jc w:val="center"/>
              <w:rPr>
                <w:rFonts w:ascii="宋体" w:hAnsi="宋体" w:cs="宋体"/>
                <w:color w:val="auto"/>
                <w:sz w:val="24"/>
              </w:rPr>
            </w:pPr>
            <w:r>
              <w:rPr>
                <w:rFonts w:hint="eastAsia" w:ascii="宋体" w:hAnsi="宋体" w:cs="宋体"/>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2415" w:type="dxa"/>
            <w:vAlign w:val="center"/>
          </w:tcPr>
          <w:p>
            <w:pPr>
              <w:spacing w:line="360" w:lineRule="auto"/>
              <w:jc w:val="center"/>
              <w:rPr>
                <w:rFonts w:ascii="宋体" w:hAnsi="宋体" w:cs="宋体"/>
                <w:color w:val="auto"/>
                <w:sz w:val="24"/>
              </w:rPr>
            </w:pPr>
            <w:r>
              <w:rPr>
                <w:rFonts w:hint="eastAsia" w:ascii="宋体" w:hAnsi="宋体" w:cs="宋体"/>
                <w:color w:val="auto"/>
                <w:sz w:val="24"/>
              </w:rPr>
              <w:t>供应商特定资格要求</w:t>
            </w:r>
          </w:p>
        </w:tc>
        <w:tc>
          <w:tcPr>
            <w:tcW w:w="7050" w:type="dxa"/>
            <w:vAlign w:val="center"/>
          </w:tcPr>
          <w:p>
            <w:pPr>
              <w:spacing w:line="360" w:lineRule="auto"/>
              <w:rPr>
                <w:rFonts w:ascii="宋体" w:hAnsi="宋体" w:cs="宋体"/>
                <w:color w:val="auto"/>
                <w:sz w:val="24"/>
              </w:rPr>
            </w:pPr>
            <w:r>
              <w:rPr>
                <w:rFonts w:hint="eastAsia" w:ascii="宋体" w:hAnsi="宋体" w:cs="宋体"/>
                <w:color w:val="auto"/>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2415" w:type="dxa"/>
            <w:vAlign w:val="center"/>
          </w:tcPr>
          <w:p>
            <w:pPr>
              <w:spacing w:line="360" w:lineRule="auto"/>
              <w:jc w:val="center"/>
              <w:rPr>
                <w:rFonts w:ascii="宋体" w:hAnsi="宋体" w:cs="宋体"/>
                <w:color w:val="auto"/>
                <w:sz w:val="24"/>
              </w:rPr>
            </w:pPr>
            <w:r>
              <w:rPr>
                <w:rFonts w:hint="eastAsia" w:ascii="宋体" w:hAnsi="宋体" w:cs="宋体"/>
                <w:color w:val="auto"/>
                <w:kern w:val="0"/>
                <w:sz w:val="24"/>
              </w:rPr>
              <w:t>答疑会或</w:t>
            </w:r>
            <w:r>
              <w:rPr>
                <w:rFonts w:hint="eastAsia" w:ascii="宋体" w:hAnsi="宋体" w:cs="宋体"/>
                <w:color w:val="auto"/>
                <w:sz w:val="24"/>
              </w:rPr>
              <w:t>现场踏勘</w:t>
            </w:r>
          </w:p>
        </w:tc>
        <w:tc>
          <w:tcPr>
            <w:tcW w:w="7050" w:type="dxa"/>
            <w:vAlign w:val="center"/>
          </w:tcPr>
          <w:p>
            <w:pPr>
              <w:spacing w:line="360" w:lineRule="auto"/>
              <w:rPr>
                <w:rFonts w:ascii="宋体" w:hAnsi="宋体" w:cs="宋体"/>
                <w:color w:val="auto"/>
                <w:sz w:val="24"/>
              </w:rPr>
            </w:pPr>
            <w:r>
              <w:rPr>
                <w:rFonts w:hint="eastAsia" w:ascii="宋体" w:hAnsi="宋体" w:cs="宋体"/>
                <w:color w:val="auto"/>
                <w:sz w:val="24"/>
              </w:rPr>
              <w:t>各投标单位自行前往勘察现场和周围环境，所产生的费用由投标单位自理。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8" w:type="dxa"/>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2415" w:type="dxa"/>
            <w:vAlign w:val="center"/>
          </w:tcPr>
          <w:p>
            <w:pPr>
              <w:spacing w:line="360" w:lineRule="auto"/>
              <w:jc w:val="center"/>
              <w:rPr>
                <w:rFonts w:ascii="宋体" w:hAnsi="宋体" w:cs="宋体"/>
                <w:color w:val="auto"/>
                <w:sz w:val="24"/>
              </w:rPr>
            </w:pPr>
            <w:r>
              <w:rPr>
                <w:rFonts w:hint="eastAsia" w:ascii="宋体" w:hAnsi="宋体" w:cs="宋体"/>
                <w:color w:val="auto"/>
                <w:sz w:val="24"/>
              </w:rPr>
              <w:t>投标文件递交要求</w:t>
            </w:r>
          </w:p>
        </w:tc>
        <w:tc>
          <w:tcPr>
            <w:tcW w:w="7050" w:type="dxa"/>
            <w:vAlign w:val="center"/>
          </w:tcPr>
          <w:p>
            <w:pPr>
              <w:spacing w:line="360" w:lineRule="auto"/>
              <w:rPr>
                <w:rFonts w:ascii="宋体" w:hAnsi="宋体" w:cs="宋体"/>
                <w:color w:val="auto"/>
                <w:sz w:val="24"/>
              </w:rPr>
            </w:pPr>
            <w:r>
              <w:rPr>
                <w:rFonts w:hint="eastAsia" w:ascii="宋体" w:hAnsi="宋体" w:cs="宋体"/>
                <w:color w:val="auto"/>
                <w:sz w:val="24"/>
              </w:rPr>
              <w:t>本项目实行</w:t>
            </w:r>
            <w:r>
              <w:rPr>
                <w:rFonts w:hint="eastAsia" w:ascii="宋体" w:hAnsi="宋体" w:cs="宋体"/>
                <w:b/>
                <w:bCs/>
                <w:color w:val="auto"/>
                <w:sz w:val="24"/>
              </w:rPr>
              <w:t>电子投标</w:t>
            </w:r>
            <w:r>
              <w:rPr>
                <w:rFonts w:hint="eastAsia" w:ascii="宋体" w:hAnsi="宋体" w:cs="宋体"/>
                <w:color w:val="auto"/>
                <w:sz w:val="24"/>
              </w:rPr>
              <w:t>，供应商应准备电子投标文件、以介质存储的数据电文形式的备份投标文件、纸质备份投标文件三类：</w:t>
            </w:r>
          </w:p>
          <w:p>
            <w:pPr>
              <w:spacing w:line="360" w:lineRule="auto"/>
              <w:rPr>
                <w:rFonts w:ascii="宋体" w:hAnsi="宋体" w:cs="宋体"/>
                <w:color w:val="auto"/>
                <w:sz w:val="24"/>
              </w:rPr>
            </w:pPr>
            <w:r>
              <w:rPr>
                <w:rFonts w:hint="eastAsia" w:ascii="宋体" w:hAnsi="宋体" w:cs="宋体"/>
                <w:color w:val="auto"/>
                <w:sz w:val="24"/>
              </w:rPr>
              <w:t>1.电子投标文件，按政采云平台项目采购--电子招投标操作指南及本招标文件要求编制、递交。</w:t>
            </w:r>
          </w:p>
          <w:p>
            <w:pPr>
              <w:spacing w:line="360" w:lineRule="auto"/>
              <w:rPr>
                <w:rFonts w:ascii="宋体" w:hAnsi="宋体" w:cs="宋体"/>
                <w:color w:val="auto"/>
                <w:sz w:val="24"/>
              </w:rPr>
            </w:pPr>
            <w:r>
              <w:rPr>
                <w:rFonts w:hint="eastAsia" w:ascii="宋体" w:hAnsi="宋体" w:cs="宋体"/>
                <w:color w:val="auto"/>
                <w:sz w:val="24"/>
              </w:rPr>
              <w:t>2.以介质存储的数据电文形式的备份投标文件，按政采云平台项目采购-电子招投标操作指南中上传的电子投标文件格式，以U盘形式提供。</w:t>
            </w:r>
          </w:p>
          <w:p>
            <w:pPr>
              <w:spacing w:line="360" w:lineRule="auto"/>
              <w:rPr>
                <w:rFonts w:ascii="宋体" w:hAnsi="宋体" w:cs="宋体"/>
                <w:color w:val="auto"/>
                <w:sz w:val="24"/>
              </w:rPr>
            </w:pPr>
            <w:r>
              <w:rPr>
                <w:rFonts w:hint="eastAsia" w:ascii="宋体" w:hAnsi="宋体" w:cs="宋体"/>
                <w:color w:val="auto"/>
                <w:sz w:val="24"/>
              </w:rPr>
              <w:t>3.纸质备份投标文件以纸质文件的形式编制，按资格及商务技术文件、报价文件分别编制并单独装订成册，</w:t>
            </w:r>
            <w:r>
              <w:rPr>
                <w:rStyle w:val="27"/>
                <w:rFonts w:hint="eastAsia" w:ascii="宋体" w:hAnsi="宋体" w:cs="宋体"/>
                <w:color w:val="auto"/>
                <w:sz w:val="24"/>
              </w:rPr>
              <w:t>数量均为2份（一正一副）</w:t>
            </w:r>
            <w:r>
              <w:rPr>
                <w:rFonts w:hint="eastAsia" w:ascii="宋体" w:hAnsi="宋体" w:cs="宋体"/>
                <w:color w:val="auto"/>
                <w:sz w:val="24"/>
              </w:rPr>
              <w:t>。资格及商务技术文件、报价文件须分别密封封装，资格及商务技术文件、报价文件未分别密封的投标文件将为无效。</w:t>
            </w:r>
          </w:p>
          <w:p>
            <w:pPr>
              <w:spacing w:line="360" w:lineRule="auto"/>
              <w:rPr>
                <w:rFonts w:ascii="宋体" w:hAnsi="宋体" w:cs="宋体"/>
                <w:color w:val="auto"/>
                <w:sz w:val="24"/>
              </w:rPr>
            </w:pPr>
            <w:r>
              <w:rPr>
                <w:rFonts w:hint="eastAsia" w:ascii="宋体" w:hAnsi="宋体" w:cs="宋体"/>
                <w:color w:val="auto"/>
                <w:sz w:val="24"/>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spacing w:line="360" w:lineRule="auto"/>
              <w:rPr>
                <w:rFonts w:ascii="宋体" w:hAnsi="宋体" w:cs="宋体"/>
                <w:color w:val="auto"/>
                <w:sz w:val="24"/>
              </w:rPr>
            </w:pPr>
            <w:r>
              <w:rPr>
                <w:rFonts w:hint="eastAsia" w:ascii="宋体" w:hAnsi="宋体" w:cs="宋体"/>
                <w:color w:val="auto"/>
                <w:sz w:val="24"/>
              </w:rPr>
              <w:t>5.▲未传输递交电子投标文件的，投标无效。未按规定提供相应的备份投标文件，造成项目开评标活动无法进行下去的，投标无效。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Align w:val="center"/>
          </w:tcPr>
          <w:p>
            <w:pPr>
              <w:spacing w:line="360" w:lineRule="auto"/>
              <w:jc w:val="center"/>
              <w:rPr>
                <w:rFonts w:ascii="宋体" w:hAnsi="宋体" w:cs="宋体"/>
                <w:color w:val="auto"/>
                <w:sz w:val="24"/>
              </w:rPr>
            </w:pPr>
            <w:r>
              <w:rPr>
                <w:rFonts w:hint="eastAsia" w:ascii="宋体" w:hAnsi="宋体" w:cs="宋体"/>
                <w:color w:val="auto"/>
                <w:sz w:val="24"/>
              </w:rPr>
              <w:t>4</w:t>
            </w:r>
          </w:p>
        </w:tc>
        <w:tc>
          <w:tcPr>
            <w:tcW w:w="2415" w:type="dxa"/>
            <w:vAlign w:val="center"/>
          </w:tcPr>
          <w:p>
            <w:pPr>
              <w:spacing w:line="360" w:lineRule="auto"/>
              <w:jc w:val="center"/>
              <w:rPr>
                <w:rFonts w:ascii="宋体" w:hAnsi="宋体" w:cs="宋体"/>
                <w:color w:val="auto"/>
                <w:sz w:val="24"/>
              </w:rPr>
            </w:pPr>
            <w:r>
              <w:rPr>
                <w:rFonts w:hint="eastAsia" w:ascii="宋体" w:hAnsi="宋体" w:cs="宋体"/>
                <w:color w:val="auto"/>
                <w:sz w:val="24"/>
              </w:rPr>
              <w:t>投标有效期</w:t>
            </w:r>
          </w:p>
        </w:tc>
        <w:tc>
          <w:tcPr>
            <w:tcW w:w="7050" w:type="dxa"/>
            <w:vAlign w:val="center"/>
          </w:tcPr>
          <w:p>
            <w:pPr>
              <w:spacing w:line="360" w:lineRule="auto"/>
              <w:rPr>
                <w:rFonts w:ascii="宋体" w:hAnsi="宋体" w:cs="宋体"/>
                <w:color w:val="auto"/>
                <w:sz w:val="24"/>
              </w:rPr>
            </w:pPr>
            <w:r>
              <w:rPr>
                <w:rFonts w:hint="eastAsia" w:ascii="宋体" w:hAnsi="宋体" w:cs="宋体"/>
                <w:color w:val="auto"/>
                <w:sz w:val="24"/>
              </w:rPr>
              <w:t>投标有效期为开标后90天，</w:t>
            </w:r>
            <w:r>
              <w:rPr>
                <w:rFonts w:hint="eastAsia" w:ascii="宋体" w:hAnsi="宋体" w:cs="宋体"/>
                <w:color w:val="auto"/>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2415" w:type="dxa"/>
            <w:vAlign w:val="center"/>
          </w:tcPr>
          <w:p>
            <w:pPr>
              <w:spacing w:line="360" w:lineRule="auto"/>
              <w:jc w:val="center"/>
              <w:rPr>
                <w:rFonts w:ascii="宋体" w:hAnsi="宋体" w:cs="宋体"/>
                <w:color w:val="auto"/>
                <w:sz w:val="24"/>
              </w:rPr>
            </w:pPr>
            <w:r>
              <w:rPr>
                <w:rFonts w:hint="eastAsia" w:ascii="宋体" w:hAnsi="宋体" w:cs="宋体"/>
                <w:color w:val="auto"/>
                <w:sz w:val="24"/>
              </w:rPr>
              <w:t>投标文件递交</w:t>
            </w:r>
          </w:p>
        </w:tc>
        <w:tc>
          <w:tcPr>
            <w:tcW w:w="7050" w:type="dxa"/>
            <w:vAlign w:val="center"/>
          </w:tcPr>
          <w:p>
            <w:pPr>
              <w:spacing w:line="360" w:lineRule="auto"/>
              <w:rPr>
                <w:rFonts w:ascii="宋体" w:hAnsi="宋体" w:cs="宋体"/>
                <w:color w:val="auto"/>
                <w:sz w:val="24"/>
              </w:rPr>
            </w:pPr>
            <w:r>
              <w:rPr>
                <w:rFonts w:hint="eastAsia" w:ascii="宋体" w:hAnsi="宋体" w:cs="宋体"/>
                <w:color w:val="auto"/>
                <w:sz w:val="24"/>
              </w:rPr>
              <w:t>截止时间：详见采购公告</w:t>
            </w:r>
          </w:p>
          <w:p>
            <w:pPr>
              <w:spacing w:line="360" w:lineRule="auto"/>
              <w:rPr>
                <w:rFonts w:ascii="宋体" w:hAnsi="宋体" w:cs="宋体"/>
                <w:color w:val="auto"/>
                <w:sz w:val="24"/>
              </w:rPr>
            </w:pPr>
            <w:r>
              <w:rPr>
                <w:rFonts w:hint="eastAsia" w:ascii="宋体" w:hAnsi="宋体" w:cs="宋体"/>
                <w:color w:val="auto"/>
                <w:sz w:val="24"/>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8" w:type="dxa"/>
            <w:vAlign w:val="center"/>
          </w:tcPr>
          <w:p>
            <w:pPr>
              <w:spacing w:line="360" w:lineRule="auto"/>
              <w:jc w:val="center"/>
              <w:rPr>
                <w:rFonts w:ascii="宋体" w:hAnsi="宋体" w:cs="宋体"/>
                <w:color w:val="auto"/>
                <w:sz w:val="24"/>
              </w:rPr>
            </w:pPr>
            <w:r>
              <w:rPr>
                <w:rFonts w:hint="eastAsia" w:ascii="宋体" w:hAnsi="宋体" w:cs="宋体"/>
                <w:color w:val="auto"/>
                <w:sz w:val="24"/>
              </w:rPr>
              <w:t>6</w:t>
            </w:r>
          </w:p>
        </w:tc>
        <w:tc>
          <w:tcPr>
            <w:tcW w:w="2415" w:type="dxa"/>
            <w:vAlign w:val="center"/>
          </w:tcPr>
          <w:p>
            <w:pPr>
              <w:spacing w:line="360" w:lineRule="auto"/>
              <w:jc w:val="center"/>
              <w:rPr>
                <w:rFonts w:ascii="宋体" w:hAnsi="宋体" w:cs="宋体"/>
                <w:color w:val="auto"/>
                <w:sz w:val="24"/>
              </w:rPr>
            </w:pPr>
            <w:r>
              <w:rPr>
                <w:rFonts w:hint="eastAsia" w:ascii="宋体" w:hAnsi="宋体" w:cs="宋体"/>
                <w:color w:val="auto"/>
                <w:sz w:val="24"/>
              </w:rPr>
              <w:t>开标时间及地点</w:t>
            </w:r>
          </w:p>
        </w:tc>
        <w:tc>
          <w:tcPr>
            <w:tcW w:w="7050" w:type="dxa"/>
            <w:vAlign w:val="center"/>
          </w:tcPr>
          <w:p>
            <w:pPr>
              <w:spacing w:line="360" w:lineRule="auto"/>
              <w:rPr>
                <w:rFonts w:ascii="宋体" w:hAnsi="宋体" w:cs="宋体"/>
                <w:color w:val="auto"/>
                <w:sz w:val="24"/>
              </w:rPr>
            </w:pPr>
            <w:r>
              <w:rPr>
                <w:rFonts w:hint="eastAsia" w:ascii="宋体" w:hAnsi="宋体" w:cs="宋体"/>
                <w:color w:val="auto"/>
                <w:sz w:val="24"/>
              </w:rPr>
              <w:t>时间：详见采购公告</w:t>
            </w:r>
          </w:p>
          <w:p>
            <w:pPr>
              <w:spacing w:line="360" w:lineRule="auto"/>
              <w:rPr>
                <w:rFonts w:ascii="宋体" w:hAnsi="宋体" w:cs="宋体"/>
                <w:color w:val="auto"/>
                <w:sz w:val="24"/>
              </w:rPr>
            </w:pPr>
            <w:r>
              <w:rPr>
                <w:rFonts w:hint="eastAsia" w:ascii="宋体" w:hAnsi="宋体" w:cs="宋体"/>
                <w:color w:val="auto"/>
                <w:sz w:val="24"/>
              </w:rPr>
              <w:t>地点：椒江区解放南路30号一鼎公寓1号楼503浙江洪大工程咨询有限公司开标室。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spacing w:line="360" w:lineRule="auto"/>
              <w:jc w:val="center"/>
              <w:rPr>
                <w:rFonts w:ascii="宋体" w:hAnsi="宋体" w:cs="宋体"/>
                <w:color w:val="auto"/>
                <w:sz w:val="24"/>
              </w:rPr>
            </w:pPr>
            <w:r>
              <w:rPr>
                <w:rFonts w:hint="eastAsia" w:ascii="宋体" w:hAnsi="宋体" w:cs="宋体"/>
                <w:color w:val="auto"/>
                <w:sz w:val="24"/>
              </w:rPr>
              <w:t>7</w:t>
            </w:r>
          </w:p>
        </w:tc>
        <w:tc>
          <w:tcPr>
            <w:tcW w:w="2415" w:type="dxa"/>
            <w:vAlign w:val="center"/>
          </w:tcPr>
          <w:p>
            <w:pPr>
              <w:spacing w:line="360" w:lineRule="auto"/>
              <w:jc w:val="center"/>
              <w:rPr>
                <w:rFonts w:ascii="宋体" w:hAnsi="宋体" w:cs="宋体"/>
                <w:color w:val="auto"/>
                <w:sz w:val="24"/>
              </w:rPr>
            </w:pPr>
            <w:r>
              <w:rPr>
                <w:rFonts w:hint="eastAsia" w:ascii="宋体" w:hAnsi="宋体" w:cs="宋体"/>
                <w:color w:val="auto"/>
                <w:sz w:val="24"/>
              </w:rPr>
              <w:t>履约保证金</w:t>
            </w:r>
          </w:p>
        </w:tc>
        <w:tc>
          <w:tcPr>
            <w:tcW w:w="7050" w:type="dxa"/>
            <w:vAlign w:val="center"/>
          </w:tcPr>
          <w:p>
            <w:pPr>
              <w:spacing w:line="360" w:lineRule="auto"/>
              <w:rPr>
                <w:rFonts w:ascii="宋体" w:hAnsi="宋体" w:cs="宋体" w:eastAsiaTheme="majorEastAsia"/>
                <w:color w:val="auto"/>
                <w:sz w:val="24"/>
              </w:rPr>
            </w:pPr>
            <w:r>
              <w:rPr>
                <w:rFonts w:hint="eastAsia" w:ascii="宋体" w:hAnsi="宋体" w:cs="宋体"/>
                <w:color w:val="auto"/>
                <w:sz w:val="24"/>
              </w:rPr>
              <w:t xml:space="preserve"> 本项目履约保证金为合同金额的</w:t>
            </w:r>
            <w:r>
              <w:rPr>
                <w:rFonts w:hint="eastAsia" w:ascii="宋体" w:hAnsi="宋体" w:cs="宋体"/>
                <w:color w:val="auto"/>
                <w:sz w:val="24"/>
                <w:u w:val="single"/>
              </w:rPr>
              <w:t>5</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pPr>
              <w:spacing w:line="360" w:lineRule="auto"/>
              <w:jc w:val="center"/>
              <w:rPr>
                <w:rFonts w:ascii="宋体" w:hAnsi="宋体" w:cs="宋体"/>
                <w:color w:val="auto"/>
                <w:sz w:val="24"/>
              </w:rPr>
            </w:pPr>
            <w:r>
              <w:rPr>
                <w:rFonts w:hint="eastAsia" w:ascii="宋体" w:hAnsi="宋体" w:cs="宋体"/>
                <w:color w:val="auto"/>
                <w:sz w:val="24"/>
              </w:rPr>
              <w:t>8</w:t>
            </w:r>
          </w:p>
        </w:tc>
        <w:tc>
          <w:tcPr>
            <w:tcW w:w="2415" w:type="dxa"/>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lang w:val="zh-CN"/>
              </w:rPr>
              <w:t>实质性条款</w:t>
            </w:r>
          </w:p>
        </w:tc>
        <w:tc>
          <w:tcPr>
            <w:tcW w:w="7050" w:type="dxa"/>
            <w:vAlign w:val="center"/>
          </w:tcPr>
          <w:p>
            <w:pPr>
              <w:spacing w:line="360" w:lineRule="auto"/>
              <w:rPr>
                <w:rFonts w:ascii="宋体" w:hAnsi="宋体" w:cs="宋体"/>
                <w:color w:val="auto"/>
                <w:sz w:val="24"/>
              </w:rPr>
            </w:pPr>
            <w:r>
              <w:rPr>
                <w:rFonts w:hint="eastAsia" w:ascii="宋体" w:hAnsi="宋体" w:cs="宋体"/>
                <w:color w:val="auto"/>
                <w:sz w:val="24"/>
                <w:lang w:val="zh-CN"/>
              </w:rPr>
              <w:t>带“</w:t>
            </w:r>
            <w:r>
              <w:rPr>
                <w:rFonts w:hint="eastAsia" w:ascii="宋体" w:hAnsi="宋体" w:cs="宋体"/>
                <w:color w:val="auto"/>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9</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样品或现场踏勘</w:t>
            </w:r>
          </w:p>
        </w:tc>
        <w:tc>
          <w:tcPr>
            <w:tcW w:w="70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rPr>
            </w:pPr>
            <w:r>
              <w:rPr>
                <w:rFonts w:hint="eastAsia" w:ascii="宋体" w:hAnsi="宋体" w:cs="宋体"/>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10</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演示</w:t>
            </w:r>
          </w:p>
        </w:tc>
        <w:tc>
          <w:tcPr>
            <w:tcW w:w="7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11</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节能环保</w:t>
            </w:r>
          </w:p>
        </w:tc>
        <w:tc>
          <w:tcPr>
            <w:tcW w:w="7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12</w:t>
            </w:r>
          </w:p>
        </w:tc>
        <w:tc>
          <w:tcPr>
            <w:tcW w:w="24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解释权</w:t>
            </w:r>
          </w:p>
        </w:tc>
        <w:tc>
          <w:tcPr>
            <w:tcW w:w="7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本招标文件解释权属于采购人和浙江洪大工程咨询有限公司。</w:t>
            </w:r>
          </w:p>
        </w:tc>
      </w:tr>
    </w:tbl>
    <w:p>
      <w:pPr>
        <w:rPr>
          <w:rFonts w:ascii="宋体" w:hAnsi="宋体" w:cs="宋体"/>
          <w:color w:val="auto"/>
          <w:sz w:val="24"/>
        </w:rPr>
      </w:pPr>
      <w:r>
        <w:rPr>
          <w:rFonts w:ascii="宋体" w:hAnsi="宋体" w:cs="宋体"/>
          <w:color w:val="auto"/>
          <w:sz w:val="24"/>
        </w:rPr>
        <w:br w:type="page"/>
      </w:r>
    </w:p>
    <w:p>
      <w:pPr>
        <w:spacing w:line="360" w:lineRule="auto"/>
        <w:rPr>
          <w:rFonts w:ascii="宋体" w:hAnsi="宋体" w:cs="宋体"/>
          <w:b/>
          <w:bCs/>
          <w:color w:val="auto"/>
          <w:sz w:val="24"/>
          <w:szCs w:val="32"/>
        </w:rPr>
      </w:pPr>
      <w:r>
        <w:rPr>
          <w:rFonts w:hint="eastAsia" w:ascii="宋体" w:hAnsi="宋体" w:cs="宋体"/>
          <w:b/>
          <w:bCs/>
          <w:color w:val="auto"/>
          <w:sz w:val="24"/>
          <w:szCs w:val="32"/>
        </w:rPr>
        <w:t>一 、总  则</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（一） 适用范围</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本招标文件适用于本次项目的招标、投标、评标、定标、验收、合同履约、付款等行为（法律、法规另有规定的，从其规定）。</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（二）定义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w:t>
      </w:r>
      <w:r>
        <w:rPr>
          <w:rFonts w:hint="eastAsia" w:ascii="宋体" w:hAnsi="宋体" w:cs="宋体"/>
          <w:color w:val="auto"/>
          <w:sz w:val="24"/>
          <w:szCs w:val="32"/>
          <w:lang w:val="zh-CN"/>
        </w:rPr>
        <w:t>“采购组织机构”指采购人委托组织招标的采购代理机构。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2、采购人：是指委托采购代理机构采购本次项目的国家机关、事业单位和团体组织。</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3、投标人：是指向采购</w:t>
      </w:r>
      <w:r>
        <w:rPr>
          <w:rFonts w:hint="eastAsia" w:ascii="宋体" w:hAnsi="宋体" w:cs="宋体"/>
          <w:color w:val="auto"/>
          <w:sz w:val="24"/>
          <w:szCs w:val="32"/>
          <w:lang w:val="zh-CN"/>
        </w:rPr>
        <w:t>组织</w:t>
      </w:r>
      <w:r>
        <w:rPr>
          <w:rFonts w:hint="eastAsia" w:ascii="宋体" w:hAnsi="宋体" w:cs="宋体"/>
          <w:color w:val="auto"/>
          <w:sz w:val="24"/>
          <w:szCs w:val="32"/>
        </w:rPr>
        <w:t>机构提交投标文件的单位或个人。</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4、货物：是指各种形态和种类的物品，包括原材料、燃料、设备、产品等。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5、服务：是指除货物和工程以外的政府采购对象，包括各类专业服务、信息网络开发服务、金融保险服务、运输服务，以及维修与维护服务等。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6、“书面形式”包括信函、传真等。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7、“▲”系指实质性要求条款。</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（三）投标费用</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不论投标结果如何，投标人均应自行承担所有与投标有关的全部费用（招标文件有相关规定除外）。</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（四）特别说明</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rPr>
        <w:tab/>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hAnsi="宋体"/>
          <w:color w:val="auto"/>
          <w:sz w:val="24"/>
        </w:rPr>
      </w:pPr>
      <w:r>
        <w:rPr>
          <w:rFonts w:hint="eastAsia" w:ascii="宋体" w:hAnsi="宋体"/>
          <w:color w:val="auto"/>
          <w:sz w:val="24"/>
        </w:rPr>
        <w:t>5、为采购项目提供整体设计、规范编制或者项目管理、监理、检测等服务的供应商，不得再参加该采购项目的其他采购活动。</w:t>
      </w:r>
    </w:p>
    <w:p>
      <w:pPr>
        <w:spacing w:line="360" w:lineRule="auto"/>
        <w:ind w:firstLine="480" w:firstLineChars="200"/>
        <w:rPr>
          <w:rFonts w:ascii="宋体" w:hAnsi="宋体"/>
          <w:color w:val="auto"/>
          <w:sz w:val="24"/>
        </w:rPr>
      </w:pPr>
      <w:r>
        <w:rPr>
          <w:rFonts w:hint="eastAsia" w:ascii="宋体" w:hAnsi="宋体"/>
          <w:color w:val="auto"/>
          <w:sz w:val="24"/>
        </w:rPr>
        <w:t>6、投标文件格式中的表格式样可以根据项目差别做适当调整,但应当保持表格样式基本形态不变。</w:t>
      </w:r>
    </w:p>
    <w:p>
      <w:pPr>
        <w:spacing w:line="360" w:lineRule="auto"/>
        <w:ind w:firstLine="480" w:firstLineChars="200"/>
        <w:rPr>
          <w:rFonts w:ascii="宋体" w:hAnsi="宋体"/>
          <w:color w:val="auto"/>
          <w:sz w:val="24"/>
        </w:rPr>
      </w:pPr>
      <w:r>
        <w:rPr>
          <w:rFonts w:hint="eastAsia" w:ascii="宋体" w:hAnsi="宋体"/>
          <w:color w:val="auto"/>
          <w:sz w:val="24"/>
        </w:rPr>
        <w:t>7、单位负责人为同一人或者存在直接控股、管理关系的不同供应商，不得参加同一合同项下的政府采购活动。</w:t>
      </w:r>
    </w:p>
    <w:p>
      <w:pPr>
        <w:spacing w:line="360" w:lineRule="auto"/>
        <w:ind w:firstLine="480" w:firstLineChars="200"/>
        <w:rPr>
          <w:rFonts w:ascii="宋体" w:hAnsi="宋体"/>
          <w:color w:val="auto"/>
          <w:sz w:val="24"/>
        </w:rPr>
      </w:pPr>
      <w:r>
        <w:rPr>
          <w:rFonts w:hint="eastAsia" w:ascii="宋体" w:hAnsi="宋体"/>
          <w:color w:val="auto"/>
          <w:sz w:val="24"/>
        </w:rPr>
        <w:t>8、本项目不允许分包。</w:t>
      </w:r>
    </w:p>
    <w:p>
      <w:pPr>
        <w:spacing w:line="360" w:lineRule="auto"/>
        <w:rPr>
          <w:rFonts w:ascii="宋体" w:hAnsi="宋体" w:cs="宋体"/>
          <w:b/>
          <w:bCs/>
          <w:color w:val="auto"/>
          <w:sz w:val="24"/>
          <w:szCs w:val="32"/>
        </w:rPr>
      </w:pPr>
      <w:r>
        <w:rPr>
          <w:rFonts w:hint="eastAsia" w:ascii="宋体" w:hAnsi="宋体" w:cs="宋体"/>
          <w:b/>
          <w:bCs/>
          <w:color w:val="auto"/>
          <w:sz w:val="24"/>
          <w:szCs w:val="32"/>
        </w:rPr>
        <w:t>二、招标文件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（一）招标文件由招标文件总目录所列内容组成。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（二）招标文件的澄清或修改</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hAnsi="宋体" w:cs="宋体"/>
          <w:b/>
          <w:bCs/>
          <w:color w:val="auto"/>
          <w:sz w:val="24"/>
          <w:szCs w:val="32"/>
        </w:rPr>
      </w:pPr>
      <w:r>
        <w:rPr>
          <w:rFonts w:hint="eastAsia" w:ascii="宋体" w:hAnsi="宋体" w:cs="宋体"/>
          <w:b/>
          <w:bCs/>
          <w:color w:val="auto"/>
          <w:sz w:val="24"/>
          <w:szCs w:val="32"/>
        </w:rPr>
        <w:t>三、投标文件</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lang w:val="zh-CN"/>
        </w:rPr>
        <w:t>（一）</w:t>
      </w:r>
      <w:r>
        <w:rPr>
          <w:rFonts w:hint="eastAsia" w:ascii="宋体" w:hAnsi="宋体" w:cs="宋体"/>
          <w:b/>
          <w:bCs/>
          <w:color w:val="auto"/>
          <w:sz w:val="24"/>
          <w:szCs w:val="32"/>
        </w:rPr>
        <w:t>投标文件的组成</w:t>
      </w:r>
    </w:p>
    <w:p>
      <w:pPr>
        <w:spacing w:line="360" w:lineRule="auto"/>
        <w:ind w:firstLine="482" w:firstLineChars="200"/>
        <w:rPr>
          <w:rFonts w:ascii="宋体" w:hAnsi="宋体" w:cs="宋体"/>
          <w:color w:val="auto"/>
          <w:sz w:val="24"/>
          <w:szCs w:val="32"/>
          <w:lang w:val="zh-CN"/>
        </w:rPr>
      </w:pPr>
      <w:r>
        <w:rPr>
          <w:rFonts w:hint="eastAsia" w:ascii="宋体" w:hAnsi="宋体" w:cs="宋体"/>
          <w:b/>
          <w:bCs/>
          <w:color w:val="auto"/>
          <w:sz w:val="24"/>
        </w:rPr>
        <w:t>投标文件由资格及商务技术文件和报价文件组成。</w:t>
      </w:r>
      <w:r>
        <w:rPr>
          <w:rFonts w:hint="eastAsia" w:ascii="宋体" w:hAnsi="宋体" w:cs="宋体"/>
          <w:color w:val="auto"/>
          <w:sz w:val="24"/>
          <w:szCs w:val="32"/>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1、资格及商务技术文件的组成</w:t>
      </w:r>
    </w:p>
    <w:p>
      <w:pPr>
        <w:spacing w:line="360" w:lineRule="auto"/>
        <w:ind w:firstLine="480" w:firstLineChars="200"/>
        <w:rPr>
          <w:rFonts w:ascii="宋体" w:hAnsi="宋体" w:cs="宋体"/>
          <w:color w:val="auto"/>
          <w:sz w:val="24"/>
        </w:rPr>
      </w:pPr>
      <w:r>
        <w:rPr>
          <w:rFonts w:hint="eastAsia" w:ascii="宋体" w:hAnsi="宋体" w:cs="宋体"/>
          <w:color w:val="auto"/>
          <w:sz w:val="24"/>
        </w:rPr>
        <w:t>资格及商务技术文件由资格证明文件、商务与技术文件两部分内容组成。</w:t>
      </w:r>
    </w:p>
    <w:p>
      <w:pPr>
        <w:snapToGrid w:val="0"/>
        <w:spacing w:line="360" w:lineRule="auto"/>
        <w:ind w:firstLine="482" w:firstLineChars="200"/>
        <w:rPr>
          <w:rFonts w:ascii="宋体" w:hAnsi="宋体"/>
          <w:color w:val="auto"/>
          <w:sz w:val="24"/>
        </w:rPr>
      </w:pPr>
      <w:r>
        <w:rPr>
          <w:rFonts w:hint="eastAsia" w:ascii="宋体" w:hAnsi="宋体"/>
          <w:b/>
          <w:color w:val="auto"/>
          <w:sz w:val="24"/>
        </w:rPr>
        <w:t>第一部分 资格证明</w:t>
      </w:r>
      <w:r>
        <w:rPr>
          <w:rFonts w:ascii="宋体" w:hAnsi="宋体"/>
          <w:b/>
          <w:color w:val="auto"/>
          <w:sz w:val="24"/>
        </w:rPr>
        <w:t>文件</w:t>
      </w:r>
      <w:r>
        <w:rPr>
          <w:rFonts w:hint="eastAsia" w:ascii="宋体" w:hAnsi="宋体"/>
          <w:b/>
          <w:color w:val="auto"/>
          <w:sz w:val="24"/>
        </w:rPr>
        <w:t>的组成：</w:t>
      </w:r>
    </w:p>
    <w:p>
      <w:pPr>
        <w:spacing w:line="360" w:lineRule="auto"/>
        <w:ind w:firstLine="480" w:firstLineChars="200"/>
        <w:rPr>
          <w:rFonts w:ascii="宋体" w:hAnsi="宋体" w:cs="宋体"/>
          <w:color w:val="auto"/>
          <w:sz w:val="24"/>
        </w:rPr>
      </w:pPr>
      <w:r>
        <w:rPr>
          <w:rFonts w:hint="eastAsia" w:ascii="宋体" w:hAnsi="宋体" w:cs="宋体"/>
          <w:color w:val="auto"/>
          <w:sz w:val="24"/>
        </w:rPr>
        <w:t>（1）投标声明书；</w:t>
      </w:r>
    </w:p>
    <w:p>
      <w:pPr>
        <w:spacing w:line="360" w:lineRule="auto"/>
        <w:ind w:firstLine="480" w:firstLineChars="200"/>
        <w:rPr>
          <w:rFonts w:ascii="宋体" w:hAnsi="宋体" w:cs="宋体"/>
          <w:color w:val="auto"/>
          <w:sz w:val="24"/>
        </w:rPr>
      </w:pPr>
      <w:r>
        <w:rPr>
          <w:rFonts w:hint="eastAsia" w:ascii="宋体" w:hAnsi="宋体" w:cs="宋体"/>
          <w:color w:val="auto"/>
          <w:sz w:val="24"/>
        </w:rPr>
        <w:t>（2）授权委托书（</w:t>
      </w:r>
      <w:r>
        <w:rPr>
          <w:rFonts w:hint="eastAsia" w:ascii="宋体" w:hAnsi="宋体" w:cs="宋体"/>
          <w:color w:val="auto"/>
          <w:sz w:val="24"/>
          <w:szCs w:val="32"/>
        </w:rPr>
        <w:t>法定代表人亲自办理投标事宜的，则无需提交</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（3）法人或者其他组织、自然人的营业执照等证明文件；</w:t>
      </w:r>
    </w:p>
    <w:p>
      <w:pPr>
        <w:spacing w:line="360" w:lineRule="auto"/>
        <w:ind w:firstLine="480" w:firstLineChars="200"/>
        <w:rPr>
          <w:rFonts w:ascii="宋体" w:hAnsi="宋体" w:cs="宋体"/>
          <w:color w:val="auto"/>
          <w:sz w:val="24"/>
        </w:rPr>
      </w:pPr>
      <w:r>
        <w:rPr>
          <w:rFonts w:hint="eastAsia" w:ascii="宋体" w:hAnsi="宋体" w:cs="宋体"/>
          <w:color w:val="auto"/>
          <w:sz w:val="24"/>
        </w:rPr>
        <w:t>（4）财务状况报告，依法缴纳税收和社会保障资金的相关材料；</w:t>
      </w:r>
    </w:p>
    <w:p>
      <w:pPr>
        <w:spacing w:line="360" w:lineRule="auto"/>
        <w:ind w:firstLine="480" w:firstLineChars="200"/>
        <w:rPr>
          <w:rFonts w:ascii="宋体" w:hAnsi="宋体" w:cs="宋体"/>
          <w:color w:val="auto"/>
          <w:sz w:val="24"/>
        </w:rPr>
      </w:pPr>
      <w:r>
        <w:rPr>
          <w:rFonts w:hint="eastAsia" w:ascii="宋体" w:hAnsi="宋体" w:cs="宋体"/>
          <w:color w:val="auto"/>
          <w:sz w:val="24"/>
        </w:rPr>
        <w:t>（5）提供采购公告中符合供应商特定条件的有效资质证书复印件（投标供应商特定条件中有要求的必须提供），以及需要说明的其他资料；</w:t>
      </w:r>
    </w:p>
    <w:p>
      <w:pPr>
        <w:snapToGrid w:val="0"/>
        <w:spacing w:line="360" w:lineRule="auto"/>
        <w:ind w:firstLine="482" w:firstLineChars="200"/>
        <w:rPr>
          <w:rFonts w:ascii="宋体" w:hAnsi="宋体" w:cs="宋体"/>
          <w:color w:val="auto"/>
          <w:sz w:val="24"/>
          <w:u w:val="single"/>
        </w:rPr>
      </w:pPr>
      <w:r>
        <w:rPr>
          <w:rFonts w:hint="eastAsia" w:ascii="宋体" w:hAnsi="宋体"/>
          <w:b/>
          <w:color w:val="auto"/>
          <w:sz w:val="24"/>
        </w:rPr>
        <w:t>第二部分 商务与技术文件的组成：</w:t>
      </w:r>
    </w:p>
    <w:p>
      <w:pPr>
        <w:pStyle w:val="3"/>
        <w:rPr>
          <w:rFonts w:ascii="宋体" w:hAnsi="宋体" w:cs="宋体"/>
          <w:color w:val="auto"/>
          <w:sz w:val="24"/>
        </w:rPr>
      </w:pPr>
      <w:r>
        <w:rPr>
          <w:rFonts w:hint="eastAsia" w:ascii="宋体" w:hAnsi="宋体" w:cs="宋体"/>
          <w:color w:val="auto"/>
          <w:sz w:val="24"/>
        </w:rPr>
        <w:t>（1）评标索引</w:t>
      </w:r>
    </w:p>
    <w:p>
      <w:pPr>
        <w:pStyle w:val="3"/>
        <w:rPr>
          <w:rFonts w:ascii="宋体" w:hAnsi="宋体" w:cs="宋体"/>
          <w:color w:val="auto"/>
          <w:sz w:val="24"/>
        </w:rPr>
      </w:pPr>
      <w:r>
        <w:rPr>
          <w:rFonts w:hint="eastAsia" w:ascii="宋体" w:hAnsi="宋体" w:cs="宋体"/>
          <w:color w:val="auto"/>
          <w:sz w:val="24"/>
        </w:rPr>
        <w:t>（2）投标人基本情况表</w:t>
      </w:r>
    </w:p>
    <w:p>
      <w:pPr>
        <w:pStyle w:val="3"/>
        <w:rPr>
          <w:rFonts w:ascii="宋体" w:hAnsi="宋体" w:cs="宋体"/>
          <w:color w:val="auto"/>
          <w:sz w:val="24"/>
        </w:rPr>
      </w:pPr>
      <w:r>
        <w:rPr>
          <w:rFonts w:hint="eastAsia" w:ascii="宋体" w:hAnsi="宋体" w:cs="宋体"/>
          <w:color w:val="auto"/>
          <w:sz w:val="24"/>
        </w:rPr>
        <w:t>（3）项目实施人员一览表</w:t>
      </w:r>
    </w:p>
    <w:p>
      <w:pPr>
        <w:pStyle w:val="3"/>
        <w:rPr>
          <w:rFonts w:ascii="宋体" w:hAnsi="宋体" w:cs="宋体"/>
          <w:color w:val="auto"/>
          <w:sz w:val="24"/>
        </w:rPr>
      </w:pPr>
      <w:r>
        <w:rPr>
          <w:rFonts w:hint="eastAsia" w:ascii="宋体" w:hAnsi="宋体" w:cs="宋体"/>
          <w:color w:val="auto"/>
          <w:sz w:val="24"/>
        </w:rPr>
        <w:t xml:space="preserve">（4）技术需求响应表   </w:t>
      </w:r>
    </w:p>
    <w:p>
      <w:pPr>
        <w:pStyle w:val="3"/>
        <w:rPr>
          <w:rFonts w:ascii="宋体" w:hAnsi="宋体" w:cs="宋体"/>
          <w:color w:val="auto"/>
          <w:sz w:val="24"/>
        </w:rPr>
      </w:pPr>
      <w:r>
        <w:rPr>
          <w:rFonts w:hint="eastAsia" w:ascii="宋体" w:hAnsi="宋体" w:cs="宋体"/>
          <w:color w:val="auto"/>
          <w:sz w:val="24"/>
        </w:rPr>
        <w:t>（5）资信及商务需求响应表</w:t>
      </w:r>
    </w:p>
    <w:p>
      <w:pPr>
        <w:pStyle w:val="3"/>
        <w:rPr>
          <w:rFonts w:ascii="宋体" w:hAnsi="宋体" w:cs="宋体"/>
          <w:color w:val="auto"/>
          <w:sz w:val="24"/>
        </w:rPr>
      </w:pPr>
      <w:r>
        <w:rPr>
          <w:rFonts w:hint="eastAsia" w:ascii="宋体" w:hAnsi="宋体" w:cs="宋体"/>
          <w:color w:val="auto"/>
          <w:sz w:val="24"/>
        </w:rPr>
        <w:t>（6）投标人类似项目业绩（以合同签订日期为准）</w:t>
      </w:r>
    </w:p>
    <w:p>
      <w:pPr>
        <w:pStyle w:val="3"/>
        <w:rPr>
          <w:rFonts w:ascii="宋体" w:hAnsi="宋体" w:cs="宋体"/>
          <w:color w:val="auto"/>
          <w:sz w:val="24"/>
        </w:rPr>
      </w:pPr>
      <w:r>
        <w:rPr>
          <w:rFonts w:hint="eastAsia" w:ascii="宋体" w:hAnsi="宋体" w:cs="宋体"/>
          <w:color w:val="auto"/>
          <w:sz w:val="24"/>
        </w:rPr>
        <w:t>（7）项目负责人资格情况表</w:t>
      </w:r>
    </w:p>
    <w:p>
      <w:pPr>
        <w:pStyle w:val="3"/>
        <w:rPr>
          <w:rFonts w:ascii="宋体" w:hAnsi="宋体" w:cs="宋体"/>
          <w:color w:val="auto"/>
          <w:sz w:val="24"/>
        </w:rPr>
      </w:pPr>
      <w:r>
        <w:rPr>
          <w:rFonts w:hint="eastAsia" w:ascii="宋体" w:hAnsi="宋体" w:cs="宋体"/>
          <w:color w:val="auto"/>
          <w:sz w:val="24"/>
        </w:rPr>
        <w:t>（8）投标人按照评标办法中的评分内容分章节描述</w:t>
      </w:r>
    </w:p>
    <w:p>
      <w:pPr>
        <w:pStyle w:val="3"/>
        <w:rPr>
          <w:rFonts w:ascii="宋体" w:hAnsi="宋体" w:cs="宋体"/>
          <w:color w:val="auto"/>
          <w:sz w:val="24"/>
        </w:rPr>
      </w:pPr>
      <w:r>
        <w:rPr>
          <w:rFonts w:hint="eastAsia" w:ascii="宋体" w:hAnsi="宋体" w:cs="宋体"/>
          <w:color w:val="auto"/>
          <w:sz w:val="24"/>
        </w:rPr>
        <w:t>（9）投标人自行提供的证明材料。</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2、报价文件的组成</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报价文件由开标一览表、报价明细表、小微企业等声明函(如有)、投标人和投标产品生产企业在国家企业信用公示系统（http://xwqy.gsxt.gov.cn/）被列入小微企业名录的网页打印件并加盖投标人公章（如有）、残疾人福利性单位声明函（如有）、产品适用政府采购政策情况表(如有)以及投标人认为其他需要说明的内容组成。</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rPr>
        <w:t>（2）</w:t>
      </w:r>
      <w:r>
        <w:rPr>
          <w:rFonts w:hint="eastAsia" w:ascii="宋体" w:hAnsi="宋体" w:cs="宋体"/>
          <w:color w:val="auto"/>
          <w:sz w:val="24"/>
          <w:szCs w:val="32"/>
          <w:lang w:val="zh-CN"/>
        </w:rPr>
        <w:t>投标报价为完成本项目的所有费用，项目报告的各项费用及成果鉴定验收会议发生的费用等一切费用均包括在内。投标人应考虑企业自身实力、经验及项目实施过程中的各种因素，在投标报价中应充分考虑所有可能发生的费用，否则采购人将视投标总价中已包括所有费用。</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lang w:val="zh-CN"/>
        </w:rPr>
        <w:t>（</w:t>
      </w:r>
      <w:r>
        <w:rPr>
          <w:rFonts w:hint="eastAsia" w:ascii="宋体" w:hAnsi="宋体" w:cs="宋体"/>
          <w:color w:val="auto"/>
          <w:sz w:val="24"/>
          <w:szCs w:val="32"/>
        </w:rPr>
        <w:t>3</w:t>
      </w:r>
      <w:r>
        <w:rPr>
          <w:rFonts w:hint="eastAsia" w:ascii="宋体" w:hAnsi="宋体" w:cs="宋体"/>
          <w:color w:val="auto"/>
          <w:sz w:val="24"/>
          <w:szCs w:val="32"/>
          <w:lang w:val="zh-CN"/>
        </w:rPr>
        <w:t>）</w:t>
      </w:r>
      <w:r>
        <w:rPr>
          <w:rFonts w:hint="eastAsia" w:ascii="宋体" w:hAnsi="宋体" w:cs="宋体"/>
          <w:color w:val="auto"/>
          <w:sz w:val="24"/>
          <w:szCs w:val="32"/>
        </w:rPr>
        <w:t>此报价为投标人一次性报出唯一的最终价格，包含其它一切所要涉及到的费用，有选择的报价将被拒绝。</w:t>
      </w:r>
      <w:r>
        <w:rPr>
          <w:rFonts w:hint="eastAsia" w:ascii="宋体" w:hAnsi="宋体" w:cs="宋体"/>
          <w:color w:val="auto"/>
          <w:sz w:val="24"/>
          <w:szCs w:val="32"/>
          <w:lang w:val="zh-CN"/>
        </w:rPr>
        <w:t>供应商应考虑企业自身实力、经验及项目实施过程中的各种因素，在投标报价中应充分考虑所有可能发生的费用，采购人将视投标总价中已包括所有费用。</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w:t>
      </w:r>
      <w:r>
        <w:rPr>
          <w:rFonts w:hint="eastAsia" w:ascii="宋体" w:hAnsi="宋体" w:cs="宋体"/>
          <w:color w:val="auto"/>
          <w:sz w:val="24"/>
          <w:szCs w:val="32"/>
        </w:rPr>
        <w:t>4</w:t>
      </w:r>
      <w:r>
        <w:rPr>
          <w:rFonts w:hint="eastAsia" w:ascii="宋体" w:hAnsi="宋体" w:cs="宋体"/>
          <w:color w:val="auto"/>
          <w:sz w:val="24"/>
          <w:szCs w:val="32"/>
          <w:lang w:val="zh-CN"/>
        </w:rPr>
        <w:t>）</w:t>
      </w:r>
      <w:r>
        <w:rPr>
          <w:rFonts w:hint="eastAsia" w:ascii="宋体" w:hAnsi="宋体" w:cs="宋体"/>
          <w:color w:val="auto"/>
          <w:sz w:val="24"/>
          <w:szCs w:val="32"/>
        </w:rPr>
        <w:t>政府采购优惠政策相关资料。</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（6）投标报价应按招标文件中相关附表格式填写。</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（二）投标文件的制作及递交要求</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1、投标文件的制作要求</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rPr>
        <w:t>（2）投标人应对所提供的全部资料的真实性承担法律责任，</w:t>
      </w:r>
      <w:r>
        <w:rPr>
          <w:rFonts w:hint="eastAsia" w:ascii="宋体" w:hAnsi="宋体" w:cs="宋体"/>
          <w:color w:val="auto"/>
          <w:sz w:val="24"/>
          <w:szCs w:val="32"/>
          <w:lang w:val="zh-CN"/>
        </w:rPr>
        <w:t>投标文件内容中有要求盖章或签字的地方，必须加盖投标人的公章以及法定代表人或授权委托代理人盖章或签字。</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lang w:val="zh-CN"/>
        </w:rPr>
        <w:t>（</w:t>
      </w:r>
      <w:r>
        <w:rPr>
          <w:rFonts w:hint="eastAsia" w:ascii="宋体" w:hAnsi="宋体" w:cs="宋体"/>
          <w:color w:val="auto"/>
          <w:sz w:val="24"/>
          <w:szCs w:val="32"/>
        </w:rPr>
        <w:t>3</w:t>
      </w:r>
      <w:r>
        <w:rPr>
          <w:rFonts w:hint="eastAsia" w:ascii="宋体" w:hAnsi="宋体" w:cs="宋体"/>
          <w:color w:val="auto"/>
          <w:sz w:val="24"/>
          <w:szCs w:val="32"/>
          <w:lang w:val="zh-CN"/>
        </w:rPr>
        <w:t>）</w:t>
      </w:r>
      <w:r>
        <w:rPr>
          <w:rFonts w:hint="eastAsia" w:ascii="宋体" w:hAnsi="宋体" w:cs="宋体"/>
          <w:color w:val="auto"/>
          <w:sz w:val="24"/>
          <w:szCs w:val="32"/>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（5）若投标人不按招标文件的要求提供资格审查材料，其风险由投标人自行承担。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（6）与本次投标无关的内容请不要制作在内，确保投标文件有针对性、简洁明了。</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①投标文件的编制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本项目实行电子投标，</w:t>
      </w:r>
      <w:r>
        <w:rPr>
          <w:rFonts w:hint="eastAsia" w:ascii="宋体" w:hAnsi="宋体" w:cs="宋体"/>
          <w:color w:val="auto"/>
          <w:sz w:val="24"/>
        </w:rPr>
        <w:t>供应商应准备电子投标文件、以介质存储的数据电文形式的备份投标文件、纸质备份投标文件三类</w:t>
      </w:r>
      <w:r>
        <w:rPr>
          <w:rFonts w:hint="eastAsia" w:ascii="宋体" w:hAnsi="宋体" w:cs="宋体"/>
          <w:color w:val="auto"/>
          <w:sz w:val="24"/>
          <w:szCs w:val="32"/>
        </w:rPr>
        <w:t>：</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rPr>
        <w:t>（1）按政采云平台项目采购--电子招投标操作指南及本招标文件要求编制。</w:t>
      </w:r>
      <w:r>
        <w:rPr>
          <w:rFonts w:hint="eastAsia" w:ascii="宋体" w:hAnsi="宋体" w:cs="宋体"/>
          <w:color w:val="auto"/>
          <w:sz w:val="24"/>
          <w:szCs w:val="32"/>
          <w:lang w:val="en-GB"/>
        </w:rPr>
        <w:t>投标人应通过“政采云电子交易客户端”，并按照本招标文件和“政府采购云平台”的要求编制并加密投标文件。</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lang w:val="en-GB"/>
        </w:rPr>
        <w:t>1.</w:t>
      </w:r>
      <w:r>
        <w:rPr>
          <w:rFonts w:hint="eastAsia" w:ascii="宋体" w:hAnsi="宋体" w:cs="宋体"/>
          <w:color w:val="auto"/>
          <w:sz w:val="24"/>
          <w:szCs w:val="32"/>
        </w:rPr>
        <w:t>1</w:t>
      </w:r>
      <w:r>
        <w:rPr>
          <w:rFonts w:hint="eastAsia" w:ascii="宋体" w:hAnsi="宋体" w:cs="宋体"/>
          <w:color w:val="auto"/>
          <w:sz w:val="24"/>
          <w:szCs w:val="32"/>
          <w:lang w:val="en-GB"/>
        </w:rPr>
        <w:t>投标人应当按照本章节 “投标文件组成”规定的内容及顺序在“政采云电子交易客户端”编制投标文件。其中《资格及商务技术文件》中不得出现本项目投标报价，如因投标人原因提前泄露投标报价，是投标人的责任。</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lang w:val="zh-CN"/>
        </w:rPr>
        <w:t>1.</w:t>
      </w:r>
      <w:r>
        <w:rPr>
          <w:rFonts w:hint="eastAsia" w:ascii="宋体" w:hAnsi="宋体" w:cs="宋体"/>
          <w:color w:val="auto"/>
          <w:sz w:val="24"/>
          <w:szCs w:val="32"/>
        </w:rPr>
        <w:t>2</w:t>
      </w:r>
      <w:r>
        <w:rPr>
          <w:rFonts w:hint="eastAsia" w:ascii="宋体" w:hAnsi="宋体" w:cs="宋体"/>
          <w:color w:val="auto"/>
          <w:sz w:val="24"/>
          <w:szCs w:val="32"/>
          <w:lang w:val="zh-CN"/>
        </w:rPr>
        <w:t>投标文件分为资格及商务技术文件、报价文件。各投标人在编制投标文件时请按照采购文件第六部分规定的格式进行，</w:t>
      </w:r>
      <w:r>
        <w:rPr>
          <w:rFonts w:hint="eastAsia" w:ascii="宋体" w:hAnsi="宋体" w:cs="宋体"/>
          <w:color w:val="auto"/>
          <w:sz w:val="24"/>
          <w:szCs w:val="32"/>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lang w:val="en-GB"/>
        </w:rPr>
        <w:t>1.</w:t>
      </w:r>
      <w:r>
        <w:rPr>
          <w:rFonts w:hint="eastAsia" w:ascii="宋体" w:hAnsi="宋体" w:cs="宋体"/>
          <w:color w:val="auto"/>
          <w:sz w:val="24"/>
          <w:szCs w:val="32"/>
        </w:rPr>
        <w:t>3</w:t>
      </w:r>
      <w:r>
        <w:rPr>
          <w:rFonts w:hint="eastAsia" w:ascii="宋体" w:hAnsi="宋体" w:cs="宋体"/>
          <w:color w:val="auto"/>
          <w:sz w:val="24"/>
          <w:szCs w:val="32"/>
          <w:lang w:val="en-GB"/>
        </w:rPr>
        <w:t>《投标文件》内容不完整、</w:t>
      </w:r>
      <w:r>
        <w:rPr>
          <w:rFonts w:hint="eastAsia" w:ascii="宋体" w:hAnsi="宋体" w:cs="宋体"/>
          <w:color w:val="auto"/>
          <w:sz w:val="24"/>
          <w:szCs w:val="32"/>
          <w:lang w:val="zh-CN"/>
        </w:rPr>
        <w:t>混乱的编排导致投标文件被误读或评标委员会查找不到有效文件是投标人的责任。</w:t>
      </w:r>
      <w:r>
        <w:rPr>
          <w:rFonts w:hint="eastAsia" w:ascii="宋体" w:hAnsi="宋体" w:cs="宋体"/>
          <w:color w:val="auto"/>
          <w:sz w:val="24"/>
          <w:szCs w:val="32"/>
          <w:lang w:val="en-GB"/>
        </w:rPr>
        <w:t>《投标文件》因字迹潦草或表达不清所引起的后果由投标人负责，投标文件未按规定的</w:t>
      </w:r>
      <w:r>
        <w:rPr>
          <w:rFonts w:hint="eastAsia" w:ascii="宋体" w:hAnsi="宋体" w:cs="宋体"/>
          <w:color w:val="auto"/>
          <w:sz w:val="24"/>
          <w:szCs w:val="32"/>
        </w:rPr>
        <w:t>组成</w:t>
      </w:r>
      <w:r>
        <w:rPr>
          <w:rFonts w:hint="eastAsia" w:ascii="宋体" w:hAnsi="宋体" w:cs="宋体"/>
          <w:color w:val="auto"/>
          <w:sz w:val="24"/>
          <w:szCs w:val="32"/>
          <w:lang w:val="en-GB"/>
        </w:rPr>
        <w:t>编制的，投标无效。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（2）以介质存储的数据电文形式的备份投标文件，按政采云平台项目采购-电子招投标操作指南中上传的电子投标文件格式，以U盘形式提供。数量为1份。</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（3）纸质备份投标文件以纸质文件的形式编制，按</w:t>
      </w:r>
      <w:r>
        <w:rPr>
          <w:rFonts w:hint="eastAsia" w:ascii="宋体" w:hAnsi="宋体" w:cs="宋体"/>
          <w:color w:val="auto"/>
          <w:sz w:val="24"/>
          <w:szCs w:val="32"/>
          <w:lang w:val="en-GB"/>
        </w:rPr>
        <w:t>资格及商务技术文件、报价文件</w:t>
      </w:r>
      <w:r>
        <w:rPr>
          <w:rFonts w:hint="eastAsia" w:ascii="宋体" w:hAnsi="宋体" w:cs="宋体"/>
          <w:color w:val="auto"/>
          <w:sz w:val="24"/>
          <w:szCs w:val="32"/>
        </w:rPr>
        <w:t>分别编制并单独装订成册，</w:t>
      </w:r>
      <w:r>
        <w:rPr>
          <w:rFonts w:hint="eastAsia" w:ascii="宋体" w:hAnsi="宋体" w:cs="宋体"/>
          <w:b/>
          <w:bCs/>
          <w:color w:val="auto"/>
          <w:sz w:val="24"/>
        </w:rPr>
        <w:t>数量均为2份（一正一副）</w:t>
      </w:r>
      <w:r>
        <w:rPr>
          <w:rFonts w:hint="eastAsia" w:ascii="宋体" w:hAnsi="宋体" w:cs="宋体"/>
          <w:color w:val="auto"/>
          <w:sz w:val="24"/>
          <w:szCs w:val="32"/>
        </w:rPr>
        <w:t>。</w:t>
      </w:r>
      <w:r>
        <w:rPr>
          <w:rFonts w:hint="eastAsia" w:ascii="宋体" w:hAnsi="宋体" w:cs="宋体"/>
          <w:color w:val="auto"/>
          <w:sz w:val="24"/>
          <w:szCs w:val="32"/>
          <w:lang w:val="en-GB"/>
        </w:rPr>
        <w:t>资格及商务技术文件、报价文件</w:t>
      </w:r>
      <w:r>
        <w:rPr>
          <w:rFonts w:hint="eastAsia" w:ascii="宋体" w:hAnsi="宋体" w:cs="宋体"/>
          <w:color w:val="auto"/>
          <w:sz w:val="24"/>
          <w:szCs w:val="32"/>
        </w:rPr>
        <w:t>须分别密封封装，</w:t>
      </w:r>
      <w:r>
        <w:rPr>
          <w:rFonts w:hint="eastAsia" w:ascii="宋体" w:hAnsi="宋体" w:cs="宋体"/>
          <w:color w:val="auto"/>
          <w:sz w:val="24"/>
          <w:szCs w:val="32"/>
          <w:lang w:val="en-GB"/>
        </w:rPr>
        <w:t>资格及商务技术文件</w:t>
      </w:r>
      <w:r>
        <w:rPr>
          <w:rFonts w:hint="eastAsia" w:ascii="宋体" w:hAnsi="宋体" w:cs="宋体"/>
          <w:color w:val="auto"/>
          <w:sz w:val="24"/>
          <w:szCs w:val="32"/>
        </w:rPr>
        <w:t>、报价文件未分别密封的投标文件将为无效。除报价文件外其余一律不准出现数字报价。如有不同标段，请按标段号分别装订，密封要求同上。</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Ⅰ电子投标文件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2.温馨提醒：CA签章上目前没有法人或授权代表签字信息，需要投标人联系</w:t>
      </w:r>
      <w:r>
        <w:rPr>
          <w:rFonts w:hint="eastAsia" w:ascii="宋体" w:hAnsi="宋体" w:cs="宋体"/>
          <w:b/>
          <w:bCs/>
          <w:color w:val="auto"/>
          <w:sz w:val="24"/>
          <w:szCs w:val="32"/>
        </w:rPr>
        <w:t>浙江杭州汇信科技有限公司（400-8884636）</w:t>
      </w:r>
      <w:r>
        <w:rPr>
          <w:rFonts w:hint="eastAsia" w:ascii="宋体" w:hAnsi="宋体" w:cs="宋体"/>
          <w:color w:val="auto"/>
          <w:sz w:val="24"/>
          <w:szCs w:val="32"/>
        </w:rPr>
        <w:t>等相应公司进行办理，或在投标文件中涉及到签字的位置线下签好字然后扫描或者拍照做成PDF的格式亦可。</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w:t>
      </w:r>
      <w:r>
        <w:rPr>
          <w:rFonts w:hint="eastAsia" w:ascii="宋体" w:hAnsi="宋体" w:cs="宋体"/>
          <w:b/>
          <w:bCs/>
          <w:color w:val="auto"/>
          <w:sz w:val="24"/>
          <w:szCs w:val="32"/>
        </w:rPr>
        <w:t>以介质存储的数据电文形式的备份投标文件</w:t>
      </w:r>
      <w:r>
        <w:rPr>
          <w:rFonts w:hint="eastAsia" w:ascii="宋体" w:hAnsi="宋体" w:cs="宋体"/>
          <w:color w:val="auto"/>
          <w:sz w:val="24"/>
          <w:szCs w:val="32"/>
        </w:rPr>
        <w:t>，按政采云平台项目采购-电子招投标操作指南中上传的电子投标文件格式，以U盘形式提供。数量为1份。</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Ⅱ纸质备份投标文件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1.所有纸质投标资料应按投标文件的组成所列内容及顺序装订成册，</w:t>
      </w:r>
      <w:r>
        <w:rPr>
          <w:rFonts w:hint="eastAsia" w:ascii="宋体" w:hAnsi="宋体" w:cs="宋体"/>
          <w:color w:val="auto"/>
          <w:sz w:val="24"/>
          <w:szCs w:val="32"/>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2.投标人应按</w:t>
      </w:r>
      <w:r>
        <w:rPr>
          <w:rFonts w:hint="eastAsia" w:ascii="宋体" w:hAnsi="宋体" w:cs="宋体"/>
          <w:color w:val="auto"/>
          <w:sz w:val="24"/>
          <w:szCs w:val="32"/>
          <w:lang w:val="en-GB"/>
        </w:rPr>
        <w:t>资格及商务技术文件</w:t>
      </w:r>
      <w:r>
        <w:rPr>
          <w:rFonts w:hint="eastAsia" w:ascii="宋体" w:hAnsi="宋体" w:cs="宋体"/>
          <w:color w:val="auto"/>
          <w:sz w:val="24"/>
          <w:szCs w:val="32"/>
        </w:rPr>
        <w:t>、报价文件分别编制并单独装订成册，活页装订的投标文件将被拒绝。投标文件需打印或用不褪色的墨水填写。</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3.投标人应按</w:t>
      </w:r>
      <w:r>
        <w:rPr>
          <w:rFonts w:hint="eastAsia" w:ascii="宋体" w:hAnsi="宋体" w:cs="宋体"/>
          <w:color w:val="auto"/>
          <w:sz w:val="24"/>
          <w:szCs w:val="32"/>
          <w:lang w:val="en-GB"/>
        </w:rPr>
        <w:t>资格及商务技术文件、报价文件</w:t>
      </w:r>
      <w:r>
        <w:rPr>
          <w:rFonts w:hint="eastAsia" w:ascii="宋体" w:hAnsi="宋体" w:cs="宋体"/>
          <w:color w:val="auto"/>
          <w:sz w:val="24"/>
          <w:szCs w:val="32"/>
        </w:rPr>
        <w:t>分别密封封装纸质备份投标文件。</w:t>
      </w:r>
      <w:r>
        <w:rPr>
          <w:rFonts w:hint="eastAsia" w:ascii="宋体" w:hAnsi="宋体" w:cs="宋体"/>
          <w:color w:val="auto"/>
          <w:sz w:val="24"/>
          <w:szCs w:val="32"/>
          <w:lang w:val="en-GB"/>
        </w:rPr>
        <w:t>资格及商务技术文件</w:t>
      </w:r>
      <w:r>
        <w:rPr>
          <w:rFonts w:hint="eastAsia" w:ascii="宋体" w:hAnsi="宋体" w:cs="宋体"/>
          <w:color w:val="auto"/>
          <w:sz w:val="24"/>
          <w:szCs w:val="32"/>
        </w:rPr>
        <w:t>、报价文件未分别密封的投标文件将为无效。请在密封袋的封口处应有投标单位公章或投标授权委托代理人签字。封皮上写明项目编号、标段、招标项目名称、投标人名称，并注明“投标文件名称（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lang w:val="en-GB"/>
        </w:rPr>
        <w:t>资格及商务技术文件</w:t>
      </w:r>
      <w:r>
        <w:rPr>
          <w:rFonts w:hint="eastAsia" w:ascii="宋体" w:hAnsi="宋体" w:cs="宋体"/>
          <w:color w:val="auto"/>
          <w:sz w:val="24"/>
          <w:szCs w:val="32"/>
        </w:rPr>
        <w:t>和报价文件）”、“开标时启封”字样，未按上述要求密封及加写标记，采购组织机构对投标文件的误投和提前启封不负责任。</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4.项目如分标段，各标段投标文件必须分开编制，并按上述份数要求单独密封包装。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w:t>
      </w:r>
      <w:r>
        <w:rPr>
          <w:rFonts w:hint="eastAsia" w:ascii="宋体" w:hAnsi="宋体" w:cs="宋体"/>
          <w:color w:val="auto"/>
          <w:sz w:val="24"/>
          <w:szCs w:val="32"/>
          <w:lang w:val="zh-CN"/>
        </w:rPr>
        <w:t>因密封不严、标记不明而造成失密、拒收、过早启封等情况，采购组织机构概不负责。</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hAnsi="宋体" w:cs="宋体"/>
          <w:b/>
          <w:bCs/>
          <w:color w:val="auto"/>
          <w:sz w:val="24"/>
          <w:szCs w:val="32"/>
        </w:rPr>
      </w:pPr>
      <w:r>
        <w:rPr>
          <w:rFonts w:hint="eastAsia" w:ascii="宋体" w:hAnsi="宋体" w:cs="宋体"/>
          <w:color w:val="auto"/>
          <w:sz w:val="24"/>
          <w:szCs w:val="32"/>
        </w:rPr>
        <w:t>8.纸质备份投标文件不得涂改，若有修改错漏处，须加盖单位公章或法定代表人或授权委托人签字或盖章。投标文件因字迹潦草或表达不清所引起的后果由投标人负责。</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2、投标文件的递交要求</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lang w:val="en-GB"/>
        </w:rPr>
        <w:t>（</w:t>
      </w:r>
      <w:r>
        <w:rPr>
          <w:rFonts w:hint="eastAsia" w:ascii="宋体" w:hAnsi="宋体" w:cs="宋体"/>
          <w:color w:val="auto"/>
          <w:sz w:val="24"/>
          <w:szCs w:val="32"/>
        </w:rPr>
        <w:t>1</w:t>
      </w:r>
      <w:r>
        <w:rPr>
          <w:rFonts w:hint="eastAsia" w:ascii="宋体" w:hAnsi="宋体" w:cs="宋体"/>
          <w:color w:val="auto"/>
          <w:sz w:val="24"/>
          <w:szCs w:val="32"/>
          <w:lang w:val="en-GB"/>
        </w:rPr>
        <w:t>）“投标文件”的上传、递交：见《前附表》。▲未传输递交电子投标文件的，投标无效。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（2）以介质存储的数据电文形式的备份投标文件和纸质备份投标文件必须在规定时间前送达或邮寄至</w:t>
      </w:r>
      <w:r>
        <w:rPr>
          <w:rFonts w:hint="eastAsia" w:ascii="宋体" w:hAnsi="宋体" w:cs="宋体"/>
          <w:color w:val="auto"/>
          <w:sz w:val="24"/>
          <w:lang w:val="en-GB"/>
        </w:rPr>
        <w:t>公告规定的</w:t>
      </w:r>
      <w:r>
        <w:rPr>
          <w:rFonts w:hint="eastAsia" w:ascii="宋体" w:hAnsi="宋体" w:cs="宋体"/>
          <w:color w:val="auto"/>
          <w:sz w:val="24"/>
          <w:szCs w:val="32"/>
        </w:rPr>
        <w:t>地点。备份投标文件在截止时间后提交，采购组织机构将拒绝接收。</w:t>
      </w:r>
      <w:r>
        <w:rPr>
          <w:rFonts w:hint="eastAsia" w:ascii="宋体" w:hAnsi="宋体" w:cs="宋体"/>
          <w:color w:val="auto"/>
          <w:sz w:val="24"/>
          <w:lang w:val="en-GB"/>
        </w:rPr>
        <w:t>▲未按规定提供相应的备份投标文件，造成项目开评标活动无法进行下去的，投标无效。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lang w:val="en-GB"/>
        </w:rPr>
        <w:t>（</w:t>
      </w:r>
      <w:r>
        <w:rPr>
          <w:rFonts w:hint="eastAsia" w:ascii="宋体" w:hAnsi="宋体" w:cs="宋体"/>
          <w:color w:val="auto"/>
          <w:sz w:val="24"/>
          <w:szCs w:val="32"/>
        </w:rPr>
        <w:t>4</w:t>
      </w:r>
      <w:r>
        <w:rPr>
          <w:rFonts w:hint="eastAsia" w:ascii="宋体" w:hAnsi="宋体" w:cs="宋体"/>
          <w:color w:val="auto"/>
          <w:sz w:val="24"/>
          <w:szCs w:val="32"/>
          <w:lang w:val="en-GB"/>
        </w:rPr>
        <w:t>）投标文件的备选方案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lang w:val="en-GB"/>
        </w:rPr>
        <w:t>投标人不得递交任何的投标备选（替代）方案，否则其投标文件将作无效标处理。与“电子加密投标文件”同时生成的“备份投标文件”不是投标备选（替代）方案。</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（三）投标文件的有效期</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rPr>
        <w:t>1.</w:t>
      </w:r>
      <w:r>
        <w:rPr>
          <w:rFonts w:hint="eastAsia" w:ascii="宋体" w:hAnsi="宋体" w:cs="宋体"/>
          <w:color w:val="auto"/>
          <w:sz w:val="24"/>
          <w:szCs w:val="32"/>
          <w:lang w:val="en-GB"/>
        </w:rPr>
        <w:t>自投标截止日起90天投标文件应保持有效。有效期不足的投标文件将被拒绝。</w:t>
      </w:r>
    </w:p>
    <w:p>
      <w:pPr>
        <w:spacing w:line="360" w:lineRule="auto"/>
        <w:ind w:firstLine="480" w:firstLineChars="200"/>
        <w:rPr>
          <w:rFonts w:ascii="宋体" w:hAnsi="宋体" w:cs="宋体"/>
          <w:color w:val="auto"/>
          <w:sz w:val="24"/>
          <w:szCs w:val="32"/>
          <w:lang w:val="en-GB"/>
        </w:rPr>
      </w:pPr>
      <w:r>
        <w:rPr>
          <w:rFonts w:hint="eastAsia" w:ascii="宋体" w:hAnsi="宋体" w:cs="宋体"/>
          <w:color w:val="auto"/>
          <w:sz w:val="24"/>
          <w:szCs w:val="32"/>
        </w:rPr>
        <w:t>2.</w:t>
      </w:r>
      <w:r>
        <w:rPr>
          <w:rFonts w:hint="eastAsia" w:ascii="宋体" w:hAnsi="宋体" w:cs="宋体"/>
          <w:color w:val="auto"/>
          <w:sz w:val="24"/>
          <w:szCs w:val="32"/>
          <w:lang w:val="en-GB"/>
        </w:rPr>
        <w:t>在特殊情况下，采购人可与投标人协商延长投标文件的有效期，这种要求和答复均以书面形式进行。</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3.中标人的投标文件自开标之日起至合同履行完毕均应保持有效。</w:t>
      </w:r>
    </w:p>
    <w:p>
      <w:pPr>
        <w:spacing w:line="360" w:lineRule="auto"/>
        <w:rPr>
          <w:rFonts w:ascii="宋体" w:hAnsi="宋体" w:cs="宋体"/>
          <w:color w:val="auto"/>
          <w:sz w:val="24"/>
          <w:szCs w:val="32"/>
        </w:rPr>
      </w:pPr>
      <w:r>
        <w:rPr>
          <w:rFonts w:hint="eastAsia" w:ascii="宋体" w:hAnsi="宋体" w:cs="宋体"/>
          <w:b/>
          <w:color w:val="auto"/>
          <w:kern w:val="0"/>
          <w:sz w:val="24"/>
        </w:rPr>
        <w:t>四、</w:t>
      </w:r>
      <w:r>
        <w:rPr>
          <w:rFonts w:hint="eastAsia" w:ascii="宋体" w:hAnsi="宋体" w:cs="宋体"/>
          <w:b/>
          <w:bCs/>
          <w:color w:val="auto"/>
          <w:sz w:val="24"/>
          <w:szCs w:val="32"/>
        </w:rPr>
        <w:t>开标</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（一）开标事项</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采购组织机构将按照招标文件规定的时间通过“政府采购云平台”组织开标、开启投标文件，所有投标人均应当准时在线参加。投标人因未在线参加开标而导致投标文件无法按时解密等一切后果由投标人自己承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（1）电子交易平台发生故障而无法登录访问的； </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（2）电子交易平台应用或数据库出现错误，不能进行正常操作的；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（3）电子交易平台发现严重安全漏洞，有潜在泄密危险的；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（4）病毒发作导致不能进行正常操作的； </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（5）其他无法保证电子交易的公平、公正和安全的情况。</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（二） 开标程序：</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1、开标会由招标项目负责人主持，主持人宣布开标会议开始；</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2、主持人介绍参加开标会的人员名单； </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3、主持人宣布评标期间的有关事项，告知应当回避的情形,提请有关人员回避；对投标人进行签到验证。</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5、采购组织机构点击【开启标书信息】，开启标书成功后进入开标流程。</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w:t>
      </w:r>
      <w:r>
        <w:rPr>
          <w:rFonts w:hint="eastAsia" w:ascii="宋体" w:hAnsi="宋体" w:cs="宋体"/>
          <w:color w:val="auto"/>
          <w:sz w:val="24"/>
          <w:szCs w:val="32"/>
          <w:lang w:val="en-GB"/>
        </w:rPr>
        <w:t>资格及商务技术文件</w:t>
      </w:r>
      <w:r>
        <w:rPr>
          <w:rFonts w:hint="eastAsia" w:ascii="宋体" w:hAnsi="宋体" w:cs="宋体"/>
          <w:color w:val="auto"/>
          <w:sz w:val="24"/>
          <w:szCs w:val="32"/>
        </w:rPr>
        <w:t>评审；</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7、由主持人公布无效投标的投标人名单、投标无效的原因及其他有效投标的评分汇总分；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8、开启报价响应文件：采购代理机构成功开启报价响应文件后，方可查看各供应商报价情况。</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9、报价文件评审；</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10、由主持人公布无效投标的投标人名单、投标无效的原因及其他有效投标的报价文件得分；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11、宣布综合得分结果及中标候选人名单；</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12、开标会议结束。</w:t>
      </w:r>
    </w:p>
    <w:p>
      <w:pPr>
        <w:spacing w:line="360" w:lineRule="auto"/>
        <w:rPr>
          <w:rFonts w:ascii="宋体" w:hAnsi="宋体" w:cs="宋体"/>
          <w:b/>
          <w:bCs/>
          <w:color w:val="auto"/>
          <w:sz w:val="24"/>
          <w:szCs w:val="32"/>
        </w:rPr>
      </w:pPr>
      <w:r>
        <w:rPr>
          <w:rFonts w:hint="eastAsia" w:ascii="宋体" w:hAnsi="宋体" w:cs="宋体"/>
          <w:b/>
          <w:bCs/>
          <w:color w:val="auto"/>
          <w:sz w:val="24"/>
          <w:szCs w:val="32"/>
        </w:rPr>
        <w:t>五、评标</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（一）组建评标委员会</w:t>
      </w:r>
    </w:p>
    <w:p>
      <w:pPr>
        <w:spacing w:line="360" w:lineRule="auto"/>
        <w:ind w:firstLine="480" w:firstLineChars="200"/>
        <w:rPr>
          <w:rFonts w:ascii="宋体" w:hAnsi="宋体" w:cs="宋体"/>
          <w:color w:val="auto"/>
          <w:sz w:val="24"/>
        </w:rPr>
      </w:pPr>
      <w:r>
        <w:rPr>
          <w:rFonts w:hint="eastAsia" w:ascii="宋体" w:hAnsi="宋体" w:cs="宋体"/>
          <w:color w:val="auto"/>
          <w:sz w:val="24"/>
        </w:rPr>
        <w:t>评标委员会由采购人代表和评审专家组成，成员人数为5人以上单数，其中评审专家不得少于成员总数的三分之二。</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（二）评标程序</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1、资格审查</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2、符合性审查</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3、综合比较与评价</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（3）评标时，评标委员会各成员应当独立对每个投标人的投标文件进行评价，并汇总每个投标人的得分。</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4、得分确认及评审报告编写</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（1）评标委员会对报价文件进行复核，对于系统计算出的价格分及总得分进行确认；</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（2）评标委员会应当按照招标文件中规定的评标方法和标准，对符合性审查合格的投标文件进行商务和技术评估，综合比较与评价。</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（3）评标委员会按评标原则及得分情况编写评审报告。</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5、评价</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采购组织机构对评标委员会评审专家进行评价。</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（三）澄清问题的形式</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（四）错误修正</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投标文件报价出现前后不一致的，除招标文件另有规定外，按照下列规定修正：</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1、投标文件中开标一览表（报价表）内容与投标文件中相应内容不一致的，以开标一览表（报价表）为准；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2、大写金额和小写金额不一致的，以大写金额为准；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3、单价金额小数点或者百分比有明显错位的，以开标一览表的总价为准，并修改单价；</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4、总价金额与按单价汇总金额不一致的，以单价金额计算结果为准。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（五）投标人存在下列情况之一的，投标无效：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电子投标文件及纸质备份投标文件在指定页面无法定代表人盖章或签字、未在指定页面盖公章、在指定页面无被授权人签字、投标文件份数少于招标文件要求、未提供法定代表人授权委托书、未提供投标函或者投标函格式不符合招标文件要求或填写项目不齐全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w:t>
      </w:r>
      <w:r>
        <w:rPr>
          <w:rFonts w:hint="eastAsia" w:ascii="宋体" w:hAnsi="宋体" w:cs="宋体"/>
          <w:color w:val="auto"/>
          <w:sz w:val="24"/>
          <w:szCs w:val="32"/>
          <w:lang w:val="en-GB"/>
        </w:rPr>
        <w:t>资格及商务技术文件</w:t>
      </w:r>
      <w:r>
        <w:rPr>
          <w:rFonts w:hint="eastAsia" w:ascii="宋体" w:hAnsi="宋体" w:cs="宋体"/>
          <w:color w:val="auto"/>
          <w:sz w:val="24"/>
          <w:szCs w:val="32"/>
        </w:rPr>
        <w:t>跟报价文件出现混装或在</w:t>
      </w:r>
      <w:r>
        <w:rPr>
          <w:rFonts w:hint="eastAsia" w:ascii="宋体" w:hAnsi="宋体" w:cs="宋体"/>
          <w:color w:val="auto"/>
          <w:sz w:val="24"/>
          <w:szCs w:val="32"/>
          <w:lang w:val="en-GB"/>
        </w:rPr>
        <w:t>资格及商务技术文件</w:t>
      </w:r>
      <w:r>
        <w:rPr>
          <w:rFonts w:hint="eastAsia" w:ascii="宋体" w:hAnsi="宋体" w:cs="宋体"/>
          <w:color w:val="auto"/>
          <w:sz w:val="24"/>
          <w:szCs w:val="32"/>
        </w:rPr>
        <w:t>中出现投标报价的，或者报价文件中报价的货物跟</w:t>
      </w:r>
      <w:r>
        <w:rPr>
          <w:rFonts w:hint="eastAsia" w:ascii="宋体" w:hAnsi="宋体" w:cs="宋体"/>
          <w:color w:val="auto"/>
          <w:sz w:val="24"/>
          <w:szCs w:val="32"/>
          <w:lang w:val="en-GB"/>
        </w:rPr>
        <w:t>资格及商务技术文件</w:t>
      </w:r>
      <w:r>
        <w:rPr>
          <w:rFonts w:hint="eastAsia" w:ascii="宋体" w:hAnsi="宋体" w:cs="宋体"/>
          <w:color w:val="auto"/>
          <w:sz w:val="24"/>
          <w:szCs w:val="32"/>
        </w:rPr>
        <w:t>中的投标货物出现重大偏差的；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3、不具备招标文件中规定的资格要求的。</w:t>
      </w:r>
      <w:r>
        <w:rPr>
          <w:rFonts w:hint="eastAsia" w:ascii="宋体" w:hAnsi="宋体" w:cs="宋体"/>
          <w:color w:val="auto"/>
          <w:sz w:val="24"/>
          <w:szCs w:val="32"/>
        </w:rPr>
        <w:tab/>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4、投标文件含有采购人不能接受的附加条件的。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5、授权委托代理人未能出具身份证明或与法定代表人授权委托人身份不符的；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7、报价超过招标文件中规定的预算金额/最高限价。</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8、投标参数未如实填写，完全复制粘贴招标参数的。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9、投标文件提供虚假材料的。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10、投标人的电子投标文件无法按时解密的，且未达到备份投标文件启用条件或未提交备份投标文件的。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11、不符合中华人民共和国财政部令第87号《政府采购货物和服务招标投标管理办法》第三十七条情形之一的，视为投标人串通投标，其投标无效，并移送采购监管部门：</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（1）不同投标人的投标文件由同一单位或者个人编制；不同投标人的投标文件,由同一台电脑编制；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（2）不同投标人委托同一单位或者个人办理投标事宜；</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（3）不同投标人的投标文件载明的项目管理成员或者联系人员为同一人；</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（4）不同投标人的投标文件异常一致或者投标报价呈规律性差异；</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（5）不同投标人的投标文件相互混装。</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12、不符合法律、法规和招标文件中规定的其他实质性要求的（招标文件</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中打“▲”内容及被拒绝的条款）。</w:t>
      </w:r>
    </w:p>
    <w:p>
      <w:pPr>
        <w:numPr>
          <w:ilvl w:val="0"/>
          <w:numId w:val="2"/>
        </w:num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未传输递交电子投标文件的或者未按规定提供相应的备份投标文件，造成项目开评标活动无法进行下去的。</w:t>
      </w:r>
    </w:p>
    <w:p>
      <w:pPr>
        <w:numPr>
          <w:ilvl w:val="0"/>
          <w:numId w:val="2"/>
        </w:num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投标文件未按照投标文件组成要求编制的，造成项目开评标活动无法进行下去的。</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（六）有下列情况之一的，本次招标作为废标处理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1、出现影响采购公正的违法、违规行为的；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2、评标委员会发现招标文件存在歧义、重大缺陷导致评标工作无法进行，或者招标文件内容违反国家有关强制性规定的； </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3、因重大变故，采购任务取消的；</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4、法律、法规和招标文件规定的其他导致评标结果无效的。</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（七）评标原则和评标办法</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2、评标办法。具体评标内容及评分标准等详见《第三章：评标方法及评分标准》。</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（八）评标过程的监控</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hAnsi="宋体" w:cs="宋体"/>
          <w:b/>
          <w:bCs/>
          <w:color w:val="auto"/>
          <w:sz w:val="24"/>
          <w:szCs w:val="32"/>
        </w:rPr>
      </w:pPr>
      <w:r>
        <w:rPr>
          <w:rFonts w:hint="eastAsia" w:ascii="宋体" w:hAnsi="宋体" w:cs="宋体"/>
          <w:b/>
          <w:bCs/>
          <w:color w:val="auto"/>
          <w:sz w:val="24"/>
          <w:szCs w:val="32"/>
        </w:rPr>
        <w:t>六、定标</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3、发出中标通知书。采购组织机构在发布中标结果的同时，向中标人发出中标通知书。</w:t>
      </w:r>
    </w:p>
    <w:p>
      <w:pPr>
        <w:pStyle w:val="22"/>
        <w:spacing w:before="0" w:beforeAutospacing="0" w:after="0" w:afterAutospacing="0" w:line="360" w:lineRule="auto"/>
        <w:ind w:firstLine="480" w:firstLineChars="200"/>
        <w:jc w:val="both"/>
        <w:rPr>
          <w:rFonts w:cs="宋体"/>
          <w:color w:val="auto"/>
        </w:rPr>
      </w:pPr>
      <w:r>
        <w:rPr>
          <w:rFonts w:hint="eastAsia" w:cs="宋体"/>
          <w:color w:val="auto"/>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w:t>
      </w:r>
      <w:r>
        <w:rPr>
          <w:rFonts w:hint="eastAsia"/>
          <w:b/>
          <w:color w:val="auto"/>
          <w:highlight w:val="yellow"/>
        </w:rPr>
        <w:t>参照国家发改委发改办价格[2003]857号通知和国家计委计价格[2002]1980号文件，本项目招标代理服务费按收费标准的45%计取，代理服务费不足6000元的，按6000元收取。该费用中标方须在领取中标通知书时一次性付清。财务电话：0576-88011858。</w:t>
      </w:r>
    </w:p>
    <w:p>
      <w:pPr>
        <w:spacing w:line="360" w:lineRule="auto"/>
        <w:rPr>
          <w:rFonts w:ascii="宋体" w:hAnsi="宋体" w:cs="宋体"/>
          <w:b/>
          <w:bCs/>
          <w:color w:val="auto"/>
          <w:sz w:val="24"/>
          <w:szCs w:val="32"/>
        </w:rPr>
      </w:pPr>
      <w:r>
        <w:rPr>
          <w:rFonts w:hint="eastAsia" w:ascii="宋体" w:hAnsi="宋体" w:cs="宋体"/>
          <w:b/>
          <w:bCs/>
          <w:color w:val="auto"/>
          <w:sz w:val="24"/>
          <w:szCs w:val="32"/>
        </w:rPr>
        <w:t>七、合同签订及公告</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（一）签订合同</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1、采购人应当自中标通知书发出之日起30天内，按照招标文件和中标人投标文件的规定，与中标人签订书面合同。所签订的合同不得对招标文件确定的事项和中标人投标文件作实质性修改。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2、采购人不得向中标人提出任何不合理的要求作为签订合同的条件。</w:t>
      </w:r>
    </w:p>
    <w:p>
      <w:pPr>
        <w:spacing w:line="360" w:lineRule="auto"/>
        <w:ind w:firstLine="480" w:firstLineChars="200"/>
        <w:rPr>
          <w:rFonts w:ascii="宋体" w:hAnsi="宋体" w:cs="宋体"/>
          <w:color w:val="auto"/>
          <w:sz w:val="24"/>
        </w:rPr>
      </w:pPr>
      <w:r>
        <w:rPr>
          <w:rFonts w:hint="eastAsia" w:ascii="宋体" w:hAnsi="宋体" w:cs="宋体"/>
          <w:color w:val="auto"/>
          <w:sz w:val="24"/>
        </w:rPr>
        <w:t>3、中标供应商无故拖延、拒签合同的,取消中标资格。</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5、询问或者质疑事项可能影响中标结果的，采购人应当暂停签订合同，已经签订合同的，应当中止履行合同（中标结果的质疑期为中标结果公告期限届满之日起七个工作日）。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ascii="宋体" w:hAnsi="宋体" w:cs="宋体"/>
          <w:b/>
          <w:bCs/>
          <w:color w:val="auto"/>
          <w:sz w:val="24"/>
          <w:szCs w:val="32"/>
        </w:rPr>
      </w:pPr>
      <w:r>
        <w:rPr>
          <w:rFonts w:hint="eastAsia" w:ascii="宋体" w:hAnsi="宋体" w:cs="宋体"/>
          <w:b/>
          <w:bCs/>
          <w:color w:val="auto"/>
          <w:sz w:val="24"/>
          <w:szCs w:val="32"/>
        </w:rPr>
        <w:t>（二）合同公告及备案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1、采购人应当自政府采购合同签订之日起2个工作日内，在省级以上财政部门指定的政府采购信息发布媒体及相关网站上公告。</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2、采购人应当自政府采购合同签订之日起7个工作日内，将政府采购合同副本报同级人民政府财政部门备案以及采购组织机构存档。</w:t>
      </w:r>
    </w:p>
    <w:p>
      <w:pPr>
        <w:spacing w:line="360" w:lineRule="auto"/>
        <w:ind w:firstLine="480" w:firstLineChars="200"/>
        <w:rPr>
          <w:rFonts w:ascii="宋体" w:hAnsi="宋体" w:cs="宋体"/>
          <w:color w:val="auto"/>
          <w:sz w:val="24"/>
          <w:szCs w:val="32"/>
        </w:rPr>
      </w:pPr>
    </w:p>
    <w:p>
      <w:pPr>
        <w:spacing w:line="360" w:lineRule="auto"/>
        <w:ind w:firstLine="480" w:firstLineChars="200"/>
        <w:rPr>
          <w:rFonts w:ascii="宋体" w:hAnsi="宋体" w:cs="宋体"/>
          <w:color w:val="auto"/>
          <w:sz w:val="24"/>
          <w:szCs w:val="32"/>
        </w:rPr>
      </w:pPr>
    </w:p>
    <w:p>
      <w:pPr>
        <w:spacing w:line="360" w:lineRule="auto"/>
        <w:ind w:firstLine="480" w:firstLineChars="200"/>
        <w:rPr>
          <w:rFonts w:ascii="宋体" w:hAnsi="宋体" w:cs="宋体"/>
          <w:color w:val="auto"/>
          <w:sz w:val="24"/>
          <w:szCs w:val="32"/>
        </w:rPr>
      </w:pPr>
    </w:p>
    <w:p>
      <w:pPr>
        <w:spacing w:line="360" w:lineRule="auto"/>
        <w:ind w:firstLine="480" w:firstLineChars="200"/>
        <w:rPr>
          <w:rFonts w:ascii="宋体" w:hAnsi="宋体" w:cs="宋体"/>
          <w:color w:val="auto"/>
          <w:sz w:val="24"/>
          <w:szCs w:val="32"/>
        </w:rPr>
      </w:pPr>
    </w:p>
    <w:p>
      <w:pPr>
        <w:spacing w:line="360" w:lineRule="auto"/>
        <w:ind w:firstLine="480" w:firstLineChars="200"/>
        <w:rPr>
          <w:rFonts w:ascii="宋体" w:hAnsi="宋体" w:cs="宋体"/>
          <w:color w:val="auto"/>
          <w:sz w:val="24"/>
          <w:szCs w:val="32"/>
        </w:rPr>
      </w:pPr>
    </w:p>
    <w:p>
      <w:pPr>
        <w:spacing w:line="360" w:lineRule="auto"/>
        <w:ind w:firstLine="480" w:firstLineChars="200"/>
        <w:rPr>
          <w:rFonts w:ascii="宋体" w:hAnsi="宋体" w:cs="宋体"/>
          <w:color w:val="auto"/>
          <w:sz w:val="24"/>
          <w:szCs w:val="32"/>
        </w:rPr>
      </w:pPr>
    </w:p>
    <w:p>
      <w:pPr>
        <w:spacing w:line="360" w:lineRule="auto"/>
        <w:ind w:firstLine="480" w:firstLineChars="200"/>
        <w:rPr>
          <w:rFonts w:ascii="宋体" w:hAnsi="宋体" w:cs="宋体"/>
          <w:color w:val="auto"/>
          <w:sz w:val="24"/>
          <w:szCs w:val="32"/>
        </w:rPr>
      </w:pPr>
    </w:p>
    <w:p>
      <w:pPr>
        <w:rPr>
          <w:rFonts w:ascii="宋体" w:hAnsi="宋体" w:cs="宋体"/>
          <w:b/>
          <w:bCs/>
          <w:color w:val="auto"/>
          <w:sz w:val="36"/>
          <w:szCs w:val="44"/>
        </w:rPr>
      </w:pPr>
      <w:r>
        <w:rPr>
          <w:rFonts w:hint="eastAsia" w:ascii="宋体" w:hAnsi="宋体" w:cs="宋体"/>
          <w:b/>
          <w:bCs/>
          <w:color w:val="auto"/>
          <w:sz w:val="36"/>
          <w:szCs w:val="44"/>
        </w:rPr>
        <w:br w:type="page"/>
      </w:r>
    </w:p>
    <w:p>
      <w:pPr>
        <w:spacing w:line="360" w:lineRule="auto"/>
        <w:ind w:firstLine="723" w:firstLineChars="200"/>
        <w:jc w:val="center"/>
        <w:rPr>
          <w:rFonts w:ascii="宋体" w:hAnsi="宋体" w:cs="宋体"/>
          <w:b/>
          <w:bCs/>
          <w:color w:val="auto"/>
          <w:sz w:val="36"/>
          <w:szCs w:val="44"/>
        </w:rPr>
      </w:pPr>
      <w:r>
        <w:rPr>
          <w:rFonts w:hint="eastAsia" w:ascii="宋体" w:hAnsi="宋体" w:cs="宋体"/>
          <w:b/>
          <w:bCs/>
          <w:color w:val="auto"/>
          <w:sz w:val="36"/>
          <w:szCs w:val="44"/>
        </w:rPr>
        <w:t>第三章 评标办法及评分标准</w:t>
      </w:r>
    </w:p>
    <w:p>
      <w:pPr>
        <w:spacing w:line="360" w:lineRule="auto"/>
        <w:ind w:firstLine="480" w:firstLineChars="200"/>
        <w:rPr>
          <w:rFonts w:ascii="宋体" w:hAnsi="宋体" w:cs="宋体"/>
          <w:color w:val="auto"/>
          <w:sz w:val="24"/>
        </w:rPr>
      </w:pPr>
      <w:r>
        <w:rPr>
          <w:rFonts w:hint="eastAsia" w:ascii="宋体" w:hAnsi="宋体" w:cs="宋体"/>
          <w:color w:val="auto"/>
          <w:sz w:val="24"/>
        </w:rPr>
        <w:t>一、采购组织机构将组织评标委员会，对投标人提供的投标文件进行综合评审。本项目原则上采用电子评审方法，若因政采云平台原因无法读取或电子开评标无法正常进行，采购代理机构将开启所有投标人递交的纸质备份投标文件，以完成开、评标，电子投标文件及以介质存储的数据电文形式的备份投标文件自动失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二、本次招标项目的评标方法为综合评分法，总计100分。</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（一）商务与技术文件中的客观分打分应一致，客观分打分不一致时，采购人及采购代理机构可以提示评审委员会复核或书面说明理由；其余在规定的分值内单独评定打分。</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（二）各投标人商务与技术文件得分按照评标委员会成员的独立评分结果汇总后的算术平均分计算，计算公式为：</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rPr>
        <w:t>商务与技术文件得分</w:t>
      </w:r>
      <w:r>
        <w:rPr>
          <w:rFonts w:hint="eastAsia" w:ascii="宋体" w:hAnsi="宋体" w:cs="宋体"/>
          <w:color w:val="auto"/>
          <w:sz w:val="24"/>
          <w:szCs w:val="32"/>
          <w:lang w:val="zh-CN"/>
        </w:rPr>
        <w:t>=评标委员会所有成员评分合计数/评标委员会组成人员数。</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（三）投标报价得分采用低价优先法计算，即满足招标文件要求且投标价格最低的投标报价为评标基准价，其报价得满分。其他投标人的投标报价得分按下列公式计算：</w:t>
      </w:r>
    </w:p>
    <w:p>
      <w:pPr>
        <w:spacing w:line="360" w:lineRule="auto"/>
        <w:ind w:firstLine="480" w:firstLineChars="200"/>
        <w:rPr>
          <w:rFonts w:ascii="宋体" w:hAnsi="宋体" w:cs="宋体"/>
          <w:color w:val="auto"/>
          <w:sz w:val="24"/>
          <w:szCs w:val="32"/>
          <w:u w:val="single"/>
        </w:rPr>
      </w:pPr>
      <w:r>
        <w:rPr>
          <w:rFonts w:hint="eastAsia" w:ascii="宋体" w:hAnsi="宋体" w:cs="宋体"/>
          <w:color w:val="auto"/>
          <w:sz w:val="24"/>
          <w:szCs w:val="32"/>
          <w:u w:val="single"/>
        </w:rPr>
        <w:t>投标报价得分=(评标基准价／投标报价)×</w:t>
      </w:r>
      <w:r>
        <w:rPr>
          <w:rFonts w:ascii="宋体" w:hAnsi="宋体" w:cs="宋体"/>
          <w:color w:val="auto"/>
          <w:sz w:val="24"/>
          <w:szCs w:val="32"/>
          <w:u w:val="single"/>
        </w:rPr>
        <w:t>30</w:t>
      </w:r>
      <w:r>
        <w:rPr>
          <w:rFonts w:hint="eastAsia" w:ascii="宋体" w:hAnsi="宋体" w:cs="宋体"/>
          <w:color w:val="auto"/>
          <w:sz w:val="24"/>
          <w:szCs w:val="32"/>
          <w:u w:val="single"/>
        </w:rPr>
        <w:t>%×100。</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（四）投标人综合得分＝资格及商务技术文件得分＋投标报价得分。</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（五）政府采购政策及优惠：</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（3）残疾人福利性单位在参加政府采购活动时，应提供《残疾人福利性单位声明函》（见附件）和《产品适用政府采购政策情况表》（见附件），视同小型、微型企业，享受小微企业政府采购优惠政策。</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具体优惠：对于小型微型企业产品的价格给予</w:t>
      </w:r>
      <w:r>
        <w:rPr>
          <w:rFonts w:hint="eastAsia" w:ascii="宋体" w:hAnsi="宋体" w:cs="宋体"/>
          <w:b/>
          <w:bCs/>
          <w:color w:val="auto"/>
          <w:sz w:val="24"/>
          <w:szCs w:val="32"/>
          <w:u w:val="single"/>
          <w:lang w:val="zh-CN"/>
        </w:rPr>
        <w:t xml:space="preserve"> 6 %</w:t>
      </w:r>
      <w:r>
        <w:rPr>
          <w:rFonts w:hint="eastAsia" w:ascii="宋体" w:hAnsi="宋体" w:cs="宋体"/>
          <w:color w:val="auto"/>
          <w:sz w:val="24"/>
          <w:szCs w:val="32"/>
          <w:lang w:val="zh-CN"/>
        </w:rPr>
        <w:t>的扣除，用扣除后的价格计算评标基准价和投标报价。同一投标人（包括联合体），小微企业、监狱企业、残疾人福利性单位价格扣除优惠只享受一次，不得重复享受。</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注：得分以系统计算为准，保留2位小数。</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三、在最大限度地满足招标文件实质性要求前提下，评标委员会按照招标文件中规定的各项因素进行综合评审后，以评标总得分最高的投标人为第一中标候选人，以评标总得分次高的投标人为第二中标候选人。</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五、提供相同品牌产品的不同投标人参加同一合同项下投标的，按一家供应商认定：</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ascii="宋体" w:hAnsi="宋体" w:cs="宋体"/>
          <w:color w:val="auto"/>
          <w:sz w:val="24"/>
          <w:szCs w:val="32"/>
          <w:lang w:val="zh-CN"/>
        </w:rPr>
      </w:pPr>
      <w:r>
        <w:rPr>
          <w:rFonts w:hint="eastAsia" w:ascii="宋体" w:hAnsi="宋体" w:cs="宋体"/>
          <w:color w:val="auto"/>
          <w:sz w:val="24"/>
          <w:szCs w:val="32"/>
          <w:lang w:val="zh-CN"/>
        </w:rPr>
        <w:t>六、本次评分具体分值细化条款如下表：</w:t>
      </w:r>
    </w:p>
    <w:p>
      <w:pPr>
        <w:pStyle w:val="3"/>
        <w:rPr>
          <w:rFonts w:ascii="宋体" w:hAnsi="宋体" w:cs="宋体"/>
          <w:color w:val="auto"/>
          <w:sz w:val="24"/>
          <w:szCs w:val="32"/>
        </w:rPr>
      </w:pPr>
      <w:r>
        <w:rPr>
          <w:rFonts w:hint="eastAsia" w:ascii="宋体" w:hAnsi="宋体" w:cs="宋体"/>
          <w:color w:val="auto"/>
          <w:sz w:val="24"/>
          <w:szCs w:val="32"/>
          <w:lang w:val="zh-CN"/>
        </w:rPr>
        <w:t>资格及商务技术文件</w:t>
      </w:r>
      <w:r>
        <w:rPr>
          <w:rFonts w:hint="eastAsia" w:ascii="宋体" w:hAnsi="宋体" w:cs="宋体"/>
          <w:color w:val="auto"/>
          <w:sz w:val="24"/>
          <w:szCs w:val="32"/>
        </w:rPr>
        <w:t>评分细则（</w:t>
      </w:r>
      <w:r>
        <w:rPr>
          <w:rFonts w:hint="eastAsia" w:ascii="宋体" w:hAnsi="宋体" w:cs="宋体"/>
          <w:color w:val="auto"/>
          <w:sz w:val="24"/>
          <w:szCs w:val="32"/>
          <w:lang w:val="en-US" w:eastAsia="zh-CN"/>
        </w:rPr>
        <w:t>7</w:t>
      </w:r>
      <w:r>
        <w:rPr>
          <w:rFonts w:ascii="宋体" w:hAnsi="宋体" w:cs="宋体"/>
          <w:color w:val="auto"/>
          <w:sz w:val="24"/>
          <w:szCs w:val="32"/>
        </w:rPr>
        <w:t>0</w:t>
      </w:r>
      <w:r>
        <w:rPr>
          <w:rFonts w:hint="eastAsia" w:ascii="宋体" w:hAnsi="宋体" w:cs="宋体"/>
          <w:color w:val="auto"/>
          <w:sz w:val="24"/>
          <w:szCs w:val="32"/>
        </w:rPr>
        <w:t>分）：</w:t>
      </w:r>
    </w:p>
    <w:tbl>
      <w:tblPr>
        <w:tblStyle w:val="24"/>
        <w:tblW w:w="9399" w:type="dxa"/>
        <w:tblInd w:w="108" w:type="dxa"/>
        <w:tblLayout w:type="fixed"/>
        <w:tblCellMar>
          <w:top w:w="0" w:type="dxa"/>
          <w:left w:w="108" w:type="dxa"/>
          <w:bottom w:w="0" w:type="dxa"/>
          <w:right w:w="108" w:type="dxa"/>
        </w:tblCellMar>
      </w:tblPr>
      <w:tblGrid>
        <w:gridCol w:w="738"/>
        <w:gridCol w:w="1358"/>
        <w:gridCol w:w="6523"/>
        <w:gridCol w:w="780"/>
      </w:tblGrid>
      <w:tr>
        <w:tblPrEx>
          <w:tblCellMar>
            <w:top w:w="0" w:type="dxa"/>
            <w:left w:w="108" w:type="dxa"/>
            <w:bottom w:w="0" w:type="dxa"/>
            <w:right w:w="108" w:type="dxa"/>
          </w:tblCellMar>
        </w:tblPrEx>
        <w:trPr>
          <w:trHeight w:val="326"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b/>
                <w:color w:val="auto"/>
                <w:kern w:val="0"/>
                <w:szCs w:val="21"/>
              </w:rPr>
            </w:pPr>
            <w:r>
              <w:rPr>
                <w:rFonts w:eastAsiaTheme="minorEastAsia"/>
                <w:b/>
                <w:color w:val="auto"/>
                <w:kern w:val="0"/>
                <w:szCs w:val="21"/>
              </w:rPr>
              <w:t>序号</w:t>
            </w:r>
          </w:p>
        </w:tc>
        <w:tc>
          <w:tcPr>
            <w:tcW w:w="135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eastAsiaTheme="minorEastAsia"/>
                <w:b/>
                <w:color w:val="auto"/>
                <w:kern w:val="0"/>
                <w:szCs w:val="21"/>
              </w:rPr>
            </w:pPr>
            <w:r>
              <w:rPr>
                <w:rFonts w:eastAsiaTheme="minorEastAsia"/>
                <w:b/>
                <w:color w:val="auto"/>
                <w:kern w:val="0"/>
                <w:szCs w:val="21"/>
              </w:rPr>
              <w:t>评标因素</w:t>
            </w:r>
          </w:p>
        </w:tc>
        <w:tc>
          <w:tcPr>
            <w:tcW w:w="65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b/>
                <w:color w:val="auto"/>
                <w:kern w:val="0"/>
                <w:szCs w:val="21"/>
              </w:rPr>
            </w:pPr>
            <w:r>
              <w:rPr>
                <w:rFonts w:eastAsiaTheme="minorEastAsia"/>
                <w:b/>
                <w:bCs/>
                <w:color w:val="auto"/>
                <w:kern w:val="0"/>
                <w:szCs w:val="21"/>
              </w:rPr>
              <w:t>评审内容及评分标准说明</w:t>
            </w: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b/>
                <w:bCs/>
                <w:color w:val="auto"/>
                <w:kern w:val="0"/>
                <w:szCs w:val="21"/>
              </w:rPr>
            </w:pPr>
            <w:r>
              <w:rPr>
                <w:rFonts w:eastAsiaTheme="minorEastAsia"/>
                <w:b/>
                <w:bCs/>
                <w:color w:val="auto"/>
                <w:kern w:val="0"/>
                <w:szCs w:val="21"/>
              </w:rPr>
              <w:t>分值</w:t>
            </w:r>
          </w:p>
        </w:tc>
      </w:tr>
      <w:tr>
        <w:tblPrEx>
          <w:tblCellMar>
            <w:top w:w="0" w:type="dxa"/>
            <w:left w:w="108" w:type="dxa"/>
            <w:bottom w:w="0" w:type="dxa"/>
            <w:right w:w="108" w:type="dxa"/>
          </w:tblCellMar>
        </w:tblPrEx>
        <w:trPr>
          <w:trHeight w:val="1276" w:hRule="atLeast"/>
        </w:trPr>
        <w:tc>
          <w:tcPr>
            <w:tcW w:w="738"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1</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szCs w:val="21"/>
              </w:rPr>
            </w:pPr>
            <w:r>
              <w:rPr>
                <w:rFonts w:eastAsiaTheme="minorEastAsia"/>
                <w:color w:val="auto"/>
                <w:kern w:val="0"/>
                <w:szCs w:val="21"/>
              </w:rPr>
              <w:t>工作方案</w:t>
            </w:r>
          </w:p>
        </w:tc>
        <w:tc>
          <w:tcPr>
            <w:tcW w:w="65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Theme="minorEastAsia"/>
                <w:color w:val="auto"/>
              </w:rPr>
            </w:pPr>
            <w:r>
              <w:rPr>
                <w:rFonts w:eastAsiaTheme="minorEastAsia"/>
                <w:color w:val="auto"/>
              </w:rPr>
              <w:t>针对本项目认识了解、工作思路、技术路线，以及后续如何部署、时间安排等合理性酌情打分；</w:t>
            </w:r>
          </w:p>
          <w:p>
            <w:pPr>
              <w:widowControl/>
              <w:adjustRightInd w:val="0"/>
              <w:snapToGrid w:val="0"/>
              <w:spacing w:line="360" w:lineRule="exact"/>
              <w:rPr>
                <w:rFonts w:eastAsiaTheme="minorEastAsia"/>
                <w:color w:val="auto"/>
              </w:rPr>
            </w:pPr>
            <w:r>
              <w:rPr>
                <w:rFonts w:eastAsiaTheme="minorEastAsia"/>
                <w:color w:val="auto"/>
              </w:rPr>
              <w:t>内容全面完整的得</w:t>
            </w:r>
            <w:r>
              <w:rPr>
                <w:rFonts w:eastAsiaTheme="minorEastAsia"/>
                <w:bCs/>
                <w:color w:val="auto"/>
                <w:szCs w:val="21"/>
              </w:rPr>
              <w:t>4.0-6.0</w:t>
            </w:r>
            <w:r>
              <w:rPr>
                <w:rFonts w:eastAsiaTheme="minorEastAsia"/>
                <w:color w:val="auto"/>
              </w:rPr>
              <w:t>分；内容相对全面完整的得2</w:t>
            </w:r>
            <w:r>
              <w:rPr>
                <w:rFonts w:eastAsiaTheme="minorEastAsia"/>
                <w:bCs/>
                <w:color w:val="auto"/>
                <w:szCs w:val="21"/>
              </w:rPr>
              <w:t>.0-3.9</w:t>
            </w:r>
            <w:r>
              <w:rPr>
                <w:rFonts w:eastAsiaTheme="minorEastAsia"/>
                <w:color w:val="auto"/>
              </w:rPr>
              <w:t>分；</w:t>
            </w:r>
          </w:p>
          <w:p>
            <w:pPr>
              <w:widowControl/>
              <w:adjustRightInd w:val="0"/>
              <w:snapToGrid w:val="0"/>
              <w:spacing w:line="360" w:lineRule="exact"/>
              <w:rPr>
                <w:rFonts w:eastAsiaTheme="minorEastAsia"/>
                <w:color w:val="auto"/>
              </w:rPr>
            </w:pPr>
            <w:r>
              <w:rPr>
                <w:rFonts w:eastAsiaTheme="minorEastAsia"/>
                <w:color w:val="auto"/>
              </w:rPr>
              <w:t>内容不够详实的得0</w:t>
            </w:r>
            <w:r>
              <w:rPr>
                <w:rFonts w:eastAsiaTheme="minorEastAsia"/>
                <w:bCs/>
                <w:color w:val="auto"/>
                <w:szCs w:val="21"/>
              </w:rPr>
              <w:t>-1.9</w:t>
            </w:r>
            <w:r>
              <w:rPr>
                <w:rFonts w:eastAsiaTheme="minorEastAsia"/>
                <w:color w:val="auto"/>
              </w:rPr>
              <w:t>分；内容不全面不完整</w:t>
            </w:r>
            <w:r>
              <w:rPr>
                <w:rFonts w:hint="eastAsia" w:eastAsiaTheme="minorEastAsia"/>
                <w:color w:val="auto"/>
              </w:rPr>
              <w:t>的不得分</w:t>
            </w:r>
            <w:r>
              <w:rPr>
                <w:rFonts w:eastAsiaTheme="minorEastAsia"/>
                <w:color w:val="auto"/>
              </w:rPr>
              <w:t>。</w:t>
            </w:r>
          </w:p>
        </w:tc>
        <w:tc>
          <w:tcPr>
            <w:tcW w:w="78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6</w:t>
            </w:r>
          </w:p>
        </w:tc>
      </w:tr>
      <w:tr>
        <w:tblPrEx>
          <w:tblCellMar>
            <w:top w:w="0" w:type="dxa"/>
            <w:left w:w="108" w:type="dxa"/>
            <w:bottom w:w="0" w:type="dxa"/>
            <w:right w:w="108" w:type="dxa"/>
          </w:tblCellMar>
        </w:tblPrEx>
        <w:trPr>
          <w:trHeight w:val="735"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2</w:t>
            </w:r>
          </w:p>
        </w:tc>
        <w:tc>
          <w:tcPr>
            <w:tcW w:w="135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项目实施方案</w:t>
            </w:r>
          </w:p>
        </w:tc>
        <w:tc>
          <w:tcPr>
            <w:tcW w:w="65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Theme="minorEastAsia"/>
                <w:color w:val="auto"/>
                <w:kern w:val="0"/>
                <w:szCs w:val="21"/>
              </w:rPr>
            </w:pPr>
            <w:r>
              <w:rPr>
                <w:rFonts w:eastAsiaTheme="minorEastAsia"/>
                <w:color w:val="auto"/>
                <w:kern w:val="0"/>
                <w:szCs w:val="21"/>
              </w:rPr>
              <w:t>针对本项目的排查内容、表格设计是否全面进行评分。</w:t>
            </w:r>
            <w:r>
              <w:rPr>
                <w:rFonts w:eastAsiaTheme="minorEastAsia"/>
                <w:color w:val="auto"/>
                <w:kern w:val="0"/>
                <w:szCs w:val="21"/>
                <w:lang w:val="zh-CN"/>
              </w:rPr>
              <w:t>每一项内容清晰、完整、符合采购人实际</w:t>
            </w:r>
            <w:r>
              <w:rPr>
                <w:rFonts w:eastAsiaTheme="minorEastAsia"/>
                <w:color w:val="auto"/>
                <w:kern w:val="0"/>
                <w:szCs w:val="21"/>
              </w:rPr>
              <w:t>需求</w:t>
            </w:r>
            <w:r>
              <w:rPr>
                <w:rFonts w:eastAsiaTheme="minorEastAsia"/>
                <w:color w:val="auto"/>
                <w:kern w:val="0"/>
                <w:szCs w:val="21"/>
                <w:lang w:val="zh-CN"/>
              </w:rPr>
              <w:t>的得</w:t>
            </w:r>
            <w:r>
              <w:rPr>
                <w:rFonts w:eastAsiaTheme="minorEastAsia"/>
                <w:color w:val="auto"/>
                <w:kern w:val="0"/>
                <w:szCs w:val="21"/>
              </w:rPr>
              <w:t>5</w:t>
            </w:r>
            <w:r>
              <w:rPr>
                <w:rFonts w:eastAsiaTheme="minorEastAsia"/>
                <w:color w:val="auto"/>
                <w:kern w:val="0"/>
                <w:szCs w:val="21"/>
                <w:lang w:val="zh-CN"/>
              </w:rPr>
              <w:t>分，有所欠缺的</w:t>
            </w:r>
            <w:r>
              <w:rPr>
                <w:rFonts w:hint="eastAsia" w:eastAsiaTheme="minorEastAsia"/>
                <w:color w:val="auto"/>
                <w:kern w:val="0"/>
                <w:szCs w:val="21"/>
                <w:lang w:val="en-US" w:eastAsia="zh-CN"/>
              </w:rPr>
              <w:t>扣</w:t>
            </w:r>
            <w:r>
              <w:rPr>
                <w:rFonts w:eastAsiaTheme="minorEastAsia"/>
                <w:color w:val="auto"/>
                <w:kern w:val="0"/>
                <w:szCs w:val="21"/>
              </w:rPr>
              <w:t>1</w:t>
            </w:r>
            <w:r>
              <w:rPr>
                <w:rFonts w:eastAsiaTheme="minorEastAsia"/>
                <w:color w:val="auto"/>
                <w:kern w:val="0"/>
                <w:szCs w:val="21"/>
                <w:lang w:val="zh-CN"/>
              </w:rPr>
              <w:t>分，</w:t>
            </w:r>
            <w:r>
              <w:rPr>
                <w:rFonts w:hint="eastAsia"/>
                <w:color w:val="auto"/>
                <w:sz w:val="21"/>
                <w:szCs w:val="21"/>
                <w:lang w:val="en-US" w:eastAsia="zh-CN"/>
              </w:rPr>
              <w:t>扣完为止。</w:t>
            </w:r>
            <w:r>
              <w:rPr>
                <w:rFonts w:eastAsiaTheme="minorEastAsia"/>
                <w:color w:val="auto"/>
                <w:kern w:val="0"/>
                <w:szCs w:val="21"/>
                <w:lang w:val="zh-CN"/>
              </w:rPr>
              <w:t>未提供或方案不可行的不得分。</w:t>
            </w: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5</w:t>
            </w:r>
          </w:p>
        </w:tc>
      </w:tr>
      <w:tr>
        <w:tblPrEx>
          <w:tblCellMar>
            <w:top w:w="0" w:type="dxa"/>
            <w:left w:w="108" w:type="dxa"/>
            <w:bottom w:w="0" w:type="dxa"/>
            <w:right w:w="108" w:type="dxa"/>
          </w:tblCellMar>
        </w:tblPrEx>
        <w:trPr>
          <w:trHeight w:val="128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Theme="minorEastAsia"/>
                <w:color w:val="auto"/>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Theme="minorEastAsia"/>
                <w:color w:val="auto"/>
              </w:rPr>
            </w:pPr>
          </w:p>
        </w:tc>
        <w:tc>
          <w:tcPr>
            <w:tcW w:w="6523"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color w:val="auto"/>
                <w:szCs w:val="21"/>
              </w:rPr>
            </w:pPr>
            <w:r>
              <w:rPr>
                <w:rFonts w:eastAsiaTheme="minorEastAsia"/>
                <w:color w:val="auto"/>
                <w:szCs w:val="21"/>
              </w:rPr>
              <w:t>根据投标人通过对现场的实地调查制定排查计划和方案，专家根据投标人制定的实施计划及具体方案打分：</w:t>
            </w:r>
          </w:p>
          <w:p>
            <w:pPr>
              <w:jc w:val="left"/>
              <w:rPr>
                <w:rFonts w:eastAsiaTheme="minorEastAsia"/>
                <w:color w:val="auto"/>
                <w:szCs w:val="21"/>
              </w:rPr>
            </w:pPr>
            <w:r>
              <w:rPr>
                <w:rFonts w:eastAsiaTheme="minorEastAsia"/>
                <w:color w:val="auto"/>
                <w:szCs w:val="21"/>
              </w:rPr>
              <w:t>制定的实施计划及具体方案内容详尽、可行得</w:t>
            </w:r>
            <w:r>
              <w:rPr>
                <w:rFonts w:hint="eastAsia" w:eastAsiaTheme="minorEastAsia"/>
                <w:color w:val="auto"/>
                <w:szCs w:val="21"/>
                <w:lang w:val="en-US" w:eastAsia="zh-CN"/>
              </w:rPr>
              <w:t>6</w:t>
            </w:r>
            <w:r>
              <w:rPr>
                <w:rFonts w:eastAsiaTheme="minorEastAsia"/>
                <w:color w:val="auto"/>
                <w:szCs w:val="21"/>
              </w:rPr>
              <w:t>.0-8.0 分；</w:t>
            </w:r>
          </w:p>
          <w:p>
            <w:pPr>
              <w:jc w:val="left"/>
              <w:rPr>
                <w:rFonts w:eastAsiaTheme="minorEastAsia"/>
                <w:color w:val="auto"/>
                <w:szCs w:val="21"/>
              </w:rPr>
            </w:pPr>
            <w:r>
              <w:rPr>
                <w:rFonts w:eastAsiaTheme="minorEastAsia"/>
                <w:color w:val="auto"/>
                <w:szCs w:val="21"/>
              </w:rPr>
              <w:t>制定的实施计划及具体方案内容不够完善、有缺陷、操作性不强得3-5.9 分；</w:t>
            </w:r>
          </w:p>
          <w:p>
            <w:pPr>
              <w:widowControl/>
              <w:adjustRightInd w:val="0"/>
              <w:snapToGrid w:val="0"/>
              <w:spacing w:line="360" w:lineRule="exact"/>
              <w:rPr>
                <w:rFonts w:eastAsiaTheme="minorEastAsia"/>
                <w:color w:val="auto"/>
                <w:szCs w:val="21"/>
              </w:rPr>
            </w:pPr>
            <w:r>
              <w:rPr>
                <w:rFonts w:eastAsiaTheme="minorEastAsia"/>
                <w:color w:val="auto"/>
                <w:szCs w:val="21"/>
              </w:rPr>
              <w:t>与本项目的实际情况有偏差，得0-2.9分；</w:t>
            </w:r>
          </w:p>
          <w:p>
            <w:pPr>
              <w:widowControl/>
              <w:adjustRightInd w:val="0"/>
              <w:snapToGrid w:val="0"/>
              <w:spacing w:line="360" w:lineRule="exact"/>
              <w:rPr>
                <w:rFonts w:eastAsiaTheme="minorEastAsia"/>
                <w:color w:val="auto"/>
                <w:szCs w:val="21"/>
              </w:rPr>
            </w:pPr>
            <w:r>
              <w:rPr>
                <w:rFonts w:eastAsiaTheme="minorEastAsia"/>
                <w:color w:val="auto"/>
                <w:kern w:val="0"/>
                <w:szCs w:val="21"/>
              </w:rPr>
              <w:t>项目实施方案不可行的或</w:t>
            </w:r>
            <w:r>
              <w:rPr>
                <w:rFonts w:eastAsiaTheme="minorEastAsia"/>
                <w:color w:val="auto"/>
                <w:szCs w:val="21"/>
              </w:rPr>
              <w:t>敷衍的得0分；</w:t>
            </w:r>
          </w:p>
          <w:p>
            <w:pPr>
              <w:widowControl/>
              <w:adjustRightInd w:val="0"/>
              <w:snapToGrid w:val="0"/>
              <w:spacing w:line="360" w:lineRule="exact"/>
              <w:rPr>
                <w:rFonts w:eastAsiaTheme="minorEastAsia"/>
                <w:color w:val="auto"/>
                <w:kern w:val="0"/>
                <w:szCs w:val="21"/>
              </w:rPr>
            </w:pPr>
            <w:r>
              <w:rPr>
                <w:rFonts w:eastAsiaTheme="minorEastAsia"/>
                <w:color w:val="auto"/>
                <w:szCs w:val="21"/>
              </w:rPr>
              <w:t>缺项不得分。</w:t>
            </w: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8</w:t>
            </w:r>
          </w:p>
        </w:tc>
      </w:tr>
      <w:tr>
        <w:tblPrEx>
          <w:tblCellMar>
            <w:top w:w="0" w:type="dxa"/>
            <w:left w:w="108" w:type="dxa"/>
            <w:bottom w:w="0" w:type="dxa"/>
            <w:right w:w="108" w:type="dxa"/>
          </w:tblCellMar>
        </w:tblPrEx>
        <w:trPr>
          <w:trHeight w:val="1285"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3</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szCs w:val="21"/>
              </w:rPr>
              <w:t>保证项目质量及实施进度的措施</w:t>
            </w:r>
          </w:p>
        </w:tc>
        <w:tc>
          <w:tcPr>
            <w:tcW w:w="65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Theme="minorEastAsia"/>
                <w:color w:val="auto"/>
                <w:kern w:val="0"/>
                <w:szCs w:val="21"/>
              </w:rPr>
            </w:pPr>
            <w:r>
              <w:rPr>
                <w:rFonts w:eastAsiaTheme="minorEastAsia"/>
                <w:color w:val="auto"/>
                <w:kern w:val="0"/>
                <w:szCs w:val="21"/>
              </w:rPr>
              <w:t>针对</w:t>
            </w:r>
            <w:r>
              <w:rPr>
                <w:rFonts w:eastAsiaTheme="minorEastAsia"/>
                <w:color w:val="auto"/>
                <w:szCs w:val="21"/>
              </w:rPr>
              <w:t>保证项目质量及实施进度措施的</w:t>
            </w:r>
            <w:r>
              <w:rPr>
                <w:rFonts w:eastAsiaTheme="minorEastAsia"/>
                <w:color w:val="auto"/>
                <w:kern w:val="0"/>
                <w:szCs w:val="21"/>
              </w:rPr>
              <w:t>严密性</w:t>
            </w:r>
            <w:r>
              <w:rPr>
                <w:rFonts w:eastAsiaTheme="minorEastAsia"/>
                <w:iCs/>
                <w:color w:val="auto"/>
                <w:szCs w:val="21"/>
              </w:rPr>
              <w:t>酌情打分0-2分；</w:t>
            </w:r>
          </w:p>
          <w:p>
            <w:pPr>
              <w:widowControl/>
              <w:adjustRightInd w:val="0"/>
              <w:snapToGrid w:val="0"/>
              <w:spacing w:line="360" w:lineRule="exact"/>
              <w:rPr>
                <w:rFonts w:eastAsiaTheme="minorEastAsia"/>
                <w:color w:val="auto"/>
                <w:kern w:val="0"/>
                <w:szCs w:val="21"/>
              </w:rPr>
            </w:pPr>
            <w:r>
              <w:rPr>
                <w:rFonts w:eastAsiaTheme="minorEastAsia"/>
                <w:color w:val="auto"/>
                <w:kern w:val="0"/>
                <w:szCs w:val="21"/>
              </w:rPr>
              <w:t>针对</w:t>
            </w:r>
            <w:r>
              <w:rPr>
                <w:rFonts w:eastAsiaTheme="minorEastAsia"/>
                <w:color w:val="auto"/>
                <w:szCs w:val="21"/>
              </w:rPr>
              <w:t>保证项目质量及实施进度措施</w:t>
            </w:r>
            <w:r>
              <w:rPr>
                <w:rFonts w:eastAsiaTheme="minorEastAsia"/>
                <w:color w:val="auto"/>
                <w:kern w:val="0"/>
                <w:szCs w:val="21"/>
              </w:rPr>
              <w:t>可行性</w:t>
            </w:r>
            <w:r>
              <w:rPr>
                <w:rFonts w:eastAsiaTheme="minorEastAsia"/>
                <w:iCs/>
                <w:color w:val="auto"/>
                <w:szCs w:val="21"/>
              </w:rPr>
              <w:t>酌情打分0-2分；</w:t>
            </w:r>
          </w:p>
          <w:p>
            <w:pPr>
              <w:widowControl/>
              <w:adjustRightInd w:val="0"/>
              <w:snapToGrid w:val="0"/>
              <w:spacing w:line="360" w:lineRule="exact"/>
              <w:rPr>
                <w:rFonts w:eastAsiaTheme="minorEastAsia"/>
                <w:color w:val="auto"/>
                <w:kern w:val="0"/>
                <w:szCs w:val="21"/>
              </w:rPr>
            </w:pPr>
            <w:r>
              <w:rPr>
                <w:rFonts w:eastAsiaTheme="minorEastAsia"/>
                <w:color w:val="auto"/>
                <w:kern w:val="0"/>
                <w:szCs w:val="21"/>
              </w:rPr>
              <w:t>针对</w:t>
            </w:r>
            <w:r>
              <w:rPr>
                <w:rFonts w:eastAsiaTheme="minorEastAsia"/>
                <w:color w:val="auto"/>
                <w:szCs w:val="21"/>
              </w:rPr>
              <w:t>保证项目质量及实施进度措施的</w:t>
            </w:r>
            <w:r>
              <w:rPr>
                <w:rFonts w:eastAsiaTheme="minorEastAsia"/>
                <w:iCs/>
                <w:color w:val="auto"/>
                <w:szCs w:val="21"/>
              </w:rPr>
              <w:t>针对性酌情打分0-2分。</w:t>
            </w:r>
          </w:p>
        </w:tc>
        <w:tc>
          <w:tcPr>
            <w:tcW w:w="780" w:type="dxa"/>
            <w:tcBorders>
              <w:top w:val="nil"/>
              <w:left w:val="single" w:color="auto" w:sz="4" w:space="0"/>
              <w:bottom w:val="single" w:color="auto" w:sz="8"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6</w:t>
            </w:r>
          </w:p>
        </w:tc>
      </w:tr>
      <w:tr>
        <w:tblPrEx>
          <w:tblCellMar>
            <w:top w:w="0" w:type="dxa"/>
            <w:left w:w="108" w:type="dxa"/>
            <w:bottom w:w="0" w:type="dxa"/>
            <w:right w:w="108" w:type="dxa"/>
          </w:tblCellMar>
        </w:tblPrEx>
        <w:trPr>
          <w:trHeight w:val="1977"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4</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b/>
                <w:color w:val="auto"/>
                <w:kern w:val="0"/>
                <w:szCs w:val="21"/>
              </w:rPr>
            </w:pPr>
            <w:r>
              <w:rPr>
                <w:rFonts w:eastAsiaTheme="minorEastAsia"/>
                <w:color w:val="auto"/>
                <w:szCs w:val="21"/>
              </w:rPr>
              <w:t>项目重点难点分析及对应的解决方案</w:t>
            </w:r>
          </w:p>
        </w:tc>
        <w:tc>
          <w:tcPr>
            <w:tcW w:w="65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Theme="minorEastAsia"/>
                <w:color w:val="auto"/>
                <w:kern w:val="0"/>
                <w:szCs w:val="21"/>
              </w:rPr>
            </w:pPr>
            <w:r>
              <w:rPr>
                <w:rFonts w:eastAsiaTheme="minorEastAsia"/>
                <w:color w:val="auto"/>
                <w:kern w:val="0"/>
                <w:szCs w:val="21"/>
              </w:rPr>
              <w:t>针对项目重点难点分析，结合实际经验总结，给出解决方案并说明优势等综合情况酌情打分。</w:t>
            </w:r>
            <w:r>
              <w:rPr>
                <w:rFonts w:eastAsiaTheme="minorEastAsia"/>
                <w:color w:val="auto"/>
                <w:szCs w:val="21"/>
              </w:rPr>
              <w:t>项目重点难点分析到位，对应的解决方案合理正确的得</w:t>
            </w:r>
            <w:r>
              <w:rPr>
                <w:rFonts w:eastAsiaTheme="minorEastAsia"/>
                <w:bCs/>
                <w:color w:val="auto"/>
                <w:szCs w:val="21"/>
              </w:rPr>
              <w:t>5.0-7.0</w:t>
            </w:r>
            <w:r>
              <w:rPr>
                <w:rFonts w:eastAsiaTheme="minorEastAsia"/>
                <w:color w:val="auto"/>
                <w:szCs w:val="21"/>
              </w:rPr>
              <w:t>分，项目重点难点分析及对应的解决方案有偏差的得3.0-4.9分， 项目重点难点分析及对应的解决方案敷衍的得 2 分；缺项不得分。</w:t>
            </w:r>
          </w:p>
        </w:tc>
        <w:tc>
          <w:tcPr>
            <w:tcW w:w="780" w:type="dxa"/>
            <w:tcBorders>
              <w:top w:val="nil"/>
              <w:left w:val="single" w:color="auto" w:sz="4" w:space="0"/>
              <w:bottom w:val="single" w:color="auto" w:sz="8"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7</w:t>
            </w:r>
          </w:p>
        </w:tc>
      </w:tr>
      <w:tr>
        <w:tblPrEx>
          <w:tblCellMar>
            <w:top w:w="0" w:type="dxa"/>
            <w:left w:w="108" w:type="dxa"/>
            <w:bottom w:w="0" w:type="dxa"/>
            <w:right w:w="108" w:type="dxa"/>
          </w:tblCellMar>
        </w:tblPrEx>
        <w:trPr>
          <w:trHeight w:val="1285" w:hRule="atLeast"/>
        </w:trPr>
        <w:tc>
          <w:tcPr>
            <w:tcW w:w="738"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5</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szCs w:val="21"/>
              </w:rPr>
            </w:pPr>
            <w:r>
              <w:rPr>
                <w:rFonts w:eastAsiaTheme="minorEastAsia"/>
                <w:color w:val="auto"/>
                <w:kern w:val="0"/>
                <w:szCs w:val="21"/>
              </w:rPr>
              <w:t>企业综合实力</w:t>
            </w:r>
          </w:p>
        </w:tc>
        <w:tc>
          <w:tcPr>
            <w:tcW w:w="6523" w:type="dxa"/>
            <w:tcBorders>
              <w:top w:val="single" w:color="auto" w:sz="4" w:space="0"/>
              <w:left w:val="single" w:color="auto" w:sz="4" w:space="0"/>
              <w:bottom w:val="single" w:color="auto" w:sz="4" w:space="0"/>
              <w:right w:val="single" w:color="auto" w:sz="4" w:space="0"/>
            </w:tcBorders>
            <w:vAlign w:val="center"/>
          </w:tcPr>
          <w:p>
            <w:pPr>
              <w:pStyle w:val="76"/>
              <w:ind w:right="17"/>
              <w:rPr>
                <w:rFonts w:hint="default" w:ascii="Times New Roman" w:hAnsi="Times New Roman" w:cs="Times New Roman" w:eastAsiaTheme="minorEastAsia"/>
                <w:color w:val="auto"/>
                <w:lang w:val="en-US" w:eastAsia="zh-CN"/>
              </w:rPr>
            </w:pPr>
            <w:r>
              <w:rPr>
                <w:rFonts w:ascii="Times New Roman" w:hAnsi="Times New Roman" w:cs="Times New Roman" w:eastAsiaTheme="minorEastAsia"/>
                <w:color w:val="auto"/>
              </w:rPr>
              <w:t xml:space="preserve">1、投标单位列入省级及以上重点行业企业用地土壤污染状况调查专业机构推荐名录，得 </w:t>
            </w:r>
            <w:r>
              <w:rPr>
                <w:rFonts w:hint="eastAsia" w:ascii="Times New Roman" w:hAnsi="Times New Roman" w:cs="Times New Roman" w:eastAsiaTheme="minorEastAsia"/>
                <w:color w:val="auto"/>
                <w:lang w:val="en-US" w:eastAsia="zh-CN"/>
              </w:rPr>
              <w:t>3</w:t>
            </w:r>
            <w:r>
              <w:rPr>
                <w:rFonts w:ascii="Times New Roman" w:hAnsi="Times New Roman" w:cs="Times New Roman" w:eastAsiaTheme="minorEastAsia"/>
                <w:color w:val="auto"/>
              </w:rPr>
              <w:t>分。</w:t>
            </w:r>
            <w:r>
              <w:rPr>
                <w:rFonts w:hint="eastAsia" w:ascii="Times New Roman" w:hAnsi="Times New Roman" w:cs="Times New Roman" w:eastAsiaTheme="minorEastAsia"/>
                <w:color w:val="auto"/>
                <w:lang w:val="en-US" w:eastAsia="zh-CN"/>
              </w:rPr>
              <w:t>需提供相关证明材料。</w:t>
            </w:r>
          </w:p>
          <w:p>
            <w:pPr>
              <w:kinsoku w:val="0"/>
              <w:spacing w:line="280" w:lineRule="exact"/>
              <w:jc w:val="left"/>
              <w:textAlignment w:val="baseline"/>
              <w:rPr>
                <w:rFonts w:ascii="宋体" w:hAnsi="宋体" w:cs="宋体"/>
                <w:bCs/>
                <w:color w:val="auto"/>
                <w:szCs w:val="21"/>
              </w:rPr>
            </w:pPr>
            <w:r>
              <w:rPr>
                <w:rFonts w:hint="eastAsia" w:ascii="宋体" w:hAnsi="宋体" w:cs="宋体"/>
                <w:bCs/>
                <w:color w:val="auto"/>
                <w:szCs w:val="21"/>
                <w:lang w:val="en-US" w:eastAsia="zh-CN"/>
              </w:rPr>
              <w:t>2</w:t>
            </w:r>
            <w:r>
              <w:rPr>
                <w:rFonts w:ascii="Times New Roman" w:hAnsi="Times New Roman" w:cs="Times New Roman" w:eastAsiaTheme="minorEastAsia"/>
                <w:color w:val="auto"/>
              </w:rPr>
              <w:t>、</w:t>
            </w:r>
            <w:r>
              <w:rPr>
                <w:rFonts w:hint="eastAsia" w:ascii="宋体" w:hAnsi="宋体" w:cs="宋体"/>
                <w:bCs/>
                <w:color w:val="auto"/>
                <w:szCs w:val="21"/>
              </w:rPr>
              <w:t>根据投标人的综合实力进行打分，投标人具有完善的企业规范制度、管理水平、公司组织构架，具有相关荣誉证书，能提供强大的相关技术力量支持，并能保障项目质量的得3.0-4.0分；</w:t>
            </w:r>
          </w:p>
          <w:p>
            <w:pPr>
              <w:kinsoku w:val="0"/>
              <w:spacing w:line="280" w:lineRule="exact"/>
              <w:jc w:val="left"/>
              <w:textAlignment w:val="baseline"/>
              <w:rPr>
                <w:rFonts w:ascii="宋体" w:hAnsi="宋体" w:cs="宋体"/>
                <w:bCs/>
                <w:color w:val="auto"/>
                <w:szCs w:val="21"/>
              </w:rPr>
            </w:pPr>
            <w:r>
              <w:rPr>
                <w:rFonts w:hint="eastAsia" w:ascii="宋体" w:hAnsi="宋体" w:cs="宋体"/>
                <w:bCs/>
                <w:color w:val="auto"/>
                <w:szCs w:val="21"/>
              </w:rPr>
              <w:t>企业管理水平较好，组织构架较简单，且具有较强的相关技术力量支持的得2.0-2.9分；</w:t>
            </w:r>
          </w:p>
          <w:p>
            <w:pPr>
              <w:pStyle w:val="76"/>
              <w:ind w:right="17"/>
              <w:rPr>
                <w:rFonts w:ascii="Times New Roman" w:hAnsi="Times New Roman" w:cs="Times New Roman" w:eastAsiaTheme="minorEastAsia"/>
                <w:color w:val="auto"/>
              </w:rPr>
            </w:pPr>
            <w:r>
              <w:rPr>
                <w:rFonts w:hint="eastAsia" w:ascii="宋体" w:hAnsi="宋体" w:cs="宋体"/>
                <w:bCs/>
                <w:color w:val="auto"/>
                <w:szCs w:val="21"/>
              </w:rPr>
              <w:t>企业管理制度简单、几乎没有企业组织构架，相关技术支持力量薄弱的得1.0-1.9分；</w:t>
            </w:r>
            <w:r>
              <w:rPr>
                <w:rFonts w:eastAsiaTheme="minorEastAsia"/>
                <w:color w:val="auto"/>
                <w:szCs w:val="21"/>
              </w:rPr>
              <w:t>缺项不得分。</w:t>
            </w:r>
          </w:p>
        </w:tc>
        <w:tc>
          <w:tcPr>
            <w:tcW w:w="780" w:type="dxa"/>
            <w:tcBorders>
              <w:top w:val="nil"/>
              <w:left w:val="single" w:color="auto" w:sz="4" w:space="0"/>
              <w:bottom w:val="single" w:color="auto" w:sz="8" w:space="0"/>
              <w:right w:val="single" w:color="auto" w:sz="4" w:space="0"/>
            </w:tcBorders>
            <w:vAlign w:val="center"/>
          </w:tcPr>
          <w:p>
            <w:pPr>
              <w:widowControl/>
              <w:adjustRightInd w:val="0"/>
              <w:snapToGrid w:val="0"/>
              <w:spacing w:line="360" w:lineRule="exact"/>
              <w:jc w:val="center"/>
              <w:rPr>
                <w:rFonts w:hint="eastAsia" w:eastAsiaTheme="minorEastAsia"/>
                <w:color w:val="auto"/>
                <w:kern w:val="0"/>
                <w:szCs w:val="21"/>
                <w:lang w:eastAsia="zh-CN"/>
              </w:rPr>
            </w:pPr>
            <w:r>
              <w:rPr>
                <w:rFonts w:hint="eastAsia" w:eastAsiaTheme="minorEastAsia"/>
                <w:color w:val="auto"/>
                <w:kern w:val="0"/>
                <w:szCs w:val="21"/>
                <w:lang w:val="en-US" w:eastAsia="zh-CN"/>
              </w:rPr>
              <w:t>7</w:t>
            </w:r>
          </w:p>
        </w:tc>
      </w:tr>
      <w:tr>
        <w:tblPrEx>
          <w:tblCellMar>
            <w:top w:w="0" w:type="dxa"/>
            <w:left w:w="108" w:type="dxa"/>
            <w:bottom w:w="0" w:type="dxa"/>
            <w:right w:w="108" w:type="dxa"/>
          </w:tblCellMar>
        </w:tblPrEx>
        <w:trPr>
          <w:trHeight w:val="2235" w:hRule="atLeast"/>
        </w:trPr>
        <w:tc>
          <w:tcPr>
            <w:tcW w:w="738"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eastAsiaTheme="minorEastAsia"/>
                <w:color w:val="auto"/>
                <w:kern w:val="0"/>
                <w:szCs w:val="21"/>
                <w:lang w:eastAsia="zh-CN"/>
              </w:rPr>
            </w:pPr>
            <w:r>
              <w:rPr>
                <w:rFonts w:hint="eastAsia" w:eastAsiaTheme="minorEastAsia"/>
                <w:bCs/>
                <w:color w:val="auto"/>
                <w:szCs w:val="21"/>
                <w:lang w:val="en-US" w:eastAsia="zh-CN"/>
              </w:rPr>
              <w:t>6</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szCs w:val="21"/>
              </w:rPr>
            </w:pPr>
            <w:r>
              <w:rPr>
                <w:rFonts w:eastAsiaTheme="minorEastAsia"/>
                <w:color w:val="auto"/>
                <w:szCs w:val="21"/>
              </w:rPr>
              <w:t>人力资源安排</w:t>
            </w:r>
          </w:p>
        </w:tc>
        <w:tc>
          <w:tcPr>
            <w:tcW w:w="6523" w:type="dxa"/>
            <w:tcBorders>
              <w:top w:val="single" w:color="auto" w:sz="4" w:space="0"/>
              <w:left w:val="single" w:color="auto" w:sz="4" w:space="0"/>
              <w:bottom w:val="single" w:color="auto" w:sz="4" w:space="0"/>
              <w:right w:val="single" w:color="auto" w:sz="4" w:space="0"/>
            </w:tcBorders>
            <w:vAlign w:val="center"/>
          </w:tcPr>
          <w:p>
            <w:pPr>
              <w:pStyle w:val="76"/>
              <w:rPr>
                <w:rFonts w:ascii="Times New Roman" w:hAnsi="Times New Roman" w:cs="Times New Roman" w:eastAsiaTheme="minorEastAsia"/>
                <w:color w:val="auto"/>
              </w:rPr>
            </w:pPr>
            <w:r>
              <w:rPr>
                <w:rFonts w:ascii="Times New Roman" w:hAnsi="Times New Roman" w:cs="Times New Roman" w:eastAsiaTheme="minorEastAsia"/>
                <w:color w:val="auto"/>
              </w:rPr>
              <w:t>1、项目负责人为环保类正高级工程师得 3分，环保类副高级工程师得 2 分，环保类中级工程师得 1 分，本项以最高级技术职称计分，最高得 3 分；</w:t>
            </w:r>
          </w:p>
          <w:p>
            <w:pPr>
              <w:pStyle w:val="76"/>
              <w:spacing w:before="1"/>
              <w:ind w:right="19"/>
              <w:rPr>
                <w:rFonts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2</w:t>
            </w:r>
            <w:r>
              <w:rPr>
                <w:rFonts w:ascii="Times New Roman" w:hAnsi="Times New Roman" w:cs="Times New Roman" w:eastAsiaTheme="minorEastAsia"/>
                <w:color w:val="auto"/>
              </w:rPr>
              <w:t>、项目团队成员中（不含项目负责人）具有《中华人民共和国环境</w:t>
            </w:r>
          </w:p>
          <w:p>
            <w:pPr>
              <w:pStyle w:val="76"/>
              <w:spacing w:before="1"/>
              <w:ind w:right="19"/>
              <w:rPr>
                <w:rFonts w:ascii="Times New Roman" w:hAnsi="Times New Roman" w:cs="Times New Roman" w:eastAsiaTheme="minorEastAsia"/>
                <w:color w:val="auto"/>
              </w:rPr>
            </w:pPr>
            <w:r>
              <w:rPr>
                <w:rFonts w:ascii="Times New Roman" w:hAnsi="Times New Roman" w:cs="Times New Roman" w:eastAsiaTheme="minorEastAsia"/>
                <w:color w:val="auto"/>
              </w:rPr>
              <w:t>影响评价工程师职业资格证书》的，每人得 0.5 分，最多得</w:t>
            </w:r>
            <w:r>
              <w:rPr>
                <w:rFonts w:hint="eastAsia" w:ascii="Times New Roman" w:hAnsi="Times New Roman" w:cs="Times New Roman" w:eastAsiaTheme="minorEastAsia"/>
                <w:color w:val="auto"/>
                <w:lang w:val="en-US" w:eastAsia="zh-CN"/>
              </w:rPr>
              <w:t>4</w:t>
            </w:r>
            <w:r>
              <w:rPr>
                <w:rFonts w:ascii="Times New Roman" w:hAnsi="Times New Roman" w:cs="Times New Roman" w:eastAsiaTheme="minorEastAsia"/>
                <w:color w:val="auto"/>
              </w:rPr>
              <w:t>分；</w:t>
            </w:r>
          </w:p>
          <w:p>
            <w:pPr>
              <w:pStyle w:val="76"/>
              <w:rPr>
                <w:rFonts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3</w:t>
            </w:r>
            <w:r>
              <w:rPr>
                <w:rFonts w:ascii="Times New Roman" w:hAnsi="Times New Roman" w:cs="Times New Roman" w:eastAsiaTheme="minorEastAsia"/>
                <w:color w:val="auto"/>
              </w:rPr>
              <w:t>、项目组成员（不含项目负责人）具有副高级及上职称的，每个得0.5分，最高</w:t>
            </w:r>
            <w:r>
              <w:rPr>
                <w:rFonts w:hint="eastAsia" w:ascii="Times New Roman" w:hAnsi="Times New Roman" w:cs="Times New Roman" w:eastAsiaTheme="minorEastAsia"/>
                <w:color w:val="auto"/>
                <w:lang w:val="en-US" w:eastAsia="zh-CN"/>
              </w:rPr>
              <w:t>3</w:t>
            </w:r>
            <w:r>
              <w:rPr>
                <w:rFonts w:ascii="Times New Roman" w:hAnsi="Times New Roman" w:cs="Times New Roman" w:eastAsiaTheme="minorEastAsia"/>
                <w:color w:val="auto"/>
              </w:rPr>
              <w:t>分；</w:t>
            </w:r>
          </w:p>
          <w:p>
            <w:pPr>
              <w:adjustRightInd w:val="0"/>
              <w:snapToGrid w:val="0"/>
              <w:spacing w:line="360" w:lineRule="exact"/>
              <w:jc w:val="left"/>
              <w:rPr>
                <w:rFonts w:eastAsiaTheme="minorEastAsia"/>
                <w:color w:val="auto"/>
                <w:szCs w:val="21"/>
              </w:rPr>
            </w:pPr>
            <w:r>
              <w:rPr>
                <w:rFonts w:eastAsiaTheme="minorEastAsia"/>
                <w:color w:val="auto"/>
                <w:szCs w:val="21"/>
              </w:rPr>
              <w:t>注：</w:t>
            </w:r>
            <w:r>
              <w:rPr>
                <w:rFonts w:eastAsiaTheme="minorEastAsia"/>
                <w:b/>
                <w:color w:val="auto"/>
              </w:rPr>
              <w:t>提供上述人员对应的职称证书、培训证书的原件扫描件，并提供投标单位出具的近三个月社保材料加盖投标单位公章，无相对应的证书或社保提供不得分。</w:t>
            </w:r>
          </w:p>
        </w:tc>
        <w:tc>
          <w:tcPr>
            <w:tcW w:w="780" w:type="dxa"/>
            <w:tcBorders>
              <w:top w:val="nil"/>
              <w:left w:val="single" w:color="auto" w:sz="4" w:space="0"/>
              <w:bottom w:val="single" w:color="auto" w:sz="8" w:space="0"/>
              <w:right w:val="single" w:color="auto" w:sz="4" w:space="0"/>
            </w:tcBorders>
            <w:vAlign w:val="center"/>
          </w:tcPr>
          <w:p>
            <w:pPr>
              <w:adjustRightInd w:val="0"/>
              <w:snapToGrid w:val="0"/>
              <w:spacing w:line="360" w:lineRule="exact"/>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10</w:t>
            </w:r>
          </w:p>
        </w:tc>
      </w:tr>
      <w:tr>
        <w:tblPrEx>
          <w:tblCellMar>
            <w:top w:w="0" w:type="dxa"/>
            <w:left w:w="108" w:type="dxa"/>
            <w:bottom w:w="0" w:type="dxa"/>
            <w:right w:w="108" w:type="dxa"/>
          </w:tblCellMar>
        </w:tblPrEx>
        <w:trPr>
          <w:trHeight w:val="884" w:hRule="atLeast"/>
        </w:trPr>
        <w:tc>
          <w:tcPr>
            <w:tcW w:w="738"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eastAsiaTheme="minorEastAsia"/>
                <w:color w:val="auto"/>
                <w:kern w:val="0"/>
                <w:szCs w:val="21"/>
                <w:lang w:eastAsia="zh-CN"/>
              </w:rPr>
            </w:pPr>
            <w:r>
              <w:rPr>
                <w:rFonts w:hint="eastAsia" w:eastAsiaTheme="minorEastAsia"/>
                <w:bCs/>
                <w:color w:val="auto"/>
                <w:szCs w:val="21"/>
                <w:lang w:val="en-US" w:eastAsia="zh-CN"/>
              </w:rPr>
              <w:t>7</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szCs w:val="21"/>
              </w:rPr>
            </w:pPr>
            <w:r>
              <w:rPr>
                <w:rFonts w:eastAsiaTheme="minorEastAsia"/>
                <w:color w:val="auto"/>
                <w:kern w:val="0"/>
                <w:szCs w:val="21"/>
              </w:rPr>
              <w:t>合理化建议</w:t>
            </w:r>
          </w:p>
        </w:tc>
        <w:tc>
          <w:tcPr>
            <w:tcW w:w="65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eastAsiaTheme="minorEastAsia"/>
                <w:color w:val="auto"/>
              </w:rPr>
            </w:pPr>
            <w:r>
              <w:rPr>
                <w:rFonts w:eastAsiaTheme="minorEastAsia"/>
                <w:bCs/>
                <w:color w:val="auto"/>
                <w:szCs w:val="21"/>
              </w:rPr>
              <w:t>投标人对项目的合同履行过程中所提出的有效合理化建议，每提供一条有效合理化建议的得1分，最高得3分。缺项不得分。</w:t>
            </w:r>
          </w:p>
        </w:tc>
        <w:tc>
          <w:tcPr>
            <w:tcW w:w="780" w:type="dxa"/>
            <w:tcBorders>
              <w:top w:val="nil"/>
              <w:left w:val="single" w:color="auto" w:sz="4" w:space="0"/>
              <w:bottom w:val="single" w:color="auto" w:sz="8" w:space="0"/>
              <w:right w:val="single" w:color="auto" w:sz="4" w:space="0"/>
            </w:tcBorders>
            <w:vAlign w:val="center"/>
          </w:tcPr>
          <w:p>
            <w:pPr>
              <w:autoSpaceDE w:val="0"/>
              <w:autoSpaceDN w:val="0"/>
              <w:adjustRightInd w:val="0"/>
              <w:jc w:val="center"/>
              <w:rPr>
                <w:rFonts w:eastAsiaTheme="minorEastAsia"/>
                <w:color w:val="auto"/>
                <w:kern w:val="0"/>
                <w:szCs w:val="21"/>
              </w:rPr>
            </w:pPr>
            <w:r>
              <w:rPr>
                <w:rFonts w:eastAsiaTheme="minorEastAsia"/>
                <w:color w:val="auto"/>
                <w:kern w:val="0"/>
                <w:szCs w:val="21"/>
              </w:rPr>
              <w:t>3</w:t>
            </w:r>
          </w:p>
        </w:tc>
      </w:tr>
      <w:tr>
        <w:tblPrEx>
          <w:tblCellMar>
            <w:top w:w="0" w:type="dxa"/>
            <w:left w:w="108" w:type="dxa"/>
            <w:bottom w:w="0" w:type="dxa"/>
            <w:right w:w="108" w:type="dxa"/>
          </w:tblCellMar>
        </w:tblPrEx>
        <w:trPr>
          <w:trHeight w:val="703"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eastAsiaTheme="minorEastAsia"/>
                <w:bCs/>
                <w:color w:val="auto"/>
                <w:szCs w:val="21"/>
                <w:lang w:eastAsia="zh-CN"/>
              </w:rPr>
            </w:pPr>
            <w:r>
              <w:rPr>
                <w:rFonts w:hint="eastAsia" w:eastAsiaTheme="minorEastAsia"/>
                <w:bCs/>
                <w:color w:val="auto"/>
                <w:szCs w:val="21"/>
                <w:lang w:val="en-US" w:eastAsia="zh-CN"/>
              </w:rPr>
              <w:t>8</w:t>
            </w:r>
          </w:p>
        </w:tc>
        <w:tc>
          <w:tcPr>
            <w:tcW w:w="135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服务承诺</w:t>
            </w:r>
          </w:p>
        </w:tc>
        <w:tc>
          <w:tcPr>
            <w:tcW w:w="6523"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color w:val="auto"/>
                <w:szCs w:val="21"/>
              </w:rPr>
            </w:pPr>
            <w:r>
              <w:rPr>
                <w:rFonts w:eastAsiaTheme="minorEastAsia"/>
                <w:color w:val="auto"/>
                <w:szCs w:val="21"/>
              </w:rPr>
              <w:t>项目质量服务承诺描述完整、详细的得</w:t>
            </w:r>
            <w:r>
              <w:rPr>
                <w:rFonts w:hint="eastAsia" w:cs="Times New Roman"/>
                <w:color w:val="auto"/>
                <w:sz w:val="21"/>
                <w:szCs w:val="21"/>
                <w:lang w:val="en-US" w:eastAsia="zh-CN"/>
              </w:rPr>
              <w:t>3</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5</w:t>
            </w:r>
            <w:r>
              <w:rPr>
                <w:rFonts w:eastAsiaTheme="minorEastAsia"/>
                <w:color w:val="auto"/>
                <w:szCs w:val="21"/>
              </w:rPr>
              <w:t>分；</w:t>
            </w:r>
          </w:p>
          <w:p>
            <w:pPr>
              <w:jc w:val="left"/>
              <w:rPr>
                <w:rFonts w:eastAsiaTheme="minorEastAsia"/>
                <w:color w:val="auto"/>
                <w:szCs w:val="21"/>
              </w:rPr>
            </w:pPr>
            <w:r>
              <w:rPr>
                <w:rFonts w:eastAsiaTheme="minorEastAsia"/>
                <w:color w:val="auto"/>
                <w:szCs w:val="21"/>
              </w:rPr>
              <w:t>项目质量服务承诺描述内容一般、有缺陷的得</w:t>
            </w:r>
            <w:r>
              <w:rPr>
                <w:rFonts w:hint="eastAsia" w:cs="Times New Roman"/>
                <w:color w:val="auto"/>
                <w:sz w:val="21"/>
                <w:szCs w:val="21"/>
                <w:lang w:val="en-US" w:eastAsia="zh-CN"/>
              </w:rPr>
              <w:t>1</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2.9</w:t>
            </w:r>
            <w:r>
              <w:rPr>
                <w:rFonts w:eastAsiaTheme="minorEastAsia"/>
                <w:color w:val="auto"/>
                <w:szCs w:val="21"/>
              </w:rPr>
              <w:t>分；</w:t>
            </w:r>
          </w:p>
          <w:p>
            <w:pPr>
              <w:pStyle w:val="12"/>
              <w:rPr>
                <w:rFonts w:eastAsiaTheme="minorEastAsia"/>
                <w:color w:val="auto"/>
              </w:rPr>
            </w:pPr>
            <w:r>
              <w:rPr>
                <w:rFonts w:eastAsiaTheme="minorEastAsia"/>
                <w:color w:val="auto"/>
                <w:sz w:val="21"/>
                <w:szCs w:val="21"/>
              </w:rPr>
              <w:t>缺项不得分。</w:t>
            </w:r>
          </w:p>
        </w:tc>
        <w:tc>
          <w:tcPr>
            <w:tcW w:w="7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eastAsiaTheme="minorEastAsia"/>
                <w:b/>
                <w:color w:val="auto"/>
                <w:szCs w:val="21"/>
                <w:lang w:eastAsia="zh-CN"/>
              </w:rPr>
            </w:pPr>
            <w:r>
              <w:rPr>
                <w:rFonts w:hint="eastAsia" w:eastAsiaTheme="minorEastAsia"/>
                <w:color w:val="auto"/>
                <w:kern w:val="0"/>
                <w:szCs w:val="21"/>
                <w:lang w:val="en-US" w:eastAsia="zh-CN"/>
              </w:rPr>
              <w:t>5</w:t>
            </w:r>
          </w:p>
        </w:tc>
      </w:tr>
      <w:tr>
        <w:tblPrEx>
          <w:tblCellMar>
            <w:top w:w="0" w:type="dxa"/>
            <w:left w:w="108" w:type="dxa"/>
            <w:bottom w:w="0" w:type="dxa"/>
            <w:right w:w="108" w:type="dxa"/>
          </w:tblCellMar>
        </w:tblPrEx>
        <w:trPr>
          <w:trHeight w:val="703"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pStyle w:val="12"/>
              <w:rPr>
                <w:rFonts w:eastAsiaTheme="minorEastAsia"/>
                <w:color w:val="auto"/>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pStyle w:val="12"/>
              <w:rPr>
                <w:rFonts w:eastAsiaTheme="minorEastAsia"/>
                <w:color w:val="auto"/>
              </w:rPr>
            </w:pPr>
          </w:p>
        </w:tc>
        <w:tc>
          <w:tcPr>
            <w:tcW w:w="6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售后服务机构：投标人在台州市范围内已有服务网点或承诺中标后15日内在台州市范围内设立办事处或分支机构的得3分。</w:t>
            </w:r>
          </w:p>
          <w:p>
            <w:pPr>
              <w:jc w:val="left"/>
              <w:rPr>
                <w:rFonts w:eastAsiaTheme="minorEastAsia"/>
                <w:color w:val="auto"/>
                <w:szCs w:val="21"/>
              </w:rPr>
            </w:pPr>
            <w:r>
              <w:rPr>
                <w:rFonts w:hint="eastAsia" w:ascii="Times New Roman" w:hAnsi="Times New Roman" w:cs="Times New Roman" w:eastAsiaTheme="minorEastAsia"/>
                <w:color w:val="auto"/>
              </w:rPr>
              <w:t>注：提供相关承诺书或相关产权证明或房产租赁合同，否则不得分。</w:t>
            </w:r>
          </w:p>
        </w:tc>
        <w:tc>
          <w:tcPr>
            <w:tcW w:w="780" w:type="dxa"/>
            <w:tcBorders>
              <w:top w:val="single" w:color="auto" w:sz="4" w:space="0"/>
              <w:left w:val="single" w:color="auto" w:sz="4" w:space="0"/>
              <w:bottom w:val="single" w:color="auto" w:sz="4" w:space="0"/>
              <w:right w:val="single" w:color="auto" w:sz="4" w:space="0"/>
            </w:tcBorders>
            <w:vAlign w:val="center"/>
          </w:tcPr>
          <w:p>
            <w:pPr>
              <w:pStyle w:val="12"/>
              <w:ind w:firstLine="210" w:firstLineChars="100"/>
              <w:rPr>
                <w:rFonts w:eastAsiaTheme="minorEastAsia"/>
                <w:color w:val="auto"/>
                <w:sz w:val="21"/>
                <w:szCs w:val="21"/>
              </w:rPr>
            </w:pPr>
            <w:r>
              <w:rPr>
                <w:rFonts w:eastAsiaTheme="minorEastAsia"/>
                <w:color w:val="auto"/>
                <w:sz w:val="21"/>
                <w:szCs w:val="21"/>
              </w:rPr>
              <w:t>3</w:t>
            </w:r>
          </w:p>
        </w:tc>
      </w:tr>
      <w:tr>
        <w:tblPrEx>
          <w:tblCellMar>
            <w:top w:w="0" w:type="dxa"/>
            <w:left w:w="108" w:type="dxa"/>
            <w:bottom w:w="0" w:type="dxa"/>
            <w:right w:w="108" w:type="dxa"/>
          </w:tblCellMar>
        </w:tblPrEx>
        <w:trPr>
          <w:trHeight w:val="1389" w:hRule="atLeast"/>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Theme="minorEastAsia"/>
                <w:bCs/>
                <w:color w:val="auto"/>
                <w:szCs w:val="21"/>
              </w:rPr>
            </w:pPr>
            <w:r>
              <w:rPr>
                <w:rFonts w:eastAsiaTheme="minorEastAsia"/>
                <w:bCs/>
                <w:color w:val="auto"/>
                <w:szCs w:val="21"/>
              </w:rPr>
              <w:t>9</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成功案例</w:t>
            </w:r>
            <w:r>
              <w:rPr>
                <w:rFonts w:eastAsiaTheme="minorEastAsia"/>
                <w:color w:val="auto"/>
                <w:szCs w:val="21"/>
              </w:rPr>
              <w:t>及</w:t>
            </w:r>
            <w:r>
              <w:rPr>
                <w:rFonts w:eastAsiaTheme="minorEastAsia"/>
                <w:color w:val="auto"/>
                <w:kern w:val="0"/>
                <w:szCs w:val="21"/>
              </w:rPr>
              <w:t>业绩</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wordWrap/>
              <w:topLinePunct w:val="0"/>
              <w:bidi w:val="0"/>
              <w:snapToGrid/>
              <w:spacing w:after="0" w:line="240" w:lineRule="auto"/>
              <w:jc w:val="left"/>
              <w:textAlignment w:val="auto"/>
              <w:rPr>
                <w:color w:val="auto"/>
              </w:rPr>
            </w:pPr>
            <w:r>
              <w:rPr>
                <w:color w:val="auto"/>
              </w:rPr>
              <w:t>2017 年 1 月 1 日以来</w:t>
            </w:r>
            <w:r>
              <w:rPr>
                <w:rFonts w:hint="eastAsia" w:ascii="宋体" w:hAnsi="宋体" w:cs="宋体"/>
                <w:bCs/>
                <w:color w:val="auto"/>
                <w:szCs w:val="21"/>
              </w:rPr>
              <w:t>实施</w:t>
            </w:r>
            <w:r>
              <w:rPr>
                <w:rFonts w:hint="eastAsia" w:ascii="宋体" w:hAnsi="宋体" w:cs="宋体"/>
                <w:bCs/>
                <w:color w:val="auto"/>
                <w:szCs w:val="21"/>
                <w:lang w:val="en-US" w:eastAsia="zh-CN"/>
              </w:rPr>
              <w:t>过</w:t>
            </w:r>
            <w:r>
              <w:rPr>
                <w:rFonts w:hint="eastAsia" w:ascii="宋体" w:hAnsi="宋体" w:cs="宋体"/>
                <w:bCs/>
                <w:color w:val="auto"/>
                <w:szCs w:val="21"/>
              </w:rPr>
              <w:t>类似项目的案例，每提供一个案例得1分，最高</w:t>
            </w:r>
            <w:r>
              <w:rPr>
                <w:rFonts w:hint="eastAsia" w:ascii="宋体" w:hAnsi="宋体" w:cs="宋体"/>
                <w:bCs/>
                <w:color w:val="auto"/>
                <w:szCs w:val="21"/>
                <w:lang w:val="en-US" w:eastAsia="zh-CN"/>
              </w:rPr>
              <w:t>6</w:t>
            </w:r>
            <w:r>
              <w:rPr>
                <w:rFonts w:hint="eastAsia" w:ascii="宋体" w:hAnsi="宋体" w:cs="宋体"/>
                <w:bCs/>
                <w:color w:val="auto"/>
                <w:szCs w:val="21"/>
              </w:rPr>
              <w:t>分。</w:t>
            </w:r>
            <w:r>
              <w:rPr>
                <w:rFonts w:hint="eastAsia"/>
                <w:color w:val="auto"/>
                <w:sz w:val="21"/>
                <w:szCs w:val="21"/>
                <w:lang w:val="en-US" w:eastAsia="zh-CN"/>
              </w:rPr>
              <w:t>（电子投标文件中需提供合同原件扫描件，未提供不得分）</w:t>
            </w: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b/>
                <w:color w:val="auto"/>
                <w:szCs w:val="21"/>
              </w:rPr>
            </w:pPr>
            <w:r>
              <w:rPr>
                <w:rFonts w:eastAsiaTheme="minorEastAsia"/>
                <w:bCs/>
                <w:color w:val="auto"/>
                <w:szCs w:val="21"/>
              </w:rPr>
              <w:t>6</w:t>
            </w:r>
          </w:p>
        </w:tc>
      </w:tr>
      <w:tr>
        <w:tblPrEx>
          <w:tblCellMar>
            <w:top w:w="0" w:type="dxa"/>
            <w:left w:w="108" w:type="dxa"/>
            <w:bottom w:w="0" w:type="dxa"/>
            <w:right w:w="108" w:type="dxa"/>
          </w:tblCellMar>
        </w:tblPrEx>
        <w:trPr>
          <w:trHeight w:val="968" w:hRule="atLeast"/>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Theme="minorEastAsia"/>
                <w:bCs/>
                <w:color w:val="auto"/>
                <w:szCs w:val="21"/>
              </w:rPr>
            </w:pPr>
            <w:r>
              <w:rPr>
                <w:rFonts w:eastAsiaTheme="minorEastAsia"/>
                <w:bCs/>
                <w:color w:val="auto"/>
                <w:szCs w:val="21"/>
              </w:rPr>
              <w:t>10</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Theme="minorEastAsia"/>
                <w:bCs/>
                <w:color w:val="auto"/>
                <w:szCs w:val="21"/>
              </w:rPr>
            </w:pPr>
            <w:r>
              <w:rPr>
                <w:rFonts w:eastAsiaTheme="minorEastAsia"/>
                <w:bCs/>
                <w:color w:val="auto"/>
                <w:szCs w:val="21"/>
              </w:rPr>
              <w:t>认证证书</w:t>
            </w:r>
          </w:p>
        </w:tc>
        <w:tc>
          <w:tcPr>
            <w:tcW w:w="65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eastAsiaTheme="minorEastAsia"/>
                <w:b/>
                <w:color w:val="auto"/>
                <w:kern w:val="0"/>
                <w:szCs w:val="21"/>
              </w:rPr>
            </w:pPr>
            <w:r>
              <w:rPr>
                <w:rFonts w:eastAsiaTheme="minorEastAsia"/>
                <w:color w:val="auto"/>
                <w:kern w:val="0"/>
              </w:rPr>
              <w:t>投标人通过高新技术企业认定、质量管理体系认证、环境管理体系认证、职业健康安全管理体系认证的，每项得1分，最高得4分。</w:t>
            </w:r>
          </w:p>
          <w:p>
            <w:pPr>
              <w:adjustRightInd w:val="0"/>
              <w:snapToGrid w:val="0"/>
              <w:spacing w:line="360" w:lineRule="exact"/>
              <w:rPr>
                <w:rFonts w:eastAsiaTheme="minorEastAsia"/>
                <w:color w:val="auto"/>
                <w:kern w:val="0"/>
                <w:szCs w:val="21"/>
              </w:rPr>
            </w:pPr>
            <w:r>
              <w:rPr>
                <w:rFonts w:eastAsiaTheme="minorEastAsia"/>
                <w:color w:val="auto"/>
                <w:szCs w:val="21"/>
              </w:rPr>
              <w:t>电子投标文件中需提供证书原件扫描件，未提供不得分</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Theme="minorEastAsia"/>
                <w:color w:val="auto"/>
                <w:szCs w:val="21"/>
              </w:rPr>
            </w:pPr>
            <w:r>
              <w:rPr>
                <w:rFonts w:eastAsiaTheme="minorEastAsia"/>
                <w:color w:val="auto"/>
                <w:szCs w:val="21"/>
              </w:rPr>
              <w:t>4</w:t>
            </w:r>
          </w:p>
        </w:tc>
      </w:tr>
      <w:tr>
        <w:tblPrEx>
          <w:tblCellMar>
            <w:top w:w="0" w:type="dxa"/>
            <w:left w:w="108" w:type="dxa"/>
            <w:bottom w:w="0" w:type="dxa"/>
            <w:right w:w="108" w:type="dxa"/>
          </w:tblCellMar>
        </w:tblPrEx>
        <w:trPr>
          <w:trHeight w:val="335" w:hRule="atLeast"/>
        </w:trPr>
        <w:tc>
          <w:tcPr>
            <w:tcW w:w="8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Theme="minorEastAsia"/>
                <w:color w:val="auto"/>
                <w:szCs w:val="21"/>
              </w:rPr>
            </w:pPr>
            <w:r>
              <w:rPr>
                <w:rFonts w:eastAsiaTheme="minorEastAsia"/>
                <w:b/>
                <w:bCs/>
                <w:color w:val="auto"/>
                <w:szCs w:val="21"/>
              </w:rPr>
              <w:t>合计</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Theme="minorEastAsia"/>
                <w:b/>
                <w:bCs/>
                <w:color w:val="auto"/>
                <w:szCs w:val="21"/>
              </w:rPr>
            </w:pPr>
            <w:r>
              <w:rPr>
                <w:rFonts w:eastAsiaTheme="minorEastAsia"/>
                <w:b/>
                <w:bCs/>
                <w:color w:val="auto"/>
                <w:szCs w:val="21"/>
              </w:rPr>
              <w:t>70</w:t>
            </w:r>
          </w:p>
        </w:tc>
      </w:tr>
    </w:tbl>
    <w:p>
      <w:pPr>
        <w:spacing w:line="360" w:lineRule="auto"/>
        <w:ind w:firstLine="480" w:firstLineChars="200"/>
        <w:rPr>
          <w:rFonts w:ascii="宋体" w:hAnsi="宋体" w:cs="宋体"/>
          <w:color w:val="auto"/>
          <w:sz w:val="24"/>
          <w:szCs w:val="32"/>
          <w:lang w:val="zh-CN"/>
        </w:rPr>
      </w:pPr>
    </w:p>
    <w:tbl>
      <w:tblPr>
        <w:tblStyle w:val="24"/>
        <w:tblpPr w:leftFromText="180" w:rightFromText="180" w:vertAnchor="text" w:horzAnchor="page" w:tblpX="2062" w:tblpY="767"/>
        <w:tblOverlap w:val="never"/>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790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795" w:type="dxa"/>
            <w:shd w:val="clear" w:color="auto" w:fill="auto"/>
            <w:vAlign w:val="center"/>
          </w:tcPr>
          <w:p>
            <w:pPr>
              <w:pStyle w:val="3"/>
              <w:spacing w:after="0"/>
              <w:ind w:left="0" w:leftChars="0"/>
              <w:rPr>
                <w:color w:val="auto"/>
              </w:rPr>
            </w:pPr>
            <w:r>
              <w:rPr>
                <w:rFonts w:hint="eastAsia"/>
                <w:color w:val="auto"/>
              </w:rPr>
              <w:t>价格</w:t>
            </w:r>
            <w:r>
              <w:rPr>
                <w:rFonts w:hint="eastAsia"/>
                <w:color w:val="auto"/>
                <w:lang w:val="en-US" w:eastAsia="zh-CN"/>
              </w:rPr>
              <w:t>3</w:t>
            </w:r>
            <w:r>
              <w:rPr>
                <w:color w:val="auto"/>
              </w:rPr>
              <w:t>0</w:t>
            </w:r>
            <w:r>
              <w:rPr>
                <w:rFonts w:hint="eastAsia"/>
                <w:color w:val="auto"/>
              </w:rPr>
              <w:t>分</w:t>
            </w:r>
          </w:p>
        </w:tc>
        <w:tc>
          <w:tcPr>
            <w:tcW w:w="7900" w:type="dxa"/>
            <w:shd w:val="clear" w:color="auto" w:fill="auto"/>
            <w:vAlign w:val="center"/>
          </w:tcPr>
          <w:p>
            <w:pPr>
              <w:pStyle w:val="3"/>
              <w:spacing w:after="0"/>
              <w:ind w:left="0" w:leftChars="0"/>
              <w:jc w:val="left"/>
              <w:rPr>
                <w:color w:val="auto"/>
              </w:rPr>
            </w:pPr>
            <w:r>
              <w:rPr>
                <w:rFonts w:hint="eastAsia"/>
                <w:color w:val="auto"/>
              </w:rPr>
              <w:t>以投标合格供应商有效报价中的最低价为基准价，其价格分为满分。其他投标人的价格分按照下列公式计算：投标报价得分=（评标基准价/投标报价）*</w:t>
            </w:r>
            <w:r>
              <w:rPr>
                <w:color w:val="auto"/>
              </w:rPr>
              <w:t>30</w:t>
            </w:r>
            <w:r>
              <w:rPr>
                <w:rFonts w:hint="eastAsia"/>
                <w:color w:val="auto"/>
              </w:rPr>
              <w:t>%*100。（注：对于小型和微型企业产品的价格给予6%的扣除，用扣除后的价格参与评审。小型和微型企业需提供《小微企业声明函》。）</w:t>
            </w:r>
          </w:p>
        </w:tc>
        <w:tc>
          <w:tcPr>
            <w:tcW w:w="780" w:type="dxa"/>
            <w:shd w:val="clear" w:color="auto" w:fill="auto"/>
            <w:vAlign w:val="center"/>
          </w:tcPr>
          <w:p>
            <w:pPr>
              <w:pStyle w:val="3"/>
              <w:spacing w:after="0"/>
              <w:ind w:left="0" w:leftChars="0"/>
              <w:jc w:val="center"/>
              <w:rPr>
                <w:color w:val="auto"/>
              </w:rPr>
            </w:pPr>
            <w:r>
              <w:rPr>
                <w:color w:val="auto"/>
              </w:rPr>
              <w:t>30</w:t>
            </w:r>
            <w:r>
              <w:rPr>
                <w:rFonts w:hint="eastAsia"/>
                <w:color w:val="auto"/>
              </w:rPr>
              <w:t>分</w:t>
            </w:r>
          </w:p>
        </w:tc>
      </w:tr>
    </w:tbl>
    <w:p>
      <w:pPr>
        <w:pStyle w:val="3"/>
        <w:spacing w:after="0"/>
        <w:rPr>
          <w:rFonts w:ascii="宋体" w:hAnsi="宋体" w:cs="宋体"/>
          <w:color w:val="auto"/>
          <w:highlight w:val="yellow"/>
          <w:lang w:val="zh-CN"/>
        </w:rPr>
        <w:sectPr>
          <w:footerReference r:id="rId7"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color w:val="auto"/>
          <w:sz w:val="28"/>
          <w:szCs w:val="28"/>
        </w:rPr>
        <w:t>投标报价得分细则：</w:t>
      </w:r>
    </w:p>
    <w:p>
      <w:pPr>
        <w:spacing w:line="360" w:lineRule="auto"/>
        <w:jc w:val="center"/>
        <w:rPr>
          <w:rFonts w:ascii="宋体" w:hAnsi="宋体" w:cs="宋体"/>
          <w:b/>
          <w:bCs/>
          <w:color w:val="auto"/>
          <w:sz w:val="36"/>
          <w:szCs w:val="44"/>
        </w:rPr>
      </w:pPr>
      <w:r>
        <w:rPr>
          <w:rFonts w:hint="eastAsia" w:ascii="宋体" w:hAnsi="宋体" w:cs="宋体"/>
          <w:b/>
          <w:bCs/>
          <w:color w:val="auto"/>
          <w:sz w:val="36"/>
          <w:szCs w:val="44"/>
        </w:rPr>
        <w:t>第四章 公开招标需求</w:t>
      </w:r>
    </w:p>
    <w:p>
      <w:pPr>
        <w:spacing w:before="120" w:after="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一、工作背景</w:t>
      </w:r>
    </w:p>
    <w:p>
      <w:pPr>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 xml:space="preserve">     为加快推进第二轮中央生态环境保护督察“浙江台州市椒江近岸海域污染严重”警示案例反映问题</w:t>
      </w:r>
      <w:r>
        <w:rPr>
          <w:rFonts w:hint="eastAsia" w:asciiTheme="minorEastAsia" w:hAnsiTheme="minorEastAsia" w:eastAsiaTheme="minorEastAsia" w:cstheme="minorEastAsia"/>
          <w:color w:val="auto"/>
          <w:spacing w:val="-6"/>
          <w:szCs w:val="21"/>
        </w:rPr>
        <w:t>整改，</w:t>
      </w:r>
      <w:r>
        <w:rPr>
          <w:rFonts w:hint="eastAsia" w:asciiTheme="minorEastAsia" w:hAnsiTheme="minorEastAsia" w:eastAsiaTheme="minorEastAsia" w:cstheme="minorEastAsia"/>
          <w:color w:val="auto"/>
          <w:szCs w:val="21"/>
        </w:rPr>
        <w:t>根据《关于开展椒灵江沿岸工业地块和河滩专项排查整治行动的通知》（中央环境保护督察台州市整改工作协调小组〔2020〕31号）文件精神，决定在</w:t>
      </w:r>
      <w:r>
        <w:rPr>
          <w:rFonts w:hint="eastAsia" w:asciiTheme="minorEastAsia" w:hAnsiTheme="minorEastAsia" w:eastAsiaTheme="minorEastAsia" w:cstheme="minorEastAsia"/>
          <w:color w:val="auto"/>
          <w:spacing w:val="-6"/>
          <w:szCs w:val="21"/>
        </w:rPr>
        <w:t>椒江沿岸</w:t>
      </w:r>
      <w:r>
        <w:rPr>
          <w:rFonts w:hint="eastAsia" w:asciiTheme="minorEastAsia" w:hAnsiTheme="minorEastAsia" w:eastAsiaTheme="minorEastAsia" w:cstheme="minorEastAsia"/>
          <w:color w:val="auto"/>
          <w:szCs w:val="21"/>
        </w:rPr>
        <w:t>开展工业地块和河滩专项排查整治行动，</w:t>
      </w:r>
      <w:r>
        <w:rPr>
          <w:rFonts w:hint="eastAsia" w:asciiTheme="minorEastAsia" w:hAnsiTheme="minorEastAsia" w:eastAsiaTheme="minorEastAsia" w:cstheme="minorEastAsia"/>
          <w:color w:val="auto"/>
          <w:spacing w:val="-6"/>
          <w:szCs w:val="21"/>
        </w:rPr>
        <w:t>有效解决椒江沿岸</w:t>
      </w:r>
      <w:r>
        <w:rPr>
          <w:rFonts w:hint="eastAsia" w:asciiTheme="minorEastAsia" w:hAnsiTheme="minorEastAsia" w:eastAsiaTheme="minorEastAsia" w:cstheme="minorEastAsia"/>
          <w:bCs/>
          <w:color w:val="auto"/>
          <w:szCs w:val="21"/>
        </w:rPr>
        <w:t>环境污染和风险隐患较为突出问题。</w:t>
      </w:r>
    </w:p>
    <w:p>
      <w:pPr>
        <w:pStyle w:val="13"/>
        <w:spacing w:line="480" w:lineRule="auto"/>
        <w:ind w:firstLine="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二、</w:t>
      </w:r>
      <w:r>
        <w:rPr>
          <w:rFonts w:hint="eastAsia" w:asciiTheme="minorEastAsia" w:hAnsiTheme="minorEastAsia" w:eastAsiaTheme="minorEastAsia" w:cstheme="minorEastAsia"/>
          <w:bCs/>
          <w:color w:val="auto"/>
          <w:szCs w:val="21"/>
        </w:rPr>
        <w:t>项目范围</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4704"/>
        <w:gridCol w:w="1424"/>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28" w:type="dxa"/>
            <w:vAlign w:val="center"/>
          </w:tcPr>
          <w:p>
            <w:pPr>
              <w:spacing w:line="48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4704" w:type="dxa"/>
            <w:vAlign w:val="center"/>
          </w:tcPr>
          <w:p>
            <w:pPr>
              <w:spacing w:line="48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内容</w:t>
            </w:r>
          </w:p>
        </w:tc>
        <w:tc>
          <w:tcPr>
            <w:tcW w:w="1424" w:type="dxa"/>
          </w:tcPr>
          <w:p>
            <w:pPr>
              <w:spacing w:line="48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单价上限价</w:t>
            </w:r>
          </w:p>
        </w:tc>
        <w:tc>
          <w:tcPr>
            <w:tcW w:w="1461" w:type="dxa"/>
            <w:vAlign w:val="center"/>
          </w:tcPr>
          <w:p>
            <w:pPr>
              <w:spacing w:line="48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928"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470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初步排查椒江近岸海域和沿岸曾从事过工业生产（含规模化养殖）、垃圾填埋场和堆场（含已封场）的场地（约300家），绘制完成沿岸工业场地清单和空间矢量信息，并输入“台州市土壤环境信息化管理平台”</w:t>
            </w:r>
          </w:p>
        </w:tc>
        <w:tc>
          <w:tcPr>
            <w:tcW w:w="142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5000元</w:t>
            </w:r>
          </w:p>
        </w:tc>
        <w:tc>
          <w:tcPr>
            <w:tcW w:w="1461"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28"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470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在产企业土壤及地下水环境污染隐患“一厂一策”整改方案（约200家）</w:t>
            </w:r>
          </w:p>
        </w:tc>
        <w:tc>
          <w:tcPr>
            <w:tcW w:w="142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10000元</w:t>
            </w:r>
          </w:p>
        </w:tc>
        <w:tc>
          <w:tcPr>
            <w:tcW w:w="1461"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28"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470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《椒江近岸海域和沿岸土壤污染状况调查报告》，并形成椒江近岸海域和沿岸疑似污染地块清单（约40个沿岸退役工业企业场地）</w:t>
            </w:r>
          </w:p>
        </w:tc>
        <w:tc>
          <w:tcPr>
            <w:tcW w:w="142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20000元</w:t>
            </w:r>
          </w:p>
        </w:tc>
        <w:tc>
          <w:tcPr>
            <w:tcW w:w="1461"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28"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470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椒江近岸海域和沿岸土壤及地下水环境污染隐患总结评估报告》，绘制沿岸土壤和地下水污染地图，明确疑似污染区域范围、污染风险点位、污染源分布，实施高风险、中风险、低风险的分级“一张图”管理，形成沿岸土壤和地下水污染隐患“对账销号”清单等</w:t>
            </w:r>
          </w:p>
        </w:tc>
        <w:tc>
          <w:tcPr>
            <w:tcW w:w="142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461"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632" w:type="dxa"/>
            <w:gridSpan w:val="2"/>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合计</w:t>
            </w:r>
          </w:p>
        </w:tc>
        <w:tc>
          <w:tcPr>
            <w:tcW w:w="1424"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461"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580万</w:t>
            </w:r>
          </w:p>
        </w:tc>
      </w:tr>
    </w:tbl>
    <w:p>
      <w:pPr>
        <w:pStyle w:val="14"/>
        <w:ind w:left="0"/>
        <w:rPr>
          <w:rFonts w:asciiTheme="minorEastAsia" w:hAnsiTheme="minorEastAsia" w:eastAsiaTheme="minorEastAsia" w:cstheme="minorEastAsia"/>
          <w:b/>
          <w:bCs/>
          <w:color w:val="auto"/>
          <w:sz w:val="21"/>
          <w:szCs w:val="21"/>
        </w:rPr>
      </w:pPr>
    </w:p>
    <w:p>
      <w:pPr>
        <w:spacing w:before="120" w:after="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三、总体要求</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关于开展椒灵江沿岸工业地块和河滩专项排查整治行动的通知》（中央环境保护督察台州市整改工作协调小组〔2020〕31号）文件要求，需对椒江近岸海域和沿岸1公里范围内从事或曾从事过工业生产（含规模化养殖）、垃圾填埋场和堆场（含已封场）的场地生产历史及分布情况进行排查，绘制沿岸工业场地清单和空间矢量信息，输入“台州市土壤环境信息化管理平台”；组织对沿岸在产工业企业（含规模化养殖）、垃圾填埋场和堆场（含已封场）开展地下水和土壤污染隐患深度排查，开展必要的监测，制定企业地下水和土壤污染隐患“一厂一策” 整改方案；参照《建设用地土壤污染状况调查技术导则》（HJ25.1-2019）第一阶段土壤污染状况调查的要求，组织对沿岸退役工业企业场地地下水和土壤污染隐患深度排查，掌握土壤及地下水污染隐患和风险分布情况，形成疑似污染地块清单；排查完成后形成椒江近岸海域和沿岸土壤及地下水环境污染隐患总结评估报告，绘制沿岸土壤和地下水污染地图，明确疑似污染区域范围、污染风险点位、污染源分布，实施高风险、中风险、低风险的分级“一张图”管理，形成沿岸土壤和地下水污染隐患“对账销号”清单等。</w:t>
      </w:r>
    </w:p>
    <w:p>
      <w:pPr>
        <w:spacing w:line="360" w:lineRule="auto"/>
        <w:ind w:firstLine="210" w:firstLineChars="1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四、工作技术路线</w:t>
      </w:r>
    </w:p>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object>
          <v:shape id="_x0000_i1025" o:spt="75" type="#_x0000_t75" style="height:487.35pt;width:369.15pt;" o:ole="t" filled="f" o:preferrelative="t" stroked="f" coordsize="21600,21600">
            <v:path/>
            <v:fill on="f" focussize="0,0"/>
            <v:stroke on="f"/>
            <v:imagedata r:id="rId14" o:title=""/>
            <o:lock v:ext="edit" aspectratio="t"/>
            <w10:wrap type="none"/>
            <w10:anchorlock/>
          </v:shape>
          <o:OLEObject Type="Embed" ProgID="Visio.Drawing.11" ShapeID="_x0000_i1025" DrawAspect="Content" ObjectID="_1468075725" r:id="rId13">
            <o:LockedField>false</o:LockedField>
          </o:OLEObject>
        </w:object>
      </w:r>
    </w:p>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图1  工作技术路线图</w:t>
      </w:r>
    </w:p>
    <w:p>
      <w:pPr>
        <w:spacing w:before="120" w:after="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五、主要工作内容</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1、前期清单建立</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收集椒江近岸海域和沿岸1公里范围内从事或曾从事过工业生产（含规模化养殖）、垃圾填埋场和堆场（含已封场）的场地基本资料（地块边界、地块名称、地块使用权人基本信息、企业基本信息等），形成工业场地清单和空间矢量信息。</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2、地下水和土壤污染隐患深度排查</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前期初步排查结果，对沿岸在产工业企业（含规模化养殖）、垃圾填埋场和堆场（含已封场）开展地下水和土壤污染隐患深度排查，根据相关企业台账、环评、生产工艺装备、原辅材料、废水及废气治理方案、重大环境事故等资料，重点对企业的防渗措施、污水管网、废水处理设施、固废及危废贮存场所等情况开展排查，开展必要的监测，制定</w:t>
      </w:r>
      <w:r>
        <w:rPr>
          <w:rFonts w:hint="eastAsia" w:hAnsi="宋体" w:cs="宋体"/>
          <w:color w:val="auto"/>
          <w:szCs w:val="21"/>
        </w:rPr>
        <w:t>在产工业企业</w:t>
      </w:r>
      <w:r>
        <w:rPr>
          <w:rFonts w:hint="eastAsia" w:asciiTheme="minorEastAsia" w:hAnsiTheme="minorEastAsia" w:eastAsiaTheme="minorEastAsia" w:cstheme="minorEastAsia"/>
          <w:color w:val="auto"/>
          <w:szCs w:val="21"/>
        </w:rPr>
        <w:t>地下水和土壤污染隐患“一厂一策”整改方案；形成疑似污染地块清单，沿岸土壤和地下水污染隐患“对账销号”清单。</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3、成果总结</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形成椒江近岸海域和沿岸</w:t>
      </w:r>
      <w:r>
        <w:rPr>
          <w:rFonts w:hint="eastAsia" w:hAnsi="宋体" w:cs="宋体"/>
          <w:color w:val="auto"/>
          <w:szCs w:val="21"/>
        </w:rPr>
        <w:t>在产工业企业</w:t>
      </w:r>
      <w:r>
        <w:rPr>
          <w:rFonts w:hint="eastAsia" w:asciiTheme="minorEastAsia" w:hAnsiTheme="minorEastAsia" w:eastAsiaTheme="minorEastAsia" w:cstheme="minorEastAsia"/>
          <w:color w:val="auto"/>
          <w:szCs w:val="21"/>
        </w:rPr>
        <w:t>土壤及地下水环境污染隐患总结评估报告，绘制沿岸土壤和地下水污染地图，实现“一张图”管理。</w:t>
      </w:r>
    </w:p>
    <w:p>
      <w:pPr>
        <w:spacing w:before="120" w:after="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六、项目实施计划</w:t>
      </w:r>
    </w:p>
    <w:p>
      <w:pPr>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1、2021年</w:t>
      </w:r>
      <w:r>
        <w:rPr>
          <w:rFonts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rPr>
        <w:t>月底前，完成初步排查，绘制完成沿岸工业场地清单和空间矢量信息，并输入“台州市土壤环境信息化管理平台”。</w:t>
      </w:r>
    </w:p>
    <w:p>
      <w:pPr>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2、2021年</w:t>
      </w:r>
      <w:r>
        <w:rPr>
          <w:rFonts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rPr>
        <w:t>月底前，完成排查，编制在产工业企业地下水和土壤污染隐患“一厂一策” 整改方案，形成疑似污染地块清单，沿岸土壤和地下水污染隐患“对账销号”清单。</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3、2021年</w:t>
      </w:r>
      <w:r>
        <w:rPr>
          <w:rFonts w:asciiTheme="minorEastAsia" w:hAnsiTheme="minorEastAsia" w:eastAsiaTheme="minorEastAsia" w:cstheme="minorEastAsia"/>
          <w:color w:val="auto"/>
          <w:szCs w:val="21"/>
        </w:rPr>
        <w:t>11</w:t>
      </w:r>
      <w:r>
        <w:rPr>
          <w:rFonts w:hint="eastAsia" w:asciiTheme="minorEastAsia" w:hAnsiTheme="minorEastAsia" w:eastAsiaTheme="minorEastAsia" w:cstheme="minorEastAsia"/>
          <w:color w:val="auto"/>
          <w:szCs w:val="21"/>
        </w:rPr>
        <w:t>月底前，形成椒江近岸海域和沿岸在产工业企业土壤及地下水环境污染隐患总结评估报告，绘制沿岸土壤和地下水污染地图，实现“一张图”管理。</w:t>
      </w:r>
    </w:p>
    <w:p>
      <w:pPr>
        <w:spacing w:before="120" w:after="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六、项目预期成果</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1、绘制完成沿岸工业场地清单和空间矢量信息，并输入“台州市土壤环境信息化管理平台”；</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2、《椒江近岸海域和沿岸在产工业企业土壤及地下水环境污染隐患“一厂一策”整改方案》；</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3、《椒江近岸海域和沿岸退役工业企业场地土壤污染状况第一阶段调查报告》，形成椒江近岸海域和沿岸疑似污染地块清单；</w:t>
      </w:r>
    </w:p>
    <w:p>
      <w:pP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4、《椒江近岸海域和沿岸在产工业企业土壤及地下水环境污染隐患总结评估报告》；</w:t>
      </w:r>
    </w:p>
    <w:p>
      <w:pPr>
        <w:spacing w:line="360" w:lineRule="auto"/>
        <w:ind w:firstLine="42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Cs w:val="21"/>
        </w:rPr>
        <w:t>5、沿岸土壤和地下水污染地图，高风险、中风险、低风险的分级“一张图”管理，形成沿岸土壤和地下水污染隐患“对账销号”清单。</w:t>
      </w:r>
    </w:p>
    <w:p>
      <w:pPr>
        <w:spacing w:line="360" w:lineRule="auto"/>
        <w:rPr>
          <w:rFonts w:ascii="宋体" w:hAnsi="宋体"/>
          <w:b/>
          <w:color w:val="auto"/>
        </w:rPr>
      </w:pPr>
      <w:bookmarkStart w:id="7" w:name="_Toc98821986"/>
      <w:r>
        <w:rPr>
          <w:rFonts w:hint="eastAsia" w:ascii="宋体" w:hAnsi="宋体"/>
          <w:b/>
          <w:color w:val="auto"/>
        </w:rPr>
        <w:t>七、其他要求</w:t>
      </w:r>
    </w:p>
    <w:p>
      <w:pPr>
        <w:pStyle w:val="80"/>
        <w:spacing w:line="360" w:lineRule="auto"/>
        <w:ind w:firstLine="420" w:firstLineChars="200"/>
        <w:rPr>
          <w:rFonts w:hAnsi="宋体" w:cs="宋体"/>
          <w:color w:val="auto"/>
          <w:sz w:val="21"/>
          <w:szCs w:val="21"/>
        </w:rPr>
      </w:pPr>
      <w:r>
        <w:rPr>
          <w:rFonts w:hint="eastAsia" w:hAnsi="宋体" w:cs="宋体"/>
          <w:color w:val="auto"/>
          <w:sz w:val="21"/>
          <w:szCs w:val="21"/>
        </w:rPr>
        <w:t>1、付款方式：</w:t>
      </w:r>
    </w:p>
    <w:p>
      <w:pPr>
        <w:pStyle w:val="80"/>
        <w:spacing w:line="360" w:lineRule="auto"/>
        <w:ind w:firstLine="420" w:firstLineChars="200"/>
        <w:rPr>
          <w:rFonts w:hAnsi="宋体" w:cs="宋体"/>
          <w:color w:val="auto"/>
          <w:sz w:val="21"/>
          <w:szCs w:val="21"/>
        </w:rPr>
      </w:pPr>
      <w:r>
        <w:rPr>
          <w:rFonts w:hint="eastAsia" w:hAnsi="宋体" w:cs="宋体"/>
          <w:color w:val="auto"/>
          <w:sz w:val="21"/>
          <w:szCs w:val="21"/>
        </w:rPr>
        <w:t>1）</w:t>
      </w:r>
      <w:r>
        <w:rPr>
          <w:rFonts w:hAnsi="宋体" w:cs="宋体"/>
          <w:color w:val="auto"/>
          <w:sz w:val="21"/>
          <w:szCs w:val="21"/>
        </w:rPr>
        <w:t>签订合同后支付合同额的</w:t>
      </w:r>
      <w:r>
        <w:rPr>
          <w:rFonts w:hint="eastAsia" w:hAnsi="宋体" w:cs="宋体"/>
          <w:color w:val="auto"/>
          <w:sz w:val="21"/>
          <w:szCs w:val="21"/>
        </w:rPr>
        <w:t>10</w:t>
      </w:r>
      <w:r>
        <w:rPr>
          <w:rFonts w:hAnsi="宋体" w:cs="宋体"/>
          <w:color w:val="auto"/>
          <w:sz w:val="21"/>
          <w:szCs w:val="21"/>
        </w:rPr>
        <w:t>%</w:t>
      </w:r>
      <w:r>
        <w:rPr>
          <w:rFonts w:hint="eastAsia" w:hAnsi="宋体" w:cs="宋体"/>
          <w:color w:val="auto"/>
          <w:sz w:val="21"/>
          <w:szCs w:val="21"/>
        </w:rPr>
        <w:t>；</w:t>
      </w:r>
    </w:p>
    <w:p>
      <w:pPr>
        <w:pStyle w:val="80"/>
        <w:spacing w:line="360" w:lineRule="auto"/>
        <w:ind w:firstLine="420" w:firstLineChars="200"/>
        <w:rPr>
          <w:rFonts w:hAnsi="宋体" w:cs="宋体"/>
          <w:color w:val="auto"/>
          <w:sz w:val="21"/>
          <w:szCs w:val="21"/>
        </w:rPr>
      </w:pPr>
      <w:r>
        <w:rPr>
          <w:rFonts w:hint="eastAsia" w:hAnsi="宋体" w:cs="宋体"/>
          <w:color w:val="auto"/>
          <w:sz w:val="21"/>
          <w:szCs w:val="21"/>
        </w:rPr>
        <w:t>2）</w:t>
      </w:r>
      <w:r>
        <w:rPr>
          <w:rFonts w:hAnsi="宋体" w:cs="宋体"/>
          <w:color w:val="auto"/>
          <w:sz w:val="21"/>
          <w:szCs w:val="21"/>
        </w:rPr>
        <w:t>2021年4月底前，完成初步排查，绘制完成沿岸工业场地清单和空间矢量信息，并输入“台州市土壤环境信息化管理平台”</w:t>
      </w:r>
      <w:r>
        <w:rPr>
          <w:rFonts w:hint="eastAsia" w:hAnsi="宋体" w:cs="宋体"/>
          <w:color w:val="auto"/>
          <w:sz w:val="21"/>
          <w:szCs w:val="21"/>
        </w:rPr>
        <w:t>，</w:t>
      </w:r>
      <w:r>
        <w:rPr>
          <w:rFonts w:hAnsi="宋体" w:cs="宋体"/>
          <w:color w:val="auto"/>
          <w:sz w:val="21"/>
          <w:szCs w:val="21"/>
        </w:rPr>
        <w:t>支付合同额的</w:t>
      </w:r>
      <w:r>
        <w:rPr>
          <w:rFonts w:hint="eastAsia" w:hAnsi="宋体" w:cs="宋体"/>
          <w:color w:val="auto"/>
          <w:sz w:val="21"/>
          <w:szCs w:val="21"/>
        </w:rPr>
        <w:t>30</w:t>
      </w:r>
      <w:r>
        <w:rPr>
          <w:rFonts w:hAnsi="宋体" w:cs="宋体"/>
          <w:color w:val="auto"/>
          <w:sz w:val="21"/>
          <w:szCs w:val="21"/>
        </w:rPr>
        <w:t>%</w:t>
      </w:r>
      <w:r>
        <w:rPr>
          <w:rFonts w:hint="eastAsia" w:hAnsi="宋体" w:cs="宋体"/>
          <w:color w:val="auto"/>
          <w:sz w:val="21"/>
          <w:szCs w:val="21"/>
        </w:rPr>
        <w:t>；</w:t>
      </w:r>
    </w:p>
    <w:p>
      <w:pPr>
        <w:pStyle w:val="80"/>
        <w:spacing w:line="360" w:lineRule="auto"/>
        <w:ind w:firstLine="420" w:firstLineChars="200"/>
        <w:rPr>
          <w:rFonts w:hAnsi="宋体" w:cs="宋体"/>
          <w:color w:val="auto"/>
          <w:sz w:val="21"/>
          <w:szCs w:val="21"/>
        </w:rPr>
      </w:pPr>
      <w:r>
        <w:rPr>
          <w:rFonts w:hint="eastAsia" w:hAnsi="宋体" w:cs="宋体"/>
          <w:color w:val="auto"/>
          <w:sz w:val="21"/>
          <w:szCs w:val="21"/>
        </w:rPr>
        <w:t>3）</w:t>
      </w:r>
      <w:r>
        <w:rPr>
          <w:rFonts w:hAnsi="宋体" w:cs="宋体"/>
          <w:color w:val="auto"/>
          <w:sz w:val="21"/>
          <w:szCs w:val="21"/>
        </w:rPr>
        <w:t>2021年5月底前，完成排查，编制</w:t>
      </w:r>
      <w:r>
        <w:rPr>
          <w:rFonts w:hint="eastAsia" w:hAnsi="宋体" w:cs="宋体"/>
          <w:color w:val="auto"/>
          <w:sz w:val="21"/>
          <w:szCs w:val="21"/>
        </w:rPr>
        <w:t>在产工业企业</w:t>
      </w:r>
      <w:r>
        <w:rPr>
          <w:rFonts w:hAnsi="宋体" w:cs="宋体"/>
          <w:color w:val="auto"/>
          <w:sz w:val="21"/>
          <w:szCs w:val="21"/>
        </w:rPr>
        <w:t>地下水和土壤污染隐患“一厂一策” 整改方案，形成疑似污染地块清单，沿岸土壤和地下水污染隐患“对账销号”清单</w:t>
      </w:r>
      <w:r>
        <w:rPr>
          <w:rFonts w:hint="eastAsia" w:hAnsi="宋体" w:cs="宋体"/>
          <w:color w:val="auto"/>
          <w:sz w:val="21"/>
          <w:szCs w:val="21"/>
        </w:rPr>
        <w:t>；</w:t>
      </w:r>
      <w:r>
        <w:rPr>
          <w:rFonts w:hAnsi="宋体" w:cs="宋体"/>
          <w:color w:val="auto"/>
          <w:sz w:val="21"/>
          <w:szCs w:val="21"/>
        </w:rPr>
        <w:t>支付合同额的</w:t>
      </w:r>
      <w:r>
        <w:rPr>
          <w:rFonts w:hint="eastAsia" w:hAnsi="宋体" w:cs="宋体"/>
          <w:color w:val="auto"/>
          <w:sz w:val="21"/>
          <w:szCs w:val="21"/>
        </w:rPr>
        <w:t>30</w:t>
      </w:r>
      <w:r>
        <w:rPr>
          <w:rFonts w:hAnsi="宋体" w:cs="宋体"/>
          <w:color w:val="auto"/>
          <w:sz w:val="21"/>
          <w:szCs w:val="21"/>
        </w:rPr>
        <w:t>%</w:t>
      </w:r>
      <w:r>
        <w:rPr>
          <w:rFonts w:hint="eastAsia" w:hAnsi="宋体" w:cs="宋体"/>
          <w:color w:val="auto"/>
          <w:sz w:val="21"/>
          <w:szCs w:val="21"/>
        </w:rPr>
        <w:t>；</w:t>
      </w:r>
    </w:p>
    <w:p>
      <w:pPr>
        <w:pStyle w:val="80"/>
        <w:spacing w:line="360" w:lineRule="auto"/>
        <w:ind w:firstLine="420" w:firstLineChars="200"/>
        <w:rPr>
          <w:rFonts w:hAnsi="宋体" w:cs="宋体"/>
          <w:color w:val="auto"/>
          <w:sz w:val="21"/>
          <w:szCs w:val="21"/>
        </w:rPr>
      </w:pPr>
      <w:r>
        <w:rPr>
          <w:rFonts w:hint="eastAsia" w:hAnsi="宋体" w:cs="宋体"/>
          <w:color w:val="auto"/>
          <w:sz w:val="21"/>
          <w:szCs w:val="21"/>
        </w:rPr>
        <w:t>4）</w:t>
      </w:r>
      <w:r>
        <w:rPr>
          <w:rFonts w:hAnsi="宋体" w:cs="宋体"/>
          <w:color w:val="auto"/>
          <w:sz w:val="21"/>
          <w:szCs w:val="21"/>
        </w:rPr>
        <w:t>2021年11月底前，形成椒江近岸海域和沿岸</w:t>
      </w:r>
      <w:r>
        <w:rPr>
          <w:rFonts w:hint="eastAsia" w:hAnsi="宋体" w:cs="宋体"/>
          <w:color w:val="auto"/>
          <w:sz w:val="21"/>
          <w:szCs w:val="21"/>
        </w:rPr>
        <w:t>在产工业企业</w:t>
      </w:r>
      <w:r>
        <w:rPr>
          <w:rFonts w:hAnsi="宋体" w:cs="宋体"/>
          <w:color w:val="auto"/>
          <w:sz w:val="21"/>
          <w:szCs w:val="21"/>
        </w:rPr>
        <w:t>土壤及地下水环境污染隐患总结评估报告，绘制沿岸土壤和地下水污染地图，实现“一张图”管理</w:t>
      </w:r>
      <w:r>
        <w:rPr>
          <w:rFonts w:hint="eastAsia" w:hAnsi="宋体" w:cs="宋体"/>
          <w:color w:val="auto"/>
          <w:sz w:val="21"/>
          <w:szCs w:val="21"/>
        </w:rPr>
        <w:t>；付清剩余款项</w:t>
      </w:r>
      <w:r>
        <w:rPr>
          <w:rFonts w:hAnsi="宋体" w:cs="宋体"/>
          <w:color w:val="auto"/>
          <w:sz w:val="21"/>
          <w:szCs w:val="21"/>
        </w:rPr>
        <w:t>。</w:t>
      </w:r>
    </w:p>
    <w:p>
      <w:pPr>
        <w:pStyle w:val="16"/>
        <w:adjustRightInd w:val="0"/>
        <w:snapToGrid w:val="0"/>
        <w:spacing w:line="360" w:lineRule="auto"/>
        <w:ind w:firstLine="420" w:firstLineChars="200"/>
        <w:rPr>
          <w:rFonts w:hAnsi="宋体" w:cs="楷体"/>
          <w:snapToGrid w:val="0"/>
          <w:color w:val="auto"/>
          <w:szCs w:val="21"/>
        </w:rPr>
      </w:pPr>
      <w:r>
        <w:rPr>
          <w:rFonts w:hint="eastAsia" w:hAnsi="宋体" w:cs="宋体"/>
          <w:color w:val="auto"/>
          <w:szCs w:val="21"/>
        </w:rPr>
        <w:t>2、</w:t>
      </w:r>
      <w:r>
        <w:rPr>
          <w:rFonts w:hint="eastAsia" w:hAnsi="宋体" w:cs="宋体"/>
          <w:bCs/>
          <w:color w:val="auto"/>
          <w:szCs w:val="21"/>
        </w:rPr>
        <w:t>质量保证</w:t>
      </w:r>
      <w:r>
        <w:rPr>
          <w:rFonts w:hint="eastAsia" w:hAnsi="宋体" w:cs="宋体"/>
          <w:bCs/>
          <w:color w:val="auto"/>
        </w:rPr>
        <w:t>：</w:t>
      </w:r>
      <w:r>
        <w:rPr>
          <w:rFonts w:hint="eastAsia" w:hAnsi="宋体" w:cs="宋体"/>
          <w:bCs/>
          <w:color w:val="auto"/>
          <w:szCs w:val="21"/>
        </w:rPr>
        <w:t>项目成果提交并通过专家评审。</w:t>
      </w:r>
    </w:p>
    <w:p>
      <w:pPr>
        <w:adjustRightInd w:val="0"/>
        <w:snapToGrid w:val="0"/>
        <w:spacing w:line="360" w:lineRule="auto"/>
        <w:rPr>
          <w:rFonts w:ascii="宋体" w:hAnsi="宋体"/>
          <w:b/>
          <w:color w:val="auto"/>
          <w:szCs w:val="21"/>
        </w:rPr>
        <w:sectPr>
          <w:headerReference r:id="rId8" w:type="first"/>
          <w:footerReference r:id="rId9" w:type="first"/>
          <w:pgSz w:w="11906" w:h="16838"/>
          <w:pgMar w:top="1440" w:right="1440" w:bottom="1440" w:left="1701" w:header="851" w:footer="992" w:gutter="0"/>
          <w:cols w:space="720" w:num="1"/>
          <w:docGrid w:linePitch="312" w:charSpace="0"/>
        </w:sectPr>
      </w:pPr>
      <w:r>
        <w:rPr>
          <w:rFonts w:hint="eastAsia" w:ascii="宋体" w:hAnsi="宋体"/>
          <w:b/>
          <w:color w:val="auto"/>
          <w:szCs w:val="21"/>
        </w:rPr>
        <w:t>八、本项目中标（成交）供应商应在浙江政府采购网（http://zfcg.czt.zj.gov.cn）上注册成为“政府采购供应商”，如不按要求注册的，采购方有权延期发布中标（成交）通知书和中标（成交）公告，后果由供应商自行承担</w:t>
      </w:r>
      <w:bookmarkEnd w:id="7"/>
      <w:r>
        <w:rPr>
          <w:rFonts w:hint="eastAsia" w:ascii="宋体" w:hAnsi="宋体"/>
          <w:b/>
          <w:color w:val="auto"/>
          <w:szCs w:val="21"/>
        </w:rPr>
        <w:t>。</w:t>
      </w:r>
    </w:p>
    <w:p>
      <w:pPr>
        <w:rPr>
          <w:color w:val="auto"/>
        </w:rPr>
      </w:pPr>
    </w:p>
    <w:p>
      <w:pPr>
        <w:rPr>
          <w:color w:val="auto"/>
        </w:rPr>
      </w:pPr>
    </w:p>
    <w:p>
      <w:pPr>
        <w:spacing w:line="360" w:lineRule="auto"/>
        <w:jc w:val="center"/>
        <w:rPr>
          <w:rFonts w:ascii="宋体" w:hAnsi="宋体" w:cs="宋体"/>
          <w:b/>
          <w:bCs/>
          <w:color w:val="auto"/>
          <w:sz w:val="36"/>
          <w:szCs w:val="44"/>
        </w:rPr>
      </w:pPr>
      <w:r>
        <w:rPr>
          <w:rFonts w:hint="eastAsia" w:ascii="宋体" w:hAnsi="宋体" w:cs="宋体"/>
          <w:b/>
          <w:bCs/>
          <w:color w:val="auto"/>
          <w:sz w:val="36"/>
          <w:szCs w:val="44"/>
        </w:rPr>
        <w:t>第五章 合同主要条款</w:t>
      </w:r>
    </w:p>
    <w:p>
      <w:pPr>
        <w:spacing w:line="360" w:lineRule="auto"/>
        <w:jc w:val="center"/>
        <w:rPr>
          <w:rFonts w:ascii="宋体" w:hAnsi="宋体" w:cs="宋体"/>
          <w:color w:val="auto"/>
          <w:szCs w:val="21"/>
        </w:rPr>
      </w:pPr>
      <w:r>
        <w:rPr>
          <w:rFonts w:hint="eastAsia" w:ascii="宋体" w:hAnsi="宋体" w:cs="宋体"/>
          <w:color w:val="auto"/>
          <w:szCs w:val="21"/>
        </w:rPr>
        <w:t>（本合同主要条款为合同样稿，最终定稿待双方协商后确定）</w:t>
      </w:r>
    </w:p>
    <w:p>
      <w:pPr>
        <w:spacing w:line="400" w:lineRule="exact"/>
        <w:jc w:val="left"/>
        <w:rPr>
          <w:rFonts w:ascii="宋体" w:hAnsi="宋体" w:cs="宋体"/>
          <w:color w:val="auto"/>
          <w:szCs w:val="21"/>
        </w:rPr>
      </w:pPr>
      <w:r>
        <w:rPr>
          <w:rFonts w:hint="eastAsia" w:ascii="宋体" w:hAnsi="宋体" w:cs="宋体"/>
          <w:color w:val="auto"/>
          <w:szCs w:val="21"/>
        </w:rPr>
        <w:t xml:space="preserve">  </w:t>
      </w:r>
    </w:p>
    <w:p>
      <w:pPr>
        <w:adjustRightInd w:val="0"/>
        <w:snapToGrid w:val="0"/>
        <w:spacing w:line="360" w:lineRule="auto"/>
        <w:ind w:firstLine="420" w:firstLineChars="200"/>
        <w:rPr>
          <w:color w:val="auto"/>
          <w:szCs w:val="21"/>
        </w:rPr>
      </w:pPr>
      <w:r>
        <w:rPr>
          <w:rFonts w:hAnsi="宋体"/>
          <w:color w:val="auto"/>
          <w:szCs w:val="21"/>
        </w:rPr>
        <w:t>合同将由</w:t>
      </w:r>
      <w:r>
        <w:rPr>
          <w:rFonts w:hint="eastAsia" w:hAnsi="宋体"/>
          <w:color w:val="auto"/>
          <w:szCs w:val="21"/>
        </w:rPr>
        <w:t>台州市生态环境局椒江分局</w:t>
      </w:r>
      <w:r>
        <w:rPr>
          <w:rFonts w:hAnsi="宋体"/>
          <w:color w:val="auto"/>
          <w:szCs w:val="21"/>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pPr>
        <w:pStyle w:val="16"/>
        <w:snapToGrid w:val="0"/>
        <w:spacing w:line="360" w:lineRule="auto"/>
        <w:rPr>
          <w:rFonts w:hAnsi="宋体"/>
          <w:color w:val="auto"/>
          <w:szCs w:val="21"/>
        </w:rPr>
      </w:pPr>
      <w:r>
        <w:rPr>
          <w:rFonts w:hint="eastAsia" w:hAnsi="宋体"/>
          <w:color w:val="auto"/>
          <w:szCs w:val="21"/>
        </w:rPr>
        <w:t>招标编号：</w:t>
      </w:r>
    </w:p>
    <w:p>
      <w:pPr>
        <w:pStyle w:val="16"/>
        <w:snapToGrid w:val="0"/>
        <w:spacing w:line="360" w:lineRule="auto"/>
        <w:rPr>
          <w:rFonts w:hAnsi="宋体"/>
          <w:b/>
          <w:color w:val="auto"/>
          <w:szCs w:val="21"/>
        </w:rPr>
      </w:pPr>
      <w:r>
        <w:rPr>
          <w:rFonts w:ascii="Times New Roman" w:hAnsi="宋体"/>
          <w:b/>
          <w:color w:val="auto"/>
          <w:szCs w:val="21"/>
        </w:rPr>
        <w:t>甲方：</w:t>
      </w:r>
      <w:r>
        <w:rPr>
          <w:rFonts w:hAnsi="宋体"/>
          <w:color w:val="auto"/>
          <w:szCs w:val="21"/>
        </w:rPr>
        <w:t>（</w:t>
      </w:r>
      <w:r>
        <w:rPr>
          <w:rFonts w:hint="eastAsia" w:hAnsi="宋体"/>
          <w:color w:val="auto"/>
          <w:szCs w:val="21"/>
        </w:rPr>
        <w:t>采购方</w:t>
      </w:r>
      <w:r>
        <w:rPr>
          <w:rFonts w:hAnsi="宋体"/>
          <w:color w:val="auto"/>
          <w:szCs w:val="21"/>
        </w:rPr>
        <w:t>）</w:t>
      </w:r>
    </w:p>
    <w:p>
      <w:pPr>
        <w:pStyle w:val="16"/>
        <w:adjustRightInd w:val="0"/>
        <w:snapToGrid w:val="0"/>
        <w:spacing w:line="360" w:lineRule="auto"/>
        <w:rPr>
          <w:rFonts w:ascii="Times New Roman" w:hAnsi="Times New Roman"/>
          <w:b/>
          <w:color w:val="auto"/>
          <w:szCs w:val="21"/>
        </w:rPr>
      </w:pPr>
      <w:r>
        <w:rPr>
          <w:rFonts w:ascii="Times New Roman" w:hAnsi="宋体"/>
          <w:b/>
          <w:color w:val="auto"/>
          <w:szCs w:val="21"/>
        </w:rPr>
        <w:t>乙方：</w:t>
      </w:r>
      <w:r>
        <w:rPr>
          <w:rFonts w:hAnsi="宋体"/>
          <w:color w:val="auto"/>
          <w:szCs w:val="21"/>
        </w:rPr>
        <w:t>（</w:t>
      </w:r>
      <w:r>
        <w:rPr>
          <w:rFonts w:hint="eastAsia" w:hAnsi="宋体"/>
          <w:color w:val="auto"/>
          <w:szCs w:val="21"/>
        </w:rPr>
        <w:t>供应商</w:t>
      </w:r>
      <w:r>
        <w:rPr>
          <w:rFonts w:hAnsi="宋体"/>
          <w:color w:val="auto"/>
          <w:szCs w:val="21"/>
        </w:rPr>
        <w:t>）</w:t>
      </w:r>
      <w:r>
        <w:rPr>
          <w:rFonts w:ascii="Times New Roman" w:hAnsi="Times New Roman"/>
          <w:b/>
          <w:color w:val="auto"/>
          <w:szCs w:val="21"/>
        </w:rPr>
        <w:t xml:space="preserve"> </w:t>
      </w:r>
    </w:p>
    <w:p>
      <w:pPr>
        <w:pStyle w:val="16"/>
        <w:adjustRightInd w:val="0"/>
        <w:snapToGrid w:val="0"/>
        <w:spacing w:line="360" w:lineRule="auto"/>
        <w:ind w:firstLine="420" w:firstLineChars="200"/>
        <w:rPr>
          <w:rFonts w:ascii="Times New Roman" w:hAnsi="Times New Roman"/>
          <w:b/>
          <w:color w:val="auto"/>
          <w:szCs w:val="21"/>
        </w:rPr>
      </w:pPr>
      <w:r>
        <w:rPr>
          <w:rFonts w:ascii="Times New Roman" w:hAnsi="宋体"/>
          <w:color w:val="auto"/>
          <w:szCs w:val="21"/>
        </w:rPr>
        <w:t>甲、乙双方根据</w:t>
      </w:r>
      <w:r>
        <w:rPr>
          <w:rFonts w:hint="eastAsia" w:hAnsi="宋体"/>
          <w:color w:val="auto"/>
          <w:szCs w:val="21"/>
          <w:u w:val="single"/>
        </w:rPr>
        <w:t xml:space="preserve">                                 </w:t>
      </w:r>
      <w:r>
        <w:rPr>
          <w:rFonts w:hint="eastAsia" w:hAnsi="宋体"/>
          <w:color w:val="auto"/>
          <w:szCs w:val="21"/>
        </w:rPr>
        <w:t>项目</w:t>
      </w:r>
      <w:r>
        <w:rPr>
          <w:rFonts w:ascii="Times New Roman" w:hAnsi="宋体"/>
          <w:color w:val="auto"/>
          <w:szCs w:val="21"/>
        </w:rPr>
        <w:t>公开招标的结果，签署本合同。</w:t>
      </w:r>
    </w:p>
    <w:p>
      <w:pPr>
        <w:pStyle w:val="16"/>
        <w:adjustRightInd w:val="0"/>
        <w:snapToGrid w:val="0"/>
        <w:spacing w:line="360" w:lineRule="auto"/>
        <w:rPr>
          <w:rFonts w:ascii="Times New Roman" w:hAnsi="Times New Roman"/>
          <w:b/>
          <w:color w:val="auto"/>
          <w:szCs w:val="21"/>
        </w:rPr>
      </w:pPr>
      <w:r>
        <w:rPr>
          <w:rFonts w:ascii="Times New Roman" w:hAnsi="宋体"/>
          <w:b/>
          <w:color w:val="auto"/>
          <w:szCs w:val="21"/>
        </w:rPr>
        <w:t>一、服务内容</w:t>
      </w:r>
    </w:p>
    <w:p>
      <w:pPr>
        <w:pStyle w:val="16"/>
        <w:adjustRightInd w:val="0"/>
        <w:snapToGrid w:val="0"/>
        <w:spacing w:line="360" w:lineRule="auto"/>
        <w:ind w:firstLine="420" w:firstLineChars="200"/>
        <w:rPr>
          <w:rFonts w:ascii="Times New Roman" w:hAnsi="Times New Roman"/>
          <w:b/>
          <w:color w:val="auto"/>
          <w:szCs w:val="21"/>
        </w:rPr>
      </w:pPr>
      <w:r>
        <w:rPr>
          <w:rFonts w:hint="eastAsia" w:ascii="Times New Roman" w:hAnsi="Times New Roman"/>
          <w:color w:val="auto"/>
          <w:szCs w:val="21"/>
        </w:rPr>
        <w:t>1、</w:t>
      </w:r>
      <w:r>
        <w:rPr>
          <w:rFonts w:ascii="Times New Roman" w:hAnsi="宋体"/>
          <w:color w:val="auto"/>
          <w:szCs w:val="21"/>
        </w:rPr>
        <w:t>详见本项目招标文件</w:t>
      </w:r>
      <w:r>
        <w:rPr>
          <w:rFonts w:hint="eastAsia" w:hAnsi="宋体"/>
          <w:bCs/>
          <w:color w:val="auto"/>
          <w:szCs w:val="21"/>
        </w:rPr>
        <w:t>第四部分</w:t>
      </w:r>
      <w:r>
        <w:rPr>
          <w:rFonts w:ascii="Times New Roman" w:hAnsi="宋体"/>
          <w:bCs/>
          <w:color w:val="auto"/>
          <w:szCs w:val="21"/>
        </w:rPr>
        <w:t>《</w:t>
      </w:r>
      <w:r>
        <w:rPr>
          <w:rFonts w:hint="eastAsia" w:hAnsi="宋体"/>
          <w:bCs/>
          <w:color w:val="auto"/>
          <w:szCs w:val="21"/>
        </w:rPr>
        <w:t>公开招标需求</w:t>
      </w:r>
      <w:r>
        <w:rPr>
          <w:rFonts w:ascii="Times New Roman" w:hAnsi="宋体"/>
          <w:color w:val="auto"/>
          <w:szCs w:val="21"/>
        </w:rPr>
        <w:t>》。</w:t>
      </w:r>
    </w:p>
    <w:p>
      <w:pPr>
        <w:pStyle w:val="16"/>
        <w:snapToGrid w:val="0"/>
        <w:spacing w:line="360" w:lineRule="auto"/>
        <w:rPr>
          <w:rFonts w:hAnsi="宋体"/>
          <w:b/>
          <w:color w:val="auto"/>
          <w:szCs w:val="21"/>
        </w:rPr>
      </w:pPr>
      <w:r>
        <w:rPr>
          <w:rFonts w:hAnsi="宋体"/>
          <w:b/>
          <w:color w:val="auto"/>
          <w:szCs w:val="21"/>
        </w:rPr>
        <w:t>二、合同金额</w:t>
      </w:r>
    </w:p>
    <w:p>
      <w:pPr>
        <w:pStyle w:val="16"/>
        <w:snapToGrid w:val="0"/>
        <w:spacing w:line="360" w:lineRule="auto"/>
        <w:ind w:left="359" w:hanging="359" w:hangingChars="171"/>
        <w:rPr>
          <w:rFonts w:hAnsi="宋体"/>
          <w:color w:val="auto"/>
          <w:szCs w:val="21"/>
        </w:rPr>
      </w:pPr>
      <w:r>
        <w:rPr>
          <w:rFonts w:hAnsi="宋体"/>
          <w:color w:val="auto"/>
          <w:szCs w:val="21"/>
        </w:rPr>
        <w:t>本合同金额为（大写）：_____________________元（￥_________元）人民币。</w:t>
      </w:r>
    </w:p>
    <w:p>
      <w:pPr>
        <w:pStyle w:val="16"/>
        <w:adjustRightInd w:val="0"/>
        <w:snapToGrid w:val="0"/>
        <w:spacing w:line="360" w:lineRule="auto"/>
        <w:rPr>
          <w:rFonts w:ascii="Times New Roman" w:hAnsi="Times New Roman"/>
          <w:b/>
          <w:color w:val="auto"/>
          <w:szCs w:val="21"/>
        </w:rPr>
      </w:pPr>
      <w:r>
        <w:rPr>
          <w:rFonts w:ascii="Times New Roman" w:hAnsi="宋体"/>
          <w:b/>
          <w:color w:val="auto"/>
          <w:szCs w:val="21"/>
        </w:rPr>
        <w:t>三、技术资料</w:t>
      </w:r>
    </w:p>
    <w:p>
      <w:pPr>
        <w:pStyle w:val="16"/>
        <w:adjustRightInd w:val="0"/>
        <w:snapToGrid w:val="0"/>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宋体"/>
          <w:color w:val="auto"/>
          <w:szCs w:val="21"/>
        </w:rPr>
        <w:t>乙方应按招标文件规定的时间向甲方提供有关技术资料。</w:t>
      </w:r>
    </w:p>
    <w:p>
      <w:pPr>
        <w:pStyle w:val="16"/>
        <w:adjustRightInd w:val="0"/>
        <w:snapToGrid w:val="0"/>
        <w:spacing w:line="360" w:lineRule="auto"/>
        <w:ind w:firstLine="420" w:firstLineChars="200"/>
        <w:rPr>
          <w:rFonts w:ascii="Times New Roman" w:hAnsi="Times New Roman"/>
          <w:color w:val="auto"/>
          <w:szCs w:val="21"/>
        </w:rPr>
      </w:pPr>
      <w:r>
        <w:rPr>
          <w:rFonts w:hint="eastAsia" w:ascii="Times New Roman" w:hAnsi="Times New Roman"/>
          <w:color w:val="auto"/>
          <w:szCs w:val="21"/>
        </w:rPr>
        <w:t>2、</w:t>
      </w:r>
      <w:r>
        <w:rPr>
          <w:rFonts w:ascii="Times New Roman" w:hAnsi="宋体"/>
          <w:color w:val="auto"/>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adjustRightInd w:val="0"/>
        <w:snapToGrid w:val="0"/>
        <w:spacing w:line="360" w:lineRule="auto"/>
        <w:rPr>
          <w:rFonts w:ascii="Times New Roman" w:hAnsi="Times New Roman"/>
          <w:b/>
          <w:color w:val="auto"/>
          <w:szCs w:val="21"/>
        </w:rPr>
      </w:pPr>
      <w:r>
        <w:rPr>
          <w:rFonts w:ascii="Times New Roman" w:hAnsi="宋体"/>
          <w:b/>
          <w:color w:val="auto"/>
          <w:szCs w:val="21"/>
        </w:rPr>
        <w:t>四、知识产权</w:t>
      </w:r>
    </w:p>
    <w:p>
      <w:pPr>
        <w:pStyle w:val="16"/>
        <w:adjustRightInd w:val="0"/>
        <w:snapToGrid w:val="0"/>
        <w:spacing w:line="360" w:lineRule="auto"/>
        <w:ind w:firstLine="420" w:firstLineChars="200"/>
        <w:rPr>
          <w:rFonts w:ascii="Times New Roman" w:hAnsi="Times New Roman"/>
          <w:bCs/>
          <w:color w:val="auto"/>
          <w:szCs w:val="21"/>
        </w:rPr>
      </w:pPr>
      <w:r>
        <w:rPr>
          <w:rFonts w:hint="eastAsia" w:ascii="Times New Roman" w:hAnsi="宋体"/>
          <w:color w:val="auto"/>
          <w:szCs w:val="21"/>
        </w:rPr>
        <w:t>1、</w:t>
      </w:r>
      <w:r>
        <w:rPr>
          <w:rFonts w:ascii="Times New Roman" w:hAnsi="宋体"/>
          <w:color w:val="auto"/>
          <w:szCs w:val="21"/>
        </w:rPr>
        <w:t>乙方应保证提供服务过程中不会侵犯任何第三方的知识产权</w:t>
      </w:r>
      <w:r>
        <w:rPr>
          <w:rFonts w:ascii="Times New Roman" w:hAnsi="宋体"/>
          <w:bCs/>
          <w:color w:val="auto"/>
          <w:szCs w:val="21"/>
        </w:rPr>
        <w:t>。</w:t>
      </w:r>
    </w:p>
    <w:p>
      <w:pPr>
        <w:pStyle w:val="16"/>
        <w:adjustRightInd w:val="0"/>
        <w:snapToGrid w:val="0"/>
        <w:spacing w:line="360" w:lineRule="auto"/>
        <w:ind w:firstLine="420" w:firstLineChars="200"/>
        <w:rPr>
          <w:rFonts w:ascii="Times New Roman" w:hAnsi="Times New Roman"/>
          <w:color w:val="auto"/>
          <w:szCs w:val="21"/>
        </w:rPr>
      </w:pPr>
      <w:r>
        <w:rPr>
          <w:rFonts w:hint="eastAsia" w:ascii="Times New Roman" w:hAnsi="宋体"/>
          <w:color w:val="auto"/>
          <w:szCs w:val="21"/>
        </w:rPr>
        <w:t>2、</w:t>
      </w:r>
      <w:r>
        <w:rPr>
          <w:rFonts w:ascii="Times New Roman" w:hAnsi="宋体"/>
          <w:color w:val="auto"/>
          <w:szCs w:val="21"/>
        </w:rPr>
        <w:t>本项目所有成果的版权属甲方所有，乙方不得以任何形式向第三方提供，否则，按国家法律和有关规定追究乙方的一切责任。</w:t>
      </w:r>
    </w:p>
    <w:p>
      <w:pPr>
        <w:pStyle w:val="16"/>
        <w:adjustRightInd w:val="0"/>
        <w:snapToGrid w:val="0"/>
        <w:spacing w:line="360" w:lineRule="auto"/>
        <w:ind w:firstLine="420" w:firstLineChars="200"/>
        <w:rPr>
          <w:rFonts w:ascii="Times New Roman" w:hAnsi="宋体"/>
          <w:color w:val="auto"/>
          <w:szCs w:val="21"/>
        </w:rPr>
      </w:pPr>
      <w:r>
        <w:rPr>
          <w:rFonts w:hint="eastAsia" w:ascii="Times New Roman" w:hAnsi="宋体"/>
          <w:color w:val="auto"/>
          <w:szCs w:val="21"/>
        </w:rPr>
        <w:t>3、</w:t>
      </w:r>
      <w:r>
        <w:rPr>
          <w:rFonts w:ascii="Times New Roman" w:hAnsi="宋体"/>
          <w:color w:val="auto"/>
          <w:szCs w:val="21"/>
        </w:rPr>
        <w:t>本项目作业过程中提供的或涉及的所有数据属甲方拥有，乙方无权在技术要求规定之外自行处置数据，不得自行删除、复制、调整完善、转移数据，不得以任何形式向第三方提供。</w:t>
      </w:r>
    </w:p>
    <w:p>
      <w:pPr>
        <w:pStyle w:val="16"/>
        <w:adjustRightInd w:val="0"/>
        <w:snapToGrid w:val="0"/>
        <w:spacing w:line="360" w:lineRule="auto"/>
        <w:ind w:firstLine="420" w:firstLineChars="200"/>
        <w:rPr>
          <w:rFonts w:ascii="Times New Roman" w:hAnsi="宋体"/>
          <w:color w:val="auto"/>
          <w:szCs w:val="21"/>
        </w:rPr>
      </w:pPr>
      <w:r>
        <w:rPr>
          <w:rFonts w:hint="eastAsia" w:ascii="Times New Roman" w:hAnsi="宋体"/>
          <w:color w:val="auto"/>
          <w:szCs w:val="21"/>
        </w:rPr>
        <w:t>4、若侵犯,由乙方赔偿甲方因此遭受的损失（包括但不限于应对及追偿过程中所支付的律师费、差旅费、诉讼费、保全费、鉴定费、评估费等）。</w:t>
      </w:r>
    </w:p>
    <w:p>
      <w:pPr>
        <w:pStyle w:val="16"/>
        <w:adjustRightInd w:val="0"/>
        <w:snapToGrid w:val="0"/>
        <w:spacing w:line="360" w:lineRule="auto"/>
        <w:ind w:left="422" w:hanging="422" w:hangingChars="200"/>
        <w:jc w:val="left"/>
        <w:rPr>
          <w:rFonts w:hAnsi="宋体"/>
          <w:color w:val="auto"/>
          <w:szCs w:val="21"/>
        </w:rPr>
      </w:pPr>
      <w:r>
        <w:rPr>
          <w:rFonts w:hint="eastAsia" w:hAnsi="宋体"/>
          <w:b/>
          <w:bCs/>
          <w:color w:val="auto"/>
          <w:szCs w:val="21"/>
        </w:rPr>
        <w:t>五、履约保证金</w:t>
      </w:r>
      <w:r>
        <w:rPr>
          <w:rFonts w:hint="eastAsia" w:hAnsi="宋体"/>
          <w:color w:val="auto"/>
          <w:szCs w:val="21"/>
        </w:rPr>
        <w:br w:type="textWrapping"/>
      </w:r>
      <w:r>
        <w:rPr>
          <w:rFonts w:hint="eastAsia" w:hAnsi="宋体"/>
          <w:color w:val="auto"/>
          <w:szCs w:val="21"/>
        </w:rPr>
        <w:t>1、履约保证金</w:t>
      </w:r>
      <w:r>
        <w:rPr>
          <w:rFonts w:hint="eastAsia" w:hAnsi="宋体"/>
          <w:color w:val="auto"/>
          <w:szCs w:val="21"/>
          <w:lang w:val="en-US" w:eastAsia="zh-CN"/>
        </w:rPr>
        <w:t>为</w:t>
      </w:r>
      <w:r>
        <w:rPr>
          <w:rFonts w:hint="eastAsia" w:hAnsi="宋体"/>
          <w:color w:val="auto"/>
          <w:szCs w:val="21"/>
          <w:u w:val="single"/>
          <w:lang w:val="en-US" w:eastAsia="zh-CN"/>
        </w:rPr>
        <w:t xml:space="preserve">        </w:t>
      </w:r>
      <w:r>
        <w:rPr>
          <w:rFonts w:hint="eastAsia" w:hAnsi="宋体"/>
          <w:color w:val="auto"/>
          <w:szCs w:val="21"/>
          <w:lang w:val="en-US" w:eastAsia="zh-CN"/>
        </w:rPr>
        <w:t>元</w:t>
      </w:r>
      <w:r>
        <w:rPr>
          <w:rFonts w:hint="eastAsia" w:hAnsi="宋体"/>
          <w:color w:val="auto"/>
          <w:szCs w:val="21"/>
        </w:rPr>
        <w:t>。</w:t>
      </w:r>
    </w:p>
    <w:p>
      <w:pPr>
        <w:pStyle w:val="16"/>
        <w:adjustRightInd w:val="0"/>
        <w:snapToGrid w:val="0"/>
        <w:spacing w:line="360" w:lineRule="auto"/>
        <w:ind w:firstLine="420" w:firstLineChars="200"/>
        <w:rPr>
          <w:rFonts w:hAnsi="宋体"/>
          <w:color w:val="auto"/>
          <w:szCs w:val="21"/>
        </w:rPr>
      </w:pPr>
      <w:r>
        <w:rPr>
          <w:rFonts w:hint="eastAsia" w:hAnsi="宋体"/>
          <w:color w:val="auto"/>
          <w:szCs w:val="21"/>
        </w:rPr>
        <w:t xml:space="preserve">2、甲方认为乙方在承包期内没有涉及违约行为，甲方在服务期满后一个月内全额退还履约保证金，否则，甲方将在扣除乙方应付金额或违约金后退还保证金余额。  </w:t>
      </w:r>
    </w:p>
    <w:p>
      <w:pPr>
        <w:snapToGrid w:val="0"/>
        <w:spacing w:line="360" w:lineRule="auto"/>
        <w:rPr>
          <w:rFonts w:ascii="宋体" w:hAnsi="宋体"/>
          <w:b/>
          <w:color w:val="auto"/>
          <w:szCs w:val="21"/>
        </w:rPr>
      </w:pPr>
      <w:r>
        <w:rPr>
          <w:rFonts w:hint="eastAsia" w:ascii="宋体" w:hAnsi="宋体"/>
          <w:b/>
          <w:color w:val="auto"/>
          <w:szCs w:val="21"/>
        </w:rPr>
        <w:t>六、转包或分包</w:t>
      </w:r>
    </w:p>
    <w:p>
      <w:pPr>
        <w:snapToGrid w:val="0"/>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、本合同范围的服务，应由</w:t>
      </w:r>
      <w:r>
        <w:rPr>
          <w:rFonts w:ascii="宋体" w:hAnsi="宋体"/>
          <w:color w:val="auto"/>
          <w:szCs w:val="21"/>
        </w:rPr>
        <w:t>乙</w:t>
      </w:r>
      <w:r>
        <w:rPr>
          <w:rFonts w:hint="eastAsia" w:ascii="宋体" w:hAnsi="宋体"/>
          <w:color w:val="auto"/>
          <w:szCs w:val="21"/>
        </w:rPr>
        <w:t>方直接供应，不得转让他人供应；</w:t>
      </w:r>
    </w:p>
    <w:p>
      <w:pPr>
        <w:snapToGrid w:val="0"/>
        <w:spacing w:line="360" w:lineRule="auto"/>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、除非得到甲方的书面同意，</w:t>
      </w:r>
      <w:r>
        <w:rPr>
          <w:rFonts w:ascii="宋体" w:hAnsi="宋体"/>
          <w:color w:val="auto"/>
          <w:szCs w:val="21"/>
        </w:rPr>
        <w:t>乙</w:t>
      </w:r>
      <w:r>
        <w:rPr>
          <w:rFonts w:hint="eastAsia" w:ascii="宋体" w:hAnsi="宋体"/>
          <w:color w:val="auto"/>
          <w:szCs w:val="21"/>
        </w:rPr>
        <w:t>方不得将本合同范围的服务全部或部分分包给他人供应；</w:t>
      </w:r>
    </w:p>
    <w:p>
      <w:pPr>
        <w:snapToGrid w:val="0"/>
        <w:spacing w:line="360" w:lineRule="auto"/>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、如有转让和未经甲方同意的分包行为，甲方有权解除合同，没收履约保证金并追究乙方的违约责任。</w:t>
      </w:r>
    </w:p>
    <w:p>
      <w:pPr>
        <w:spacing w:line="360" w:lineRule="auto"/>
        <w:rPr>
          <w:rFonts w:ascii="宋体" w:hAnsi="宋体" w:cs="宋体"/>
          <w:b/>
          <w:color w:val="auto"/>
          <w:szCs w:val="21"/>
        </w:rPr>
      </w:pPr>
      <w:r>
        <w:rPr>
          <w:rFonts w:hint="eastAsia" w:hAnsi="宋体"/>
          <w:b/>
          <w:color w:val="auto"/>
          <w:szCs w:val="21"/>
        </w:rPr>
        <w:t>七</w:t>
      </w:r>
      <w:r>
        <w:rPr>
          <w:rFonts w:hAnsi="宋体"/>
          <w:b/>
          <w:color w:val="auto"/>
          <w:szCs w:val="21"/>
        </w:rPr>
        <w:t>、</w:t>
      </w:r>
      <w:r>
        <w:rPr>
          <w:rFonts w:hint="eastAsia" w:ascii="宋体" w:hAnsi="宋体" w:cs="宋体"/>
          <w:b/>
          <w:color w:val="auto"/>
          <w:szCs w:val="21"/>
        </w:rPr>
        <w:t>进展要求</w:t>
      </w:r>
    </w:p>
    <w:p>
      <w:pPr>
        <w:pStyle w:val="16"/>
        <w:adjustRightInd w:val="0"/>
        <w:snapToGrid w:val="0"/>
        <w:spacing w:line="360" w:lineRule="auto"/>
        <w:ind w:firstLine="420" w:firstLineChars="200"/>
        <w:rPr>
          <w:rFonts w:hAnsi="宋体" w:cs="宋体"/>
          <w:color w:val="auto"/>
          <w:szCs w:val="21"/>
        </w:rPr>
      </w:pPr>
      <w:r>
        <w:rPr>
          <w:rFonts w:hint="eastAsia" w:hAnsi="宋体" w:cs="宋体"/>
          <w:color w:val="auto"/>
          <w:szCs w:val="21"/>
        </w:rPr>
        <w:t xml:space="preserve"> 1、2021年</w:t>
      </w:r>
      <w:r>
        <w:rPr>
          <w:rFonts w:hAnsi="宋体" w:cs="宋体"/>
          <w:color w:val="auto"/>
          <w:szCs w:val="21"/>
        </w:rPr>
        <w:t>4</w:t>
      </w:r>
      <w:r>
        <w:rPr>
          <w:rFonts w:hint="eastAsia" w:hAnsi="宋体" w:cs="宋体"/>
          <w:color w:val="auto"/>
          <w:szCs w:val="21"/>
        </w:rPr>
        <w:t>月底前，完成初步排查，绘制完成沿岸工业场地清单和空间矢量信息，并输入“台州市土壤环境信息化管理平台”。</w:t>
      </w:r>
    </w:p>
    <w:p>
      <w:pPr>
        <w:pStyle w:val="16"/>
        <w:adjustRightInd w:val="0"/>
        <w:snapToGrid w:val="0"/>
        <w:spacing w:line="360" w:lineRule="auto"/>
        <w:ind w:firstLine="420" w:firstLineChars="200"/>
        <w:rPr>
          <w:rFonts w:hAnsi="宋体" w:cs="宋体"/>
          <w:color w:val="auto"/>
          <w:szCs w:val="21"/>
        </w:rPr>
      </w:pPr>
      <w:r>
        <w:rPr>
          <w:rFonts w:hint="eastAsia" w:hAnsi="宋体" w:cs="宋体"/>
          <w:color w:val="auto"/>
          <w:szCs w:val="21"/>
        </w:rPr>
        <w:t>2、2021年</w:t>
      </w:r>
      <w:r>
        <w:rPr>
          <w:rFonts w:hAnsi="宋体" w:cs="宋体"/>
          <w:color w:val="auto"/>
          <w:szCs w:val="21"/>
        </w:rPr>
        <w:t>5</w:t>
      </w:r>
      <w:r>
        <w:rPr>
          <w:rFonts w:hint="eastAsia" w:hAnsi="宋体" w:cs="宋体"/>
          <w:color w:val="auto"/>
          <w:szCs w:val="21"/>
        </w:rPr>
        <w:t>月底前，完成排查，编制在产工业企业地下水和土壤污染隐患“一厂一策” 整改方案，形成疑似污染地块清单，沿岸土壤和地下水污染隐患“对账销号”清单。</w:t>
      </w:r>
    </w:p>
    <w:p>
      <w:pPr>
        <w:pStyle w:val="16"/>
        <w:adjustRightInd w:val="0"/>
        <w:snapToGrid w:val="0"/>
        <w:spacing w:line="360" w:lineRule="auto"/>
        <w:ind w:firstLine="420" w:firstLineChars="200"/>
        <w:rPr>
          <w:rFonts w:ascii="Times New Roman" w:hAnsi="宋体"/>
          <w:b/>
          <w:color w:val="auto"/>
          <w:szCs w:val="21"/>
        </w:rPr>
      </w:pPr>
      <w:r>
        <w:rPr>
          <w:rFonts w:hint="eastAsia" w:hAnsi="宋体" w:cs="宋体"/>
          <w:color w:val="auto"/>
          <w:szCs w:val="21"/>
        </w:rPr>
        <w:t>3、2021年</w:t>
      </w:r>
      <w:r>
        <w:rPr>
          <w:rFonts w:hAnsi="宋体" w:cs="宋体"/>
          <w:color w:val="auto"/>
          <w:szCs w:val="21"/>
        </w:rPr>
        <w:t>11</w:t>
      </w:r>
      <w:r>
        <w:rPr>
          <w:rFonts w:hint="eastAsia" w:hAnsi="宋体" w:cs="宋体"/>
          <w:color w:val="auto"/>
          <w:szCs w:val="21"/>
        </w:rPr>
        <w:t>月底前，形成椒江近岸海域和沿岸在产工业企业土壤及地下水环境污染隐患总结评估报告，绘制沿岸土壤和地下水污染地图，实现“一张图”管理。</w:t>
      </w:r>
    </w:p>
    <w:p>
      <w:pPr>
        <w:adjustRightInd w:val="0"/>
        <w:snapToGrid w:val="0"/>
        <w:spacing w:line="360" w:lineRule="auto"/>
        <w:rPr>
          <w:rFonts w:ascii="宋体" w:hAnsi="宋体" w:cs="宋体"/>
          <w:b/>
          <w:bCs/>
          <w:color w:val="auto"/>
          <w:szCs w:val="21"/>
        </w:rPr>
      </w:pPr>
      <w:r>
        <w:rPr>
          <w:rFonts w:hint="eastAsia" w:hAnsi="宋体"/>
          <w:b/>
          <w:color w:val="auto"/>
          <w:szCs w:val="21"/>
        </w:rPr>
        <w:t>八</w:t>
      </w:r>
      <w:r>
        <w:rPr>
          <w:rFonts w:hAnsi="宋体"/>
          <w:b/>
          <w:color w:val="auto"/>
          <w:szCs w:val="21"/>
        </w:rPr>
        <w:t>、</w:t>
      </w:r>
      <w:r>
        <w:rPr>
          <w:rFonts w:hint="eastAsia" w:ascii="宋体" w:hAnsi="宋体" w:cs="宋体"/>
          <w:b/>
          <w:bCs/>
          <w:color w:val="auto"/>
          <w:szCs w:val="21"/>
        </w:rPr>
        <w:t>项目成果</w:t>
      </w:r>
    </w:p>
    <w:p>
      <w:pPr>
        <w:pStyle w:val="16"/>
        <w:adjustRightInd w:val="0"/>
        <w:snapToGrid w:val="0"/>
        <w:spacing w:line="360" w:lineRule="auto"/>
        <w:ind w:firstLine="420" w:firstLineChars="200"/>
        <w:rPr>
          <w:rFonts w:hAnsi="宋体" w:cs="宋体"/>
          <w:color w:val="auto"/>
          <w:szCs w:val="21"/>
        </w:rPr>
      </w:pPr>
      <w:r>
        <w:rPr>
          <w:rFonts w:hint="eastAsia" w:hAnsi="宋体" w:cs="宋体"/>
          <w:color w:val="auto"/>
          <w:szCs w:val="21"/>
        </w:rPr>
        <w:t>1、绘制完成沿岸工业场地清单和空间矢量信息，并输入“台州市土壤环境信息化管理平台”；</w:t>
      </w:r>
    </w:p>
    <w:p>
      <w:pPr>
        <w:pStyle w:val="16"/>
        <w:adjustRightInd w:val="0"/>
        <w:snapToGrid w:val="0"/>
        <w:spacing w:line="360" w:lineRule="auto"/>
        <w:ind w:firstLine="420" w:firstLineChars="200"/>
        <w:rPr>
          <w:rFonts w:hAnsi="宋体" w:cs="宋体"/>
          <w:color w:val="auto"/>
          <w:szCs w:val="21"/>
        </w:rPr>
      </w:pPr>
      <w:r>
        <w:rPr>
          <w:rFonts w:hint="eastAsia" w:hAnsi="宋体" w:cs="宋体"/>
          <w:color w:val="auto"/>
          <w:szCs w:val="21"/>
        </w:rPr>
        <w:t>2、《椒江近岸海域和沿岸在产工业企业土壤及地下水环境污染隐患“一厂一策”整改方案》；</w:t>
      </w:r>
    </w:p>
    <w:p>
      <w:pPr>
        <w:pStyle w:val="16"/>
        <w:adjustRightInd w:val="0"/>
        <w:snapToGrid w:val="0"/>
        <w:spacing w:line="360" w:lineRule="auto"/>
        <w:ind w:firstLine="420" w:firstLineChars="200"/>
        <w:rPr>
          <w:rFonts w:hAnsi="宋体" w:cs="宋体"/>
          <w:color w:val="auto"/>
          <w:szCs w:val="21"/>
        </w:rPr>
      </w:pPr>
      <w:r>
        <w:rPr>
          <w:rFonts w:hint="eastAsia" w:hAnsi="宋体" w:cs="宋体"/>
          <w:color w:val="auto"/>
          <w:szCs w:val="21"/>
        </w:rPr>
        <w:t>3、</w:t>
      </w:r>
      <w:r>
        <w:rPr>
          <w:rFonts w:hint="eastAsia" w:asciiTheme="minorEastAsia" w:hAnsiTheme="minorEastAsia" w:eastAsiaTheme="minorEastAsia" w:cstheme="minorEastAsia"/>
          <w:color w:val="auto"/>
          <w:szCs w:val="21"/>
        </w:rPr>
        <w:t>《椒江近岸海域和沿岸退役工业企业场地土壤污染状况第一阶段调查报告》，形成椒江近岸海域和沿岸疑似污染地块清单；</w:t>
      </w:r>
    </w:p>
    <w:p>
      <w:pPr>
        <w:pStyle w:val="16"/>
        <w:adjustRightInd w:val="0"/>
        <w:snapToGrid w:val="0"/>
        <w:spacing w:line="360" w:lineRule="auto"/>
        <w:ind w:firstLine="420" w:firstLineChars="200"/>
        <w:rPr>
          <w:rFonts w:hAnsi="宋体" w:cs="宋体"/>
          <w:color w:val="auto"/>
          <w:szCs w:val="21"/>
        </w:rPr>
      </w:pPr>
      <w:r>
        <w:rPr>
          <w:rFonts w:hint="eastAsia" w:hAnsi="宋体" w:cs="宋体"/>
          <w:color w:val="auto"/>
          <w:szCs w:val="21"/>
        </w:rPr>
        <w:t>4、《椒江近岸海域和沿岸在产工业企业土壤及地下水环境污染隐患总结评估报告》；</w:t>
      </w:r>
    </w:p>
    <w:p>
      <w:pPr>
        <w:pStyle w:val="16"/>
        <w:adjustRightInd w:val="0"/>
        <w:snapToGrid w:val="0"/>
        <w:spacing w:line="360" w:lineRule="auto"/>
        <w:ind w:firstLine="420" w:firstLineChars="200"/>
        <w:rPr>
          <w:rFonts w:hAnsi="宋体" w:cs="宋体"/>
          <w:color w:val="auto"/>
          <w:szCs w:val="21"/>
        </w:rPr>
      </w:pPr>
      <w:r>
        <w:rPr>
          <w:rFonts w:hint="eastAsia" w:hAnsi="宋体" w:cs="宋体"/>
          <w:color w:val="auto"/>
          <w:szCs w:val="21"/>
        </w:rPr>
        <w:t>5、沿岸土壤和地下水污染地图，高风险、中风险、低风险的分级“一张图”管理，形成沿岸土壤和地下水污染隐患“对账销号”清单。</w:t>
      </w:r>
    </w:p>
    <w:p>
      <w:pPr>
        <w:pStyle w:val="16"/>
        <w:adjustRightInd w:val="0"/>
        <w:snapToGrid w:val="0"/>
        <w:spacing w:line="360" w:lineRule="auto"/>
        <w:rPr>
          <w:rFonts w:ascii="Times New Roman" w:hAnsi="Times New Roman"/>
          <w:b/>
          <w:color w:val="auto"/>
          <w:szCs w:val="21"/>
        </w:rPr>
      </w:pPr>
      <w:r>
        <w:rPr>
          <w:rFonts w:hint="eastAsia" w:ascii="Times New Roman" w:hAnsi="宋体"/>
          <w:b/>
          <w:color w:val="auto"/>
          <w:szCs w:val="21"/>
        </w:rPr>
        <w:t>九、</w:t>
      </w:r>
      <w:r>
        <w:rPr>
          <w:rFonts w:ascii="Times New Roman" w:hAnsi="宋体"/>
          <w:b/>
          <w:color w:val="auto"/>
          <w:szCs w:val="21"/>
        </w:rPr>
        <w:t>款项支付</w:t>
      </w:r>
    </w:p>
    <w:p>
      <w:pPr>
        <w:pStyle w:val="3"/>
        <w:adjustRightInd w:val="0"/>
        <w:snapToGrid w:val="0"/>
        <w:spacing w:line="360" w:lineRule="auto"/>
        <w:ind w:left="0" w:leftChars="0"/>
        <w:rPr>
          <w:color w:val="auto"/>
          <w:szCs w:val="21"/>
        </w:rPr>
      </w:pPr>
      <w:r>
        <w:rPr>
          <w:rFonts w:hint="eastAsia" w:ascii="宋体" w:hAnsi="宋体" w:cs="宋体"/>
          <w:color w:val="auto"/>
          <w:szCs w:val="21"/>
        </w:rPr>
        <w:t xml:space="preserve"> </w:t>
      </w:r>
      <w:r>
        <w:rPr>
          <w:rFonts w:hint="eastAsia"/>
          <w:b/>
          <w:color w:val="auto"/>
        </w:rPr>
        <w:t>十</w:t>
      </w:r>
      <w:r>
        <w:rPr>
          <w:b/>
          <w:color w:val="auto"/>
        </w:rPr>
        <w:t>、税费</w:t>
      </w:r>
    </w:p>
    <w:p>
      <w:pPr>
        <w:pStyle w:val="16"/>
        <w:adjustRightInd w:val="0"/>
        <w:snapToGrid w:val="0"/>
        <w:spacing w:line="360" w:lineRule="auto"/>
        <w:rPr>
          <w:rFonts w:hAnsi="宋体"/>
          <w:color w:val="auto"/>
          <w:szCs w:val="21"/>
        </w:rPr>
      </w:pPr>
      <w:r>
        <w:rPr>
          <w:rFonts w:hint="eastAsia"/>
          <w:color w:val="auto"/>
          <w:szCs w:val="21"/>
        </w:rPr>
        <w:t xml:space="preserve">   </w:t>
      </w:r>
      <w:r>
        <w:rPr>
          <w:rFonts w:hAnsi="宋体"/>
          <w:color w:val="auto"/>
          <w:szCs w:val="21"/>
        </w:rPr>
        <w:t>本合同执行中相关的一切税费均由乙方负担。</w:t>
      </w:r>
    </w:p>
    <w:p>
      <w:pPr>
        <w:pStyle w:val="3"/>
        <w:adjustRightInd w:val="0"/>
        <w:snapToGrid w:val="0"/>
        <w:spacing w:line="360" w:lineRule="auto"/>
        <w:ind w:left="0" w:leftChars="0"/>
        <w:rPr>
          <w:b/>
          <w:color w:val="auto"/>
        </w:rPr>
      </w:pPr>
      <w:r>
        <w:rPr>
          <w:rFonts w:hint="eastAsia"/>
          <w:b/>
          <w:color w:val="auto"/>
        </w:rPr>
        <w:t>十一、质量保证及后续服务</w:t>
      </w:r>
    </w:p>
    <w:p>
      <w:pPr>
        <w:pStyle w:val="16"/>
        <w:adjustRightInd w:val="0"/>
        <w:snapToGrid w:val="0"/>
        <w:spacing w:line="360" w:lineRule="auto"/>
        <w:ind w:firstLine="420" w:firstLineChars="200"/>
        <w:rPr>
          <w:rFonts w:hAnsi="宋体"/>
          <w:color w:val="auto"/>
          <w:szCs w:val="21"/>
        </w:rPr>
      </w:pPr>
      <w:r>
        <w:rPr>
          <w:rFonts w:hAnsi="宋体"/>
          <w:color w:val="auto"/>
          <w:szCs w:val="21"/>
        </w:rPr>
        <w:t>1</w:t>
      </w:r>
      <w:r>
        <w:rPr>
          <w:rFonts w:hint="eastAsia" w:hAnsi="宋体"/>
          <w:color w:val="auto"/>
          <w:szCs w:val="21"/>
        </w:rPr>
        <w:t>、</w:t>
      </w:r>
      <w:r>
        <w:rPr>
          <w:rFonts w:hAnsi="宋体"/>
          <w:color w:val="auto"/>
          <w:szCs w:val="21"/>
        </w:rPr>
        <w:t>乙方应按招标文件规定向甲方提供服务。</w:t>
      </w:r>
    </w:p>
    <w:p>
      <w:pPr>
        <w:pStyle w:val="16"/>
        <w:adjustRightInd w:val="0"/>
        <w:snapToGrid w:val="0"/>
        <w:spacing w:line="360" w:lineRule="auto"/>
        <w:ind w:firstLine="420" w:firstLineChars="200"/>
        <w:rPr>
          <w:rFonts w:hAnsi="宋体"/>
          <w:color w:val="auto"/>
          <w:szCs w:val="21"/>
        </w:rPr>
      </w:pPr>
      <w:r>
        <w:rPr>
          <w:rFonts w:hAnsi="宋体"/>
          <w:color w:val="auto"/>
          <w:szCs w:val="21"/>
        </w:rPr>
        <w:t>2</w:t>
      </w:r>
      <w:r>
        <w:rPr>
          <w:rFonts w:hint="eastAsia" w:hAnsi="宋体"/>
          <w:color w:val="auto"/>
          <w:szCs w:val="21"/>
        </w:rPr>
        <w:t>、</w:t>
      </w:r>
      <w:r>
        <w:rPr>
          <w:rFonts w:hAnsi="宋体"/>
          <w:color w:val="auto"/>
          <w:szCs w:val="21"/>
        </w:rPr>
        <w:t>乙方提供的服务成果在服务质量保证期内发生故障，乙方应负责免费提供后续服务。对达不到要求者，根据实际情况，经双方协商，可按以下办法处理：</w:t>
      </w:r>
    </w:p>
    <w:p>
      <w:pPr>
        <w:pStyle w:val="16"/>
        <w:adjustRightInd w:val="0"/>
        <w:snapToGrid w:val="0"/>
        <w:spacing w:line="360" w:lineRule="auto"/>
        <w:ind w:firstLine="420" w:firstLineChars="200"/>
        <w:rPr>
          <w:rFonts w:hAnsi="宋体"/>
          <w:color w:val="auto"/>
          <w:szCs w:val="21"/>
        </w:rPr>
      </w:pPr>
      <w:r>
        <w:rPr>
          <w:rFonts w:hAnsi="宋体"/>
          <w:color w:val="auto"/>
          <w:szCs w:val="21"/>
        </w:rPr>
        <w:t>⑴重做：由乙方承担所发生的全部费用。</w:t>
      </w:r>
    </w:p>
    <w:p>
      <w:pPr>
        <w:pStyle w:val="16"/>
        <w:adjustRightInd w:val="0"/>
        <w:snapToGrid w:val="0"/>
        <w:spacing w:line="360" w:lineRule="auto"/>
        <w:ind w:firstLine="420" w:firstLineChars="200"/>
        <w:rPr>
          <w:rFonts w:hAnsi="宋体"/>
          <w:color w:val="auto"/>
          <w:szCs w:val="21"/>
        </w:rPr>
      </w:pPr>
      <w:r>
        <w:rPr>
          <w:rFonts w:hAnsi="宋体"/>
          <w:color w:val="auto"/>
          <w:szCs w:val="21"/>
        </w:rPr>
        <w:t>⑵贬值处理：由甲乙双方合议定价。</w:t>
      </w:r>
    </w:p>
    <w:p>
      <w:pPr>
        <w:pStyle w:val="16"/>
        <w:adjustRightInd w:val="0"/>
        <w:snapToGrid w:val="0"/>
        <w:spacing w:line="360" w:lineRule="auto"/>
        <w:ind w:firstLine="420" w:firstLineChars="200"/>
        <w:rPr>
          <w:rFonts w:hAnsi="宋体"/>
          <w:color w:val="auto"/>
          <w:szCs w:val="21"/>
        </w:rPr>
      </w:pPr>
      <w:r>
        <w:rPr>
          <w:rFonts w:hAnsi="宋体"/>
          <w:color w:val="auto"/>
          <w:szCs w:val="21"/>
        </w:rPr>
        <w:t>⑶解除合同。</w:t>
      </w:r>
    </w:p>
    <w:p>
      <w:pPr>
        <w:pStyle w:val="16"/>
        <w:adjustRightInd w:val="0"/>
        <w:snapToGrid w:val="0"/>
        <w:spacing w:line="360" w:lineRule="auto"/>
        <w:ind w:firstLine="420" w:firstLineChars="200"/>
        <w:rPr>
          <w:rFonts w:hAnsi="宋体"/>
          <w:color w:val="auto"/>
          <w:szCs w:val="21"/>
        </w:rPr>
      </w:pPr>
      <w:r>
        <w:rPr>
          <w:rFonts w:hAnsi="宋体"/>
          <w:color w:val="auto"/>
          <w:szCs w:val="21"/>
        </w:rPr>
        <w:t>3</w:t>
      </w:r>
      <w:r>
        <w:rPr>
          <w:rFonts w:hint="eastAsia" w:hAnsi="宋体"/>
          <w:color w:val="auto"/>
          <w:szCs w:val="21"/>
        </w:rPr>
        <w:t>、</w:t>
      </w:r>
      <w:r>
        <w:rPr>
          <w:rFonts w:hAnsi="宋体"/>
          <w:color w:val="auto"/>
          <w:szCs w:val="21"/>
        </w:rPr>
        <w:t>如在使用过程中发生问题，乙方在接到甲方通知后在</w:t>
      </w:r>
      <w:r>
        <w:rPr>
          <w:rFonts w:hint="eastAsia" w:hAnsi="宋体"/>
          <w:color w:val="auto"/>
          <w:szCs w:val="21"/>
        </w:rPr>
        <w:t xml:space="preserve">   </w:t>
      </w:r>
      <w:r>
        <w:rPr>
          <w:rFonts w:hAnsi="宋体"/>
          <w:color w:val="auto"/>
          <w:szCs w:val="21"/>
        </w:rPr>
        <w:t>小时内到达甲方现场。</w:t>
      </w:r>
    </w:p>
    <w:p>
      <w:pPr>
        <w:pStyle w:val="16"/>
        <w:adjustRightInd w:val="0"/>
        <w:snapToGrid w:val="0"/>
        <w:spacing w:line="360" w:lineRule="auto"/>
        <w:ind w:firstLine="420" w:firstLineChars="200"/>
        <w:rPr>
          <w:rFonts w:hAnsi="宋体"/>
          <w:color w:val="auto"/>
          <w:szCs w:val="21"/>
        </w:rPr>
      </w:pPr>
      <w:r>
        <w:rPr>
          <w:rFonts w:hAnsi="宋体"/>
          <w:color w:val="auto"/>
          <w:szCs w:val="21"/>
        </w:rPr>
        <w:t>4</w:t>
      </w:r>
      <w:r>
        <w:rPr>
          <w:rFonts w:hint="eastAsia" w:hAnsi="宋体"/>
          <w:color w:val="auto"/>
          <w:szCs w:val="21"/>
        </w:rPr>
        <w:t>、</w:t>
      </w:r>
      <w:r>
        <w:rPr>
          <w:rFonts w:hAnsi="宋体"/>
          <w:color w:val="auto"/>
          <w:szCs w:val="21"/>
        </w:rPr>
        <w:t>在</w:t>
      </w:r>
      <w:r>
        <w:rPr>
          <w:rFonts w:hAnsi="宋体"/>
          <w:b/>
          <w:bCs/>
          <w:color w:val="auto"/>
          <w:szCs w:val="21"/>
        </w:rPr>
        <w:t>服务质量保证期</w:t>
      </w:r>
      <w:r>
        <w:rPr>
          <w:rFonts w:hAnsi="宋体"/>
          <w:color w:val="auto"/>
          <w:szCs w:val="21"/>
        </w:rPr>
        <w:t>内，乙方应对出现的质量及安全问题负责处理解决并承担</w:t>
      </w:r>
    </w:p>
    <w:p>
      <w:pPr>
        <w:pStyle w:val="16"/>
        <w:adjustRightInd w:val="0"/>
        <w:snapToGrid w:val="0"/>
        <w:spacing w:line="360" w:lineRule="auto"/>
        <w:rPr>
          <w:b/>
          <w:color w:val="auto"/>
        </w:rPr>
      </w:pPr>
      <w:r>
        <w:rPr>
          <w:rFonts w:hAnsi="宋体"/>
          <w:color w:val="auto"/>
          <w:szCs w:val="21"/>
        </w:rPr>
        <w:t>一切费用。</w:t>
      </w:r>
    </w:p>
    <w:p>
      <w:pPr>
        <w:pStyle w:val="3"/>
        <w:adjustRightInd w:val="0"/>
        <w:snapToGrid w:val="0"/>
        <w:spacing w:line="360" w:lineRule="auto"/>
        <w:ind w:left="0" w:leftChars="0"/>
        <w:rPr>
          <w:b/>
          <w:color w:val="auto"/>
        </w:rPr>
      </w:pPr>
      <w:r>
        <w:rPr>
          <w:rFonts w:hint="eastAsia"/>
          <w:b/>
          <w:color w:val="auto"/>
        </w:rPr>
        <w:t>十二、</w:t>
      </w:r>
      <w:r>
        <w:rPr>
          <w:b/>
          <w:color w:val="auto"/>
        </w:rPr>
        <w:t>违约责任</w:t>
      </w:r>
    </w:p>
    <w:p>
      <w:pPr>
        <w:pStyle w:val="16"/>
        <w:adjustRightInd w:val="0"/>
        <w:snapToGrid w:val="0"/>
        <w:spacing w:line="360" w:lineRule="auto"/>
        <w:ind w:firstLine="420" w:firstLineChars="200"/>
        <w:rPr>
          <w:color w:val="auto"/>
        </w:rPr>
      </w:pPr>
      <w:r>
        <w:rPr>
          <w:rFonts w:hint="eastAsia"/>
          <w:color w:val="auto"/>
        </w:rPr>
        <w:t>1、</w:t>
      </w:r>
      <w:r>
        <w:rPr>
          <w:color w:val="auto"/>
        </w:rPr>
        <w:t>甲方无正当理由拒收接受服务的，甲方向乙方</w:t>
      </w:r>
      <w:r>
        <w:rPr>
          <w:rFonts w:hint="eastAsia"/>
          <w:color w:val="auto"/>
        </w:rPr>
        <w:t>支付</w:t>
      </w:r>
      <w:r>
        <w:rPr>
          <w:color w:val="auto"/>
        </w:rPr>
        <w:t>合同款项百分之五作为违约金。</w:t>
      </w:r>
    </w:p>
    <w:p>
      <w:pPr>
        <w:pStyle w:val="16"/>
        <w:adjustRightInd w:val="0"/>
        <w:snapToGrid w:val="0"/>
        <w:spacing w:line="360" w:lineRule="auto"/>
        <w:ind w:firstLine="420" w:firstLineChars="200"/>
        <w:rPr>
          <w:color w:val="auto"/>
        </w:rPr>
      </w:pPr>
      <w:r>
        <w:rPr>
          <w:rFonts w:hint="eastAsia"/>
          <w:color w:val="auto"/>
        </w:rPr>
        <w:t>2、</w:t>
      </w:r>
      <w:r>
        <w:rPr>
          <w:color w:val="auto"/>
        </w:rPr>
        <w:t>甲方无故逾期办理款项支付手续的,甲方应按逾期付款总额每日万分之</w:t>
      </w:r>
    </w:p>
    <w:p>
      <w:pPr>
        <w:pStyle w:val="16"/>
        <w:adjustRightInd w:val="0"/>
        <w:snapToGrid w:val="0"/>
        <w:spacing w:line="360" w:lineRule="auto"/>
        <w:rPr>
          <w:color w:val="auto"/>
        </w:rPr>
      </w:pPr>
      <w:r>
        <w:rPr>
          <w:color w:val="auto"/>
        </w:rPr>
        <w:t>五向乙方支付违约金。</w:t>
      </w:r>
    </w:p>
    <w:p>
      <w:pPr>
        <w:pStyle w:val="16"/>
        <w:adjustRightInd w:val="0"/>
        <w:snapToGrid w:val="0"/>
        <w:spacing w:line="360" w:lineRule="auto"/>
        <w:ind w:firstLine="420" w:firstLineChars="200"/>
        <w:rPr>
          <w:color w:val="auto"/>
        </w:rPr>
      </w:pPr>
      <w:r>
        <w:rPr>
          <w:rFonts w:hint="eastAsia"/>
          <w:color w:val="auto"/>
        </w:rPr>
        <w:t>3、</w:t>
      </w:r>
      <w:r>
        <w:rPr>
          <w:color w:val="auto"/>
        </w:rPr>
        <w:t xml:space="preserve">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 </w:t>
      </w:r>
    </w:p>
    <w:p>
      <w:pPr>
        <w:pStyle w:val="16"/>
        <w:adjustRightInd w:val="0"/>
        <w:snapToGrid w:val="0"/>
        <w:spacing w:line="360" w:lineRule="auto"/>
        <w:ind w:firstLine="420" w:firstLineChars="200"/>
        <w:rPr>
          <w:color w:val="auto"/>
        </w:rPr>
      </w:pPr>
      <w:r>
        <w:rPr>
          <w:rFonts w:hint="eastAsia"/>
          <w:color w:val="auto"/>
        </w:rPr>
        <w:t>4、若发生纠纷，由违约方赔偿守约方因纠纷所支付的费用（包括但不限于律师费、差旅费、诉讼费、保全费、鉴定费、评估费等）。</w:t>
      </w:r>
    </w:p>
    <w:p>
      <w:pPr>
        <w:pStyle w:val="16"/>
        <w:snapToGrid w:val="0"/>
        <w:spacing w:line="360" w:lineRule="auto"/>
        <w:textAlignment w:val="baseline"/>
        <w:rPr>
          <w:rFonts w:hAnsi="宋体"/>
          <w:b/>
          <w:bCs/>
          <w:snapToGrid w:val="0"/>
          <w:color w:val="auto"/>
          <w:szCs w:val="21"/>
        </w:rPr>
      </w:pPr>
      <w:r>
        <w:rPr>
          <w:rFonts w:hint="eastAsia" w:hAnsi="宋体"/>
          <w:b/>
          <w:bCs/>
          <w:snapToGrid w:val="0"/>
          <w:color w:val="auto"/>
          <w:szCs w:val="21"/>
        </w:rPr>
        <w:t>十三、不可抗力事件处理</w:t>
      </w:r>
    </w:p>
    <w:p>
      <w:pPr>
        <w:pStyle w:val="16"/>
        <w:snapToGrid w:val="0"/>
        <w:spacing w:line="360" w:lineRule="auto"/>
        <w:ind w:firstLine="420" w:firstLineChars="200"/>
        <w:textAlignment w:val="baseline"/>
        <w:rPr>
          <w:rFonts w:hAnsi="宋体"/>
          <w:snapToGrid w:val="0"/>
          <w:color w:val="auto"/>
          <w:szCs w:val="21"/>
        </w:rPr>
      </w:pPr>
      <w:r>
        <w:rPr>
          <w:rFonts w:hAnsi="宋体"/>
          <w:snapToGrid w:val="0"/>
          <w:color w:val="auto"/>
          <w:szCs w:val="21"/>
        </w:rPr>
        <w:t>1</w:t>
      </w:r>
      <w:r>
        <w:rPr>
          <w:rFonts w:hint="eastAsia" w:hAnsi="宋体"/>
          <w:snapToGrid w:val="0"/>
          <w:color w:val="auto"/>
          <w:szCs w:val="21"/>
        </w:rPr>
        <w:t>、在合同有效期内，任何一方因不可抗力事件导致不能履行合同，则合同履行期可延长，其延长期与不可抗力影响期相同。</w:t>
      </w:r>
    </w:p>
    <w:p>
      <w:pPr>
        <w:pStyle w:val="16"/>
        <w:snapToGrid w:val="0"/>
        <w:spacing w:line="360" w:lineRule="auto"/>
        <w:ind w:firstLine="420" w:firstLineChars="200"/>
        <w:textAlignment w:val="baseline"/>
        <w:rPr>
          <w:rFonts w:hAnsi="宋体"/>
          <w:snapToGrid w:val="0"/>
          <w:color w:val="auto"/>
          <w:szCs w:val="21"/>
        </w:rPr>
      </w:pPr>
      <w:r>
        <w:rPr>
          <w:rFonts w:hAnsi="宋体"/>
          <w:snapToGrid w:val="0"/>
          <w:color w:val="auto"/>
          <w:szCs w:val="21"/>
        </w:rPr>
        <w:t>2</w:t>
      </w:r>
      <w:r>
        <w:rPr>
          <w:rFonts w:hint="eastAsia" w:hAnsi="宋体"/>
          <w:snapToGrid w:val="0"/>
          <w:color w:val="auto"/>
          <w:szCs w:val="21"/>
        </w:rPr>
        <w:t>、不可抗力事件发生后，应立即通知对方，并寄送有关权威机构出具的证明。</w:t>
      </w:r>
    </w:p>
    <w:p>
      <w:pPr>
        <w:pStyle w:val="16"/>
        <w:snapToGrid w:val="0"/>
        <w:spacing w:line="360" w:lineRule="auto"/>
        <w:ind w:firstLine="420" w:firstLineChars="200"/>
        <w:textAlignment w:val="baseline"/>
        <w:rPr>
          <w:rFonts w:hAnsi="宋体"/>
          <w:snapToGrid w:val="0"/>
          <w:color w:val="auto"/>
          <w:szCs w:val="21"/>
        </w:rPr>
      </w:pPr>
      <w:r>
        <w:rPr>
          <w:rFonts w:hAnsi="宋体"/>
          <w:snapToGrid w:val="0"/>
          <w:color w:val="auto"/>
          <w:szCs w:val="21"/>
        </w:rPr>
        <w:t>3</w:t>
      </w:r>
      <w:r>
        <w:rPr>
          <w:rFonts w:hint="eastAsia" w:hAnsi="宋体"/>
          <w:snapToGrid w:val="0"/>
          <w:color w:val="auto"/>
          <w:szCs w:val="21"/>
        </w:rPr>
        <w:t>、不可抗力事件延续</w:t>
      </w:r>
      <w:r>
        <w:rPr>
          <w:rFonts w:hAnsi="宋体"/>
          <w:snapToGrid w:val="0"/>
          <w:color w:val="auto"/>
          <w:szCs w:val="21"/>
        </w:rPr>
        <w:t>120</w:t>
      </w:r>
      <w:r>
        <w:rPr>
          <w:rFonts w:hint="eastAsia" w:hAnsi="宋体"/>
          <w:snapToGrid w:val="0"/>
          <w:color w:val="auto"/>
          <w:szCs w:val="21"/>
        </w:rPr>
        <w:t>天以上，双方应通过友好协商，确定是否继续履行合同。</w:t>
      </w:r>
    </w:p>
    <w:p>
      <w:pPr>
        <w:pStyle w:val="16"/>
        <w:snapToGrid w:val="0"/>
        <w:spacing w:line="360" w:lineRule="auto"/>
        <w:textAlignment w:val="baseline"/>
        <w:rPr>
          <w:rFonts w:hAnsi="宋体"/>
          <w:b/>
          <w:bCs/>
          <w:snapToGrid w:val="0"/>
          <w:color w:val="auto"/>
          <w:szCs w:val="21"/>
        </w:rPr>
      </w:pPr>
      <w:r>
        <w:rPr>
          <w:rFonts w:hint="eastAsia" w:hAnsi="宋体"/>
          <w:b/>
          <w:bCs/>
          <w:snapToGrid w:val="0"/>
          <w:color w:val="auto"/>
          <w:szCs w:val="21"/>
        </w:rPr>
        <w:t>十四、诉讼</w:t>
      </w:r>
    </w:p>
    <w:p>
      <w:pPr>
        <w:pStyle w:val="16"/>
        <w:snapToGrid w:val="0"/>
        <w:spacing w:line="360" w:lineRule="auto"/>
        <w:ind w:firstLine="420" w:firstLineChars="200"/>
        <w:textAlignment w:val="baseline"/>
        <w:rPr>
          <w:rFonts w:hAnsi="宋体"/>
          <w:snapToGrid w:val="0"/>
          <w:color w:val="auto"/>
          <w:szCs w:val="21"/>
        </w:rPr>
      </w:pPr>
      <w:r>
        <w:rPr>
          <w:rFonts w:hint="eastAsia" w:hAnsi="宋体"/>
          <w:snapToGrid w:val="0"/>
          <w:color w:val="auto"/>
          <w:szCs w:val="21"/>
        </w:rPr>
        <w:t>双方在执行合同中所发生的一切争议，应通过协商解决。如协商不成，可向甲方所在地法院起诉。</w:t>
      </w:r>
    </w:p>
    <w:p>
      <w:pPr>
        <w:pStyle w:val="16"/>
        <w:snapToGrid w:val="0"/>
        <w:spacing w:line="360" w:lineRule="auto"/>
        <w:textAlignment w:val="baseline"/>
        <w:rPr>
          <w:rFonts w:hAnsi="宋体"/>
          <w:b/>
          <w:bCs/>
          <w:snapToGrid w:val="0"/>
          <w:color w:val="auto"/>
          <w:szCs w:val="21"/>
        </w:rPr>
      </w:pPr>
      <w:r>
        <w:rPr>
          <w:rFonts w:hint="eastAsia" w:hAnsi="宋体"/>
          <w:b/>
          <w:bCs/>
          <w:snapToGrid w:val="0"/>
          <w:color w:val="auto"/>
          <w:szCs w:val="21"/>
        </w:rPr>
        <w:t>十五、合同生效及其它</w:t>
      </w:r>
    </w:p>
    <w:p>
      <w:pPr>
        <w:pStyle w:val="16"/>
        <w:snapToGrid w:val="0"/>
        <w:spacing w:line="360" w:lineRule="auto"/>
        <w:ind w:firstLine="420" w:firstLineChars="200"/>
        <w:textAlignment w:val="baseline"/>
        <w:rPr>
          <w:rFonts w:hAnsi="宋体"/>
          <w:snapToGrid w:val="0"/>
          <w:color w:val="auto"/>
          <w:szCs w:val="21"/>
        </w:rPr>
      </w:pPr>
      <w:r>
        <w:rPr>
          <w:rFonts w:hAnsi="宋体"/>
          <w:snapToGrid w:val="0"/>
          <w:color w:val="auto"/>
          <w:szCs w:val="21"/>
        </w:rPr>
        <w:t>1</w:t>
      </w:r>
      <w:r>
        <w:rPr>
          <w:rFonts w:hint="eastAsia" w:hAnsi="宋体"/>
          <w:snapToGrid w:val="0"/>
          <w:color w:val="auto"/>
          <w:szCs w:val="21"/>
        </w:rPr>
        <w:t>、合同经双方法定代表人或授权代表签字并加盖单位公章后生效。</w:t>
      </w:r>
    </w:p>
    <w:p>
      <w:pPr>
        <w:pStyle w:val="16"/>
        <w:snapToGrid w:val="0"/>
        <w:spacing w:line="360" w:lineRule="auto"/>
        <w:ind w:firstLine="420" w:firstLineChars="200"/>
        <w:textAlignment w:val="baseline"/>
        <w:rPr>
          <w:rFonts w:hAnsi="宋体"/>
          <w:snapToGrid w:val="0"/>
          <w:color w:val="auto"/>
          <w:szCs w:val="21"/>
        </w:rPr>
      </w:pPr>
      <w:r>
        <w:rPr>
          <w:rFonts w:hAnsi="宋体"/>
          <w:snapToGrid w:val="0"/>
          <w:color w:val="auto"/>
          <w:szCs w:val="21"/>
        </w:rPr>
        <w:t>2</w:t>
      </w:r>
      <w:r>
        <w:rPr>
          <w:rFonts w:hint="eastAsia" w:hAnsi="宋体"/>
          <w:snapToGrid w:val="0"/>
          <w:color w:val="auto"/>
          <w:szCs w:val="21"/>
        </w:rPr>
        <w:t>、合同执行中涉及采购资金和采购内容修改或补充的，须经财政部门审批，并签书面补充协议报政府采购监督管理部门备案，方可作为主合同不可分割的一部分。</w:t>
      </w:r>
    </w:p>
    <w:p>
      <w:pPr>
        <w:pStyle w:val="16"/>
        <w:snapToGrid w:val="0"/>
        <w:spacing w:line="360" w:lineRule="auto"/>
        <w:ind w:firstLine="420" w:firstLineChars="200"/>
        <w:textAlignment w:val="baseline"/>
        <w:rPr>
          <w:rFonts w:hAnsi="宋体"/>
          <w:snapToGrid w:val="0"/>
          <w:color w:val="auto"/>
          <w:szCs w:val="21"/>
        </w:rPr>
      </w:pPr>
      <w:r>
        <w:rPr>
          <w:rFonts w:hAnsi="宋体"/>
          <w:snapToGrid w:val="0"/>
          <w:color w:val="auto"/>
          <w:szCs w:val="21"/>
        </w:rPr>
        <w:t>3</w:t>
      </w:r>
      <w:r>
        <w:rPr>
          <w:rFonts w:hint="eastAsia" w:hAnsi="宋体"/>
          <w:snapToGrid w:val="0"/>
          <w:color w:val="auto"/>
          <w:szCs w:val="21"/>
        </w:rPr>
        <w:t>、本合同未尽事宜，遵照《民法典》有关条文执行。</w:t>
      </w:r>
    </w:p>
    <w:p>
      <w:pPr>
        <w:widowControl/>
        <w:spacing w:line="360" w:lineRule="auto"/>
        <w:ind w:firstLine="420"/>
        <w:rPr>
          <w:rFonts w:ascii="宋体" w:hAnsi="宋体" w:cs="宋体"/>
          <w:color w:val="auto"/>
          <w:kern w:val="0"/>
          <w:szCs w:val="21"/>
        </w:rPr>
      </w:pPr>
      <w:r>
        <w:rPr>
          <w:rFonts w:ascii="宋体" w:hAnsi="宋体" w:cs="宋体"/>
          <w:color w:val="auto"/>
          <w:kern w:val="0"/>
          <w:szCs w:val="21"/>
        </w:rPr>
        <w:t>4</w:t>
      </w:r>
      <w:r>
        <w:rPr>
          <w:rFonts w:hint="eastAsia" w:ascii="宋体" w:hAnsi="宋体" w:cs="宋体"/>
          <w:color w:val="auto"/>
          <w:spacing w:val="-6"/>
          <w:kern w:val="0"/>
          <w:szCs w:val="21"/>
        </w:rPr>
        <w:t>、本合同壹式陆份，甲、乙双方、招标代理公司各执贰份。本项目未尽事宜以招标文件、投标文件及澄清文件等为准。</w:t>
      </w:r>
    </w:p>
    <w:p>
      <w:pPr>
        <w:widowControl/>
        <w:spacing w:line="360" w:lineRule="auto"/>
        <w:ind w:firstLine="420"/>
        <w:rPr>
          <w:rFonts w:ascii="宋体" w:hAnsi="宋体" w:cs="宋体"/>
          <w:color w:val="auto"/>
          <w:kern w:val="0"/>
          <w:szCs w:val="21"/>
        </w:rPr>
      </w:pPr>
      <w:r>
        <w:rPr>
          <w:rFonts w:ascii="宋体" w:hAnsi="宋体" w:cs="宋体"/>
          <w:color w:val="auto"/>
          <w:kern w:val="0"/>
          <w:szCs w:val="21"/>
        </w:rPr>
        <w:t>5</w:t>
      </w:r>
      <w:r>
        <w:rPr>
          <w:rFonts w:hint="eastAsia" w:ascii="宋体" w:hAnsi="宋体" w:cs="宋体"/>
          <w:color w:val="auto"/>
          <w:spacing w:val="-6"/>
          <w:kern w:val="0"/>
          <w:szCs w:val="21"/>
        </w:rPr>
        <w:t>、与本合同有关标书及记录同本合同具有同等法律效果。</w:t>
      </w:r>
    </w:p>
    <w:p>
      <w:pPr>
        <w:widowControl/>
        <w:spacing w:line="360" w:lineRule="auto"/>
        <w:ind w:firstLine="315"/>
        <w:rPr>
          <w:rFonts w:ascii="宋体" w:hAnsi="宋体"/>
          <w:color w:val="auto"/>
          <w:kern w:val="0"/>
          <w:szCs w:val="21"/>
        </w:rPr>
      </w:pPr>
      <w:r>
        <w:rPr>
          <w:rFonts w:hint="eastAsia" w:ascii="宋体" w:hAnsi="宋体"/>
          <w:color w:val="auto"/>
          <w:kern w:val="0"/>
          <w:szCs w:val="21"/>
        </w:rPr>
        <w:t xml:space="preserve">甲方（公章）：                             乙方（公章）：          </w:t>
      </w:r>
    </w:p>
    <w:p>
      <w:pPr>
        <w:widowControl/>
        <w:spacing w:line="360" w:lineRule="auto"/>
        <w:ind w:firstLine="315"/>
        <w:rPr>
          <w:rFonts w:ascii="宋体" w:hAnsi="宋体"/>
          <w:color w:val="auto"/>
          <w:kern w:val="0"/>
          <w:szCs w:val="21"/>
        </w:rPr>
      </w:pPr>
    </w:p>
    <w:p>
      <w:pPr>
        <w:widowControl/>
        <w:spacing w:line="360" w:lineRule="auto"/>
        <w:ind w:firstLine="315"/>
        <w:rPr>
          <w:rFonts w:ascii="宋体" w:hAnsi="宋体"/>
          <w:color w:val="auto"/>
          <w:kern w:val="0"/>
          <w:szCs w:val="21"/>
        </w:rPr>
      </w:pPr>
      <w:r>
        <w:rPr>
          <w:rFonts w:hint="eastAsia" w:ascii="宋体" w:hAnsi="宋体"/>
          <w:color w:val="auto"/>
          <w:kern w:val="0"/>
          <w:szCs w:val="21"/>
        </w:rPr>
        <w:t xml:space="preserve">法定代表人或委托人：                      法定代表人或委托人：         </w:t>
      </w:r>
    </w:p>
    <w:p>
      <w:pPr>
        <w:widowControl/>
        <w:spacing w:line="360" w:lineRule="auto"/>
        <w:ind w:firstLine="315"/>
        <w:rPr>
          <w:rFonts w:ascii="宋体" w:hAnsi="宋体"/>
          <w:color w:val="auto"/>
          <w:kern w:val="0"/>
          <w:szCs w:val="21"/>
        </w:rPr>
      </w:pPr>
    </w:p>
    <w:p>
      <w:pPr>
        <w:widowControl/>
        <w:spacing w:line="360" w:lineRule="auto"/>
        <w:ind w:firstLine="315"/>
        <w:rPr>
          <w:rFonts w:ascii="宋体" w:hAnsi="宋体"/>
          <w:color w:val="auto"/>
          <w:kern w:val="0"/>
          <w:szCs w:val="21"/>
        </w:rPr>
      </w:pPr>
      <w:r>
        <w:rPr>
          <w:rFonts w:hint="eastAsia" w:ascii="宋体" w:hAnsi="宋体"/>
          <w:color w:val="auto"/>
          <w:kern w:val="0"/>
          <w:szCs w:val="21"/>
        </w:rPr>
        <w:t>联系电话：                                联系电话：</w:t>
      </w:r>
    </w:p>
    <w:p>
      <w:pPr>
        <w:widowControl/>
        <w:spacing w:line="360" w:lineRule="auto"/>
        <w:ind w:firstLine="315"/>
        <w:rPr>
          <w:rFonts w:ascii="宋体" w:hAnsi="宋体"/>
          <w:color w:val="auto"/>
          <w:kern w:val="0"/>
          <w:szCs w:val="21"/>
        </w:rPr>
      </w:pPr>
    </w:p>
    <w:p>
      <w:pPr>
        <w:widowControl/>
        <w:spacing w:line="360" w:lineRule="auto"/>
        <w:ind w:firstLine="315"/>
        <w:rPr>
          <w:rFonts w:ascii="宋体" w:hAnsi="宋体"/>
          <w:color w:val="auto"/>
          <w:kern w:val="0"/>
          <w:szCs w:val="21"/>
        </w:rPr>
      </w:pPr>
      <w:r>
        <w:rPr>
          <w:rFonts w:hint="eastAsia" w:ascii="宋体" w:hAnsi="宋体"/>
          <w:color w:val="auto"/>
          <w:kern w:val="0"/>
          <w:szCs w:val="21"/>
        </w:rPr>
        <w:t xml:space="preserve">开户银行：                                开户银行：    </w:t>
      </w:r>
    </w:p>
    <w:p>
      <w:pPr>
        <w:widowControl/>
        <w:spacing w:line="360" w:lineRule="auto"/>
        <w:ind w:firstLine="315"/>
        <w:rPr>
          <w:rFonts w:ascii="宋体" w:hAnsi="宋体"/>
          <w:color w:val="auto"/>
          <w:kern w:val="0"/>
          <w:szCs w:val="21"/>
        </w:rPr>
      </w:pPr>
    </w:p>
    <w:p>
      <w:pPr>
        <w:widowControl/>
        <w:spacing w:line="360" w:lineRule="auto"/>
        <w:ind w:firstLine="315"/>
        <w:rPr>
          <w:rFonts w:ascii="宋体" w:hAnsi="宋体"/>
          <w:color w:val="auto"/>
          <w:kern w:val="0"/>
          <w:szCs w:val="21"/>
        </w:rPr>
      </w:pPr>
      <w:r>
        <w:rPr>
          <w:rFonts w:hint="eastAsia" w:ascii="宋体" w:hAnsi="宋体"/>
          <w:color w:val="auto"/>
          <w:kern w:val="0"/>
          <w:szCs w:val="21"/>
        </w:rPr>
        <w:t>账    号：                                账    号：</w:t>
      </w:r>
    </w:p>
    <w:p>
      <w:pPr>
        <w:spacing w:line="360" w:lineRule="auto"/>
        <w:ind w:firstLine="420" w:firstLineChars="200"/>
        <w:textAlignment w:val="baseline"/>
        <w:rPr>
          <w:rFonts w:ascii="宋体" w:hAnsi="宋体"/>
          <w:snapToGrid w:val="0"/>
          <w:color w:val="auto"/>
          <w:szCs w:val="21"/>
        </w:rPr>
      </w:pPr>
      <w:r>
        <w:rPr>
          <w:rFonts w:hint="eastAsia" w:ascii="宋体" w:hAnsi="宋体"/>
          <w:snapToGrid w:val="0"/>
          <w:color w:val="auto"/>
          <w:szCs w:val="21"/>
        </w:rPr>
        <w:t xml:space="preserve">               合同鉴证方：</w:t>
      </w:r>
    </w:p>
    <w:p>
      <w:pPr>
        <w:spacing w:line="360" w:lineRule="auto"/>
        <w:ind w:firstLine="420" w:firstLineChars="200"/>
        <w:textAlignment w:val="baseline"/>
        <w:rPr>
          <w:rFonts w:ascii="宋体" w:hAnsi="宋体"/>
          <w:color w:val="auto"/>
          <w:kern w:val="0"/>
          <w:szCs w:val="21"/>
        </w:rPr>
      </w:pPr>
      <w:r>
        <w:rPr>
          <w:rFonts w:hint="eastAsia" w:ascii="宋体" w:hAnsi="宋体"/>
          <w:snapToGrid w:val="0"/>
          <w:color w:val="auto"/>
          <w:szCs w:val="21"/>
        </w:rPr>
        <w:t xml:space="preserve">                                         </w:t>
      </w:r>
      <w:r>
        <w:rPr>
          <w:rFonts w:hint="eastAsia" w:ascii="宋体" w:hAnsi="宋体"/>
          <w:color w:val="auto"/>
          <w:kern w:val="0"/>
          <w:szCs w:val="21"/>
        </w:rPr>
        <w:t>签订日期：       年     月     日</w:t>
      </w:r>
    </w:p>
    <w:p>
      <w:pPr>
        <w:spacing w:line="360" w:lineRule="auto"/>
        <w:jc w:val="center"/>
        <w:rPr>
          <w:rFonts w:ascii="宋体" w:hAnsi="宋体"/>
          <w:color w:val="auto"/>
          <w:sz w:val="24"/>
        </w:rPr>
      </w:pPr>
    </w:p>
    <w:p>
      <w:pPr>
        <w:ind w:firstLine="420" w:firstLineChars="200"/>
        <w:rPr>
          <w:color w:val="auto"/>
        </w:rPr>
      </w:pPr>
    </w:p>
    <w:p>
      <w:pPr>
        <w:pStyle w:val="5"/>
        <w:rPr>
          <w:color w:val="auto"/>
        </w:rPr>
      </w:pPr>
    </w:p>
    <w:p>
      <w:pPr>
        <w:rPr>
          <w:b/>
          <w:color w:val="auto"/>
        </w:rPr>
      </w:pPr>
      <w:r>
        <w:rPr>
          <w:b/>
          <w:color w:val="auto"/>
        </w:rPr>
        <w:br w:type="page"/>
      </w:r>
    </w:p>
    <w:p>
      <w:pPr>
        <w:jc w:val="center"/>
        <w:rPr>
          <w:rFonts w:ascii="宋体" w:hAnsi="宋体" w:cs="宋体"/>
          <w:b/>
          <w:bCs/>
          <w:color w:val="auto"/>
          <w:sz w:val="36"/>
          <w:szCs w:val="44"/>
        </w:rPr>
      </w:pPr>
      <w:r>
        <w:rPr>
          <w:rFonts w:hint="eastAsia" w:ascii="宋体" w:hAnsi="宋体" w:cs="宋体"/>
          <w:b/>
          <w:bCs/>
          <w:color w:val="auto"/>
          <w:sz w:val="36"/>
          <w:szCs w:val="44"/>
        </w:rPr>
        <w:t>第六章 投标文件格式附件</w:t>
      </w:r>
    </w:p>
    <w:p>
      <w:pPr>
        <w:rPr>
          <w:rFonts w:ascii="宋体" w:hAnsi="宋体" w:cs="宋体"/>
          <w:b/>
          <w:color w:val="auto"/>
          <w:kern w:val="0"/>
          <w:sz w:val="28"/>
          <w:szCs w:val="28"/>
        </w:rPr>
      </w:pPr>
      <w:r>
        <w:rPr>
          <w:rFonts w:hint="eastAsia" w:ascii="宋体" w:hAnsi="宋体" w:cs="宋体"/>
          <w:b/>
          <w:bCs/>
          <w:color w:val="auto"/>
          <w:sz w:val="28"/>
          <w:szCs w:val="36"/>
        </w:rPr>
        <w:t>附件1　</w:t>
      </w:r>
      <w:r>
        <w:rPr>
          <w:rFonts w:hint="eastAsia" w:ascii="宋体" w:hAnsi="宋体" w:cs="宋体"/>
          <w:color w:val="auto"/>
          <w:sz w:val="30"/>
          <w:szCs w:val="30"/>
        </w:rPr>
        <w:t xml:space="preserve">　　                                       </w:t>
      </w:r>
      <w:r>
        <w:rPr>
          <w:rFonts w:hint="eastAsia" w:ascii="宋体" w:hAnsi="宋体" w:cs="宋体"/>
          <w:color w:val="auto"/>
          <w:sz w:val="30"/>
          <w:szCs w:val="30"/>
          <w:u w:val="single"/>
        </w:rPr>
        <w:t xml:space="preserve">   </w:t>
      </w:r>
      <w:r>
        <w:rPr>
          <w:rFonts w:hint="eastAsia" w:ascii="宋体" w:hAnsi="宋体" w:cs="宋体"/>
          <w:bCs/>
          <w:color w:val="auto"/>
          <w:sz w:val="24"/>
        </w:rPr>
        <w:t>本</w:t>
      </w:r>
    </w:p>
    <w:p>
      <w:pPr>
        <w:spacing w:line="360" w:lineRule="auto"/>
        <w:rPr>
          <w:rFonts w:ascii="宋体" w:hAnsi="宋体" w:cs="宋体"/>
          <w:b/>
          <w:color w:val="auto"/>
          <w:sz w:val="30"/>
          <w:szCs w:val="30"/>
        </w:rPr>
      </w:pPr>
    </w:p>
    <w:p>
      <w:pPr>
        <w:spacing w:line="360" w:lineRule="auto"/>
        <w:jc w:val="center"/>
        <w:rPr>
          <w:rFonts w:ascii="宋体" w:hAnsi="宋体" w:cs="宋体"/>
          <w:color w:val="auto"/>
          <w:spacing w:val="40"/>
          <w:sz w:val="52"/>
          <w:szCs w:val="52"/>
        </w:rPr>
      </w:pPr>
      <w:r>
        <w:rPr>
          <w:rFonts w:hint="eastAsia" w:ascii="宋体" w:hAnsi="宋体" w:cs="宋体"/>
          <w:color w:val="auto"/>
          <w:spacing w:val="40"/>
          <w:sz w:val="52"/>
          <w:szCs w:val="52"/>
        </w:rPr>
        <w:t>项目名称</w:t>
      </w:r>
    </w:p>
    <w:p>
      <w:pPr>
        <w:spacing w:line="360" w:lineRule="auto"/>
        <w:jc w:val="center"/>
        <w:rPr>
          <w:rFonts w:ascii="宋体" w:hAnsi="宋体" w:cs="宋体"/>
          <w:color w:val="auto"/>
          <w:sz w:val="36"/>
          <w:szCs w:val="36"/>
        </w:rPr>
      </w:pPr>
      <w:r>
        <w:rPr>
          <w:rFonts w:hint="eastAsia" w:ascii="宋体" w:hAnsi="宋体" w:cs="宋体"/>
          <w:color w:val="auto"/>
          <w:sz w:val="36"/>
          <w:szCs w:val="36"/>
        </w:rPr>
        <w:t xml:space="preserve">项目编号： </w:t>
      </w:r>
    </w:p>
    <w:p>
      <w:pPr>
        <w:autoSpaceDE w:val="0"/>
        <w:autoSpaceDN w:val="0"/>
        <w:adjustRightInd w:val="0"/>
        <w:spacing w:line="360" w:lineRule="auto"/>
        <w:jc w:val="center"/>
        <w:rPr>
          <w:rFonts w:ascii="宋体" w:hAnsi="宋体" w:cs="宋体"/>
          <w:color w:val="auto"/>
          <w:sz w:val="84"/>
          <w:szCs w:val="84"/>
          <w:lang w:val="zh-CN"/>
        </w:rPr>
      </w:pP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hAnsi="宋体" w:cs="宋体"/>
          <w:color w:val="auto"/>
          <w:sz w:val="84"/>
          <w:szCs w:val="84"/>
        </w:rPr>
      </w:pPr>
      <w:r>
        <w:rPr>
          <w:rFonts w:hint="eastAsia" w:ascii="宋体" w:hAnsi="宋体" w:cs="宋体"/>
          <w:color w:val="auto"/>
          <w:sz w:val="84"/>
          <w:szCs w:val="84"/>
          <w:lang w:val="zh-CN"/>
        </w:rPr>
        <w:t>文</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件</w:t>
      </w:r>
    </w:p>
    <w:p>
      <w:pPr>
        <w:autoSpaceDE w:val="0"/>
        <w:autoSpaceDN w:val="0"/>
        <w:adjustRightInd w:val="0"/>
        <w:spacing w:line="360" w:lineRule="auto"/>
        <w:jc w:val="center"/>
        <w:rPr>
          <w:rFonts w:ascii="宋体" w:hAnsi="宋体" w:cs="宋体"/>
          <w:b/>
          <w:bCs/>
          <w:color w:val="auto"/>
          <w:spacing w:val="40"/>
          <w:sz w:val="28"/>
          <w:szCs w:val="28"/>
        </w:rPr>
      </w:pPr>
      <w:r>
        <w:rPr>
          <w:rFonts w:hint="eastAsia" w:ascii="宋体" w:hAnsi="宋体" w:cs="宋体"/>
          <w:b/>
          <w:bCs/>
          <w:color w:val="auto"/>
          <w:sz w:val="28"/>
          <w:szCs w:val="28"/>
          <w:lang w:val="zh-CN"/>
        </w:rPr>
        <w:t>（资格及商务技术文件</w:t>
      </w:r>
      <w:r>
        <w:rPr>
          <w:rFonts w:hint="eastAsia" w:ascii="宋体" w:hAnsi="宋体" w:cs="宋体"/>
          <w:b/>
          <w:bCs/>
          <w:color w:val="auto"/>
          <w:spacing w:val="40"/>
          <w:sz w:val="28"/>
          <w:szCs w:val="28"/>
        </w:rPr>
        <w:t>）</w:t>
      </w:r>
    </w:p>
    <w:p>
      <w:pPr>
        <w:autoSpaceDE w:val="0"/>
        <w:autoSpaceDN w:val="0"/>
        <w:adjustRightInd w:val="0"/>
        <w:spacing w:line="360" w:lineRule="auto"/>
        <w:rPr>
          <w:rFonts w:ascii="宋体" w:hAnsi="宋体" w:cs="宋体"/>
          <w:color w:val="auto"/>
          <w:sz w:val="36"/>
          <w:szCs w:val="36"/>
        </w:rPr>
      </w:pPr>
    </w:p>
    <w:p>
      <w:pPr>
        <w:autoSpaceDE w:val="0"/>
        <w:autoSpaceDN w:val="0"/>
        <w:adjustRightInd w:val="0"/>
        <w:spacing w:line="360" w:lineRule="auto"/>
        <w:rPr>
          <w:rFonts w:ascii="宋体" w:hAnsi="宋体" w:cs="宋体"/>
          <w:color w:val="auto"/>
          <w:sz w:val="36"/>
          <w:szCs w:val="36"/>
        </w:rPr>
      </w:pPr>
      <w:r>
        <w:rPr>
          <w:rFonts w:hint="eastAsia" w:ascii="宋体" w:hAnsi="宋体" w:cs="宋体"/>
          <w:color w:val="auto"/>
          <w:sz w:val="36"/>
          <w:szCs w:val="36"/>
        </w:rPr>
        <w:t>投标人全称（公章）：</w:t>
      </w:r>
    </w:p>
    <w:p>
      <w:pPr>
        <w:autoSpaceDE w:val="0"/>
        <w:autoSpaceDN w:val="0"/>
        <w:adjustRightInd w:val="0"/>
        <w:spacing w:line="360" w:lineRule="auto"/>
        <w:rPr>
          <w:rFonts w:ascii="宋体" w:hAnsi="宋体" w:cs="宋体"/>
          <w:color w:val="auto"/>
          <w:sz w:val="36"/>
          <w:szCs w:val="36"/>
        </w:rPr>
      </w:pPr>
      <w:r>
        <w:rPr>
          <w:rFonts w:hint="eastAsia" w:ascii="宋体" w:hAnsi="宋体" w:cs="宋体"/>
          <w:color w:val="auto"/>
          <w:sz w:val="36"/>
          <w:szCs w:val="36"/>
        </w:rPr>
        <w:t>地址：</w:t>
      </w:r>
    </w:p>
    <w:p>
      <w:pPr>
        <w:autoSpaceDE w:val="0"/>
        <w:autoSpaceDN w:val="0"/>
        <w:adjustRightInd w:val="0"/>
        <w:spacing w:line="360" w:lineRule="auto"/>
        <w:rPr>
          <w:rFonts w:ascii="宋体" w:hAnsi="宋体" w:cs="宋体"/>
          <w:color w:val="auto"/>
          <w:sz w:val="36"/>
          <w:szCs w:val="36"/>
        </w:rPr>
      </w:pPr>
      <w:r>
        <w:rPr>
          <w:rFonts w:hint="eastAsia" w:ascii="宋体" w:hAnsi="宋体" w:cs="宋体"/>
          <w:color w:val="auto"/>
          <w:sz w:val="36"/>
          <w:szCs w:val="36"/>
        </w:rPr>
        <w:t>时间：</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jc w:val="center"/>
        <w:rPr>
          <w:rFonts w:ascii="宋体" w:hAnsi="宋体" w:cs="宋体"/>
          <w:b/>
          <w:bCs/>
          <w:color w:val="auto"/>
          <w:sz w:val="44"/>
          <w:szCs w:val="52"/>
        </w:rPr>
      </w:pPr>
      <w:r>
        <w:rPr>
          <w:rFonts w:hint="eastAsia" w:ascii="宋体" w:hAnsi="宋体" w:cs="宋体"/>
          <w:b/>
          <w:bCs/>
          <w:color w:val="auto"/>
          <w:sz w:val="44"/>
          <w:szCs w:val="52"/>
        </w:rPr>
        <w:t>资格及商务技术文件目录</w:t>
      </w:r>
    </w:p>
    <w:p>
      <w:pPr>
        <w:spacing w:line="360" w:lineRule="auto"/>
        <w:rPr>
          <w:rFonts w:ascii="宋体" w:hAnsi="宋体" w:cs="宋体"/>
          <w:color w:val="auto"/>
          <w:sz w:val="24"/>
          <w:szCs w:val="32"/>
        </w:rPr>
      </w:pPr>
    </w:p>
    <w:p>
      <w:pPr>
        <w:spacing w:line="360" w:lineRule="auto"/>
        <w:jc w:val="center"/>
        <w:rPr>
          <w:rFonts w:ascii="宋体" w:hAnsi="宋体" w:cs="宋体"/>
          <w:b/>
          <w:bCs/>
          <w:color w:val="auto"/>
          <w:sz w:val="36"/>
          <w:szCs w:val="44"/>
        </w:rPr>
      </w:pPr>
      <w:r>
        <w:rPr>
          <w:rFonts w:hint="eastAsia" w:ascii="宋体" w:hAnsi="宋体" w:cs="宋体"/>
          <w:b/>
          <w:bCs/>
          <w:color w:val="auto"/>
          <w:sz w:val="36"/>
          <w:szCs w:val="44"/>
        </w:rPr>
        <w:t xml:space="preserve"> 资格证明文件</w:t>
      </w:r>
    </w:p>
    <w:p>
      <w:pPr>
        <w:spacing w:line="360" w:lineRule="auto"/>
        <w:rPr>
          <w:rFonts w:ascii="宋体" w:hAnsi="宋体" w:cs="宋体"/>
          <w:color w:val="auto"/>
          <w:sz w:val="24"/>
          <w:szCs w:val="32"/>
        </w:rPr>
      </w:pPr>
    </w:p>
    <w:p>
      <w:pPr>
        <w:spacing w:line="360" w:lineRule="auto"/>
        <w:ind w:firstLine="480" w:firstLineChars="200"/>
        <w:rPr>
          <w:rFonts w:ascii="宋体" w:hAnsi="宋体" w:cs="宋体"/>
          <w:color w:val="auto"/>
          <w:sz w:val="24"/>
        </w:rPr>
      </w:pPr>
      <w:r>
        <w:rPr>
          <w:rFonts w:hint="eastAsia" w:ascii="宋体" w:hAnsi="宋体" w:cs="宋体"/>
          <w:color w:val="auto"/>
          <w:sz w:val="24"/>
        </w:rPr>
        <w:t>（1）投标声明书；</w:t>
      </w:r>
    </w:p>
    <w:p>
      <w:pPr>
        <w:spacing w:line="360" w:lineRule="auto"/>
        <w:ind w:firstLine="480" w:firstLineChars="200"/>
        <w:rPr>
          <w:rFonts w:ascii="宋体" w:hAnsi="宋体" w:cs="宋体"/>
          <w:color w:val="auto"/>
          <w:sz w:val="24"/>
        </w:rPr>
      </w:pPr>
      <w:r>
        <w:rPr>
          <w:rFonts w:hint="eastAsia" w:ascii="宋体" w:hAnsi="宋体" w:cs="宋体"/>
          <w:color w:val="auto"/>
          <w:sz w:val="24"/>
        </w:rPr>
        <w:t>（2）授权委托书（</w:t>
      </w:r>
      <w:r>
        <w:rPr>
          <w:rFonts w:hint="eastAsia" w:ascii="宋体" w:hAnsi="宋体" w:cs="宋体"/>
          <w:color w:val="auto"/>
          <w:sz w:val="24"/>
          <w:szCs w:val="32"/>
        </w:rPr>
        <w:t>法定代表人亲自办理投标事宜的，则无需提交</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（3）法人或者其他组织、自然人的营业执照等证明文件；</w:t>
      </w:r>
    </w:p>
    <w:p>
      <w:pPr>
        <w:spacing w:line="360" w:lineRule="auto"/>
        <w:ind w:firstLine="480" w:firstLineChars="200"/>
        <w:rPr>
          <w:rFonts w:ascii="宋体" w:hAnsi="宋体" w:cs="宋体"/>
          <w:color w:val="auto"/>
          <w:sz w:val="24"/>
        </w:rPr>
      </w:pPr>
      <w:r>
        <w:rPr>
          <w:rFonts w:hint="eastAsia" w:ascii="宋体" w:hAnsi="宋体" w:cs="宋体"/>
          <w:color w:val="auto"/>
          <w:sz w:val="24"/>
        </w:rPr>
        <w:t>（4）财务状况报告，依法缴纳税收和社会保障资金的相关材料；</w:t>
      </w:r>
    </w:p>
    <w:p>
      <w:pPr>
        <w:spacing w:line="360" w:lineRule="auto"/>
        <w:ind w:firstLine="480" w:firstLineChars="200"/>
        <w:rPr>
          <w:rFonts w:ascii="宋体" w:hAnsi="宋体" w:cs="宋体"/>
          <w:color w:val="auto"/>
          <w:sz w:val="24"/>
        </w:rPr>
      </w:pPr>
      <w:r>
        <w:rPr>
          <w:rFonts w:hint="eastAsia" w:ascii="宋体" w:hAnsi="宋体" w:cs="宋体"/>
          <w:color w:val="auto"/>
          <w:sz w:val="24"/>
        </w:rPr>
        <w:t>（5）提供采购公告中符合供应商特定条件的有效资质证书复印件（投标供应商特定条件中有要求的必须提供），以及需要说明的其他资料；</w:t>
      </w: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rPr>
          <w:rFonts w:ascii="宋体" w:hAnsi="宋体" w:cs="宋体"/>
          <w:color w:val="auto"/>
          <w:sz w:val="24"/>
          <w:szCs w:val="32"/>
        </w:rPr>
      </w:pPr>
      <w:r>
        <w:rPr>
          <w:rFonts w:ascii="宋体" w:hAnsi="宋体" w:cs="宋体"/>
          <w:color w:val="auto"/>
          <w:sz w:val="24"/>
          <w:szCs w:val="32"/>
        </w:rPr>
        <w:br w:type="page"/>
      </w:r>
    </w:p>
    <w:p>
      <w:pPr>
        <w:spacing w:line="360" w:lineRule="auto"/>
        <w:rPr>
          <w:rFonts w:ascii="宋体" w:hAnsi="宋体" w:cs="宋体"/>
          <w:b/>
          <w:color w:val="auto"/>
          <w:kern w:val="0"/>
          <w:sz w:val="32"/>
          <w:szCs w:val="32"/>
          <w:lang w:val="zh-CN"/>
        </w:rPr>
      </w:pPr>
      <w:r>
        <w:rPr>
          <w:rFonts w:hint="eastAsia" w:ascii="宋体" w:hAnsi="宋体" w:cs="宋体"/>
          <w:b/>
          <w:color w:val="auto"/>
          <w:sz w:val="28"/>
        </w:rPr>
        <w:t xml:space="preserve">附件2                  </w:t>
      </w:r>
      <w:r>
        <w:rPr>
          <w:rFonts w:hint="eastAsia" w:ascii="宋体" w:hAnsi="宋体" w:cs="宋体"/>
          <w:b/>
          <w:color w:val="auto"/>
          <w:kern w:val="0"/>
          <w:sz w:val="32"/>
          <w:szCs w:val="32"/>
          <w:lang w:val="zh-CN"/>
        </w:rPr>
        <w:t>投标声明书</w:t>
      </w:r>
    </w:p>
    <w:p>
      <w:pPr>
        <w:spacing w:line="440" w:lineRule="exact"/>
        <w:rPr>
          <w:rFonts w:ascii="宋体" w:hAnsi="宋体" w:cs="宋体"/>
          <w:color w:val="auto"/>
          <w:sz w:val="24"/>
          <w:szCs w:val="32"/>
        </w:rPr>
      </w:pPr>
      <w:r>
        <w:rPr>
          <w:rFonts w:hint="eastAsia" w:ascii="宋体" w:hAnsi="宋体" w:cs="宋体"/>
          <w:color w:val="auto"/>
          <w:sz w:val="24"/>
          <w:szCs w:val="32"/>
          <w:u w:val="single"/>
        </w:rPr>
        <w:t>浙江洪大工程咨询有限公司</w:t>
      </w:r>
      <w:r>
        <w:rPr>
          <w:rFonts w:hint="eastAsia" w:ascii="宋体" w:hAnsi="宋体" w:cs="宋体"/>
          <w:color w:val="auto"/>
          <w:sz w:val="24"/>
          <w:szCs w:val="32"/>
        </w:rPr>
        <w:t>（采购代理机构名称）：</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u w:val="single"/>
        </w:rPr>
        <w:t>（投标人名称）</w:t>
      </w:r>
      <w:r>
        <w:rPr>
          <w:rFonts w:hint="eastAsia" w:ascii="宋体" w:hAnsi="宋体" w:cs="宋体"/>
          <w:color w:val="auto"/>
          <w:sz w:val="24"/>
          <w:szCs w:val="32"/>
        </w:rPr>
        <w:t>系中华人民共和国合法企业，经营地址。</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rPr>
        <w:t>我（</w:t>
      </w:r>
      <w:r>
        <w:rPr>
          <w:rFonts w:hint="eastAsia" w:ascii="宋体" w:hAnsi="宋体" w:cs="宋体"/>
          <w:color w:val="auto"/>
          <w:sz w:val="24"/>
          <w:szCs w:val="32"/>
          <w:u w:val="single"/>
        </w:rPr>
        <w:t xml:space="preserve"> 姓名 </w:t>
      </w:r>
      <w:r>
        <w:rPr>
          <w:rFonts w:hint="eastAsia" w:ascii="宋体" w:hAnsi="宋体" w:cs="宋体"/>
          <w:color w:val="auto"/>
          <w:sz w:val="24"/>
          <w:szCs w:val="32"/>
        </w:rPr>
        <w:t>）系（</w:t>
      </w:r>
      <w:r>
        <w:rPr>
          <w:rFonts w:hint="eastAsia" w:ascii="宋体" w:hAnsi="宋体" w:cs="宋体"/>
          <w:color w:val="auto"/>
          <w:sz w:val="24"/>
          <w:szCs w:val="32"/>
          <w:u w:val="single"/>
        </w:rPr>
        <w:t xml:space="preserve"> 投标人名称 </w:t>
      </w:r>
      <w:r>
        <w:rPr>
          <w:rFonts w:hint="eastAsia" w:ascii="宋体" w:hAnsi="宋体" w:cs="宋体"/>
          <w:color w:val="auto"/>
          <w:sz w:val="24"/>
          <w:szCs w:val="32"/>
        </w:rPr>
        <w:t>）的法定代表人，我公司自愿参加贵方组织的（</w:t>
      </w:r>
      <w:r>
        <w:rPr>
          <w:rFonts w:hint="eastAsia" w:ascii="宋体" w:hAnsi="宋体" w:cs="宋体"/>
          <w:color w:val="auto"/>
          <w:sz w:val="24"/>
          <w:szCs w:val="32"/>
          <w:u w:val="single"/>
        </w:rPr>
        <w:t xml:space="preserve">         </w:t>
      </w:r>
      <w:r>
        <w:rPr>
          <w:rFonts w:hint="eastAsia" w:ascii="宋体" w:hAnsi="宋体" w:cs="宋体"/>
          <w:color w:val="auto"/>
          <w:sz w:val="24"/>
          <w:szCs w:val="32"/>
        </w:rPr>
        <w:t>）（编号为</w:t>
      </w:r>
      <w:r>
        <w:rPr>
          <w:rFonts w:hint="eastAsia" w:ascii="宋体" w:hAnsi="宋体" w:cs="宋体"/>
          <w:color w:val="auto"/>
          <w:sz w:val="24"/>
          <w:szCs w:val="32"/>
          <w:u w:val="single"/>
        </w:rPr>
        <w:t xml:space="preserve">         </w:t>
      </w:r>
      <w:r>
        <w:rPr>
          <w:rFonts w:hint="eastAsia" w:ascii="宋体" w:hAnsi="宋体" w:cs="宋体"/>
          <w:color w:val="auto"/>
          <w:sz w:val="24"/>
          <w:szCs w:val="32"/>
        </w:rPr>
        <w:t>）的投标，为此，我公司就本次投标有关事项郑重声明如下：</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rPr>
        <w:t>2、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rPr>
        <w:t>3、我</w:t>
      </w:r>
      <w:r>
        <w:rPr>
          <w:rFonts w:hint="eastAsia" w:ascii="宋体" w:hAnsi="宋体" w:cs="宋体"/>
          <w:color w:val="auto"/>
          <w:sz w:val="24"/>
          <w:szCs w:val="32"/>
          <w:lang w:val="zh-CN"/>
        </w:rPr>
        <w:t>公司</w:t>
      </w:r>
      <w:r>
        <w:rPr>
          <w:rFonts w:hint="eastAsia" w:ascii="宋体" w:hAnsi="宋体" w:cs="宋体"/>
          <w:color w:val="auto"/>
          <w:sz w:val="24"/>
          <w:szCs w:val="32"/>
        </w:rPr>
        <w:t>不是采购人的附属机构；在获知本项目采购信息后，与采购人聘请的为此项目提供咨询服务的公司及其附属机构没有任何联系。</w:t>
      </w:r>
    </w:p>
    <w:p>
      <w:pPr>
        <w:spacing w:line="440" w:lineRule="exact"/>
        <w:ind w:firstLine="480" w:firstLineChars="200"/>
        <w:rPr>
          <w:rFonts w:ascii="宋体" w:hAnsi="宋体" w:cs="宋体"/>
          <w:color w:val="auto"/>
          <w:sz w:val="24"/>
          <w:szCs w:val="32"/>
          <w:lang w:val="af-ZA"/>
        </w:rPr>
      </w:pPr>
      <w:r>
        <w:rPr>
          <w:rFonts w:hint="eastAsia" w:ascii="宋体" w:hAnsi="宋体" w:cs="宋体"/>
          <w:color w:val="auto"/>
          <w:sz w:val="24"/>
          <w:szCs w:val="32"/>
        </w:rPr>
        <w:t>4、我</w:t>
      </w:r>
      <w:r>
        <w:rPr>
          <w:rFonts w:hint="eastAsia" w:ascii="宋体" w:hAnsi="宋体" w:cs="宋体"/>
          <w:color w:val="auto"/>
          <w:sz w:val="24"/>
          <w:szCs w:val="32"/>
          <w:lang w:val="zh-CN"/>
        </w:rPr>
        <w:t>公司</w:t>
      </w:r>
      <w:r>
        <w:rPr>
          <w:rFonts w:hint="eastAsia" w:ascii="宋体" w:hAnsi="宋体" w:cs="宋体"/>
          <w:color w:val="auto"/>
          <w:sz w:val="24"/>
          <w:szCs w:val="32"/>
        </w:rPr>
        <w:t>保证，</w:t>
      </w:r>
      <w:r>
        <w:rPr>
          <w:rFonts w:hint="eastAsia" w:ascii="宋体" w:hAnsi="宋体" w:cs="宋体"/>
          <w:color w:val="auto"/>
          <w:sz w:val="24"/>
          <w:szCs w:val="32"/>
          <w:lang w:val="af-ZA"/>
        </w:rPr>
        <w:t>采购人在中华人民共和国境内使用</w:t>
      </w:r>
      <w:r>
        <w:rPr>
          <w:rFonts w:hint="eastAsia" w:ascii="宋体" w:hAnsi="宋体" w:cs="宋体"/>
          <w:color w:val="auto"/>
          <w:sz w:val="24"/>
          <w:szCs w:val="32"/>
        </w:rPr>
        <w:t>我</w:t>
      </w:r>
      <w:r>
        <w:rPr>
          <w:rFonts w:hint="eastAsia" w:ascii="宋体" w:hAnsi="宋体" w:cs="宋体"/>
          <w:color w:val="auto"/>
          <w:sz w:val="24"/>
          <w:szCs w:val="32"/>
          <w:lang w:val="zh-CN"/>
        </w:rPr>
        <w:t>公司</w:t>
      </w:r>
      <w:r>
        <w:rPr>
          <w:rFonts w:hint="eastAsia" w:ascii="宋体" w:hAnsi="宋体" w:cs="宋体"/>
          <w:color w:val="auto"/>
          <w:sz w:val="24"/>
          <w:szCs w:val="32"/>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lang w:val="af-ZA"/>
        </w:rPr>
        <w:t>5、我</w:t>
      </w:r>
      <w:r>
        <w:rPr>
          <w:rFonts w:hint="eastAsia" w:ascii="宋体" w:hAnsi="宋体" w:cs="宋体"/>
          <w:color w:val="auto"/>
          <w:sz w:val="24"/>
          <w:szCs w:val="32"/>
          <w:lang w:val="zh-CN"/>
        </w:rPr>
        <w:t>公司</w:t>
      </w:r>
      <w:r>
        <w:rPr>
          <w:rFonts w:hint="eastAsia" w:ascii="宋体" w:hAnsi="宋体" w:cs="宋体"/>
          <w:color w:val="auto"/>
          <w:sz w:val="24"/>
          <w:szCs w:val="32"/>
          <w:lang w:val="af-ZA"/>
        </w:rPr>
        <w:t>严格履行政府采购合同，不降低合同约定的产品质量和服务，不擅自变更、中止、终止合同，或拒绝履行合同义务；</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rPr>
        <w:t>6、以上事项如有虚假或隐瞒，我</w:t>
      </w:r>
      <w:r>
        <w:rPr>
          <w:rFonts w:hint="eastAsia" w:ascii="宋体" w:hAnsi="宋体" w:cs="宋体"/>
          <w:color w:val="auto"/>
          <w:sz w:val="24"/>
          <w:szCs w:val="32"/>
          <w:lang w:val="zh-CN"/>
        </w:rPr>
        <w:t>公司</w:t>
      </w:r>
      <w:r>
        <w:rPr>
          <w:rFonts w:hint="eastAsia" w:ascii="宋体" w:hAnsi="宋体" w:cs="宋体"/>
          <w:color w:val="auto"/>
          <w:sz w:val="24"/>
          <w:szCs w:val="32"/>
        </w:rPr>
        <w:t>愿意承担一切后果，并不再寻求任何旨在减轻或免除法律责任的辩解。</w:t>
      </w:r>
    </w:p>
    <w:p>
      <w:pPr>
        <w:spacing w:line="440" w:lineRule="exact"/>
        <w:ind w:firstLine="480" w:firstLineChars="200"/>
        <w:rPr>
          <w:rFonts w:ascii="宋体" w:hAnsi="宋体" w:cs="宋体"/>
          <w:color w:val="auto"/>
          <w:sz w:val="24"/>
          <w:szCs w:val="32"/>
        </w:rPr>
      </w:pPr>
      <w:r>
        <w:rPr>
          <w:rFonts w:hint="eastAsia" w:ascii="宋体" w:hAnsi="宋体" w:cs="宋体"/>
          <w:color w:val="auto"/>
          <w:sz w:val="24"/>
          <w:szCs w:val="32"/>
        </w:rPr>
        <w:t>本单位若违反以上承诺，将无条件接受项目主管部门和有关监督管理部门的调查，并愿意承担取消中标资格、没收履约保证金及限制在本地区参与投标等一切法律责任。</w:t>
      </w:r>
    </w:p>
    <w:p>
      <w:pPr>
        <w:spacing w:line="360" w:lineRule="auto"/>
        <w:ind w:firstLine="4560" w:firstLineChars="1900"/>
        <w:rPr>
          <w:rFonts w:ascii="宋体" w:hAnsi="宋体" w:cs="宋体"/>
          <w:color w:val="auto"/>
          <w:sz w:val="24"/>
          <w:szCs w:val="32"/>
          <w:lang w:val="zh-CN"/>
        </w:rPr>
      </w:pPr>
      <w:r>
        <w:rPr>
          <w:rFonts w:hint="eastAsia" w:ascii="宋体" w:hAnsi="宋体" w:cs="宋体"/>
          <w:color w:val="auto"/>
          <w:sz w:val="24"/>
          <w:szCs w:val="32"/>
          <w:lang w:val="zh-CN"/>
        </w:rPr>
        <w:t>投标人名称(公章)：</w:t>
      </w:r>
    </w:p>
    <w:p>
      <w:pPr>
        <w:spacing w:line="360" w:lineRule="auto"/>
        <w:ind w:firstLine="4560" w:firstLineChars="1900"/>
        <w:rPr>
          <w:rFonts w:ascii="宋体" w:hAnsi="宋体" w:cs="宋体"/>
          <w:color w:val="auto"/>
          <w:sz w:val="24"/>
          <w:szCs w:val="32"/>
          <w:lang w:val="zh-CN"/>
        </w:rPr>
      </w:pPr>
      <w:r>
        <w:rPr>
          <w:rFonts w:hint="eastAsia" w:ascii="宋体" w:hAnsi="宋体" w:cs="宋体"/>
          <w:color w:val="auto"/>
          <w:sz w:val="24"/>
          <w:szCs w:val="32"/>
          <w:lang w:val="zh-CN"/>
        </w:rPr>
        <w:t>法定代表人或授权委托人(签字)：</w:t>
      </w:r>
    </w:p>
    <w:p>
      <w:pPr>
        <w:spacing w:line="360" w:lineRule="auto"/>
        <w:ind w:firstLine="4560" w:firstLineChars="1900"/>
        <w:rPr>
          <w:rFonts w:ascii="宋体" w:hAnsi="宋体" w:cs="宋体"/>
          <w:color w:val="auto"/>
          <w:sz w:val="24"/>
          <w:szCs w:val="32"/>
          <w:lang w:val="zh-CN"/>
        </w:rPr>
      </w:pPr>
      <w:r>
        <w:rPr>
          <w:rFonts w:hint="eastAsia" w:ascii="宋体" w:hAnsi="宋体" w:cs="宋体"/>
          <w:color w:val="auto"/>
          <w:sz w:val="24"/>
          <w:szCs w:val="32"/>
          <w:lang w:val="zh-CN"/>
        </w:rPr>
        <w:t>日期：</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年</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月</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日</w:t>
      </w:r>
    </w:p>
    <w:p>
      <w:pPr>
        <w:rPr>
          <w:rFonts w:ascii="宋体" w:hAnsi="宋体" w:cs="宋体"/>
          <w:color w:val="auto"/>
          <w:sz w:val="24"/>
          <w:szCs w:val="32"/>
          <w:lang w:val="zh-CN"/>
        </w:rPr>
      </w:pPr>
      <w:r>
        <w:rPr>
          <w:rFonts w:hint="eastAsia" w:ascii="宋体" w:hAnsi="宋体" w:cs="宋体"/>
          <w:color w:val="auto"/>
          <w:sz w:val="24"/>
          <w:szCs w:val="32"/>
          <w:lang w:val="zh-CN"/>
        </w:rPr>
        <w:br w:type="page"/>
      </w:r>
    </w:p>
    <w:p>
      <w:pPr>
        <w:spacing w:line="360" w:lineRule="auto"/>
        <w:rPr>
          <w:rFonts w:ascii="宋体" w:hAnsi="宋体" w:cs="宋体"/>
          <w:b/>
          <w:color w:val="auto"/>
          <w:sz w:val="28"/>
        </w:rPr>
      </w:pPr>
      <w:r>
        <w:rPr>
          <w:rFonts w:hint="eastAsia" w:ascii="宋体" w:hAnsi="宋体" w:cs="宋体"/>
          <w:b/>
          <w:color w:val="auto"/>
          <w:sz w:val="28"/>
        </w:rPr>
        <w:t>附件3                   授权委托书</w:t>
      </w:r>
    </w:p>
    <w:p>
      <w:pPr>
        <w:spacing w:line="360" w:lineRule="auto"/>
        <w:jc w:val="left"/>
        <w:rPr>
          <w:rFonts w:ascii="宋体" w:hAnsi="宋体" w:cs="宋体"/>
          <w:color w:val="auto"/>
          <w:sz w:val="24"/>
          <w:szCs w:val="32"/>
        </w:rPr>
      </w:pPr>
      <w:r>
        <w:rPr>
          <w:rFonts w:hint="eastAsia" w:ascii="宋体" w:hAnsi="宋体" w:cs="宋体"/>
          <w:color w:val="auto"/>
          <w:sz w:val="24"/>
          <w:szCs w:val="32"/>
          <w:u w:val="single"/>
        </w:rPr>
        <w:t>浙江洪大工程咨询有限公司</w:t>
      </w:r>
      <w:r>
        <w:rPr>
          <w:rFonts w:hint="eastAsia" w:ascii="宋体" w:hAnsi="宋体" w:cs="宋体"/>
          <w:color w:val="auto"/>
          <w:sz w:val="24"/>
          <w:szCs w:val="32"/>
        </w:rPr>
        <w:t>（采购代理机构名称）：</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u w:val="single"/>
        </w:rPr>
        <w:t>（投标人全称）</w:t>
      </w:r>
      <w:r>
        <w:rPr>
          <w:rFonts w:hint="eastAsia" w:ascii="宋体" w:hAnsi="宋体" w:cs="宋体"/>
          <w:color w:val="auto"/>
          <w:sz w:val="24"/>
          <w:szCs w:val="32"/>
        </w:rPr>
        <w:t>法定代表人（或营业执照中单位负责人）</w:t>
      </w:r>
      <w:r>
        <w:rPr>
          <w:rFonts w:hint="eastAsia" w:ascii="宋体" w:hAnsi="宋体" w:cs="宋体"/>
          <w:color w:val="auto"/>
          <w:sz w:val="24"/>
          <w:szCs w:val="32"/>
          <w:u w:val="single"/>
        </w:rPr>
        <w:tab/>
      </w:r>
      <w:r>
        <w:rPr>
          <w:rFonts w:hint="eastAsia" w:ascii="宋体" w:hAnsi="宋体" w:cs="宋体"/>
          <w:color w:val="auto"/>
          <w:sz w:val="24"/>
          <w:szCs w:val="32"/>
          <w:u w:val="single"/>
        </w:rPr>
        <w:t xml:space="preserve">（法定代表人或营业执照中单位负责人姓名） </w:t>
      </w:r>
      <w:r>
        <w:rPr>
          <w:rFonts w:hint="eastAsia" w:ascii="宋体" w:hAnsi="宋体" w:cs="宋体"/>
          <w:color w:val="auto"/>
          <w:sz w:val="24"/>
          <w:szCs w:val="32"/>
        </w:rPr>
        <w:t>授权</w:t>
      </w:r>
      <w:r>
        <w:rPr>
          <w:rFonts w:hint="eastAsia" w:ascii="宋体" w:hAnsi="宋体" w:cs="宋体"/>
          <w:color w:val="auto"/>
          <w:sz w:val="24"/>
          <w:szCs w:val="32"/>
          <w:u w:val="single"/>
        </w:rPr>
        <w:t xml:space="preserve"> （授权委托代理人姓名） </w:t>
      </w:r>
      <w:r>
        <w:rPr>
          <w:rFonts w:hint="eastAsia" w:ascii="宋体" w:hAnsi="宋体" w:cs="宋体"/>
          <w:color w:val="auto"/>
          <w:sz w:val="24"/>
          <w:szCs w:val="32"/>
        </w:rPr>
        <w:t>为授权委托代理人，参加贵单位组织的</w:t>
      </w:r>
      <w:r>
        <w:rPr>
          <w:rFonts w:hint="eastAsia" w:ascii="宋体" w:hAnsi="宋体" w:cs="宋体"/>
          <w:color w:val="auto"/>
          <w:sz w:val="24"/>
          <w:szCs w:val="32"/>
          <w:u w:val="single"/>
        </w:rPr>
        <w:t xml:space="preserve">          </w:t>
      </w:r>
      <w:r>
        <w:rPr>
          <w:rFonts w:hint="eastAsia" w:ascii="宋体" w:hAnsi="宋体" w:cs="宋体"/>
          <w:color w:val="auto"/>
          <w:sz w:val="24"/>
          <w:szCs w:val="32"/>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在撤销授权的书面通知以前，本授权书一直有效。授权委托代理人在授权委托书有效期内签署的所有文件不因授权的撤销而失效。</w:t>
      </w: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授权委托代理人无转委托权，特此委托。</w:t>
      </w:r>
    </w:p>
    <w:p>
      <w:pPr>
        <w:spacing w:line="360" w:lineRule="auto"/>
        <w:ind w:firstLine="480" w:firstLineChars="200"/>
        <w:rPr>
          <w:rFonts w:ascii="宋体" w:hAnsi="宋体" w:cs="宋体"/>
          <w:color w:val="auto"/>
          <w:sz w:val="24"/>
          <w:szCs w:val="32"/>
        </w:rPr>
      </w:pP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法定代表人签字或盖章：</w:t>
      </w:r>
    </w:p>
    <w:p>
      <w:pPr>
        <w:spacing w:line="360" w:lineRule="auto"/>
        <w:ind w:firstLine="480" w:firstLineChars="200"/>
        <w:rPr>
          <w:rFonts w:ascii="宋体" w:hAnsi="宋体" w:cs="宋体"/>
          <w:color w:val="auto"/>
          <w:sz w:val="24"/>
          <w:szCs w:val="32"/>
        </w:rPr>
      </w:pPr>
    </w:p>
    <w:p>
      <w:pPr>
        <w:spacing w:line="360" w:lineRule="auto"/>
        <w:ind w:firstLine="480" w:firstLineChars="200"/>
        <w:rPr>
          <w:rFonts w:ascii="宋体" w:hAnsi="宋体" w:cs="宋体"/>
          <w:color w:val="auto"/>
          <w:sz w:val="24"/>
          <w:szCs w:val="32"/>
        </w:rPr>
      </w:pPr>
      <w:r>
        <w:rPr>
          <w:rFonts w:hint="eastAsia" w:ascii="宋体" w:hAnsi="宋体" w:cs="宋体"/>
          <w:color w:val="auto"/>
          <w:sz w:val="24"/>
          <w:szCs w:val="32"/>
        </w:rPr>
        <w:t xml:space="preserve">投标人全称（公章）：                      </w:t>
      </w:r>
      <w:r>
        <w:rPr>
          <w:rFonts w:hint="eastAsia" w:ascii="宋体" w:hAnsi="宋体" w:cs="宋体"/>
          <w:color w:val="auto"/>
          <w:sz w:val="24"/>
          <w:szCs w:val="32"/>
          <w:lang w:val="zh-CN"/>
        </w:rPr>
        <w:t>日期：</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年</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月</w:t>
      </w:r>
      <w:r>
        <w:rPr>
          <w:rFonts w:hint="eastAsia" w:ascii="宋体" w:hAnsi="宋体" w:cs="宋体"/>
          <w:color w:val="auto"/>
          <w:sz w:val="24"/>
          <w:szCs w:val="32"/>
          <w:u w:val="single"/>
        </w:rPr>
        <w:t xml:space="preserve">    </w:t>
      </w:r>
      <w:r>
        <w:rPr>
          <w:rFonts w:hint="eastAsia" w:ascii="宋体" w:hAnsi="宋体" w:cs="宋体"/>
          <w:color w:val="auto"/>
          <w:sz w:val="24"/>
          <w:szCs w:val="32"/>
          <w:lang w:val="zh-CN"/>
        </w:rPr>
        <w:t>日</w:t>
      </w:r>
    </w:p>
    <w:p>
      <w:pPr>
        <w:spacing w:line="360" w:lineRule="auto"/>
        <w:ind w:firstLine="480" w:firstLineChars="200"/>
        <w:rPr>
          <w:rFonts w:ascii="宋体" w:hAnsi="宋体" w:cs="宋体"/>
          <w:color w:val="auto"/>
          <w:sz w:val="24"/>
          <w:szCs w:val="32"/>
        </w:rPr>
      </w:pPr>
    </w:p>
    <w:p>
      <w:pPr>
        <w:spacing w:line="360" w:lineRule="auto"/>
        <w:rPr>
          <w:rFonts w:ascii="宋体" w:hAnsi="宋体" w:cs="宋体"/>
          <w:b/>
          <w:bCs/>
          <w:color w:val="auto"/>
          <w:sz w:val="24"/>
          <w:szCs w:val="32"/>
        </w:rPr>
      </w:pPr>
      <w:r>
        <w:rPr>
          <w:rFonts w:hint="eastAsia" w:ascii="宋体" w:hAnsi="宋体" w:cs="宋体"/>
          <w:b/>
          <w:bCs/>
          <w:color w:val="auto"/>
          <w:sz w:val="24"/>
          <w:szCs w:val="32"/>
        </w:rPr>
        <w:t>附：</w:t>
      </w: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法定代表身份证复印件粘帖处</w:t>
            </w:r>
          </w:p>
        </w:tc>
      </w:tr>
    </w:tbl>
    <w:p>
      <w:pPr>
        <w:spacing w:line="360" w:lineRule="auto"/>
        <w:rPr>
          <w:rFonts w:ascii="宋体" w:hAnsi="宋体" w:cs="宋体"/>
          <w:color w:val="auto"/>
          <w:sz w:val="24"/>
          <w:szCs w:val="32"/>
        </w:rPr>
      </w:pPr>
      <w:r>
        <w:rPr>
          <w:rFonts w:hint="eastAsia" w:ascii="宋体" w:hAnsi="宋体" w:cs="宋体"/>
          <w:color w:val="auto"/>
          <w:sz w:val="24"/>
          <w:szCs w:val="32"/>
        </w:rPr>
        <w:t>法定代表人姓名：</w:t>
      </w:r>
    </w:p>
    <w:p>
      <w:pPr>
        <w:spacing w:line="360" w:lineRule="auto"/>
        <w:rPr>
          <w:rFonts w:ascii="宋体" w:hAnsi="宋体" w:cs="宋体"/>
          <w:color w:val="auto"/>
          <w:sz w:val="24"/>
          <w:szCs w:val="32"/>
        </w:rPr>
      </w:pPr>
      <w:r>
        <w:rPr>
          <w:rFonts w:hint="eastAsia" w:ascii="宋体" w:hAnsi="宋体" w:cs="宋体"/>
          <w:color w:val="auto"/>
          <w:sz w:val="24"/>
          <w:szCs w:val="32"/>
        </w:rPr>
        <w:t>传真：</w:t>
      </w:r>
    </w:p>
    <w:p>
      <w:pPr>
        <w:spacing w:line="360" w:lineRule="auto"/>
        <w:rPr>
          <w:rFonts w:ascii="宋体" w:hAnsi="宋体" w:cs="宋体"/>
          <w:color w:val="auto"/>
          <w:sz w:val="24"/>
          <w:szCs w:val="32"/>
        </w:rPr>
      </w:pPr>
      <w:r>
        <w:rPr>
          <w:rFonts w:hint="eastAsia" w:ascii="宋体" w:hAnsi="宋体" w:cs="宋体"/>
          <w:color w:val="auto"/>
          <w:sz w:val="24"/>
          <w:szCs w:val="32"/>
        </w:rPr>
        <w:t>手机：</w:t>
      </w:r>
    </w:p>
    <w:p>
      <w:pPr>
        <w:spacing w:line="360" w:lineRule="auto"/>
        <w:rPr>
          <w:rFonts w:ascii="宋体" w:hAnsi="宋体" w:cs="宋体"/>
          <w:color w:val="auto"/>
          <w:sz w:val="24"/>
          <w:szCs w:val="32"/>
        </w:rPr>
      </w:pPr>
      <w:r>
        <w:rPr>
          <w:rFonts w:hint="eastAsia" w:ascii="宋体" w:hAnsi="宋体" w:cs="宋体"/>
          <w:color w:val="auto"/>
          <w:sz w:val="24"/>
          <w:szCs w:val="32"/>
        </w:rPr>
        <w:t>详细通讯地址：</w:t>
      </w:r>
    </w:p>
    <w:p>
      <w:pPr>
        <w:spacing w:line="360" w:lineRule="auto"/>
        <w:rPr>
          <w:rFonts w:ascii="宋体" w:hAnsi="宋体" w:cs="宋体"/>
          <w:color w:val="auto"/>
          <w:sz w:val="24"/>
          <w:szCs w:val="32"/>
        </w:rPr>
      </w:pPr>
      <w:r>
        <w:rPr>
          <w:rFonts w:hint="eastAsia" w:ascii="宋体" w:hAnsi="宋体" w:cs="宋体"/>
          <w:color w:val="auto"/>
          <w:sz w:val="24"/>
          <w:szCs w:val="32"/>
        </w:rPr>
        <w:t>邮政编码：</w:t>
      </w:r>
    </w:p>
    <w:p>
      <w:pPr>
        <w:spacing w:line="360" w:lineRule="auto"/>
        <w:rPr>
          <w:rFonts w:ascii="宋体" w:hAnsi="宋体" w:cs="宋体"/>
          <w:b/>
          <w:color w:val="auto"/>
          <w:sz w:val="24"/>
        </w:rPr>
      </w:pP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授权委托代理人身份证复印件粘帖处</w:t>
            </w:r>
          </w:p>
        </w:tc>
      </w:tr>
    </w:tbl>
    <w:p>
      <w:pPr>
        <w:spacing w:line="360" w:lineRule="auto"/>
        <w:rPr>
          <w:rFonts w:ascii="宋体" w:hAnsi="宋体" w:cs="宋体"/>
          <w:color w:val="auto"/>
          <w:sz w:val="24"/>
          <w:szCs w:val="32"/>
        </w:rPr>
      </w:pPr>
      <w:r>
        <w:rPr>
          <w:rFonts w:hint="eastAsia" w:ascii="宋体" w:hAnsi="宋体" w:cs="宋体"/>
          <w:color w:val="auto"/>
          <w:sz w:val="24"/>
          <w:szCs w:val="32"/>
        </w:rPr>
        <w:t>授权委托代理人姓名：</w:t>
      </w:r>
    </w:p>
    <w:p>
      <w:pPr>
        <w:spacing w:line="360" w:lineRule="auto"/>
        <w:rPr>
          <w:rFonts w:ascii="宋体" w:hAnsi="宋体" w:cs="宋体"/>
          <w:color w:val="auto"/>
          <w:sz w:val="24"/>
          <w:szCs w:val="32"/>
        </w:rPr>
      </w:pPr>
      <w:r>
        <w:rPr>
          <w:rFonts w:hint="eastAsia" w:ascii="宋体" w:hAnsi="宋体" w:cs="宋体"/>
          <w:color w:val="auto"/>
          <w:sz w:val="24"/>
          <w:szCs w:val="32"/>
        </w:rPr>
        <w:t>职务：</w:t>
      </w:r>
    </w:p>
    <w:p>
      <w:pPr>
        <w:spacing w:line="360" w:lineRule="auto"/>
        <w:rPr>
          <w:rFonts w:ascii="宋体" w:hAnsi="宋体" w:cs="宋体"/>
          <w:color w:val="auto"/>
          <w:sz w:val="24"/>
          <w:szCs w:val="32"/>
        </w:rPr>
      </w:pPr>
      <w:r>
        <w:rPr>
          <w:rFonts w:hint="eastAsia" w:ascii="宋体" w:hAnsi="宋体" w:cs="宋体"/>
          <w:color w:val="auto"/>
          <w:sz w:val="24"/>
          <w:szCs w:val="32"/>
        </w:rPr>
        <w:t>传真：</w:t>
      </w:r>
    </w:p>
    <w:p>
      <w:pPr>
        <w:spacing w:line="360" w:lineRule="auto"/>
        <w:rPr>
          <w:rFonts w:ascii="宋体" w:hAnsi="宋体" w:cs="宋体"/>
          <w:color w:val="auto"/>
          <w:sz w:val="24"/>
          <w:szCs w:val="32"/>
        </w:rPr>
      </w:pPr>
      <w:r>
        <w:rPr>
          <w:rFonts w:hint="eastAsia" w:ascii="宋体" w:hAnsi="宋体" w:cs="宋体"/>
          <w:color w:val="auto"/>
          <w:sz w:val="24"/>
          <w:szCs w:val="32"/>
        </w:rPr>
        <w:t>手机：</w:t>
      </w:r>
    </w:p>
    <w:p>
      <w:pPr>
        <w:spacing w:line="360" w:lineRule="auto"/>
        <w:rPr>
          <w:rFonts w:ascii="宋体" w:hAnsi="宋体" w:cs="宋体"/>
          <w:color w:val="auto"/>
          <w:sz w:val="24"/>
          <w:szCs w:val="32"/>
        </w:rPr>
      </w:pPr>
      <w:r>
        <w:rPr>
          <w:rFonts w:hint="eastAsia" w:ascii="宋体" w:hAnsi="宋体" w:cs="宋体"/>
          <w:color w:val="auto"/>
          <w:sz w:val="24"/>
          <w:szCs w:val="32"/>
        </w:rPr>
        <w:t>详细通讯地址：</w:t>
      </w:r>
    </w:p>
    <w:p>
      <w:pPr>
        <w:spacing w:line="360" w:lineRule="auto"/>
        <w:rPr>
          <w:rFonts w:ascii="宋体" w:hAnsi="宋体" w:cs="宋体"/>
          <w:color w:val="auto"/>
          <w:sz w:val="24"/>
          <w:szCs w:val="32"/>
        </w:rPr>
      </w:pPr>
      <w:r>
        <w:rPr>
          <w:rFonts w:hint="eastAsia" w:ascii="宋体" w:hAnsi="宋体" w:cs="宋体"/>
          <w:color w:val="auto"/>
          <w:sz w:val="24"/>
          <w:szCs w:val="32"/>
        </w:rPr>
        <w:t>邮政编码：</w:t>
      </w:r>
    </w:p>
    <w:p>
      <w:pPr>
        <w:spacing w:line="360" w:lineRule="auto"/>
        <w:ind w:firstLine="480" w:firstLineChars="200"/>
        <w:rPr>
          <w:rFonts w:ascii="宋体" w:hAnsi="宋体" w:cs="宋体"/>
          <w:color w:val="auto"/>
          <w:sz w:val="24"/>
          <w:szCs w:val="32"/>
        </w:rPr>
      </w:pPr>
    </w:p>
    <w:p>
      <w:pPr>
        <w:spacing w:line="360" w:lineRule="auto"/>
        <w:jc w:val="center"/>
        <w:rPr>
          <w:rFonts w:ascii="宋体" w:hAnsi="宋体" w:cs="宋体"/>
          <w:b/>
          <w:bCs/>
          <w:color w:val="auto"/>
          <w:sz w:val="32"/>
          <w:szCs w:val="40"/>
        </w:rPr>
      </w:pPr>
      <w:r>
        <w:rPr>
          <w:rFonts w:hint="eastAsia" w:ascii="宋体" w:hAnsi="宋体" w:cs="宋体"/>
          <w:b/>
          <w:bCs/>
          <w:color w:val="auto"/>
          <w:sz w:val="32"/>
          <w:szCs w:val="40"/>
        </w:rPr>
        <w:t xml:space="preserve"> </w:t>
      </w:r>
      <w:r>
        <w:rPr>
          <w:rFonts w:hint="eastAsia" w:ascii="宋体" w:hAnsi="宋体" w:cs="宋体"/>
          <w:b/>
          <w:bCs/>
          <w:color w:val="auto"/>
          <w:sz w:val="32"/>
          <w:szCs w:val="40"/>
          <w:lang w:val="zh-CN"/>
        </w:rPr>
        <w:t>商务与技术</w:t>
      </w:r>
      <w:r>
        <w:rPr>
          <w:rFonts w:hint="eastAsia" w:ascii="宋体" w:hAnsi="宋体" w:cs="宋体"/>
          <w:b/>
          <w:bCs/>
          <w:color w:val="auto"/>
          <w:sz w:val="32"/>
          <w:szCs w:val="40"/>
        </w:rPr>
        <w:t>文件</w:t>
      </w:r>
    </w:p>
    <w:p>
      <w:pPr>
        <w:rPr>
          <w:rFonts w:ascii="宋体" w:hAnsi="宋体" w:cs="宋体"/>
          <w:b/>
          <w:bCs/>
          <w:color w:val="auto"/>
          <w:sz w:val="30"/>
          <w:szCs w:val="30"/>
        </w:rPr>
      </w:pPr>
    </w:p>
    <w:p>
      <w:pPr>
        <w:rPr>
          <w:rFonts w:ascii="宋体" w:hAnsi="宋体" w:cs="宋体"/>
          <w:b/>
          <w:bCs/>
          <w:color w:val="auto"/>
          <w:sz w:val="24"/>
        </w:rPr>
      </w:pPr>
    </w:p>
    <w:p>
      <w:pPr>
        <w:pStyle w:val="3"/>
        <w:rPr>
          <w:rFonts w:ascii="宋体" w:hAnsi="宋体" w:cs="宋体"/>
          <w:color w:val="auto"/>
          <w:sz w:val="24"/>
        </w:rPr>
      </w:pPr>
      <w:r>
        <w:rPr>
          <w:rFonts w:hint="eastAsia" w:ascii="宋体" w:hAnsi="宋体" w:cs="宋体"/>
          <w:color w:val="auto"/>
          <w:sz w:val="24"/>
        </w:rPr>
        <w:t>（1）评标索引：</w:t>
      </w:r>
    </w:p>
    <w:p>
      <w:pPr>
        <w:pStyle w:val="3"/>
        <w:rPr>
          <w:rFonts w:ascii="宋体" w:hAnsi="宋体" w:cs="宋体"/>
          <w:color w:val="auto"/>
          <w:sz w:val="24"/>
        </w:rPr>
      </w:pPr>
      <w:r>
        <w:rPr>
          <w:rFonts w:hint="eastAsia" w:ascii="宋体" w:hAnsi="宋体" w:cs="宋体"/>
          <w:color w:val="auto"/>
          <w:sz w:val="24"/>
        </w:rPr>
        <w:t>（2）投标人基本情况表</w:t>
      </w:r>
    </w:p>
    <w:p>
      <w:pPr>
        <w:pStyle w:val="3"/>
        <w:rPr>
          <w:rFonts w:ascii="宋体" w:hAnsi="宋体" w:cs="宋体"/>
          <w:color w:val="auto"/>
          <w:sz w:val="24"/>
        </w:rPr>
      </w:pPr>
      <w:r>
        <w:rPr>
          <w:rFonts w:hint="eastAsia" w:ascii="宋体" w:hAnsi="宋体" w:cs="宋体"/>
          <w:color w:val="auto"/>
          <w:sz w:val="24"/>
        </w:rPr>
        <w:t>（3）项目实施人员一览表</w:t>
      </w:r>
    </w:p>
    <w:p>
      <w:pPr>
        <w:pStyle w:val="3"/>
        <w:rPr>
          <w:rFonts w:ascii="宋体" w:hAnsi="宋体" w:cs="宋体"/>
          <w:color w:val="auto"/>
          <w:sz w:val="24"/>
        </w:rPr>
      </w:pPr>
      <w:r>
        <w:rPr>
          <w:rFonts w:hint="eastAsia" w:ascii="宋体" w:hAnsi="宋体" w:cs="宋体"/>
          <w:color w:val="auto"/>
          <w:sz w:val="24"/>
        </w:rPr>
        <w:t xml:space="preserve">（4）技术需求响应表   </w:t>
      </w:r>
    </w:p>
    <w:p>
      <w:pPr>
        <w:pStyle w:val="3"/>
        <w:rPr>
          <w:rFonts w:ascii="宋体" w:hAnsi="宋体" w:cs="宋体"/>
          <w:color w:val="auto"/>
          <w:sz w:val="24"/>
        </w:rPr>
      </w:pPr>
      <w:r>
        <w:rPr>
          <w:rFonts w:hint="eastAsia" w:ascii="宋体" w:hAnsi="宋体" w:cs="宋体"/>
          <w:color w:val="auto"/>
          <w:sz w:val="24"/>
        </w:rPr>
        <w:t>（5）资信及商务需求响应表</w:t>
      </w:r>
    </w:p>
    <w:p>
      <w:pPr>
        <w:pStyle w:val="3"/>
        <w:rPr>
          <w:rFonts w:ascii="宋体" w:hAnsi="宋体" w:cs="宋体"/>
          <w:color w:val="auto"/>
          <w:sz w:val="24"/>
        </w:rPr>
      </w:pPr>
      <w:r>
        <w:rPr>
          <w:rFonts w:hint="eastAsia" w:ascii="宋体" w:hAnsi="宋体" w:cs="宋体"/>
          <w:color w:val="auto"/>
          <w:sz w:val="24"/>
        </w:rPr>
        <w:t>（6）投标人类似项目业绩（以合同签订日期为准）</w:t>
      </w:r>
    </w:p>
    <w:p>
      <w:pPr>
        <w:pStyle w:val="3"/>
        <w:rPr>
          <w:rFonts w:ascii="宋体" w:hAnsi="宋体" w:cs="宋体"/>
          <w:color w:val="auto"/>
          <w:sz w:val="24"/>
        </w:rPr>
      </w:pPr>
      <w:r>
        <w:rPr>
          <w:rFonts w:hint="eastAsia" w:ascii="宋体" w:hAnsi="宋体" w:cs="宋体"/>
          <w:color w:val="auto"/>
          <w:sz w:val="24"/>
        </w:rPr>
        <w:t>（7）项目负责人资格情况表</w:t>
      </w:r>
    </w:p>
    <w:p>
      <w:pPr>
        <w:pStyle w:val="3"/>
        <w:rPr>
          <w:rFonts w:ascii="宋体" w:hAnsi="宋体" w:cs="宋体"/>
          <w:color w:val="auto"/>
          <w:sz w:val="24"/>
        </w:rPr>
      </w:pPr>
      <w:r>
        <w:rPr>
          <w:rFonts w:hint="eastAsia" w:ascii="宋体" w:hAnsi="宋体" w:cs="宋体"/>
          <w:color w:val="auto"/>
          <w:sz w:val="24"/>
        </w:rPr>
        <w:t>（8）投标人按照评标办法中的评分内容分章节描述</w:t>
      </w:r>
    </w:p>
    <w:p>
      <w:pPr>
        <w:pStyle w:val="3"/>
        <w:rPr>
          <w:color w:val="auto"/>
        </w:rPr>
      </w:pPr>
      <w:r>
        <w:rPr>
          <w:rFonts w:hint="eastAsia" w:ascii="宋体" w:hAnsi="宋体" w:cs="宋体"/>
          <w:color w:val="auto"/>
          <w:sz w:val="24"/>
        </w:rPr>
        <w:t>（9）投标人自行提供的证明材料。</w:t>
      </w:r>
    </w:p>
    <w:p>
      <w:pPr>
        <w:rPr>
          <w:rFonts w:ascii="宋体" w:hAnsi="宋体" w:cs="宋体"/>
          <w:color w:val="auto"/>
          <w:sz w:val="24"/>
          <w:szCs w:val="32"/>
        </w:rPr>
      </w:pPr>
      <w:r>
        <w:rPr>
          <w:rFonts w:ascii="宋体" w:hAnsi="宋体" w:cs="宋体"/>
          <w:color w:val="auto"/>
          <w:sz w:val="24"/>
          <w:szCs w:val="32"/>
        </w:rPr>
        <w:br w:type="page"/>
      </w:r>
    </w:p>
    <w:p>
      <w:pPr>
        <w:rPr>
          <w:rFonts w:ascii="宋体" w:hAnsi="宋体" w:cs="宋体"/>
          <w:b/>
          <w:bCs/>
          <w:color w:val="auto"/>
          <w:sz w:val="28"/>
          <w:szCs w:val="36"/>
          <w:lang w:val="zh-CN"/>
        </w:rPr>
      </w:pPr>
      <w:r>
        <w:rPr>
          <w:rFonts w:hint="eastAsia" w:ascii="宋体" w:hAnsi="宋体" w:cs="宋体"/>
          <w:b/>
          <w:bCs/>
          <w:color w:val="auto"/>
          <w:sz w:val="28"/>
          <w:szCs w:val="36"/>
          <w:lang w:val="zh-CN"/>
        </w:rPr>
        <w:t>附件</w:t>
      </w:r>
      <w:r>
        <w:rPr>
          <w:rFonts w:hint="eastAsia" w:ascii="宋体" w:hAnsi="宋体" w:cs="宋体"/>
          <w:b/>
          <w:bCs/>
          <w:color w:val="auto"/>
          <w:sz w:val="28"/>
          <w:szCs w:val="36"/>
        </w:rPr>
        <w:t>4</w:t>
      </w:r>
    </w:p>
    <w:p>
      <w:pPr>
        <w:adjustRightInd w:val="0"/>
        <w:snapToGrid w:val="0"/>
        <w:spacing w:line="360" w:lineRule="auto"/>
        <w:jc w:val="center"/>
        <w:outlineLvl w:val="0"/>
        <w:rPr>
          <w:rFonts w:hAnsi="宋体"/>
          <w:b/>
          <w:color w:val="auto"/>
          <w:szCs w:val="21"/>
        </w:rPr>
      </w:pPr>
    </w:p>
    <w:p>
      <w:pPr>
        <w:adjustRightInd w:val="0"/>
        <w:snapToGrid w:val="0"/>
        <w:spacing w:line="360" w:lineRule="auto"/>
        <w:jc w:val="center"/>
        <w:outlineLvl w:val="0"/>
        <w:rPr>
          <w:rFonts w:hAnsi="宋体"/>
          <w:b/>
          <w:color w:val="auto"/>
          <w:sz w:val="32"/>
          <w:szCs w:val="32"/>
        </w:rPr>
      </w:pPr>
      <w:r>
        <w:rPr>
          <w:rFonts w:hint="eastAsia" w:hAnsi="宋体"/>
          <w:b/>
          <w:color w:val="auto"/>
          <w:sz w:val="32"/>
          <w:szCs w:val="32"/>
        </w:rPr>
        <w:t>评标索引</w:t>
      </w:r>
    </w:p>
    <w:tbl>
      <w:tblPr>
        <w:tblStyle w:val="24"/>
        <w:tblW w:w="9399" w:type="dxa"/>
        <w:tblInd w:w="108" w:type="dxa"/>
        <w:tblLayout w:type="fixed"/>
        <w:tblCellMar>
          <w:top w:w="0" w:type="dxa"/>
          <w:left w:w="108" w:type="dxa"/>
          <w:bottom w:w="0" w:type="dxa"/>
          <w:right w:w="108" w:type="dxa"/>
        </w:tblCellMar>
      </w:tblPr>
      <w:tblGrid>
        <w:gridCol w:w="738"/>
        <w:gridCol w:w="1358"/>
        <w:gridCol w:w="6523"/>
        <w:gridCol w:w="780"/>
      </w:tblGrid>
      <w:tr>
        <w:tblPrEx>
          <w:tblCellMar>
            <w:top w:w="0" w:type="dxa"/>
            <w:left w:w="108" w:type="dxa"/>
            <w:bottom w:w="0" w:type="dxa"/>
            <w:right w:w="108" w:type="dxa"/>
          </w:tblCellMar>
        </w:tblPrEx>
        <w:trPr>
          <w:trHeight w:val="326" w:hRule="atLeast"/>
        </w:trPr>
        <w:tc>
          <w:tcPr>
            <w:tcW w:w="738" w:type="dxa"/>
            <w:tcBorders>
              <w:top w:val="single" w:color="auto" w:sz="4" w:space="0"/>
              <w:left w:val="single" w:color="auto" w:sz="4" w:space="0"/>
              <w:bottom w:val="single" w:color="auto" w:sz="4" w:space="0"/>
              <w:right w:val="single" w:color="auto" w:sz="4" w:space="0"/>
            </w:tcBorders>
            <w:vAlign w:val="center"/>
          </w:tcPr>
          <w:p>
            <w:pPr>
              <w:rPr>
                <w:rFonts w:eastAsiaTheme="minorEastAsia"/>
                <w:b/>
                <w:color w:val="auto"/>
                <w:kern w:val="0"/>
                <w:szCs w:val="21"/>
              </w:rPr>
            </w:pPr>
            <w:r>
              <w:rPr>
                <w:color w:val="auto"/>
              </w:rPr>
              <w:br w:type="page"/>
            </w:r>
            <w:r>
              <w:rPr>
                <w:rFonts w:eastAsiaTheme="minorEastAsia"/>
                <w:b/>
                <w:color w:val="auto"/>
                <w:kern w:val="0"/>
                <w:szCs w:val="21"/>
              </w:rPr>
              <w:t>序号</w:t>
            </w:r>
          </w:p>
        </w:tc>
        <w:tc>
          <w:tcPr>
            <w:tcW w:w="135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exact"/>
              <w:jc w:val="center"/>
              <w:rPr>
                <w:rFonts w:eastAsiaTheme="minorEastAsia"/>
                <w:b/>
                <w:color w:val="auto"/>
                <w:kern w:val="0"/>
                <w:szCs w:val="21"/>
              </w:rPr>
            </w:pPr>
            <w:r>
              <w:rPr>
                <w:rFonts w:eastAsiaTheme="minorEastAsia"/>
                <w:b/>
                <w:color w:val="auto"/>
                <w:kern w:val="0"/>
                <w:szCs w:val="21"/>
              </w:rPr>
              <w:t>评标因素</w:t>
            </w:r>
          </w:p>
        </w:tc>
        <w:tc>
          <w:tcPr>
            <w:tcW w:w="65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b/>
                <w:color w:val="auto"/>
                <w:kern w:val="0"/>
                <w:szCs w:val="21"/>
              </w:rPr>
            </w:pPr>
            <w:r>
              <w:rPr>
                <w:rFonts w:eastAsiaTheme="minorEastAsia"/>
                <w:b/>
                <w:bCs/>
                <w:color w:val="auto"/>
                <w:kern w:val="0"/>
                <w:szCs w:val="21"/>
              </w:rPr>
              <w:t>评审内容及评分标准说明</w:t>
            </w: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b/>
                <w:bCs/>
                <w:color w:val="auto"/>
                <w:kern w:val="0"/>
                <w:szCs w:val="21"/>
              </w:rPr>
            </w:pPr>
            <w:r>
              <w:rPr>
                <w:rFonts w:hint="eastAsia" w:ascii="宋体" w:hAnsi="宋体" w:cs="宋体"/>
                <w:b/>
                <w:bCs/>
                <w:color w:val="000000"/>
                <w:kern w:val="0"/>
                <w:szCs w:val="21"/>
              </w:rPr>
              <w:t>对应页码</w:t>
            </w:r>
          </w:p>
        </w:tc>
      </w:tr>
      <w:tr>
        <w:tblPrEx>
          <w:tblCellMar>
            <w:top w:w="0" w:type="dxa"/>
            <w:left w:w="108" w:type="dxa"/>
            <w:bottom w:w="0" w:type="dxa"/>
            <w:right w:w="108" w:type="dxa"/>
          </w:tblCellMar>
        </w:tblPrEx>
        <w:trPr>
          <w:trHeight w:val="1276" w:hRule="atLeast"/>
        </w:trPr>
        <w:tc>
          <w:tcPr>
            <w:tcW w:w="738"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1</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szCs w:val="21"/>
              </w:rPr>
            </w:pPr>
            <w:r>
              <w:rPr>
                <w:rFonts w:eastAsiaTheme="minorEastAsia"/>
                <w:color w:val="auto"/>
                <w:kern w:val="0"/>
                <w:szCs w:val="21"/>
              </w:rPr>
              <w:t>工作方案</w:t>
            </w:r>
          </w:p>
        </w:tc>
        <w:tc>
          <w:tcPr>
            <w:tcW w:w="65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Theme="minorEastAsia"/>
                <w:color w:val="auto"/>
              </w:rPr>
            </w:pPr>
            <w:r>
              <w:rPr>
                <w:rFonts w:eastAsiaTheme="minorEastAsia"/>
                <w:color w:val="auto"/>
              </w:rPr>
              <w:t>针对本项目认识了解、工作思路、技术路线，以及后续如何部署、时间安排等合理性酌情打分；</w:t>
            </w:r>
          </w:p>
          <w:p>
            <w:pPr>
              <w:widowControl/>
              <w:adjustRightInd w:val="0"/>
              <w:snapToGrid w:val="0"/>
              <w:spacing w:line="360" w:lineRule="exact"/>
              <w:rPr>
                <w:rFonts w:eastAsiaTheme="minorEastAsia"/>
                <w:color w:val="auto"/>
              </w:rPr>
            </w:pPr>
            <w:r>
              <w:rPr>
                <w:rFonts w:eastAsiaTheme="minorEastAsia"/>
                <w:color w:val="auto"/>
              </w:rPr>
              <w:t>内容全面完整的得</w:t>
            </w:r>
            <w:r>
              <w:rPr>
                <w:rFonts w:eastAsiaTheme="minorEastAsia"/>
                <w:bCs/>
                <w:color w:val="auto"/>
                <w:szCs w:val="21"/>
              </w:rPr>
              <w:t>4.0-6.0</w:t>
            </w:r>
            <w:r>
              <w:rPr>
                <w:rFonts w:eastAsiaTheme="minorEastAsia"/>
                <w:color w:val="auto"/>
              </w:rPr>
              <w:t>分；内容相对全面完整的得2</w:t>
            </w:r>
            <w:r>
              <w:rPr>
                <w:rFonts w:eastAsiaTheme="minorEastAsia"/>
                <w:bCs/>
                <w:color w:val="auto"/>
                <w:szCs w:val="21"/>
              </w:rPr>
              <w:t>.0-3.9</w:t>
            </w:r>
            <w:r>
              <w:rPr>
                <w:rFonts w:eastAsiaTheme="minorEastAsia"/>
                <w:color w:val="auto"/>
              </w:rPr>
              <w:t>分；</w:t>
            </w:r>
          </w:p>
          <w:p>
            <w:pPr>
              <w:widowControl/>
              <w:adjustRightInd w:val="0"/>
              <w:snapToGrid w:val="0"/>
              <w:spacing w:line="360" w:lineRule="exact"/>
              <w:rPr>
                <w:rFonts w:eastAsiaTheme="minorEastAsia"/>
                <w:color w:val="auto"/>
              </w:rPr>
            </w:pPr>
            <w:r>
              <w:rPr>
                <w:rFonts w:eastAsiaTheme="minorEastAsia"/>
                <w:color w:val="auto"/>
              </w:rPr>
              <w:t>内容不够详实的得0</w:t>
            </w:r>
            <w:r>
              <w:rPr>
                <w:rFonts w:eastAsiaTheme="minorEastAsia"/>
                <w:bCs/>
                <w:color w:val="auto"/>
                <w:szCs w:val="21"/>
              </w:rPr>
              <w:t>-1.9</w:t>
            </w:r>
            <w:r>
              <w:rPr>
                <w:rFonts w:eastAsiaTheme="minorEastAsia"/>
                <w:color w:val="auto"/>
              </w:rPr>
              <w:t>分；内容不全面不完整</w:t>
            </w:r>
            <w:r>
              <w:rPr>
                <w:rFonts w:hint="eastAsia" w:eastAsiaTheme="minorEastAsia"/>
                <w:color w:val="auto"/>
              </w:rPr>
              <w:t>的不得分</w:t>
            </w:r>
            <w:r>
              <w:rPr>
                <w:rFonts w:eastAsiaTheme="minorEastAsia"/>
                <w:color w:val="auto"/>
              </w:rPr>
              <w:t>。</w:t>
            </w:r>
          </w:p>
        </w:tc>
        <w:tc>
          <w:tcPr>
            <w:tcW w:w="780"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p>
        </w:tc>
      </w:tr>
      <w:tr>
        <w:tblPrEx>
          <w:tblCellMar>
            <w:top w:w="0" w:type="dxa"/>
            <w:left w:w="108" w:type="dxa"/>
            <w:bottom w:w="0" w:type="dxa"/>
            <w:right w:w="108" w:type="dxa"/>
          </w:tblCellMar>
        </w:tblPrEx>
        <w:trPr>
          <w:trHeight w:val="735"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2</w:t>
            </w:r>
          </w:p>
        </w:tc>
        <w:tc>
          <w:tcPr>
            <w:tcW w:w="135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项目实施方案</w:t>
            </w:r>
          </w:p>
        </w:tc>
        <w:tc>
          <w:tcPr>
            <w:tcW w:w="65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Theme="minorEastAsia"/>
                <w:color w:val="auto"/>
                <w:kern w:val="0"/>
                <w:szCs w:val="21"/>
              </w:rPr>
            </w:pPr>
            <w:r>
              <w:rPr>
                <w:rFonts w:eastAsiaTheme="minorEastAsia"/>
                <w:color w:val="auto"/>
                <w:kern w:val="0"/>
                <w:szCs w:val="21"/>
              </w:rPr>
              <w:t>针对本项目的排查内容、表格设计是否全面进行评分。</w:t>
            </w:r>
            <w:r>
              <w:rPr>
                <w:rFonts w:eastAsiaTheme="minorEastAsia"/>
                <w:color w:val="auto"/>
                <w:kern w:val="0"/>
                <w:szCs w:val="21"/>
                <w:lang w:val="zh-CN"/>
              </w:rPr>
              <w:t>每一项内容清晰、完整、符合采购人实际</w:t>
            </w:r>
            <w:r>
              <w:rPr>
                <w:rFonts w:eastAsiaTheme="minorEastAsia"/>
                <w:color w:val="auto"/>
                <w:kern w:val="0"/>
                <w:szCs w:val="21"/>
              </w:rPr>
              <w:t>需求</w:t>
            </w:r>
            <w:r>
              <w:rPr>
                <w:rFonts w:eastAsiaTheme="minorEastAsia"/>
                <w:color w:val="auto"/>
                <w:kern w:val="0"/>
                <w:szCs w:val="21"/>
                <w:lang w:val="zh-CN"/>
              </w:rPr>
              <w:t>的得</w:t>
            </w:r>
            <w:r>
              <w:rPr>
                <w:rFonts w:eastAsiaTheme="minorEastAsia"/>
                <w:color w:val="auto"/>
                <w:kern w:val="0"/>
                <w:szCs w:val="21"/>
              </w:rPr>
              <w:t>5</w:t>
            </w:r>
            <w:r>
              <w:rPr>
                <w:rFonts w:eastAsiaTheme="minorEastAsia"/>
                <w:color w:val="auto"/>
                <w:kern w:val="0"/>
                <w:szCs w:val="21"/>
                <w:lang w:val="zh-CN"/>
              </w:rPr>
              <w:t>分，有所欠缺的</w:t>
            </w:r>
            <w:r>
              <w:rPr>
                <w:rFonts w:hint="eastAsia" w:eastAsiaTheme="minorEastAsia"/>
                <w:color w:val="auto"/>
                <w:kern w:val="0"/>
                <w:szCs w:val="21"/>
                <w:lang w:val="en-US" w:eastAsia="zh-CN"/>
              </w:rPr>
              <w:t>扣</w:t>
            </w:r>
            <w:r>
              <w:rPr>
                <w:rFonts w:eastAsiaTheme="minorEastAsia"/>
                <w:color w:val="auto"/>
                <w:kern w:val="0"/>
                <w:szCs w:val="21"/>
              </w:rPr>
              <w:t>1</w:t>
            </w:r>
            <w:r>
              <w:rPr>
                <w:rFonts w:eastAsiaTheme="minorEastAsia"/>
                <w:color w:val="auto"/>
                <w:kern w:val="0"/>
                <w:szCs w:val="21"/>
                <w:lang w:val="zh-CN"/>
              </w:rPr>
              <w:t>分，</w:t>
            </w:r>
            <w:r>
              <w:rPr>
                <w:rFonts w:hint="eastAsia"/>
                <w:color w:val="auto"/>
                <w:sz w:val="21"/>
                <w:szCs w:val="21"/>
                <w:lang w:val="en-US" w:eastAsia="zh-CN"/>
              </w:rPr>
              <w:t>扣完为止。</w:t>
            </w:r>
            <w:r>
              <w:rPr>
                <w:rFonts w:eastAsiaTheme="minorEastAsia"/>
                <w:color w:val="auto"/>
                <w:kern w:val="0"/>
                <w:szCs w:val="21"/>
                <w:lang w:val="zh-CN"/>
              </w:rPr>
              <w:t>未提供或方案不可行的不得分。</w:t>
            </w: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p>
        </w:tc>
      </w:tr>
      <w:tr>
        <w:tblPrEx>
          <w:tblCellMar>
            <w:top w:w="0" w:type="dxa"/>
            <w:left w:w="108" w:type="dxa"/>
            <w:bottom w:w="0" w:type="dxa"/>
            <w:right w:w="108" w:type="dxa"/>
          </w:tblCellMar>
        </w:tblPrEx>
        <w:trPr>
          <w:trHeight w:val="128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Theme="minorEastAsia"/>
                <w:color w:val="auto"/>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Theme="minorEastAsia"/>
                <w:color w:val="auto"/>
              </w:rPr>
            </w:pPr>
          </w:p>
        </w:tc>
        <w:tc>
          <w:tcPr>
            <w:tcW w:w="6523"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color w:val="auto"/>
                <w:szCs w:val="21"/>
              </w:rPr>
            </w:pPr>
            <w:r>
              <w:rPr>
                <w:rFonts w:eastAsiaTheme="minorEastAsia"/>
                <w:color w:val="auto"/>
                <w:szCs w:val="21"/>
              </w:rPr>
              <w:t>根据投标人通过对现场的实地调查制定排查计划和方案，专家根据投标人制定的实施计划及具体方案打分：</w:t>
            </w:r>
          </w:p>
          <w:p>
            <w:pPr>
              <w:jc w:val="left"/>
              <w:rPr>
                <w:rFonts w:eastAsiaTheme="minorEastAsia"/>
                <w:color w:val="auto"/>
                <w:szCs w:val="21"/>
              </w:rPr>
            </w:pPr>
            <w:r>
              <w:rPr>
                <w:rFonts w:eastAsiaTheme="minorEastAsia"/>
                <w:color w:val="auto"/>
                <w:szCs w:val="21"/>
              </w:rPr>
              <w:t>制定的实施计划及具体方案内容详尽、可行得</w:t>
            </w:r>
            <w:r>
              <w:rPr>
                <w:rFonts w:hint="eastAsia" w:eastAsiaTheme="minorEastAsia"/>
                <w:color w:val="auto"/>
                <w:szCs w:val="21"/>
                <w:lang w:val="en-US" w:eastAsia="zh-CN"/>
              </w:rPr>
              <w:t>6</w:t>
            </w:r>
            <w:r>
              <w:rPr>
                <w:rFonts w:eastAsiaTheme="minorEastAsia"/>
                <w:color w:val="auto"/>
                <w:szCs w:val="21"/>
              </w:rPr>
              <w:t>.0-8.0 分；</w:t>
            </w:r>
          </w:p>
          <w:p>
            <w:pPr>
              <w:jc w:val="left"/>
              <w:rPr>
                <w:rFonts w:eastAsiaTheme="minorEastAsia"/>
                <w:color w:val="auto"/>
                <w:szCs w:val="21"/>
              </w:rPr>
            </w:pPr>
            <w:r>
              <w:rPr>
                <w:rFonts w:eastAsiaTheme="minorEastAsia"/>
                <w:color w:val="auto"/>
                <w:szCs w:val="21"/>
              </w:rPr>
              <w:t>制定的实施计划及具体方案内容不够完善、有缺陷、操作性不强得3-5.9 分；</w:t>
            </w:r>
          </w:p>
          <w:p>
            <w:pPr>
              <w:widowControl/>
              <w:adjustRightInd w:val="0"/>
              <w:snapToGrid w:val="0"/>
              <w:spacing w:line="360" w:lineRule="exact"/>
              <w:rPr>
                <w:rFonts w:eastAsiaTheme="minorEastAsia"/>
                <w:color w:val="auto"/>
                <w:szCs w:val="21"/>
              </w:rPr>
            </w:pPr>
            <w:r>
              <w:rPr>
                <w:rFonts w:eastAsiaTheme="minorEastAsia"/>
                <w:color w:val="auto"/>
                <w:szCs w:val="21"/>
              </w:rPr>
              <w:t>与本项目的实际情况有偏差，得0-2.9分；</w:t>
            </w:r>
          </w:p>
          <w:p>
            <w:pPr>
              <w:widowControl/>
              <w:adjustRightInd w:val="0"/>
              <w:snapToGrid w:val="0"/>
              <w:spacing w:line="360" w:lineRule="exact"/>
              <w:rPr>
                <w:rFonts w:eastAsiaTheme="minorEastAsia"/>
                <w:color w:val="auto"/>
                <w:szCs w:val="21"/>
              </w:rPr>
            </w:pPr>
            <w:r>
              <w:rPr>
                <w:rFonts w:eastAsiaTheme="minorEastAsia"/>
                <w:color w:val="auto"/>
                <w:kern w:val="0"/>
                <w:szCs w:val="21"/>
              </w:rPr>
              <w:t>项目实施方案不可行的或</w:t>
            </w:r>
            <w:r>
              <w:rPr>
                <w:rFonts w:eastAsiaTheme="minorEastAsia"/>
                <w:color w:val="auto"/>
                <w:szCs w:val="21"/>
              </w:rPr>
              <w:t>敷衍的得0分；</w:t>
            </w:r>
          </w:p>
          <w:p>
            <w:pPr>
              <w:widowControl/>
              <w:adjustRightInd w:val="0"/>
              <w:snapToGrid w:val="0"/>
              <w:spacing w:line="360" w:lineRule="exact"/>
              <w:rPr>
                <w:rFonts w:eastAsiaTheme="minorEastAsia"/>
                <w:color w:val="auto"/>
                <w:kern w:val="0"/>
                <w:szCs w:val="21"/>
              </w:rPr>
            </w:pPr>
            <w:r>
              <w:rPr>
                <w:rFonts w:eastAsiaTheme="minorEastAsia"/>
                <w:color w:val="auto"/>
                <w:szCs w:val="21"/>
              </w:rPr>
              <w:t>缺项不得分。</w:t>
            </w: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p>
        </w:tc>
      </w:tr>
      <w:tr>
        <w:tblPrEx>
          <w:tblCellMar>
            <w:top w:w="0" w:type="dxa"/>
            <w:left w:w="108" w:type="dxa"/>
            <w:bottom w:w="0" w:type="dxa"/>
            <w:right w:w="108" w:type="dxa"/>
          </w:tblCellMar>
        </w:tblPrEx>
        <w:trPr>
          <w:trHeight w:val="1285"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3</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szCs w:val="21"/>
              </w:rPr>
              <w:t>保证项目质量及实施进度的措施</w:t>
            </w:r>
          </w:p>
        </w:tc>
        <w:tc>
          <w:tcPr>
            <w:tcW w:w="65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Theme="minorEastAsia"/>
                <w:color w:val="auto"/>
                <w:kern w:val="0"/>
                <w:szCs w:val="21"/>
              </w:rPr>
            </w:pPr>
            <w:r>
              <w:rPr>
                <w:rFonts w:eastAsiaTheme="minorEastAsia"/>
                <w:color w:val="auto"/>
                <w:kern w:val="0"/>
                <w:szCs w:val="21"/>
              </w:rPr>
              <w:t>针对</w:t>
            </w:r>
            <w:r>
              <w:rPr>
                <w:rFonts w:eastAsiaTheme="minorEastAsia"/>
                <w:color w:val="auto"/>
                <w:szCs w:val="21"/>
              </w:rPr>
              <w:t>保证项目质量及实施进度措施的</w:t>
            </w:r>
            <w:r>
              <w:rPr>
                <w:rFonts w:eastAsiaTheme="minorEastAsia"/>
                <w:color w:val="auto"/>
                <w:kern w:val="0"/>
                <w:szCs w:val="21"/>
              </w:rPr>
              <w:t>严密性</w:t>
            </w:r>
            <w:r>
              <w:rPr>
                <w:rFonts w:eastAsiaTheme="minorEastAsia"/>
                <w:iCs/>
                <w:color w:val="auto"/>
                <w:szCs w:val="21"/>
              </w:rPr>
              <w:t>酌情打分0-2分；</w:t>
            </w:r>
          </w:p>
          <w:p>
            <w:pPr>
              <w:widowControl/>
              <w:adjustRightInd w:val="0"/>
              <w:snapToGrid w:val="0"/>
              <w:spacing w:line="360" w:lineRule="exact"/>
              <w:rPr>
                <w:rFonts w:eastAsiaTheme="minorEastAsia"/>
                <w:color w:val="auto"/>
                <w:kern w:val="0"/>
                <w:szCs w:val="21"/>
              </w:rPr>
            </w:pPr>
            <w:r>
              <w:rPr>
                <w:rFonts w:eastAsiaTheme="minorEastAsia"/>
                <w:color w:val="auto"/>
                <w:kern w:val="0"/>
                <w:szCs w:val="21"/>
              </w:rPr>
              <w:t>针对</w:t>
            </w:r>
            <w:r>
              <w:rPr>
                <w:rFonts w:eastAsiaTheme="minorEastAsia"/>
                <w:color w:val="auto"/>
                <w:szCs w:val="21"/>
              </w:rPr>
              <w:t>保证项目质量及实施进度措施</w:t>
            </w:r>
            <w:r>
              <w:rPr>
                <w:rFonts w:eastAsiaTheme="minorEastAsia"/>
                <w:color w:val="auto"/>
                <w:kern w:val="0"/>
                <w:szCs w:val="21"/>
              </w:rPr>
              <w:t>可行性</w:t>
            </w:r>
            <w:r>
              <w:rPr>
                <w:rFonts w:eastAsiaTheme="minorEastAsia"/>
                <w:iCs/>
                <w:color w:val="auto"/>
                <w:szCs w:val="21"/>
              </w:rPr>
              <w:t>酌情打分0-2分；</w:t>
            </w:r>
          </w:p>
          <w:p>
            <w:pPr>
              <w:widowControl/>
              <w:adjustRightInd w:val="0"/>
              <w:snapToGrid w:val="0"/>
              <w:spacing w:line="360" w:lineRule="exact"/>
              <w:rPr>
                <w:rFonts w:eastAsiaTheme="minorEastAsia"/>
                <w:color w:val="auto"/>
                <w:kern w:val="0"/>
                <w:szCs w:val="21"/>
              </w:rPr>
            </w:pPr>
            <w:r>
              <w:rPr>
                <w:rFonts w:eastAsiaTheme="minorEastAsia"/>
                <w:color w:val="auto"/>
                <w:kern w:val="0"/>
                <w:szCs w:val="21"/>
              </w:rPr>
              <w:t>针对</w:t>
            </w:r>
            <w:r>
              <w:rPr>
                <w:rFonts w:eastAsiaTheme="minorEastAsia"/>
                <w:color w:val="auto"/>
                <w:szCs w:val="21"/>
              </w:rPr>
              <w:t>保证项目质量及实施进度措施的</w:t>
            </w:r>
            <w:r>
              <w:rPr>
                <w:rFonts w:eastAsiaTheme="minorEastAsia"/>
                <w:iCs/>
                <w:color w:val="auto"/>
                <w:szCs w:val="21"/>
              </w:rPr>
              <w:t>针对性酌情打分0-2分。</w:t>
            </w:r>
          </w:p>
        </w:tc>
        <w:tc>
          <w:tcPr>
            <w:tcW w:w="780" w:type="dxa"/>
            <w:tcBorders>
              <w:top w:val="nil"/>
              <w:left w:val="single" w:color="auto" w:sz="4" w:space="0"/>
              <w:bottom w:val="single" w:color="auto" w:sz="8"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p>
        </w:tc>
      </w:tr>
      <w:tr>
        <w:tblPrEx>
          <w:tblCellMar>
            <w:top w:w="0" w:type="dxa"/>
            <w:left w:w="108" w:type="dxa"/>
            <w:bottom w:w="0" w:type="dxa"/>
            <w:right w:w="108" w:type="dxa"/>
          </w:tblCellMar>
        </w:tblPrEx>
        <w:trPr>
          <w:trHeight w:val="1977"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4</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b/>
                <w:color w:val="auto"/>
                <w:kern w:val="0"/>
                <w:szCs w:val="21"/>
              </w:rPr>
            </w:pPr>
            <w:r>
              <w:rPr>
                <w:rFonts w:eastAsiaTheme="minorEastAsia"/>
                <w:color w:val="auto"/>
                <w:szCs w:val="21"/>
              </w:rPr>
              <w:t>项目重点难点分析及对应的解决方案</w:t>
            </w:r>
          </w:p>
        </w:tc>
        <w:tc>
          <w:tcPr>
            <w:tcW w:w="65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rPr>
                <w:rFonts w:eastAsiaTheme="minorEastAsia"/>
                <w:color w:val="auto"/>
                <w:kern w:val="0"/>
                <w:szCs w:val="21"/>
              </w:rPr>
            </w:pPr>
            <w:r>
              <w:rPr>
                <w:rFonts w:eastAsiaTheme="minorEastAsia"/>
                <w:color w:val="auto"/>
                <w:kern w:val="0"/>
                <w:szCs w:val="21"/>
              </w:rPr>
              <w:t>针对项目重点难点分析，结合实际经验总结，给出解决方案并说明优势等综合情况酌情打分。</w:t>
            </w:r>
            <w:r>
              <w:rPr>
                <w:rFonts w:eastAsiaTheme="minorEastAsia"/>
                <w:color w:val="auto"/>
                <w:szCs w:val="21"/>
              </w:rPr>
              <w:t>项目重点难点分析到位，对应的解决方案合理正确的得</w:t>
            </w:r>
            <w:r>
              <w:rPr>
                <w:rFonts w:eastAsiaTheme="minorEastAsia"/>
                <w:bCs/>
                <w:color w:val="auto"/>
                <w:szCs w:val="21"/>
              </w:rPr>
              <w:t>5.0-7.0</w:t>
            </w:r>
            <w:r>
              <w:rPr>
                <w:rFonts w:eastAsiaTheme="minorEastAsia"/>
                <w:color w:val="auto"/>
                <w:szCs w:val="21"/>
              </w:rPr>
              <w:t>分，项目重点难点分析及对应的解决方案有偏差的得3.0-4.9分， 项目重点难点分析及对应的解决方案敷衍的得 2 分；缺项不得分。</w:t>
            </w:r>
          </w:p>
        </w:tc>
        <w:tc>
          <w:tcPr>
            <w:tcW w:w="780" w:type="dxa"/>
            <w:tcBorders>
              <w:top w:val="nil"/>
              <w:left w:val="single" w:color="auto" w:sz="4" w:space="0"/>
              <w:bottom w:val="single" w:color="auto" w:sz="8"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p>
        </w:tc>
      </w:tr>
      <w:tr>
        <w:tblPrEx>
          <w:tblCellMar>
            <w:top w:w="0" w:type="dxa"/>
            <w:left w:w="108" w:type="dxa"/>
            <w:bottom w:w="0" w:type="dxa"/>
            <w:right w:w="108" w:type="dxa"/>
          </w:tblCellMar>
        </w:tblPrEx>
        <w:trPr>
          <w:trHeight w:val="1285" w:hRule="atLeast"/>
        </w:trPr>
        <w:tc>
          <w:tcPr>
            <w:tcW w:w="738"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5</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szCs w:val="21"/>
              </w:rPr>
            </w:pPr>
            <w:r>
              <w:rPr>
                <w:rFonts w:eastAsiaTheme="minorEastAsia"/>
                <w:color w:val="auto"/>
                <w:kern w:val="0"/>
                <w:szCs w:val="21"/>
              </w:rPr>
              <w:t>企业综合实力</w:t>
            </w:r>
          </w:p>
        </w:tc>
        <w:tc>
          <w:tcPr>
            <w:tcW w:w="6523" w:type="dxa"/>
            <w:tcBorders>
              <w:top w:val="single" w:color="auto" w:sz="4" w:space="0"/>
              <w:left w:val="single" w:color="auto" w:sz="4" w:space="0"/>
              <w:bottom w:val="single" w:color="auto" w:sz="4" w:space="0"/>
              <w:right w:val="single" w:color="auto" w:sz="4" w:space="0"/>
            </w:tcBorders>
            <w:vAlign w:val="center"/>
          </w:tcPr>
          <w:p>
            <w:pPr>
              <w:pStyle w:val="76"/>
              <w:ind w:right="17"/>
              <w:rPr>
                <w:rFonts w:hint="default" w:ascii="Times New Roman" w:hAnsi="Times New Roman" w:cs="Times New Roman" w:eastAsiaTheme="minorEastAsia"/>
                <w:color w:val="auto"/>
                <w:lang w:val="en-US" w:eastAsia="zh-CN"/>
              </w:rPr>
            </w:pPr>
            <w:r>
              <w:rPr>
                <w:rFonts w:ascii="Times New Roman" w:hAnsi="Times New Roman" w:cs="Times New Roman" w:eastAsiaTheme="minorEastAsia"/>
                <w:color w:val="auto"/>
              </w:rPr>
              <w:t xml:space="preserve">1、投标单位列入省级及以上重点行业企业用地土壤污染状况调查专业机构推荐名录，得 </w:t>
            </w:r>
            <w:r>
              <w:rPr>
                <w:rFonts w:hint="eastAsia" w:ascii="Times New Roman" w:hAnsi="Times New Roman" w:cs="Times New Roman" w:eastAsiaTheme="minorEastAsia"/>
                <w:color w:val="auto"/>
                <w:lang w:val="en-US" w:eastAsia="zh-CN"/>
              </w:rPr>
              <w:t>3</w:t>
            </w:r>
            <w:r>
              <w:rPr>
                <w:rFonts w:ascii="Times New Roman" w:hAnsi="Times New Roman" w:cs="Times New Roman" w:eastAsiaTheme="minorEastAsia"/>
                <w:color w:val="auto"/>
              </w:rPr>
              <w:t>分。</w:t>
            </w:r>
            <w:r>
              <w:rPr>
                <w:rFonts w:hint="eastAsia" w:ascii="Times New Roman" w:hAnsi="Times New Roman" w:cs="Times New Roman" w:eastAsiaTheme="minorEastAsia"/>
                <w:color w:val="auto"/>
                <w:lang w:val="en-US" w:eastAsia="zh-CN"/>
              </w:rPr>
              <w:t>需提供相关证明材料。</w:t>
            </w:r>
          </w:p>
          <w:p>
            <w:pPr>
              <w:kinsoku w:val="0"/>
              <w:spacing w:line="280" w:lineRule="exact"/>
              <w:jc w:val="left"/>
              <w:textAlignment w:val="baseline"/>
              <w:rPr>
                <w:rFonts w:ascii="宋体" w:hAnsi="宋体" w:cs="宋体"/>
                <w:bCs/>
                <w:color w:val="auto"/>
                <w:szCs w:val="21"/>
              </w:rPr>
            </w:pPr>
            <w:r>
              <w:rPr>
                <w:rFonts w:hint="eastAsia" w:ascii="宋体" w:hAnsi="宋体" w:cs="宋体"/>
                <w:bCs/>
                <w:color w:val="auto"/>
                <w:szCs w:val="21"/>
                <w:lang w:val="en-US" w:eastAsia="zh-CN"/>
              </w:rPr>
              <w:t>2</w:t>
            </w:r>
            <w:r>
              <w:rPr>
                <w:rFonts w:ascii="Times New Roman" w:hAnsi="Times New Roman" w:cs="Times New Roman" w:eastAsiaTheme="minorEastAsia"/>
                <w:color w:val="auto"/>
              </w:rPr>
              <w:t>、</w:t>
            </w:r>
            <w:r>
              <w:rPr>
                <w:rFonts w:hint="eastAsia" w:ascii="宋体" w:hAnsi="宋体" w:cs="宋体"/>
                <w:bCs/>
                <w:color w:val="auto"/>
                <w:szCs w:val="21"/>
              </w:rPr>
              <w:t>根据投标人的综合实力进行打分，投标人具有完善的企业规范制度、管理水平、公司组织构架，具有相关荣誉证书，能提供强大的相关技术力量支持，并能保障项目质量的得3.0-4.0分；</w:t>
            </w:r>
          </w:p>
          <w:p>
            <w:pPr>
              <w:kinsoku w:val="0"/>
              <w:spacing w:line="280" w:lineRule="exact"/>
              <w:jc w:val="left"/>
              <w:textAlignment w:val="baseline"/>
              <w:rPr>
                <w:rFonts w:ascii="宋体" w:hAnsi="宋体" w:cs="宋体"/>
                <w:bCs/>
                <w:color w:val="auto"/>
                <w:szCs w:val="21"/>
              </w:rPr>
            </w:pPr>
            <w:r>
              <w:rPr>
                <w:rFonts w:hint="eastAsia" w:ascii="宋体" w:hAnsi="宋体" w:cs="宋体"/>
                <w:bCs/>
                <w:color w:val="auto"/>
                <w:szCs w:val="21"/>
              </w:rPr>
              <w:t>企业管理水平较好，组织构架较简单，且具有较强的相关技术力量支持的得2.0-2.9分；</w:t>
            </w:r>
          </w:p>
          <w:p>
            <w:pPr>
              <w:pStyle w:val="76"/>
              <w:ind w:right="17"/>
              <w:rPr>
                <w:rFonts w:ascii="Times New Roman" w:hAnsi="Times New Roman" w:cs="Times New Roman" w:eastAsiaTheme="minorEastAsia"/>
                <w:color w:val="auto"/>
              </w:rPr>
            </w:pPr>
            <w:r>
              <w:rPr>
                <w:rFonts w:hint="eastAsia" w:ascii="宋体" w:hAnsi="宋体" w:cs="宋体"/>
                <w:bCs/>
                <w:color w:val="auto"/>
                <w:szCs w:val="21"/>
              </w:rPr>
              <w:t>企业管理制度简单、几乎没有企业组织构架，相关技术支持力量薄弱的得1.0-1.9分；</w:t>
            </w:r>
            <w:r>
              <w:rPr>
                <w:rFonts w:eastAsiaTheme="minorEastAsia"/>
                <w:color w:val="auto"/>
                <w:szCs w:val="21"/>
              </w:rPr>
              <w:t>缺项不得分。</w:t>
            </w:r>
          </w:p>
        </w:tc>
        <w:tc>
          <w:tcPr>
            <w:tcW w:w="780" w:type="dxa"/>
            <w:tcBorders>
              <w:top w:val="nil"/>
              <w:left w:val="single" w:color="auto" w:sz="4" w:space="0"/>
              <w:bottom w:val="single" w:color="auto" w:sz="8" w:space="0"/>
              <w:right w:val="single" w:color="auto" w:sz="4" w:space="0"/>
            </w:tcBorders>
            <w:vAlign w:val="center"/>
          </w:tcPr>
          <w:p>
            <w:pPr>
              <w:widowControl/>
              <w:adjustRightInd w:val="0"/>
              <w:snapToGrid w:val="0"/>
              <w:spacing w:line="360" w:lineRule="exact"/>
              <w:jc w:val="center"/>
              <w:rPr>
                <w:rFonts w:hint="eastAsia" w:eastAsiaTheme="minorEastAsia"/>
                <w:color w:val="auto"/>
                <w:kern w:val="0"/>
                <w:szCs w:val="21"/>
                <w:lang w:val="en-US" w:eastAsia="zh-CN"/>
              </w:rPr>
            </w:pPr>
          </w:p>
        </w:tc>
      </w:tr>
      <w:tr>
        <w:tblPrEx>
          <w:tblCellMar>
            <w:top w:w="0" w:type="dxa"/>
            <w:left w:w="108" w:type="dxa"/>
            <w:bottom w:w="0" w:type="dxa"/>
            <w:right w:w="108" w:type="dxa"/>
          </w:tblCellMar>
        </w:tblPrEx>
        <w:trPr>
          <w:trHeight w:val="2235" w:hRule="atLeast"/>
        </w:trPr>
        <w:tc>
          <w:tcPr>
            <w:tcW w:w="738"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eastAsiaTheme="minorEastAsia"/>
                <w:color w:val="auto"/>
                <w:kern w:val="0"/>
                <w:szCs w:val="21"/>
                <w:lang w:eastAsia="zh-CN"/>
              </w:rPr>
            </w:pPr>
            <w:r>
              <w:rPr>
                <w:rFonts w:hint="eastAsia" w:eastAsiaTheme="minorEastAsia"/>
                <w:bCs/>
                <w:color w:val="auto"/>
                <w:szCs w:val="21"/>
                <w:lang w:val="en-US" w:eastAsia="zh-CN"/>
              </w:rPr>
              <w:t>6</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szCs w:val="21"/>
              </w:rPr>
            </w:pPr>
            <w:r>
              <w:rPr>
                <w:rFonts w:eastAsiaTheme="minorEastAsia"/>
                <w:color w:val="auto"/>
                <w:szCs w:val="21"/>
              </w:rPr>
              <w:t>人力资源安排</w:t>
            </w:r>
          </w:p>
        </w:tc>
        <w:tc>
          <w:tcPr>
            <w:tcW w:w="6523" w:type="dxa"/>
            <w:tcBorders>
              <w:top w:val="single" w:color="auto" w:sz="4" w:space="0"/>
              <w:left w:val="single" w:color="auto" w:sz="4" w:space="0"/>
              <w:bottom w:val="single" w:color="auto" w:sz="4" w:space="0"/>
              <w:right w:val="single" w:color="auto" w:sz="4" w:space="0"/>
            </w:tcBorders>
            <w:vAlign w:val="center"/>
          </w:tcPr>
          <w:p>
            <w:pPr>
              <w:pStyle w:val="76"/>
              <w:rPr>
                <w:rFonts w:ascii="Times New Roman" w:hAnsi="Times New Roman" w:cs="Times New Roman" w:eastAsiaTheme="minorEastAsia"/>
                <w:color w:val="auto"/>
              </w:rPr>
            </w:pPr>
            <w:r>
              <w:rPr>
                <w:rFonts w:ascii="Times New Roman" w:hAnsi="Times New Roman" w:cs="Times New Roman" w:eastAsiaTheme="minorEastAsia"/>
                <w:color w:val="auto"/>
              </w:rPr>
              <w:t>1、项目负责人为环保类正高级工程师得 3分，环保类副高级工程师得 2 分，环保类中级工程师得 1 分，本项以最高级技术职称计分，最高得 3 分；</w:t>
            </w:r>
          </w:p>
          <w:p>
            <w:pPr>
              <w:pStyle w:val="76"/>
              <w:spacing w:before="1"/>
              <w:ind w:right="19"/>
              <w:rPr>
                <w:rFonts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2</w:t>
            </w:r>
            <w:r>
              <w:rPr>
                <w:rFonts w:ascii="Times New Roman" w:hAnsi="Times New Roman" w:cs="Times New Roman" w:eastAsiaTheme="minorEastAsia"/>
                <w:color w:val="auto"/>
              </w:rPr>
              <w:t>、项目团队成员中（不含项目负责人）具有《中华人民共和国环境</w:t>
            </w:r>
          </w:p>
          <w:p>
            <w:pPr>
              <w:pStyle w:val="76"/>
              <w:spacing w:before="1"/>
              <w:ind w:right="19"/>
              <w:rPr>
                <w:rFonts w:ascii="Times New Roman" w:hAnsi="Times New Roman" w:cs="Times New Roman" w:eastAsiaTheme="minorEastAsia"/>
                <w:color w:val="auto"/>
              </w:rPr>
            </w:pPr>
            <w:r>
              <w:rPr>
                <w:rFonts w:ascii="Times New Roman" w:hAnsi="Times New Roman" w:cs="Times New Roman" w:eastAsiaTheme="minorEastAsia"/>
                <w:color w:val="auto"/>
              </w:rPr>
              <w:t>影响评价工程师职业资格证书》的，每人得 0.5 分，最多得</w:t>
            </w:r>
            <w:r>
              <w:rPr>
                <w:rFonts w:hint="eastAsia" w:ascii="Times New Roman" w:hAnsi="Times New Roman" w:cs="Times New Roman" w:eastAsiaTheme="minorEastAsia"/>
                <w:color w:val="auto"/>
                <w:lang w:val="en-US" w:eastAsia="zh-CN"/>
              </w:rPr>
              <w:t>4</w:t>
            </w:r>
            <w:r>
              <w:rPr>
                <w:rFonts w:ascii="Times New Roman" w:hAnsi="Times New Roman" w:cs="Times New Roman" w:eastAsiaTheme="minorEastAsia"/>
                <w:color w:val="auto"/>
              </w:rPr>
              <w:t>分；</w:t>
            </w:r>
          </w:p>
          <w:p>
            <w:pPr>
              <w:pStyle w:val="76"/>
              <w:rPr>
                <w:rFonts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3</w:t>
            </w:r>
            <w:r>
              <w:rPr>
                <w:rFonts w:ascii="Times New Roman" w:hAnsi="Times New Roman" w:cs="Times New Roman" w:eastAsiaTheme="minorEastAsia"/>
                <w:color w:val="auto"/>
              </w:rPr>
              <w:t>、项目组成员（不含项目负责人）具有副高级及上职称的，每个得0.5分，最高</w:t>
            </w:r>
            <w:r>
              <w:rPr>
                <w:rFonts w:hint="eastAsia" w:ascii="Times New Roman" w:hAnsi="Times New Roman" w:cs="Times New Roman" w:eastAsiaTheme="minorEastAsia"/>
                <w:color w:val="auto"/>
                <w:lang w:val="en-US" w:eastAsia="zh-CN"/>
              </w:rPr>
              <w:t>3</w:t>
            </w:r>
            <w:r>
              <w:rPr>
                <w:rFonts w:ascii="Times New Roman" w:hAnsi="Times New Roman" w:cs="Times New Roman" w:eastAsiaTheme="minorEastAsia"/>
                <w:color w:val="auto"/>
              </w:rPr>
              <w:t>分；</w:t>
            </w:r>
          </w:p>
          <w:p>
            <w:pPr>
              <w:adjustRightInd w:val="0"/>
              <w:snapToGrid w:val="0"/>
              <w:spacing w:line="360" w:lineRule="exact"/>
              <w:jc w:val="left"/>
              <w:rPr>
                <w:rFonts w:eastAsiaTheme="minorEastAsia"/>
                <w:color w:val="auto"/>
                <w:szCs w:val="21"/>
              </w:rPr>
            </w:pPr>
            <w:r>
              <w:rPr>
                <w:rFonts w:eastAsiaTheme="minorEastAsia"/>
                <w:color w:val="auto"/>
                <w:szCs w:val="21"/>
              </w:rPr>
              <w:t>注：</w:t>
            </w:r>
            <w:r>
              <w:rPr>
                <w:rFonts w:eastAsiaTheme="minorEastAsia"/>
                <w:b/>
                <w:color w:val="auto"/>
              </w:rPr>
              <w:t>提供上述人员对应的职称证书、培训证书的原件扫描件，并提供投标单位出具的近三个月社保材料加盖投标单位公章，无相对应的证书或社保提供不得分。</w:t>
            </w:r>
          </w:p>
        </w:tc>
        <w:tc>
          <w:tcPr>
            <w:tcW w:w="780" w:type="dxa"/>
            <w:tcBorders>
              <w:top w:val="nil"/>
              <w:left w:val="single" w:color="auto" w:sz="4" w:space="0"/>
              <w:bottom w:val="single" w:color="auto" w:sz="8" w:space="0"/>
              <w:right w:val="single" w:color="auto" w:sz="4" w:space="0"/>
            </w:tcBorders>
            <w:vAlign w:val="center"/>
          </w:tcPr>
          <w:p>
            <w:pPr>
              <w:adjustRightInd w:val="0"/>
              <w:snapToGrid w:val="0"/>
              <w:spacing w:line="360" w:lineRule="exact"/>
              <w:jc w:val="center"/>
              <w:rPr>
                <w:rFonts w:hint="eastAsia" w:eastAsiaTheme="minorEastAsia"/>
                <w:color w:val="auto"/>
                <w:kern w:val="0"/>
                <w:szCs w:val="21"/>
                <w:lang w:val="en-US" w:eastAsia="zh-CN"/>
              </w:rPr>
            </w:pPr>
          </w:p>
        </w:tc>
      </w:tr>
      <w:tr>
        <w:tblPrEx>
          <w:tblCellMar>
            <w:top w:w="0" w:type="dxa"/>
            <w:left w:w="108" w:type="dxa"/>
            <w:bottom w:w="0" w:type="dxa"/>
            <w:right w:w="108" w:type="dxa"/>
          </w:tblCellMar>
        </w:tblPrEx>
        <w:trPr>
          <w:trHeight w:val="884" w:hRule="atLeast"/>
        </w:trPr>
        <w:tc>
          <w:tcPr>
            <w:tcW w:w="738"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eastAsiaTheme="minorEastAsia"/>
                <w:color w:val="auto"/>
                <w:kern w:val="0"/>
                <w:szCs w:val="21"/>
                <w:lang w:eastAsia="zh-CN"/>
              </w:rPr>
            </w:pPr>
            <w:r>
              <w:rPr>
                <w:rFonts w:hint="eastAsia" w:eastAsiaTheme="minorEastAsia"/>
                <w:bCs/>
                <w:color w:val="auto"/>
                <w:szCs w:val="21"/>
                <w:lang w:val="en-US" w:eastAsia="zh-CN"/>
              </w:rPr>
              <w:t>7</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szCs w:val="21"/>
              </w:rPr>
            </w:pPr>
            <w:r>
              <w:rPr>
                <w:rFonts w:eastAsiaTheme="minorEastAsia"/>
                <w:color w:val="auto"/>
                <w:kern w:val="0"/>
                <w:szCs w:val="21"/>
              </w:rPr>
              <w:t>合理化建议</w:t>
            </w:r>
          </w:p>
        </w:tc>
        <w:tc>
          <w:tcPr>
            <w:tcW w:w="65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eastAsiaTheme="minorEastAsia"/>
                <w:color w:val="auto"/>
              </w:rPr>
            </w:pPr>
            <w:r>
              <w:rPr>
                <w:rFonts w:eastAsiaTheme="minorEastAsia"/>
                <w:bCs/>
                <w:color w:val="auto"/>
                <w:szCs w:val="21"/>
              </w:rPr>
              <w:t>投标人对项目的合同履行过程中所提出的有效合理化建议，每提供一条有效合理化建议的得1分，最高得3分。缺项不得分。</w:t>
            </w:r>
          </w:p>
        </w:tc>
        <w:tc>
          <w:tcPr>
            <w:tcW w:w="780" w:type="dxa"/>
            <w:tcBorders>
              <w:top w:val="nil"/>
              <w:left w:val="single" w:color="auto" w:sz="4" w:space="0"/>
              <w:bottom w:val="single" w:color="auto" w:sz="8" w:space="0"/>
              <w:right w:val="single" w:color="auto" w:sz="4" w:space="0"/>
            </w:tcBorders>
            <w:vAlign w:val="center"/>
          </w:tcPr>
          <w:p>
            <w:pPr>
              <w:autoSpaceDE w:val="0"/>
              <w:autoSpaceDN w:val="0"/>
              <w:adjustRightInd w:val="0"/>
              <w:jc w:val="center"/>
              <w:rPr>
                <w:rFonts w:eastAsiaTheme="minorEastAsia"/>
                <w:color w:val="auto"/>
                <w:kern w:val="0"/>
                <w:szCs w:val="21"/>
              </w:rPr>
            </w:pPr>
          </w:p>
        </w:tc>
      </w:tr>
      <w:tr>
        <w:trPr>
          <w:trHeight w:val="703"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eastAsiaTheme="minorEastAsia"/>
                <w:bCs/>
                <w:color w:val="auto"/>
                <w:szCs w:val="21"/>
                <w:lang w:eastAsia="zh-CN"/>
              </w:rPr>
            </w:pPr>
            <w:r>
              <w:rPr>
                <w:rFonts w:hint="eastAsia" w:eastAsiaTheme="minorEastAsia"/>
                <w:bCs/>
                <w:color w:val="auto"/>
                <w:szCs w:val="21"/>
                <w:lang w:val="en-US" w:eastAsia="zh-CN"/>
              </w:rPr>
              <w:t>8</w:t>
            </w:r>
          </w:p>
        </w:tc>
        <w:tc>
          <w:tcPr>
            <w:tcW w:w="135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服务承诺</w:t>
            </w:r>
          </w:p>
        </w:tc>
        <w:tc>
          <w:tcPr>
            <w:tcW w:w="6523" w:type="dxa"/>
            <w:tcBorders>
              <w:top w:val="single" w:color="auto" w:sz="4" w:space="0"/>
              <w:left w:val="single" w:color="auto" w:sz="4" w:space="0"/>
              <w:bottom w:val="single" w:color="auto" w:sz="4" w:space="0"/>
              <w:right w:val="single" w:color="auto" w:sz="4" w:space="0"/>
            </w:tcBorders>
            <w:vAlign w:val="center"/>
          </w:tcPr>
          <w:p>
            <w:pPr>
              <w:jc w:val="left"/>
              <w:rPr>
                <w:rFonts w:eastAsiaTheme="minorEastAsia"/>
                <w:color w:val="auto"/>
                <w:szCs w:val="21"/>
              </w:rPr>
            </w:pPr>
            <w:r>
              <w:rPr>
                <w:rFonts w:eastAsiaTheme="minorEastAsia"/>
                <w:color w:val="auto"/>
                <w:szCs w:val="21"/>
              </w:rPr>
              <w:t>项目质量服务承诺描述完整、详细的得</w:t>
            </w:r>
            <w:r>
              <w:rPr>
                <w:rFonts w:hint="eastAsia" w:cs="Times New Roman"/>
                <w:color w:val="auto"/>
                <w:sz w:val="21"/>
                <w:szCs w:val="21"/>
                <w:lang w:val="en-US" w:eastAsia="zh-CN"/>
              </w:rPr>
              <w:t>3</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5</w:t>
            </w:r>
            <w:r>
              <w:rPr>
                <w:rFonts w:eastAsiaTheme="minorEastAsia"/>
                <w:color w:val="auto"/>
                <w:szCs w:val="21"/>
              </w:rPr>
              <w:t>分；</w:t>
            </w:r>
          </w:p>
          <w:p>
            <w:pPr>
              <w:jc w:val="left"/>
              <w:rPr>
                <w:rFonts w:eastAsiaTheme="minorEastAsia"/>
                <w:color w:val="auto"/>
                <w:szCs w:val="21"/>
              </w:rPr>
            </w:pPr>
            <w:r>
              <w:rPr>
                <w:rFonts w:eastAsiaTheme="minorEastAsia"/>
                <w:color w:val="auto"/>
                <w:szCs w:val="21"/>
              </w:rPr>
              <w:t>项目质量服务承诺描述内容一般、有缺陷的得</w:t>
            </w:r>
            <w:r>
              <w:rPr>
                <w:rFonts w:hint="eastAsia" w:cs="Times New Roman"/>
                <w:color w:val="auto"/>
                <w:sz w:val="21"/>
                <w:szCs w:val="21"/>
                <w:lang w:val="en-US" w:eastAsia="zh-CN"/>
              </w:rPr>
              <w:t>1</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2.9</w:t>
            </w:r>
            <w:r>
              <w:rPr>
                <w:rFonts w:eastAsiaTheme="minorEastAsia"/>
                <w:color w:val="auto"/>
                <w:szCs w:val="21"/>
              </w:rPr>
              <w:t>分；</w:t>
            </w:r>
          </w:p>
          <w:p>
            <w:pPr>
              <w:pStyle w:val="12"/>
              <w:rPr>
                <w:rFonts w:eastAsiaTheme="minorEastAsia"/>
                <w:color w:val="auto"/>
              </w:rPr>
            </w:pPr>
            <w:r>
              <w:rPr>
                <w:rFonts w:eastAsiaTheme="minorEastAsia"/>
                <w:color w:val="auto"/>
                <w:sz w:val="21"/>
                <w:szCs w:val="21"/>
              </w:rPr>
              <w:t>缺项不得分。</w:t>
            </w:r>
          </w:p>
        </w:tc>
        <w:tc>
          <w:tcPr>
            <w:tcW w:w="7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eastAsiaTheme="minorEastAsia"/>
                <w:color w:val="auto"/>
                <w:kern w:val="0"/>
                <w:szCs w:val="21"/>
                <w:lang w:val="en-US" w:eastAsia="zh-CN"/>
              </w:rPr>
            </w:pPr>
          </w:p>
        </w:tc>
      </w:tr>
      <w:tr>
        <w:tblPrEx>
          <w:tblCellMar>
            <w:top w:w="0" w:type="dxa"/>
            <w:left w:w="108" w:type="dxa"/>
            <w:bottom w:w="0" w:type="dxa"/>
            <w:right w:w="108" w:type="dxa"/>
          </w:tblCellMar>
        </w:tblPrEx>
        <w:trPr>
          <w:trHeight w:val="703"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pStyle w:val="12"/>
              <w:rPr>
                <w:rFonts w:eastAsiaTheme="minorEastAsia"/>
                <w:color w:val="auto"/>
              </w:rPr>
            </w:pPr>
          </w:p>
        </w:tc>
        <w:tc>
          <w:tcPr>
            <w:tcW w:w="1358" w:type="dxa"/>
            <w:vMerge w:val="continue"/>
            <w:tcBorders>
              <w:top w:val="single" w:color="auto" w:sz="4" w:space="0"/>
              <w:left w:val="single" w:color="auto" w:sz="4" w:space="0"/>
              <w:bottom w:val="single" w:color="auto" w:sz="4" w:space="0"/>
              <w:right w:val="single" w:color="auto" w:sz="4" w:space="0"/>
            </w:tcBorders>
            <w:vAlign w:val="center"/>
          </w:tcPr>
          <w:p>
            <w:pPr>
              <w:pStyle w:val="12"/>
              <w:rPr>
                <w:rFonts w:eastAsiaTheme="minorEastAsia"/>
                <w:color w:val="auto"/>
              </w:rPr>
            </w:pPr>
          </w:p>
        </w:tc>
        <w:tc>
          <w:tcPr>
            <w:tcW w:w="6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cs="Times New Roman" w:eastAsiaTheme="minorEastAsia"/>
                <w:color w:val="auto"/>
              </w:rPr>
            </w:pPr>
            <w:r>
              <w:rPr>
                <w:rFonts w:hint="eastAsia" w:ascii="Times New Roman" w:hAnsi="Times New Roman" w:cs="Times New Roman" w:eastAsiaTheme="minorEastAsia"/>
                <w:color w:val="auto"/>
              </w:rPr>
              <w:t>售后服务机构：投标人在台州市范围内已有服务网点或承诺中标后15日内在台州市范围内设立办事处或分支机构的得3分。</w:t>
            </w:r>
          </w:p>
          <w:p>
            <w:pPr>
              <w:jc w:val="left"/>
              <w:rPr>
                <w:rFonts w:eastAsiaTheme="minorEastAsia"/>
                <w:color w:val="auto"/>
                <w:szCs w:val="21"/>
              </w:rPr>
            </w:pPr>
            <w:r>
              <w:rPr>
                <w:rFonts w:hint="eastAsia" w:ascii="Times New Roman" w:hAnsi="Times New Roman" w:cs="Times New Roman" w:eastAsiaTheme="minorEastAsia"/>
                <w:color w:val="auto"/>
              </w:rPr>
              <w:t>注：提供相关承诺书或相关产权证明或房产租赁合同，否则不得分。</w:t>
            </w:r>
          </w:p>
        </w:tc>
        <w:tc>
          <w:tcPr>
            <w:tcW w:w="780" w:type="dxa"/>
            <w:tcBorders>
              <w:top w:val="single" w:color="auto" w:sz="4" w:space="0"/>
              <w:left w:val="single" w:color="auto" w:sz="4" w:space="0"/>
              <w:bottom w:val="single" w:color="auto" w:sz="4" w:space="0"/>
              <w:right w:val="single" w:color="auto" w:sz="4" w:space="0"/>
            </w:tcBorders>
            <w:vAlign w:val="center"/>
          </w:tcPr>
          <w:p>
            <w:pPr>
              <w:pStyle w:val="12"/>
              <w:ind w:firstLine="210" w:firstLineChars="100"/>
              <w:rPr>
                <w:rFonts w:eastAsiaTheme="minorEastAsia"/>
                <w:color w:val="auto"/>
                <w:sz w:val="21"/>
                <w:szCs w:val="21"/>
              </w:rPr>
            </w:pPr>
          </w:p>
        </w:tc>
      </w:tr>
      <w:tr>
        <w:tblPrEx>
          <w:tblCellMar>
            <w:top w:w="0" w:type="dxa"/>
            <w:left w:w="108" w:type="dxa"/>
            <w:bottom w:w="0" w:type="dxa"/>
            <w:right w:w="108" w:type="dxa"/>
          </w:tblCellMar>
        </w:tblPrEx>
        <w:trPr>
          <w:trHeight w:val="1389" w:hRule="atLeast"/>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Theme="minorEastAsia"/>
                <w:bCs/>
                <w:color w:val="auto"/>
                <w:szCs w:val="21"/>
              </w:rPr>
            </w:pPr>
            <w:r>
              <w:rPr>
                <w:rFonts w:eastAsiaTheme="minorEastAsia"/>
                <w:bCs/>
                <w:color w:val="auto"/>
                <w:szCs w:val="21"/>
              </w:rPr>
              <w:t>9</w:t>
            </w:r>
          </w:p>
        </w:tc>
        <w:tc>
          <w:tcPr>
            <w:tcW w:w="13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color w:val="auto"/>
                <w:kern w:val="0"/>
                <w:szCs w:val="21"/>
              </w:rPr>
            </w:pPr>
            <w:r>
              <w:rPr>
                <w:rFonts w:eastAsiaTheme="minorEastAsia"/>
                <w:color w:val="auto"/>
                <w:kern w:val="0"/>
                <w:szCs w:val="21"/>
              </w:rPr>
              <w:t>成功案例</w:t>
            </w:r>
            <w:r>
              <w:rPr>
                <w:rFonts w:eastAsiaTheme="minorEastAsia"/>
                <w:color w:val="auto"/>
                <w:szCs w:val="21"/>
              </w:rPr>
              <w:t>及</w:t>
            </w:r>
            <w:r>
              <w:rPr>
                <w:rFonts w:eastAsiaTheme="minorEastAsia"/>
                <w:color w:val="auto"/>
                <w:kern w:val="0"/>
                <w:szCs w:val="21"/>
              </w:rPr>
              <w:t>业绩</w:t>
            </w:r>
          </w:p>
        </w:tc>
        <w:tc>
          <w:tcPr>
            <w:tcW w:w="6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wordWrap/>
              <w:topLinePunct w:val="0"/>
              <w:bidi w:val="0"/>
              <w:snapToGrid/>
              <w:spacing w:after="0" w:line="240" w:lineRule="auto"/>
              <w:jc w:val="left"/>
              <w:textAlignment w:val="auto"/>
              <w:rPr>
                <w:color w:val="auto"/>
              </w:rPr>
            </w:pPr>
            <w:r>
              <w:rPr>
                <w:color w:val="auto"/>
              </w:rPr>
              <w:t>2017 年 1 月 1 日以来</w:t>
            </w:r>
            <w:r>
              <w:rPr>
                <w:rFonts w:hint="eastAsia" w:ascii="宋体" w:hAnsi="宋体" w:cs="宋体"/>
                <w:bCs/>
                <w:color w:val="auto"/>
                <w:szCs w:val="21"/>
              </w:rPr>
              <w:t>实施</w:t>
            </w:r>
            <w:r>
              <w:rPr>
                <w:rFonts w:hint="eastAsia" w:ascii="宋体" w:hAnsi="宋体" w:cs="宋体"/>
                <w:bCs/>
                <w:color w:val="auto"/>
                <w:szCs w:val="21"/>
                <w:lang w:val="en-US" w:eastAsia="zh-CN"/>
              </w:rPr>
              <w:t>过</w:t>
            </w:r>
            <w:r>
              <w:rPr>
                <w:rFonts w:hint="eastAsia" w:ascii="宋体" w:hAnsi="宋体" w:cs="宋体"/>
                <w:bCs/>
                <w:color w:val="auto"/>
                <w:szCs w:val="21"/>
              </w:rPr>
              <w:t>类似项目的案例，每提供一个案例得1分，最高</w:t>
            </w:r>
            <w:r>
              <w:rPr>
                <w:rFonts w:hint="eastAsia" w:ascii="宋体" w:hAnsi="宋体" w:cs="宋体"/>
                <w:bCs/>
                <w:color w:val="auto"/>
                <w:szCs w:val="21"/>
                <w:lang w:val="en-US" w:eastAsia="zh-CN"/>
              </w:rPr>
              <w:t>6</w:t>
            </w:r>
            <w:r>
              <w:rPr>
                <w:rFonts w:hint="eastAsia" w:ascii="宋体" w:hAnsi="宋体" w:cs="宋体"/>
                <w:bCs/>
                <w:color w:val="auto"/>
                <w:szCs w:val="21"/>
              </w:rPr>
              <w:t>分。</w:t>
            </w:r>
            <w:r>
              <w:rPr>
                <w:rFonts w:hint="eastAsia"/>
                <w:color w:val="auto"/>
                <w:sz w:val="21"/>
                <w:szCs w:val="21"/>
                <w:lang w:val="en-US" w:eastAsia="zh-CN"/>
              </w:rPr>
              <w:t>（电子投标文件中需提供合同原件扫描件，未提供不得分）</w:t>
            </w:r>
          </w:p>
        </w:tc>
        <w:tc>
          <w:tcPr>
            <w:tcW w:w="7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eastAsiaTheme="minorEastAsia"/>
                <w:bCs/>
                <w:color w:val="auto"/>
                <w:szCs w:val="21"/>
              </w:rPr>
            </w:pPr>
          </w:p>
        </w:tc>
      </w:tr>
      <w:tr>
        <w:tblPrEx>
          <w:tblCellMar>
            <w:top w:w="0" w:type="dxa"/>
            <w:left w:w="108" w:type="dxa"/>
            <w:bottom w:w="0" w:type="dxa"/>
            <w:right w:w="108" w:type="dxa"/>
          </w:tblCellMar>
        </w:tblPrEx>
        <w:trPr>
          <w:trHeight w:val="968" w:hRule="atLeast"/>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Theme="minorEastAsia"/>
                <w:bCs/>
                <w:color w:val="auto"/>
                <w:szCs w:val="21"/>
              </w:rPr>
            </w:pPr>
            <w:r>
              <w:rPr>
                <w:rFonts w:eastAsiaTheme="minorEastAsia"/>
                <w:bCs/>
                <w:color w:val="auto"/>
                <w:szCs w:val="21"/>
              </w:rPr>
              <w:t>10</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Theme="minorEastAsia"/>
                <w:bCs/>
                <w:color w:val="auto"/>
                <w:szCs w:val="21"/>
              </w:rPr>
            </w:pPr>
            <w:r>
              <w:rPr>
                <w:rFonts w:eastAsiaTheme="minorEastAsia"/>
                <w:bCs/>
                <w:color w:val="auto"/>
                <w:szCs w:val="21"/>
              </w:rPr>
              <w:t>认证证书</w:t>
            </w:r>
          </w:p>
        </w:tc>
        <w:tc>
          <w:tcPr>
            <w:tcW w:w="65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eastAsiaTheme="minorEastAsia"/>
                <w:b/>
                <w:color w:val="auto"/>
                <w:kern w:val="0"/>
                <w:szCs w:val="21"/>
              </w:rPr>
            </w:pPr>
            <w:r>
              <w:rPr>
                <w:rFonts w:eastAsiaTheme="minorEastAsia"/>
                <w:color w:val="auto"/>
                <w:kern w:val="0"/>
              </w:rPr>
              <w:t>投标人通过高新技术企业认定、质量管理体系认证、环境管理体系认证、职业健康安全管理体系认证的，每项得1分，最高得4分。</w:t>
            </w:r>
          </w:p>
          <w:p>
            <w:pPr>
              <w:adjustRightInd w:val="0"/>
              <w:snapToGrid w:val="0"/>
              <w:spacing w:line="360" w:lineRule="exact"/>
              <w:rPr>
                <w:rFonts w:eastAsiaTheme="minorEastAsia"/>
                <w:color w:val="auto"/>
                <w:kern w:val="0"/>
                <w:szCs w:val="21"/>
              </w:rPr>
            </w:pPr>
            <w:r>
              <w:rPr>
                <w:rFonts w:eastAsiaTheme="minorEastAsia"/>
                <w:color w:val="auto"/>
                <w:szCs w:val="21"/>
              </w:rPr>
              <w:t>电子投标文件中需提供证书原件扫描件，未提供不得分</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Theme="minorEastAsia"/>
                <w:color w:val="auto"/>
                <w:szCs w:val="21"/>
              </w:rPr>
            </w:pPr>
          </w:p>
        </w:tc>
      </w:tr>
    </w:tbl>
    <w:p>
      <w:pPr>
        <w:rPr>
          <w:color w:val="auto"/>
        </w:rPr>
      </w:pPr>
      <w:r>
        <w:rPr>
          <w:color w:val="auto"/>
        </w:rPr>
        <w:br w:type="page"/>
      </w:r>
    </w:p>
    <w:p>
      <w:pPr>
        <w:pStyle w:val="2"/>
      </w:pPr>
    </w:p>
    <w:p>
      <w:pPr>
        <w:rPr>
          <w:rFonts w:ascii="宋体" w:hAnsi="宋体" w:cs="宋体"/>
          <w:b/>
          <w:bCs/>
          <w:color w:val="auto"/>
          <w:sz w:val="28"/>
          <w:szCs w:val="36"/>
          <w:lang w:val="zh-CN"/>
        </w:rPr>
      </w:pPr>
      <w:r>
        <w:rPr>
          <w:rFonts w:hint="eastAsia" w:ascii="宋体" w:hAnsi="宋体" w:cs="宋体"/>
          <w:b/>
          <w:bCs/>
          <w:color w:val="auto"/>
          <w:sz w:val="28"/>
          <w:szCs w:val="36"/>
          <w:lang w:val="zh-CN"/>
        </w:rPr>
        <w:t>附件</w:t>
      </w:r>
      <w:r>
        <w:rPr>
          <w:rFonts w:hint="eastAsia" w:ascii="宋体" w:hAnsi="宋体" w:cs="宋体"/>
          <w:b/>
          <w:bCs/>
          <w:color w:val="auto"/>
          <w:sz w:val="28"/>
          <w:szCs w:val="36"/>
        </w:rPr>
        <w:t>5</w:t>
      </w:r>
    </w:p>
    <w:p>
      <w:pPr>
        <w:spacing w:line="360" w:lineRule="auto"/>
        <w:jc w:val="center"/>
        <w:rPr>
          <w:rFonts w:ascii="宋体" w:hAnsi="宋体" w:cs="宋体"/>
          <w:b/>
          <w:bCs/>
          <w:color w:val="auto"/>
          <w:sz w:val="32"/>
          <w:szCs w:val="40"/>
          <w:lang w:val="zh-CN"/>
        </w:rPr>
      </w:pPr>
      <w:r>
        <w:rPr>
          <w:rFonts w:hint="eastAsia" w:ascii="宋体" w:hAnsi="宋体" w:cs="宋体"/>
          <w:b/>
          <w:bCs/>
          <w:color w:val="auto"/>
          <w:sz w:val="32"/>
          <w:szCs w:val="40"/>
          <w:lang w:val="zh-CN"/>
        </w:rPr>
        <w:t>投标人基本情况表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880" w:type="dxa"/>
            <w:vAlign w:val="center"/>
          </w:tcPr>
          <w:p>
            <w:pPr>
              <w:pStyle w:val="57"/>
              <w:shd w:val="clear" w:color="auto" w:fill="FFFFFF"/>
              <w:spacing w:line="360" w:lineRule="auto"/>
              <w:jc w:val="both"/>
              <w:rPr>
                <w:bCs/>
                <w:color w:val="auto"/>
              </w:rPr>
            </w:pPr>
            <w:r>
              <w:rPr>
                <w:rFonts w:hint="eastAsia"/>
                <w:bCs/>
                <w:color w:val="auto"/>
                <w:spacing w:val="27"/>
              </w:rPr>
              <w:t>企业名称</w:t>
            </w:r>
          </w:p>
        </w:tc>
        <w:tc>
          <w:tcPr>
            <w:tcW w:w="3765" w:type="dxa"/>
            <w:gridSpan w:val="6"/>
            <w:vAlign w:val="center"/>
          </w:tcPr>
          <w:p>
            <w:pPr>
              <w:pStyle w:val="57"/>
              <w:shd w:val="clear" w:color="auto" w:fill="FFFFFF"/>
              <w:spacing w:line="360" w:lineRule="auto"/>
              <w:jc w:val="both"/>
              <w:rPr>
                <w:bCs/>
                <w:color w:val="auto"/>
              </w:rPr>
            </w:pPr>
          </w:p>
        </w:tc>
        <w:tc>
          <w:tcPr>
            <w:tcW w:w="1560" w:type="dxa"/>
            <w:vAlign w:val="center"/>
          </w:tcPr>
          <w:p>
            <w:pPr>
              <w:pStyle w:val="57"/>
              <w:shd w:val="clear" w:color="auto" w:fill="FFFFFF"/>
              <w:spacing w:line="360" w:lineRule="auto"/>
              <w:jc w:val="center"/>
              <w:rPr>
                <w:bCs/>
                <w:color w:val="auto"/>
              </w:rPr>
            </w:pPr>
            <w:r>
              <w:rPr>
                <w:rFonts w:hint="eastAsia"/>
                <w:bCs/>
                <w:color w:val="auto"/>
                <w:spacing w:val="16"/>
              </w:rPr>
              <w:t>法人代表</w:t>
            </w:r>
          </w:p>
        </w:tc>
        <w:tc>
          <w:tcPr>
            <w:tcW w:w="2608" w:type="dxa"/>
            <w:gridSpan w:val="3"/>
            <w:vAlign w:val="center"/>
          </w:tcPr>
          <w:p>
            <w:pPr>
              <w:pStyle w:val="57"/>
              <w:shd w:val="clear" w:color="auto" w:fill="FFFFFF"/>
              <w:spacing w:line="360" w:lineRule="auto"/>
              <w:jc w:val="both"/>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57"/>
              <w:shd w:val="clear" w:color="auto" w:fill="FFFFFF"/>
              <w:spacing w:line="360" w:lineRule="auto"/>
              <w:jc w:val="both"/>
              <w:rPr>
                <w:bCs/>
                <w:color w:val="auto"/>
                <w:spacing w:val="16"/>
              </w:rPr>
            </w:pPr>
            <w:r>
              <w:rPr>
                <w:rFonts w:hint="eastAsia"/>
                <w:bCs/>
                <w:color w:val="auto"/>
                <w:spacing w:val="27"/>
              </w:rPr>
              <w:t>地址</w:t>
            </w:r>
          </w:p>
        </w:tc>
        <w:tc>
          <w:tcPr>
            <w:tcW w:w="3765" w:type="dxa"/>
            <w:gridSpan w:val="6"/>
            <w:tcBorders>
              <w:bottom w:val="single" w:color="auto" w:sz="4" w:space="0"/>
            </w:tcBorders>
            <w:vAlign w:val="center"/>
          </w:tcPr>
          <w:p>
            <w:pPr>
              <w:pStyle w:val="57"/>
              <w:shd w:val="clear" w:color="auto" w:fill="FFFFFF"/>
              <w:spacing w:line="360" w:lineRule="auto"/>
              <w:jc w:val="both"/>
              <w:rPr>
                <w:bCs/>
                <w:color w:val="auto"/>
                <w:spacing w:val="16"/>
              </w:rPr>
            </w:pPr>
          </w:p>
        </w:tc>
        <w:tc>
          <w:tcPr>
            <w:tcW w:w="1560" w:type="dxa"/>
            <w:vAlign w:val="center"/>
          </w:tcPr>
          <w:p>
            <w:pPr>
              <w:pStyle w:val="57"/>
              <w:shd w:val="clear" w:color="auto" w:fill="FFFFFF"/>
              <w:spacing w:line="360" w:lineRule="auto"/>
              <w:jc w:val="center"/>
              <w:rPr>
                <w:bCs/>
                <w:color w:val="auto"/>
                <w:spacing w:val="16"/>
              </w:rPr>
            </w:pPr>
            <w:r>
              <w:rPr>
                <w:rFonts w:hint="eastAsia"/>
                <w:bCs/>
                <w:color w:val="auto"/>
                <w:spacing w:val="16"/>
              </w:rPr>
              <w:t>企业性质</w:t>
            </w:r>
          </w:p>
        </w:tc>
        <w:tc>
          <w:tcPr>
            <w:tcW w:w="2608" w:type="dxa"/>
            <w:gridSpan w:val="3"/>
            <w:vAlign w:val="center"/>
          </w:tcPr>
          <w:p>
            <w:pPr>
              <w:pStyle w:val="57"/>
              <w:shd w:val="clear" w:color="auto" w:fill="FFFFFF"/>
              <w:spacing w:line="360" w:lineRule="auto"/>
              <w:jc w:val="both"/>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pPr>
              <w:pStyle w:val="57"/>
              <w:shd w:val="clear" w:color="auto" w:fill="FFFFFF"/>
              <w:spacing w:line="360" w:lineRule="auto"/>
              <w:jc w:val="both"/>
              <w:rPr>
                <w:bCs/>
                <w:color w:val="auto"/>
                <w:spacing w:val="16"/>
              </w:rPr>
            </w:pPr>
            <w:r>
              <w:rPr>
                <w:rFonts w:hint="eastAsia"/>
                <w:bCs/>
                <w:color w:val="auto"/>
                <w:spacing w:val="27"/>
              </w:rPr>
              <w:t>股东姓名</w:t>
            </w:r>
          </w:p>
        </w:tc>
        <w:tc>
          <w:tcPr>
            <w:tcW w:w="690" w:type="dxa"/>
            <w:tcBorders>
              <w:bottom w:val="single" w:color="auto" w:sz="4" w:space="0"/>
            </w:tcBorders>
            <w:vAlign w:val="center"/>
          </w:tcPr>
          <w:p>
            <w:pPr>
              <w:pStyle w:val="57"/>
              <w:shd w:val="clear" w:color="auto" w:fill="FFFFFF"/>
              <w:spacing w:before="0" w:beforeAutospacing="0" w:after="0" w:afterAutospacing="0" w:line="360" w:lineRule="auto"/>
              <w:jc w:val="both"/>
              <w:rPr>
                <w:bCs/>
                <w:color w:val="auto"/>
                <w:spacing w:val="16"/>
              </w:rPr>
            </w:pPr>
          </w:p>
        </w:tc>
        <w:tc>
          <w:tcPr>
            <w:tcW w:w="960" w:type="dxa"/>
            <w:gridSpan w:val="2"/>
            <w:tcBorders>
              <w:bottom w:val="single" w:color="auto" w:sz="4" w:space="0"/>
            </w:tcBorders>
            <w:vAlign w:val="center"/>
          </w:tcPr>
          <w:p>
            <w:pPr>
              <w:pStyle w:val="57"/>
              <w:shd w:val="clear" w:color="auto" w:fill="FFFFFF"/>
              <w:spacing w:line="360" w:lineRule="auto"/>
              <w:jc w:val="both"/>
              <w:rPr>
                <w:bCs/>
                <w:color w:val="auto"/>
                <w:spacing w:val="16"/>
              </w:rPr>
            </w:pPr>
            <w:r>
              <w:rPr>
                <w:rFonts w:hint="eastAsia"/>
                <w:bCs/>
                <w:color w:val="auto"/>
                <w:spacing w:val="16"/>
              </w:rPr>
              <w:t>股权结构（%）</w:t>
            </w:r>
          </w:p>
        </w:tc>
        <w:tc>
          <w:tcPr>
            <w:tcW w:w="2115" w:type="dxa"/>
            <w:gridSpan w:val="3"/>
            <w:tcBorders>
              <w:bottom w:val="single" w:color="auto" w:sz="4" w:space="0"/>
            </w:tcBorders>
            <w:vAlign w:val="center"/>
          </w:tcPr>
          <w:p>
            <w:pPr>
              <w:widowControl/>
              <w:spacing w:line="360" w:lineRule="auto"/>
              <w:rPr>
                <w:rFonts w:ascii="宋体" w:hAnsi="宋体" w:cs="宋体"/>
                <w:bCs/>
                <w:color w:val="auto"/>
                <w:spacing w:val="16"/>
                <w:kern w:val="0"/>
                <w:sz w:val="24"/>
              </w:rPr>
            </w:pPr>
          </w:p>
          <w:p>
            <w:pPr>
              <w:pStyle w:val="57"/>
              <w:shd w:val="clear" w:color="auto" w:fill="FFFFFF"/>
              <w:spacing w:line="360" w:lineRule="auto"/>
              <w:jc w:val="both"/>
              <w:rPr>
                <w:bCs/>
                <w:color w:val="auto"/>
                <w:spacing w:val="16"/>
              </w:rPr>
            </w:pPr>
          </w:p>
        </w:tc>
        <w:tc>
          <w:tcPr>
            <w:tcW w:w="1560" w:type="dxa"/>
            <w:vAlign w:val="center"/>
          </w:tcPr>
          <w:p>
            <w:pPr>
              <w:pStyle w:val="57"/>
              <w:shd w:val="clear" w:color="auto" w:fill="FFFFFF"/>
              <w:spacing w:line="360" w:lineRule="auto"/>
              <w:ind w:left="107"/>
              <w:jc w:val="center"/>
              <w:rPr>
                <w:bCs/>
                <w:color w:val="auto"/>
                <w:spacing w:val="16"/>
              </w:rPr>
            </w:pPr>
            <w:r>
              <w:rPr>
                <w:rFonts w:hint="eastAsia"/>
                <w:bCs/>
                <w:color w:val="auto"/>
                <w:spacing w:val="16"/>
              </w:rPr>
              <w:t>股东关系</w:t>
            </w:r>
          </w:p>
        </w:tc>
        <w:tc>
          <w:tcPr>
            <w:tcW w:w="2608" w:type="dxa"/>
            <w:gridSpan w:val="3"/>
            <w:vAlign w:val="center"/>
          </w:tcPr>
          <w:p>
            <w:pPr>
              <w:pStyle w:val="57"/>
              <w:shd w:val="clear" w:color="auto" w:fill="FFFFFF"/>
              <w:spacing w:line="360" w:lineRule="auto"/>
              <w:ind w:left="107"/>
              <w:jc w:val="both"/>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57"/>
              <w:shd w:val="clear" w:color="auto" w:fill="FFFFFF"/>
              <w:spacing w:line="360" w:lineRule="auto"/>
              <w:jc w:val="both"/>
              <w:rPr>
                <w:bCs/>
                <w:color w:val="auto"/>
                <w:spacing w:val="16"/>
              </w:rPr>
            </w:pPr>
            <w:r>
              <w:rPr>
                <w:rFonts w:hint="eastAsia"/>
                <w:bCs/>
                <w:color w:val="auto"/>
                <w:spacing w:val="12"/>
              </w:rPr>
              <w:t>联系人</w:t>
            </w:r>
            <w:r>
              <w:rPr>
                <w:rFonts w:hint="eastAsia"/>
                <w:bCs/>
                <w:color w:val="auto"/>
                <w:spacing w:val="27"/>
              </w:rPr>
              <w:t>姓名</w:t>
            </w:r>
          </w:p>
        </w:tc>
        <w:tc>
          <w:tcPr>
            <w:tcW w:w="690" w:type="dxa"/>
            <w:vMerge w:val="restart"/>
            <w:tcBorders>
              <w:top w:val="nil"/>
            </w:tcBorders>
            <w:vAlign w:val="center"/>
          </w:tcPr>
          <w:p>
            <w:pPr>
              <w:pStyle w:val="57"/>
              <w:shd w:val="clear" w:color="auto" w:fill="FFFFFF"/>
              <w:spacing w:line="360" w:lineRule="auto"/>
              <w:jc w:val="both"/>
              <w:rPr>
                <w:bCs/>
                <w:color w:val="auto"/>
                <w:spacing w:val="16"/>
              </w:rPr>
            </w:pPr>
          </w:p>
        </w:tc>
        <w:tc>
          <w:tcPr>
            <w:tcW w:w="960" w:type="dxa"/>
            <w:gridSpan w:val="2"/>
            <w:tcBorders>
              <w:top w:val="nil"/>
              <w:bottom w:val="single" w:color="auto" w:sz="4" w:space="0"/>
            </w:tcBorders>
            <w:vAlign w:val="center"/>
          </w:tcPr>
          <w:p>
            <w:pPr>
              <w:pStyle w:val="57"/>
              <w:shd w:val="clear" w:color="auto" w:fill="FFFFFF"/>
              <w:spacing w:line="360" w:lineRule="auto"/>
              <w:jc w:val="both"/>
              <w:rPr>
                <w:bCs/>
                <w:color w:val="auto"/>
                <w:spacing w:val="16"/>
              </w:rPr>
            </w:pPr>
            <w:r>
              <w:rPr>
                <w:rFonts w:hint="eastAsia"/>
                <w:bCs/>
                <w:color w:val="auto"/>
                <w:spacing w:val="16"/>
              </w:rPr>
              <w:t>固定电话</w:t>
            </w:r>
          </w:p>
        </w:tc>
        <w:tc>
          <w:tcPr>
            <w:tcW w:w="2115" w:type="dxa"/>
            <w:gridSpan w:val="3"/>
            <w:tcBorders>
              <w:top w:val="nil"/>
              <w:bottom w:val="single" w:color="auto" w:sz="4" w:space="0"/>
            </w:tcBorders>
            <w:vAlign w:val="center"/>
          </w:tcPr>
          <w:p>
            <w:pPr>
              <w:widowControl/>
              <w:spacing w:line="360" w:lineRule="auto"/>
              <w:rPr>
                <w:rFonts w:ascii="宋体" w:hAnsi="宋体" w:cs="宋体"/>
                <w:bCs/>
                <w:color w:val="auto"/>
                <w:spacing w:val="16"/>
                <w:kern w:val="0"/>
                <w:sz w:val="24"/>
              </w:rPr>
            </w:pPr>
          </w:p>
          <w:p>
            <w:pPr>
              <w:pStyle w:val="57"/>
              <w:shd w:val="clear" w:color="auto" w:fill="FFFFFF"/>
              <w:spacing w:line="360" w:lineRule="auto"/>
              <w:jc w:val="both"/>
              <w:rPr>
                <w:bCs/>
                <w:color w:val="auto"/>
                <w:spacing w:val="16"/>
              </w:rPr>
            </w:pPr>
          </w:p>
        </w:tc>
        <w:tc>
          <w:tcPr>
            <w:tcW w:w="1560" w:type="dxa"/>
            <w:vMerge w:val="restart"/>
            <w:vAlign w:val="center"/>
          </w:tcPr>
          <w:p>
            <w:pPr>
              <w:pStyle w:val="57"/>
              <w:shd w:val="clear" w:color="auto" w:fill="FFFFFF"/>
              <w:spacing w:before="0" w:beforeAutospacing="0" w:after="0" w:afterAutospacing="0" w:line="360" w:lineRule="auto"/>
              <w:jc w:val="center"/>
              <w:rPr>
                <w:bCs/>
                <w:color w:val="auto"/>
                <w:spacing w:val="16"/>
              </w:rPr>
            </w:pPr>
            <w:r>
              <w:rPr>
                <w:rFonts w:hint="eastAsia"/>
                <w:bCs/>
                <w:color w:val="auto"/>
                <w:spacing w:val="16"/>
              </w:rPr>
              <w:t>传真</w:t>
            </w:r>
          </w:p>
        </w:tc>
        <w:tc>
          <w:tcPr>
            <w:tcW w:w="2608" w:type="dxa"/>
            <w:gridSpan w:val="3"/>
            <w:vMerge w:val="restart"/>
            <w:vAlign w:val="center"/>
          </w:tcPr>
          <w:p>
            <w:pPr>
              <w:pStyle w:val="57"/>
              <w:shd w:val="clear" w:color="auto" w:fill="FFFFFF"/>
              <w:spacing w:line="360" w:lineRule="auto"/>
              <w:jc w:val="both"/>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pPr>
              <w:pStyle w:val="57"/>
              <w:shd w:val="clear" w:color="auto" w:fill="FFFFFF"/>
              <w:spacing w:line="360" w:lineRule="auto"/>
              <w:ind w:left="107"/>
              <w:jc w:val="both"/>
              <w:rPr>
                <w:bCs/>
                <w:color w:val="auto"/>
              </w:rPr>
            </w:pPr>
          </w:p>
        </w:tc>
        <w:tc>
          <w:tcPr>
            <w:tcW w:w="690" w:type="dxa"/>
            <w:vMerge w:val="continue"/>
            <w:tcBorders>
              <w:bottom w:val="single" w:color="auto" w:sz="4" w:space="0"/>
            </w:tcBorders>
            <w:vAlign w:val="center"/>
          </w:tcPr>
          <w:p>
            <w:pPr>
              <w:pStyle w:val="57"/>
              <w:shd w:val="clear" w:color="auto" w:fill="FFFFFF"/>
              <w:spacing w:line="360" w:lineRule="auto"/>
              <w:jc w:val="both"/>
              <w:rPr>
                <w:bCs/>
                <w:color w:val="auto"/>
                <w:spacing w:val="16"/>
              </w:rPr>
            </w:pPr>
          </w:p>
        </w:tc>
        <w:tc>
          <w:tcPr>
            <w:tcW w:w="960" w:type="dxa"/>
            <w:gridSpan w:val="2"/>
            <w:tcBorders>
              <w:bottom w:val="single" w:color="auto" w:sz="4" w:space="0"/>
            </w:tcBorders>
            <w:vAlign w:val="center"/>
          </w:tcPr>
          <w:p>
            <w:pPr>
              <w:pStyle w:val="57"/>
              <w:shd w:val="clear" w:color="auto" w:fill="FFFFFF"/>
              <w:spacing w:line="360" w:lineRule="auto"/>
              <w:jc w:val="both"/>
              <w:rPr>
                <w:bCs/>
                <w:color w:val="auto"/>
                <w:spacing w:val="16"/>
              </w:rPr>
            </w:pPr>
            <w:r>
              <w:rPr>
                <w:rFonts w:hint="eastAsia"/>
                <w:bCs/>
                <w:color w:val="auto"/>
                <w:spacing w:val="27"/>
              </w:rPr>
              <w:t>手机</w:t>
            </w:r>
          </w:p>
        </w:tc>
        <w:tc>
          <w:tcPr>
            <w:tcW w:w="2115" w:type="dxa"/>
            <w:gridSpan w:val="3"/>
            <w:tcBorders>
              <w:bottom w:val="single" w:color="auto" w:sz="4" w:space="0"/>
            </w:tcBorders>
            <w:vAlign w:val="center"/>
          </w:tcPr>
          <w:p>
            <w:pPr>
              <w:pStyle w:val="57"/>
              <w:shd w:val="clear" w:color="auto" w:fill="FFFFFF"/>
              <w:spacing w:line="360" w:lineRule="auto"/>
              <w:jc w:val="both"/>
              <w:rPr>
                <w:bCs/>
                <w:color w:val="auto"/>
                <w:spacing w:val="16"/>
              </w:rPr>
            </w:pPr>
          </w:p>
        </w:tc>
        <w:tc>
          <w:tcPr>
            <w:tcW w:w="1560" w:type="dxa"/>
            <w:vMerge w:val="continue"/>
            <w:vAlign w:val="center"/>
          </w:tcPr>
          <w:p>
            <w:pPr>
              <w:pStyle w:val="57"/>
              <w:shd w:val="clear" w:color="auto" w:fill="FFFFFF"/>
              <w:spacing w:line="360" w:lineRule="auto"/>
              <w:jc w:val="center"/>
              <w:rPr>
                <w:bCs/>
                <w:color w:val="auto"/>
                <w:spacing w:val="16"/>
              </w:rPr>
            </w:pPr>
          </w:p>
        </w:tc>
        <w:tc>
          <w:tcPr>
            <w:tcW w:w="2608" w:type="dxa"/>
            <w:gridSpan w:val="3"/>
            <w:vMerge w:val="continue"/>
            <w:vAlign w:val="center"/>
          </w:tcPr>
          <w:p>
            <w:pPr>
              <w:pStyle w:val="57"/>
              <w:shd w:val="clear" w:color="auto" w:fill="FFFFFF"/>
              <w:spacing w:line="360" w:lineRule="auto"/>
              <w:jc w:val="both"/>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57"/>
              <w:shd w:val="clear" w:color="auto" w:fill="FFFFFF"/>
              <w:spacing w:line="360" w:lineRule="auto"/>
              <w:ind w:left="107"/>
              <w:jc w:val="both"/>
              <w:rPr>
                <w:bCs/>
                <w:color w:val="auto"/>
              </w:rPr>
            </w:pPr>
            <w:r>
              <w:rPr>
                <w:rFonts w:hint="eastAsia"/>
                <w:bCs/>
                <w:color w:val="auto"/>
              </w:rPr>
              <w:t>1.</w:t>
            </w:r>
          </w:p>
          <w:p>
            <w:pPr>
              <w:pStyle w:val="57"/>
              <w:shd w:val="clear" w:color="auto" w:fill="FFFFFF"/>
              <w:spacing w:line="360" w:lineRule="auto"/>
              <w:ind w:left="107"/>
              <w:jc w:val="both"/>
              <w:rPr>
                <w:bCs/>
                <w:color w:val="auto"/>
              </w:rPr>
            </w:pPr>
            <w:r>
              <w:rPr>
                <w:rFonts w:hint="eastAsia"/>
                <w:bCs/>
                <w:color w:val="auto"/>
              </w:rPr>
              <w:t>企</w:t>
            </w:r>
          </w:p>
          <w:p>
            <w:pPr>
              <w:pStyle w:val="57"/>
              <w:shd w:val="clear" w:color="auto" w:fill="FFFFFF"/>
              <w:spacing w:line="360" w:lineRule="auto"/>
              <w:ind w:left="107"/>
              <w:jc w:val="both"/>
              <w:rPr>
                <w:bCs/>
                <w:color w:val="auto"/>
              </w:rPr>
            </w:pPr>
            <w:r>
              <w:rPr>
                <w:rFonts w:hint="eastAsia"/>
                <w:bCs/>
                <w:color w:val="auto"/>
              </w:rPr>
              <w:t>业</w:t>
            </w:r>
          </w:p>
          <w:p>
            <w:pPr>
              <w:pStyle w:val="57"/>
              <w:shd w:val="clear" w:color="auto" w:fill="FFFFFF"/>
              <w:spacing w:line="360" w:lineRule="auto"/>
              <w:ind w:left="107"/>
              <w:jc w:val="both"/>
              <w:rPr>
                <w:bCs/>
                <w:color w:val="auto"/>
                <w:spacing w:val="27"/>
              </w:rPr>
            </w:pPr>
            <w:r>
              <w:rPr>
                <w:rFonts w:hint="eastAsia"/>
                <w:bCs/>
                <w:color w:val="auto"/>
                <w:spacing w:val="27"/>
              </w:rPr>
              <w:t>概</w:t>
            </w:r>
          </w:p>
          <w:p>
            <w:pPr>
              <w:pStyle w:val="57"/>
              <w:shd w:val="clear" w:color="auto" w:fill="FFFFFF"/>
              <w:spacing w:line="360" w:lineRule="auto"/>
              <w:ind w:left="107"/>
              <w:jc w:val="both"/>
              <w:rPr>
                <w:bCs/>
                <w:color w:val="auto"/>
              </w:rPr>
            </w:pPr>
            <w:r>
              <w:rPr>
                <w:rFonts w:hint="eastAsia"/>
                <w:bCs/>
                <w:color w:val="auto"/>
                <w:spacing w:val="27"/>
              </w:rPr>
              <w:t>况</w:t>
            </w:r>
          </w:p>
        </w:tc>
        <w:tc>
          <w:tcPr>
            <w:tcW w:w="690" w:type="dxa"/>
            <w:tcBorders>
              <w:top w:val="nil"/>
            </w:tcBorders>
            <w:vAlign w:val="center"/>
          </w:tcPr>
          <w:p>
            <w:pPr>
              <w:pStyle w:val="57"/>
              <w:shd w:val="clear" w:color="auto" w:fill="FFFFFF"/>
              <w:spacing w:line="360" w:lineRule="auto"/>
              <w:jc w:val="both"/>
              <w:rPr>
                <w:bCs/>
                <w:color w:val="auto"/>
                <w:spacing w:val="16"/>
              </w:rPr>
            </w:pPr>
            <w:r>
              <w:rPr>
                <w:rFonts w:hint="eastAsia"/>
                <w:bCs/>
                <w:color w:val="auto"/>
                <w:spacing w:val="16"/>
              </w:rPr>
              <w:t>职工人数</w:t>
            </w:r>
          </w:p>
        </w:tc>
        <w:tc>
          <w:tcPr>
            <w:tcW w:w="960" w:type="dxa"/>
            <w:gridSpan w:val="2"/>
            <w:tcBorders>
              <w:top w:val="nil"/>
            </w:tcBorders>
            <w:vAlign w:val="center"/>
          </w:tcPr>
          <w:p>
            <w:pPr>
              <w:pStyle w:val="57"/>
              <w:shd w:val="clear" w:color="auto" w:fill="FFFFFF"/>
              <w:spacing w:line="360" w:lineRule="auto"/>
              <w:jc w:val="both"/>
              <w:rPr>
                <w:bCs/>
                <w:color w:val="auto"/>
                <w:spacing w:val="16"/>
              </w:rPr>
            </w:pPr>
          </w:p>
        </w:tc>
        <w:tc>
          <w:tcPr>
            <w:tcW w:w="926" w:type="dxa"/>
            <w:tcBorders>
              <w:top w:val="nil"/>
            </w:tcBorders>
            <w:vAlign w:val="center"/>
          </w:tcPr>
          <w:p>
            <w:pPr>
              <w:pStyle w:val="57"/>
              <w:shd w:val="clear" w:color="auto" w:fill="FFFFFF"/>
              <w:spacing w:before="0" w:beforeAutospacing="0" w:after="0" w:afterAutospacing="0" w:line="360" w:lineRule="auto"/>
              <w:jc w:val="both"/>
              <w:rPr>
                <w:bCs/>
                <w:color w:val="auto"/>
              </w:rPr>
            </w:pPr>
            <w:r>
              <w:rPr>
                <w:rFonts w:hint="eastAsia"/>
                <w:bCs/>
                <w:color w:val="auto"/>
                <w:spacing w:val="18"/>
              </w:rPr>
              <w:t>具备大专以</w:t>
            </w:r>
            <w:r>
              <w:rPr>
                <w:rFonts w:hint="eastAsia"/>
                <w:bCs/>
                <w:color w:val="auto"/>
                <w:spacing w:val="12"/>
              </w:rPr>
              <w:t>上学历人数</w:t>
            </w:r>
          </w:p>
        </w:tc>
        <w:tc>
          <w:tcPr>
            <w:tcW w:w="1189" w:type="dxa"/>
            <w:gridSpan w:val="2"/>
            <w:tcBorders>
              <w:top w:val="nil"/>
            </w:tcBorders>
            <w:vAlign w:val="center"/>
          </w:tcPr>
          <w:p>
            <w:pPr>
              <w:widowControl/>
              <w:spacing w:line="360" w:lineRule="auto"/>
              <w:rPr>
                <w:rFonts w:ascii="宋体" w:hAnsi="宋体" w:cs="宋体"/>
                <w:bCs/>
                <w:color w:val="auto"/>
                <w:spacing w:val="16"/>
                <w:kern w:val="0"/>
                <w:sz w:val="24"/>
              </w:rPr>
            </w:pPr>
          </w:p>
          <w:p>
            <w:pPr>
              <w:widowControl/>
              <w:spacing w:line="360" w:lineRule="auto"/>
              <w:rPr>
                <w:rFonts w:ascii="宋体" w:hAnsi="宋体" w:cs="宋体"/>
                <w:bCs/>
                <w:color w:val="auto"/>
                <w:spacing w:val="16"/>
                <w:kern w:val="0"/>
                <w:sz w:val="24"/>
              </w:rPr>
            </w:pPr>
          </w:p>
          <w:p>
            <w:pPr>
              <w:pStyle w:val="57"/>
              <w:shd w:val="clear" w:color="auto" w:fill="FFFFFF"/>
              <w:spacing w:line="360" w:lineRule="auto"/>
              <w:jc w:val="both"/>
              <w:rPr>
                <w:bCs/>
                <w:color w:val="auto"/>
                <w:spacing w:val="16"/>
              </w:rPr>
            </w:pPr>
          </w:p>
        </w:tc>
        <w:tc>
          <w:tcPr>
            <w:tcW w:w="1560" w:type="dxa"/>
            <w:vAlign w:val="center"/>
          </w:tcPr>
          <w:p>
            <w:pPr>
              <w:pStyle w:val="57"/>
              <w:shd w:val="clear" w:color="auto" w:fill="FFFFFF"/>
              <w:spacing w:line="360" w:lineRule="auto"/>
              <w:jc w:val="center"/>
              <w:rPr>
                <w:bCs/>
                <w:color w:val="auto"/>
                <w:spacing w:val="16"/>
              </w:rPr>
            </w:pPr>
            <w:r>
              <w:rPr>
                <w:rFonts w:hint="eastAsia"/>
                <w:bCs/>
                <w:color w:val="auto"/>
                <w:spacing w:val="65"/>
              </w:rPr>
              <w:t>国家授予技</w:t>
            </w:r>
            <w:r>
              <w:rPr>
                <w:rFonts w:hint="eastAsia"/>
                <w:bCs/>
                <w:color w:val="auto"/>
                <w:spacing w:val="12"/>
              </w:rPr>
              <w:t>术职称人数</w:t>
            </w:r>
          </w:p>
        </w:tc>
        <w:tc>
          <w:tcPr>
            <w:tcW w:w="2608" w:type="dxa"/>
            <w:gridSpan w:val="3"/>
            <w:vAlign w:val="center"/>
          </w:tcPr>
          <w:p>
            <w:pPr>
              <w:widowControl/>
              <w:spacing w:line="360" w:lineRule="auto"/>
              <w:rPr>
                <w:rFonts w:ascii="宋体" w:hAnsi="宋体" w:cs="宋体"/>
                <w:bCs/>
                <w:color w:val="auto"/>
                <w:spacing w:val="16"/>
                <w:kern w:val="0"/>
                <w:sz w:val="24"/>
              </w:rPr>
            </w:pPr>
          </w:p>
          <w:p>
            <w:pPr>
              <w:pStyle w:val="57"/>
              <w:shd w:val="clear" w:color="auto" w:fill="FFFFFF"/>
              <w:spacing w:line="360" w:lineRule="auto"/>
              <w:jc w:val="both"/>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57"/>
              <w:shd w:val="clear" w:color="auto" w:fill="FFFFFF"/>
              <w:spacing w:line="360" w:lineRule="auto"/>
              <w:ind w:left="107"/>
              <w:jc w:val="both"/>
              <w:rPr>
                <w:bCs/>
                <w:color w:val="auto"/>
              </w:rPr>
            </w:pPr>
          </w:p>
        </w:tc>
        <w:tc>
          <w:tcPr>
            <w:tcW w:w="690" w:type="dxa"/>
            <w:vAlign w:val="center"/>
          </w:tcPr>
          <w:p>
            <w:pPr>
              <w:pStyle w:val="57"/>
              <w:shd w:val="clear" w:color="auto" w:fill="FFFFFF"/>
              <w:spacing w:line="360" w:lineRule="auto"/>
              <w:jc w:val="both"/>
              <w:rPr>
                <w:bCs/>
                <w:color w:val="auto"/>
              </w:rPr>
            </w:pPr>
            <w:r>
              <w:rPr>
                <w:rFonts w:hint="eastAsia"/>
                <w:bCs/>
                <w:color w:val="auto"/>
                <w:spacing w:val="16"/>
              </w:rPr>
              <w:t>占地面积</w:t>
            </w:r>
          </w:p>
        </w:tc>
        <w:tc>
          <w:tcPr>
            <w:tcW w:w="960" w:type="dxa"/>
            <w:gridSpan w:val="2"/>
            <w:vAlign w:val="center"/>
          </w:tcPr>
          <w:p>
            <w:pPr>
              <w:pStyle w:val="57"/>
              <w:shd w:val="clear" w:color="auto" w:fill="FFFFFF"/>
              <w:spacing w:line="360" w:lineRule="auto"/>
              <w:jc w:val="both"/>
              <w:rPr>
                <w:bCs/>
                <w:color w:val="auto"/>
              </w:rPr>
            </w:pPr>
          </w:p>
        </w:tc>
        <w:tc>
          <w:tcPr>
            <w:tcW w:w="926" w:type="dxa"/>
            <w:vAlign w:val="center"/>
          </w:tcPr>
          <w:p>
            <w:pPr>
              <w:pStyle w:val="57"/>
              <w:shd w:val="clear" w:color="auto" w:fill="FFFFFF"/>
              <w:spacing w:line="360" w:lineRule="auto"/>
              <w:jc w:val="both"/>
              <w:rPr>
                <w:bCs/>
                <w:color w:val="auto"/>
              </w:rPr>
            </w:pPr>
            <w:r>
              <w:rPr>
                <w:rFonts w:hint="eastAsia"/>
                <w:bCs/>
                <w:color w:val="auto"/>
                <w:spacing w:val="16"/>
              </w:rPr>
              <w:t>建筑面积</w:t>
            </w:r>
          </w:p>
        </w:tc>
        <w:tc>
          <w:tcPr>
            <w:tcW w:w="1189" w:type="dxa"/>
            <w:gridSpan w:val="2"/>
            <w:vAlign w:val="center"/>
          </w:tcPr>
          <w:p>
            <w:pPr>
              <w:pStyle w:val="57"/>
              <w:shd w:val="clear" w:color="auto" w:fill="FFFFFF"/>
              <w:spacing w:line="360" w:lineRule="auto"/>
              <w:jc w:val="both"/>
              <w:rPr>
                <w:bCs/>
                <w:color w:val="auto"/>
              </w:rPr>
            </w:pPr>
            <w:r>
              <w:rPr>
                <w:rFonts w:hint="eastAsia"/>
                <w:bCs/>
                <w:color w:val="auto"/>
              </w:rPr>
              <w:t>平方米</w:t>
            </w:r>
          </w:p>
          <w:p>
            <w:pPr>
              <w:pStyle w:val="57"/>
              <w:shd w:val="clear" w:color="auto" w:fill="FFFFFF"/>
              <w:spacing w:line="360" w:lineRule="auto"/>
              <w:jc w:val="both"/>
              <w:rPr>
                <w:bCs/>
                <w:color w:val="auto"/>
              </w:rPr>
            </w:pPr>
            <w:r>
              <w:rPr>
                <w:rFonts w:hint="eastAsia"/>
                <w:bCs/>
                <w:color w:val="auto"/>
                <w:spacing w:val="16"/>
              </w:rPr>
              <w:t>□自有□租赁</w:t>
            </w:r>
          </w:p>
        </w:tc>
        <w:tc>
          <w:tcPr>
            <w:tcW w:w="1560" w:type="dxa"/>
            <w:vAlign w:val="center"/>
          </w:tcPr>
          <w:p>
            <w:pPr>
              <w:pStyle w:val="57"/>
              <w:shd w:val="clear" w:color="auto" w:fill="FFFFFF"/>
              <w:spacing w:line="360" w:lineRule="auto"/>
              <w:jc w:val="center"/>
              <w:rPr>
                <w:bCs/>
                <w:color w:val="auto"/>
              </w:rPr>
            </w:pPr>
            <w:r>
              <w:rPr>
                <w:rFonts w:hint="eastAsia"/>
                <w:bCs/>
                <w:color w:val="auto"/>
                <w:spacing w:val="16"/>
              </w:rPr>
              <w:t>生产经营场所及场所的设施与设备</w:t>
            </w:r>
          </w:p>
        </w:tc>
        <w:tc>
          <w:tcPr>
            <w:tcW w:w="2608" w:type="dxa"/>
            <w:gridSpan w:val="3"/>
            <w:vAlign w:val="center"/>
          </w:tcPr>
          <w:p>
            <w:pPr>
              <w:pStyle w:val="57"/>
              <w:shd w:val="clear" w:color="auto" w:fill="FFFFFF"/>
              <w:spacing w:before="0" w:beforeAutospacing="0" w:after="0" w:afterAutospacing="0" w:line="360" w:lineRule="auto"/>
              <w:jc w:val="both"/>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57"/>
              <w:shd w:val="clear" w:color="auto" w:fill="FFFFFF"/>
              <w:spacing w:line="360" w:lineRule="auto"/>
              <w:ind w:left="107"/>
              <w:jc w:val="both"/>
              <w:rPr>
                <w:bCs/>
                <w:color w:val="auto"/>
              </w:rPr>
            </w:pPr>
          </w:p>
        </w:tc>
        <w:tc>
          <w:tcPr>
            <w:tcW w:w="690" w:type="dxa"/>
            <w:vAlign w:val="center"/>
          </w:tcPr>
          <w:p>
            <w:pPr>
              <w:pStyle w:val="57"/>
              <w:shd w:val="clear" w:color="auto" w:fill="FFFFFF"/>
              <w:spacing w:line="360" w:lineRule="auto"/>
              <w:ind w:left="2"/>
              <w:jc w:val="both"/>
              <w:rPr>
                <w:bCs/>
                <w:color w:val="auto"/>
                <w:spacing w:val="16"/>
              </w:rPr>
            </w:pPr>
            <w:r>
              <w:rPr>
                <w:rFonts w:hint="eastAsia"/>
                <w:bCs/>
                <w:color w:val="auto"/>
                <w:spacing w:val="16"/>
              </w:rPr>
              <w:t>注册资金</w:t>
            </w:r>
          </w:p>
        </w:tc>
        <w:tc>
          <w:tcPr>
            <w:tcW w:w="960" w:type="dxa"/>
            <w:gridSpan w:val="2"/>
            <w:vAlign w:val="center"/>
          </w:tcPr>
          <w:p>
            <w:pPr>
              <w:pStyle w:val="57"/>
              <w:shd w:val="clear" w:color="auto" w:fill="FFFFFF"/>
              <w:spacing w:line="360" w:lineRule="auto"/>
              <w:ind w:left="2"/>
              <w:jc w:val="both"/>
              <w:rPr>
                <w:bCs/>
                <w:color w:val="auto"/>
              </w:rPr>
            </w:pPr>
          </w:p>
        </w:tc>
        <w:tc>
          <w:tcPr>
            <w:tcW w:w="926" w:type="dxa"/>
            <w:vAlign w:val="center"/>
          </w:tcPr>
          <w:p>
            <w:pPr>
              <w:pStyle w:val="57"/>
              <w:shd w:val="clear" w:color="auto" w:fill="FFFFFF"/>
              <w:spacing w:line="360" w:lineRule="auto"/>
              <w:ind w:left="107"/>
              <w:jc w:val="both"/>
              <w:rPr>
                <w:bCs/>
                <w:color w:val="auto"/>
              </w:rPr>
            </w:pPr>
            <w:r>
              <w:rPr>
                <w:rFonts w:hint="eastAsia"/>
                <w:bCs/>
                <w:color w:val="auto"/>
                <w:spacing w:val="16"/>
              </w:rPr>
              <w:t>注册发证</w:t>
            </w:r>
            <w:r>
              <w:rPr>
                <w:rFonts w:hint="eastAsia"/>
                <w:bCs/>
                <w:color w:val="auto"/>
                <w:spacing w:val="27"/>
              </w:rPr>
              <w:t>机关</w:t>
            </w:r>
          </w:p>
        </w:tc>
        <w:tc>
          <w:tcPr>
            <w:tcW w:w="2749" w:type="dxa"/>
            <w:gridSpan w:val="3"/>
            <w:vAlign w:val="center"/>
          </w:tcPr>
          <w:p>
            <w:pPr>
              <w:widowControl/>
              <w:spacing w:line="360" w:lineRule="auto"/>
              <w:rPr>
                <w:rFonts w:ascii="宋体" w:hAnsi="宋体" w:cs="宋体"/>
                <w:bCs/>
                <w:color w:val="auto"/>
                <w:kern w:val="0"/>
                <w:sz w:val="24"/>
              </w:rPr>
            </w:pPr>
          </w:p>
          <w:p>
            <w:pPr>
              <w:pStyle w:val="57"/>
              <w:shd w:val="clear" w:color="auto" w:fill="FFFFFF"/>
              <w:spacing w:line="360" w:lineRule="auto"/>
              <w:ind w:left="107"/>
              <w:jc w:val="both"/>
              <w:rPr>
                <w:bCs/>
                <w:color w:val="auto"/>
              </w:rPr>
            </w:pPr>
          </w:p>
        </w:tc>
        <w:tc>
          <w:tcPr>
            <w:tcW w:w="1675" w:type="dxa"/>
            <w:gridSpan w:val="2"/>
            <w:vAlign w:val="center"/>
          </w:tcPr>
          <w:p>
            <w:pPr>
              <w:pStyle w:val="57"/>
              <w:shd w:val="clear" w:color="auto" w:fill="FFFFFF"/>
              <w:spacing w:line="360" w:lineRule="auto"/>
              <w:ind w:left="107"/>
              <w:jc w:val="both"/>
              <w:rPr>
                <w:bCs/>
                <w:color w:val="auto"/>
              </w:rPr>
            </w:pPr>
            <w:r>
              <w:rPr>
                <w:rFonts w:hint="eastAsia"/>
                <w:bCs/>
                <w:color w:val="auto"/>
              </w:rPr>
              <w:t>公司成</w:t>
            </w:r>
            <w:r>
              <w:rPr>
                <w:rFonts w:hint="eastAsia"/>
                <w:bCs/>
                <w:color w:val="auto"/>
                <w:spacing w:val="12"/>
              </w:rPr>
              <w:t>立时间</w:t>
            </w:r>
          </w:p>
        </w:tc>
        <w:tc>
          <w:tcPr>
            <w:tcW w:w="933" w:type="dxa"/>
            <w:vAlign w:val="center"/>
          </w:tcPr>
          <w:p>
            <w:pPr>
              <w:pStyle w:val="57"/>
              <w:shd w:val="clear" w:color="auto" w:fill="FFFFFF"/>
              <w:spacing w:line="360" w:lineRule="auto"/>
              <w:ind w:left="107"/>
              <w:jc w:val="both"/>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9" w:hRule="atLeast"/>
        </w:trPr>
        <w:tc>
          <w:tcPr>
            <w:tcW w:w="880" w:type="dxa"/>
            <w:vMerge w:val="continue"/>
            <w:vAlign w:val="center"/>
          </w:tcPr>
          <w:p>
            <w:pPr>
              <w:pStyle w:val="57"/>
              <w:shd w:val="clear" w:color="auto" w:fill="FFFFFF"/>
              <w:spacing w:line="360" w:lineRule="auto"/>
              <w:ind w:left="107"/>
              <w:jc w:val="both"/>
              <w:rPr>
                <w:bCs/>
                <w:color w:val="auto"/>
              </w:rPr>
            </w:pPr>
          </w:p>
        </w:tc>
        <w:tc>
          <w:tcPr>
            <w:tcW w:w="690" w:type="dxa"/>
            <w:vAlign w:val="center"/>
          </w:tcPr>
          <w:p>
            <w:pPr>
              <w:pStyle w:val="57"/>
              <w:shd w:val="clear" w:color="auto" w:fill="FFFFFF"/>
              <w:spacing w:line="360" w:lineRule="auto"/>
              <w:ind w:left="2"/>
              <w:jc w:val="both"/>
              <w:rPr>
                <w:bCs/>
                <w:color w:val="auto"/>
              </w:rPr>
            </w:pPr>
            <w:r>
              <w:rPr>
                <w:rFonts w:hint="eastAsia"/>
                <w:bCs/>
                <w:color w:val="auto"/>
              </w:rPr>
              <w:t>核准经营范围</w:t>
            </w:r>
          </w:p>
        </w:tc>
        <w:tc>
          <w:tcPr>
            <w:tcW w:w="7243" w:type="dxa"/>
            <w:gridSpan w:val="9"/>
            <w:vAlign w:val="center"/>
          </w:tcPr>
          <w:p>
            <w:pPr>
              <w:pStyle w:val="57"/>
              <w:shd w:val="clear" w:color="auto" w:fill="FFFFFF"/>
              <w:spacing w:line="360" w:lineRule="auto"/>
              <w:ind w:left="107"/>
              <w:jc w:val="both"/>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57"/>
              <w:shd w:val="clear" w:color="auto" w:fill="FFFFFF"/>
              <w:spacing w:line="360" w:lineRule="auto"/>
              <w:ind w:left="107"/>
              <w:jc w:val="both"/>
              <w:rPr>
                <w:bCs/>
                <w:color w:val="auto"/>
              </w:rPr>
            </w:pPr>
          </w:p>
        </w:tc>
        <w:tc>
          <w:tcPr>
            <w:tcW w:w="7933" w:type="dxa"/>
            <w:gridSpan w:val="10"/>
            <w:vAlign w:val="center"/>
          </w:tcPr>
          <w:p>
            <w:pPr>
              <w:pStyle w:val="57"/>
              <w:shd w:val="clear" w:color="auto" w:fill="FFFFFF"/>
              <w:spacing w:line="360" w:lineRule="auto"/>
              <w:jc w:val="both"/>
              <w:rPr>
                <w:bCs/>
                <w:color w:val="auto"/>
                <w:spacing w:val="13"/>
              </w:rPr>
            </w:pPr>
            <w:r>
              <w:rPr>
                <w:rFonts w:hint="eastAsia"/>
                <w:bCs/>
                <w:color w:val="auto"/>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57"/>
              <w:shd w:val="clear" w:color="auto" w:fill="FFFFFF"/>
              <w:spacing w:line="360" w:lineRule="auto"/>
              <w:ind w:left="107"/>
              <w:jc w:val="both"/>
              <w:rPr>
                <w:bCs/>
                <w:color w:val="auto"/>
              </w:rPr>
            </w:pPr>
            <w:r>
              <w:rPr>
                <w:rFonts w:hint="eastAsia"/>
                <w:bCs/>
                <w:color w:val="auto"/>
              </w:rPr>
              <w:t>2．</w:t>
            </w:r>
          </w:p>
          <w:p>
            <w:pPr>
              <w:pStyle w:val="57"/>
              <w:shd w:val="clear" w:color="auto" w:fill="FFFFFF"/>
              <w:spacing w:line="360" w:lineRule="auto"/>
              <w:ind w:left="107"/>
              <w:jc w:val="both"/>
              <w:rPr>
                <w:bCs/>
                <w:color w:val="auto"/>
                <w:spacing w:val="16"/>
              </w:rPr>
            </w:pPr>
            <w:r>
              <w:rPr>
                <w:rFonts w:hint="eastAsia"/>
                <w:bCs/>
                <w:color w:val="auto"/>
              </w:rPr>
              <w:t>企</w:t>
            </w:r>
            <w:r>
              <w:rPr>
                <w:rFonts w:hint="eastAsia"/>
                <w:bCs/>
                <w:color w:val="auto"/>
                <w:spacing w:val="12"/>
              </w:rPr>
              <w:t>业有关资质获证情况</w:t>
            </w:r>
          </w:p>
        </w:tc>
        <w:tc>
          <w:tcPr>
            <w:tcW w:w="1355" w:type="dxa"/>
            <w:gridSpan w:val="2"/>
            <w:vMerge w:val="restart"/>
            <w:vAlign w:val="center"/>
          </w:tcPr>
          <w:p>
            <w:pPr>
              <w:pStyle w:val="57"/>
              <w:shd w:val="clear" w:color="auto" w:fill="FFFFFF"/>
              <w:spacing w:before="0" w:beforeAutospacing="0" w:after="0" w:afterAutospacing="0" w:line="360" w:lineRule="auto"/>
              <w:jc w:val="both"/>
              <w:rPr>
                <w:bCs/>
                <w:color w:val="auto"/>
                <w:spacing w:val="16"/>
              </w:rPr>
            </w:pPr>
            <w:r>
              <w:rPr>
                <w:rFonts w:hint="eastAsia"/>
                <w:bCs/>
                <w:color w:val="auto"/>
                <w:spacing w:val="12"/>
              </w:rPr>
              <w:t>产品生产许可证情况</w:t>
            </w:r>
            <w:r>
              <w:rPr>
                <w:rFonts w:hint="eastAsia"/>
                <w:bCs/>
                <w:color w:val="auto"/>
                <w:spacing w:val="41"/>
              </w:rPr>
              <w:t>（对需获得生产许可证的</w:t>
            </w:r>
            <w:r>
              <w:rPr>
                <w:rFonts w:hint="eastAsia"/>
                <w:bCs/>
                <w:color w:val="auto"/>
                <w:spacing w:val="11"/>
              </w:rPr>
              <w:t>产品要填写此栏）</w:t>
            </w:r>
          </w:p>
        </w:tc>
        <w:tc>
          <w:tcPr>
            <w:tcW w:w="1333" w:type="dxa"/>
            <w:gridSpan w:val="3"/>
            <w:vAlign w:val="center"/>
          </w:tcPr>
          <w:p>
            <w:pPr>
              <w:pStyle w:val="57"/>
              <w:shd w:val="clear" w:color="auto" w:fill="FFFFFF"/>
              <w:spacing w:line="360" w:lineRule="auto"/>
              <w:ind w:right="-78" w:rightChars="-37"/>
              <w:jc w:val="both"/>
              <w:rPr>
                <w:bCs/>
                <w:color w:val="auto"/>
                <w:spacing w:val="16"/>
              </w:rPr>
            </w:pPr>
            <w:r>
              <w:rPr>
                <w:rFonts w:hint="eastAsia"/>
                <w:bCs/>
                <w:color w:val="auto"/>
                <w:spacing w:val="16"/>
              </w:rPr>
              <w:t>产品名称</w:t>
            </w:r>
          </w:p>
        </w:tc>
        <w:tc>
          <w:tcPr>
            <w:tcW w:w="1077" w:type="dxa"/>
            <w:vAlign w:val="center"/>
          </w:tcPr>
          <w:p>
            <w:pPr>
              <w:pStyle w:val="57"/>
              <w:shd w:val="clear" w:color="auto" w:fill="FFFFFF"/>
              <w:spacing w:before="0" w:beforeAutospacing="0" w:after="0" w:afterAutospacing="0" w:line="360" w:lineRule="auto"/>
              <w:jc w:val="both"/>
              <w:rPr>
                <w:bCs/>
                <w:color w:val="auto"/>
              </w:rPr>
            </w:pPr>
            <w:r>
              <w:rPr>
                <w:rFonts w:hint="eastAsia"/>
                <w:bCs/>
                <w:color w:val="auto"/>
                <w:spacing w:val="16"/>
              </w:rPr>
              <w:t>发证机关</w:t>
            </w:r>
          </w:p>
        </w:tc>
        <w:tc>
          <w:tcPr>
            <w:tcW w:w="1617" w:type="dxa"/>
            <w:gridSpan w:val="2"/>
            <w:vAlign w:val="center"/>
          </w:tcPr>
          <w:p>
            <w:pPr>
              <w:pStyle w:val="57"/>
              <w:shd w:val="clear" w:color="auto" w:fill="FFFFFF"/>
              <w:spacing w:line="360" w:lineRule="auto"/>
              <w:jc w:val="both"/>
              <w:rPr>
                <w:bCs/>
                <w:color w:val="auto"/>
              </w:rPr>
            </w:pPr>
            <w:r>
              <w:rPr>
                <w:rFonts w:hint="eastAsia"/>
                <w:bCs/>
                <w:color w:val="auto"/>
                <w:spacing w:val="27"/>
              </w:rPr>
              <w:t>编号</w:t>
            </w:r>
          </w:p>
        </w:tc>
        <w:tc>
          <w:tcPr>
            <w:tcW w:w="1618" w:type="dxa"/>
            <w:vAlign w:val="center"/>
          </w:tcPr>
          <w:p>
            <w:pPr>
              <w:pStyle w:val="57"/>
              <w:shd w:val="clear" w:color="auto" w:fill="FFFFFF"/>
              <w:spacing w:line="360" w:lineRule="auto"/>
              <w:jc w:val="both"/>
              <w:rPr>
                <w:bCs/>
                <w:color w:val="auto"/>
              </w:rPr>
            </w:pPr>
            <w:r>
              <w:rPr>
                <w:rFonts w:hint="eastAsia"/>
                <w:bCs/>
                <w:color w:val="auto"/>
                <w:spacing w:val="16"/>
              </w:rPr>
              <w:t>发证时间</w:t>
            </w:r>
          </w:p>
        </w:tc>
        <w:tc>
          <w:tcPr>
            <w:tcW w:w="933" w:type="dxa"/>
            <w:vAlign w:val="center"/>
          </w:tcPr>
          <w:p>
            <w:pPr>
              <w:pStyle w:val="57"/>
              <w:shd w:val="clear" w:color="auto" w:fill="FFFFFF"/>
              <w:spacing w:before="0" w:beforeAutospacing="0" w:after="0" w:afterAutospacing="0" w:line="360" w:lineRule="auto"/>
              <w:jc w:val="both"/>
              <w:rPr>
                <w:bCs/>
                <w:color w:val="auto"/>
              </w:rPr>
            </w:pPr>
            <w:r>
              <w:rPr>
                <w:rFonts w:hint="eastAsia"/>
                <w:bCs/>
                <w:color w:val="auto"/>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57"/>
              <w:shd w:val="clear" w:color="auto" w:fill="FFFFFF"/>
              <w:spacing w:line="360" w:lineRule="auto"/>
              <w:ind w:left="107"/>
              <w:jc w:val="both"/>
              <w:rPr>
                <w:bCs/>
                <w:color w:val="auto"/>
              </w:rPr>
            </w:pPr>
          </w:p>
        </w:tc>
        <w:tc>
          <w:tcPr>
            <w:tcW w:w="1355" w:type="dxa"/>
            <w:gridSpan w:val="2"/>
            <w:vMerge w:val="continue"/>
            <w:vAlign w:val="center"/>
          </w:tcPr>
          <w:p>
            <w:pPr>
              <w:pStyle w:val="57"/>
              <w:shd w:val="clear" w:color="auto" w:fill="FFFFFF"/>
              <w:spacing w:line="360" w:lineRule="auto"/>
              <w:jc w:val="both"/>
              <w:rPr>
                <w:bCs/>
                <w:color w:val="auto"/>
              </w:rPr>
            </w:pPr>
          </w:p>
        </w:tc>
        <w:tc>
          <w:tcPr>
            <w:tcW w:w="1333" w:type="dxa"/>
            <w:gridSpan w:val="3"/>
            <w:vAlign w:val="center"/>
          </w:tcPr>
          <w:p>
            <w:pPr>
              <w:pStyle w:val="57"/>
              <w:shd w:val="clear" w:color="auto" w:fill="FFFFFF"/>
              <w:spacing w:line="360" w:lineRule="auto"/>
              <w:jc w:val="both"/>
              <w:rPr>
                <w:bCs/>
                <w:color w:val="auto"/>
              </w:rPr>
            </w:pPr>
          </w:p>
        </w:tc>
        <w:tc>
          <w:tcPr>
            <w:tcW w:w="1077" w:type="dxa"/>
            <w:vAlign w:val="center"/>
          </w:tcPr>
          <w:p>
            <w:pPr>
              <w:pStyle w:val="57"/>
              <w:shd w:val="clear" w:color="auto" w:fill="FFFFFF"/>
              <w:spacing w:line="360" w:lineRule="auto"/>
              <w:jc w:val="both"/>
              <w:rPr>
                <w:bCs/>
                <w:color w:val="auto"/>
              </w:rPr>
            </w:pPr>
          </w:p>
        </w:tc>
        <w:tc>
          <w:tcPr>
            <w:tcW w:w="1617" w:type="dxa"/>
            <w:gridSpan w:val="2"/>
            <w:vAlign w:val="center"/>
          </w:tcPr>
          <w:p>
            <w:pPr>
              <w:pStyle w:val="57"/>
              <w:shd w:val="clear" w:color="auto" w:fill="FFFFFF"/>
              <w:spacing w:line="360" w:lineRule="auto"/>
              <w:jc w:val="both"/>
              <w:rPr>
                <w:bCs/>
                <w:color w:val="auto"/>
              </w:rPr>
            </w:pPr>
          </w:p>
        </w:tc>
        <w:tc>
          <w:tcPr>
            <w:tcW w:w="2551" w:type="dxa"/>
            <w:gridSpan w:val="2"/>
            <w:vAlign w:val="center"/>
          </w:tcPr>
          <w:p>
            <w:pPr>
              <w:pStyle w:val="57"/>
              <w:shd w:val="clear" w:color="auto" w:fill="FFFFFF"/>
              <w:spacing w:line="360" w:lineRule="auto"/>
              <w:jc w:val="both"/>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57"/>
              <w:shd w:val="clear" w:color="auto" w:fill="FFFFFF"/>
              <w:spacing w:line="360" w:lineRule="auto"/>
              <w:ind w:left="107"/>
              <w:jc w:val="both"/>
              <w:rPr>
                <w:bCs/>
                <w:color w:val="auto"/>
                <w:spacing w:val="16"/>
              </w:rPr>
            </w:pPr>
          </w:p>
        </w:tc>
        <w:tc>
          <w:tcPr>
            <w:tcW w:w="1355" w:type="dxa"/>
            <w:gridSpan w:val="2"/>
            <w:vAlign w:val="center"/>
          </w:tcPr>
          <w:p>
            <w:pPr>
              <w:pStyle w:val="57"/>
              <w:shd w:val="clear" w:color="auto" w:fill="FFFFFF"/>
              <w:spacing w:before="0" w:beforeAutospacing="0" w:after="0" w:afterAutospacing="0" w:line="360" w:lineRule="auto"/>
              <w:ind w:right="-107" w:rightChars="-51"/>
              <w:jc w:val="both"/>
              <w:rPr>
                <w:bCs/>
                <w:color w:val="auto"/>
                <w:spacing w:val="41"/>
              </w:rPr>
            </w:pPr>
            <w:r>
              <w:rPr>
                <w:rFonts w:hint="eastAsia"/>
                <w:bCs/>
                <w:color w:val="auto"/>
                <w:spacing w:val="41"/>
              </w:rPr>
              <w:t>企业通过质量体系、环保</w:t>
            </w:r>
            <w:r>
              <w:rPr>
                <w:rFonts w:hint="eastAsia"/>
                <w:bCs/>
                <w:color w:val="auto"/>
                <w:spacing w:val="11"/>
              </w:rPr>
              <w:t>体系、计量等认证情况</w:t>
            </w:r>
          </w:p>
        </w:tc>
        <w:tc>
          <w:tcPr>
            <w:tcW w:w="6578" w:type="dxa"/>
            <w:gridSpan w:val="8"/>
            <w:vAlign w:val="center"/>
          </w:tcPr>
          <w:p>
            <w:pPr>
              <w:pStyle w:val="57"/>
              <w:shd w:val="clear" w:color="auto" w:fill="FFFFFF"/>
              <w:spacing w:line="360" w:lineRule="auto"/>
              <w:jc w:val="both"/>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57"/>
              <w:shd w:val="clear" w:color="auto" w:fill="FFFFFF"/>
              <w:spacing w:line="360" w:lineRule="auto"/>
              <w:ind w:left="107"/>
              <w:jc w:val="both"/>
              <w:rPr>
                <w:bCs/>
                <w:color w:val="auto"/>
                <w:spacing w:val="27"/>
              </w:rPr>
            </w:pPr>
          </w:p>
        </w:tc>
        <w:tc>
          <w:tcPr>
            <w:tcW w:w="1355" w:type="dxa"/>
            <w:gridSpan w:val="2"/>
            <w:vAlign w:val="center"/>
          </w:tcPr>
          <w:p>
            <w:pPr>
              <w:pStyle w:val="57"/>
              <w:shd w:val="clear" w:color="auto" w:fill="FFFFFF"/>
              <w:spacing w:line="360" w:lineRule="auto"/>
              <w:jc w:val="both"/>
              <w:rPr>
                <w:bCs/>
                <w:color w:val="auto"/>
                <w:spacing w:val="16"/>
              </w:rPr>
            </w:pPr>
            <w:r>
              <w:rPr>
                <w:rFonts w:hint="eastAsia"/>
                <w:bCs/>
                <w:color w:val="auto"/>
                <w:spacing w:val="10"/>
              </w:rPr>
              <w:t>企业获得专利情况</w:t>
            </w:r>
          </w:p>
        </w:tc>
        <w:tc>
          <w:tcPr>
            <w:tcW w:w="6578" w:type="dxa"/>
            <w:gridSpan w:val="8"/>
            <w:vAlign w:val="center"/>
          </w:tcPr>
          <w:p>
            <w:pPr>
              <w:pStyle w:val="57"/>
              <w:shd w:val="clear" w:color="auto" w:fill="FFFFFF"/>
              <w:spacing w:line="360" w:lineRule="auto"/>
              <w:jc w:val="both"/>
              <w:rPr>
                <w:bCs/>
                <w:color w:val="auto"/>
                <w:spacing w:val="16"/>
              </w:rPr>
            </w:pPr>
          </w:p>
        </w:tc>
      </w:tr>
    </w:tbl>
    <w:p>
      <w:pPr>
        <w:spacing w:line="360" w:lineRule="auto"/>
        <w:rPr>
          <w:rFonts w:ascii="宋体" w:hAnsi="宋体" w:cs="宋体"/>
          <w:color w:val="auto"/>
          <w:sz w:val="24"/>
          <w:szCs w:val="32"/>
        </w:rPr>
      </w:pPr>
    </w:p>
    <w:p>
      <w:pPr>
        <w:spacing w:line="360" w:lineRule="auto"/>
        <w:rPr>
          <w:rFonts w:ascii="宋体" w:hAnsi="宋体" w:cs="宋体"/>
          <w:b/>
          <w:bCs/>
          <w:color w:val="auto"/>
          <w:sz w:val="24"/>
          <w:szCs w:val="32"/>
        </w:rPr>
      </w:pPr>
      <w:r>
        <w:rPr>
          <w:rFonts w:hint="eastAsia" w:ascii="宋体" w:hAnsi="宋体" w:cs="宋体"/>
          <w:b/>
          <w:bCs/>
          <w:color w:val="auto"/>
          <w:sz w:val="24"/>
          <w:szCs w:val="32"/>
        </w:rPr>
        <w:t>要求：</w:t>
      </w:r>
    </w:p>
    <w:p>
      <w:pPr>
        <w:spacing w:line="360" w:lineRule="auto"/>
        <w:rPr>
          <w:rFonts w:ascii="宋体" w:hAnsi="宋体" w:cs="宋体"/>
          <w:color w:val="auto"/>
          <w:sz w:val="24"/>
          <w:szCs w:val="32"/>
        </w:rPr>
      </w:pPr>
      <w:r>
        <w:rPr>
          <w:rFonts w:hint="eastAsia" w:ascii="宋体" w:hAnsi="宋体" w:cs="宋体"/>
          <w:color w:val="auto"/>
          <w:sz w:val="24"/>
          <w:szCs w:val="32"/>
        </w:rPr>
        <w:t>1.姓名栏必须将所有股东都统计在内，若非股份公司此行（第三行）无需填写；</w:t>
      </w: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rPr>
          <w:rFonts w:ascii="宋体" w:hAnsi="宋体" w:cs="宋体"/>
          <w:color w:val="auto"/>
          <w:sz w:val="24"/>
          <w:szCs w:val="32"/>
        </w:rPr>
      </w:pPr>
    </w:p>
    <w:p>
      <w:pPr>
        <w:pStyle w:val="12"/>
        <w:rPr>
          <w:color w:val="auto"/>
        </w:rPr>
      </w:pPr>
    </w:p>
    <w:p>
      <w:pPr>
        <w:jc w:val="left"/>
        <w:rPr>
          <w:rFonts w:ascii="宋体" w:hAnsi="宋体" w:cs="宋体"/>
          <w:b/>
          <w:bCs/>
          <w:color w:val="auto"/>
          <w:sz w:val="28"/>
          <w:szCs w:val="36"/>
          <w:lang w:val="zh-CN"/>
        </w:rPr>
      </w:pPr>
      <w:r>
        <w:rPr>
          <w:rFonts w:hint="eastAsia" w:ascii="宋体" w:hAnsi="宋体" w:cs="宋体"/>
          <w:b/>
          <w:bCs/>
          <w:color w:val="auto"/>
          <w:sz w:val="28"/>
          <w:szCs w:val="36"/>
          <w:lang w:val="zh-CN"/>
        </w:rPr>
        <w:br w:type="page"/>
      </w:r>
    </w:p>
    <w:p>
      <w:pPr>
        <w:spacing w:line="360" w:lineRule="auto"/>
        <w:jc w:val="left"/>
        <w:rPr>
          <w:rFonts w:ascii="宋体" w:hAnsi="宋体" w:cs="宋体"/>
          <w:b/>
          <w:bCs/>
          <w:color w:val="auto"/>
          <w:sz w:val="28"/>
          <w:szCs w:val="36"/>
          <w:lang w:val="zh-CN"/>
        </w:rPr>
      </w:pPr>
      <w:r>
        <w:rPr>
          <w:rFonts w:hint="eastAsia" w:ascii="宋体" w:hAnsi="宋体" w:cs="宋体"/>
          <w:b/>
          <w:bCs/>
          <w:color w:val="auto"/>
          <w:sz w:val="28"/>
          <w:szCs w:val="36"/>
          <w:lang w:val="zh-CN"/>
        </w:rPr>
        <w:t>附件</w:t>
      </w:r>
      <w:r>
        <w:rPr>
          <w:rFonts w:hint="eastAsia" w:ascii="宋体" w:hAnsi="宋体" w:cs="宋体"/>
          <w:b/>
          <w:bCs/>
          <w:color w:val="auto"/>
          <w:sz w:val="28"/>
          <w:szCs w:val="36"/>
        </w:rPr>
        <w:t>6</w:t>
      </w:r>
    </w:p>
    <w:p>
      <w:pPr>
        <w:spacing w:line="360" w:lineRule="auto"/>
        <w:jc w:val="center"/>
        <w:rPr>
          <w:rFonts w:ascii="宋体" w:hAnsi="宋体" w:cs="宋体"/>
          <w:b/>
          <w:bCs/>
          <w:color w:val="auto"/>
          <w:sz w:val="32"/>
          <w:szCs w:val="40"/>
          <w:lang w:val="zh-CN"/>
        </w:rPr>
      </w:pPr>
      <w:r>
        <w:rPr>
          <w:rFonts w:hint="eastAsia" w:ascii="宋体" w:hAnsi="宋体" w:cs="宋体"/>
          <w:b/>
          <w:bCs/>
          <w:color w:val="auto"/>
          <w:sz w:val="32"/>
          <w:szCs w:val="40"/>
          <w:lang w:val="zh-CN"/>
        </w:rPr>
        <w:t>项目实施人员一览表</w:t>
      </w:r>
    </w:p>
    <w:p>
      <w:pPr>
        <w:spacing w:line="360" w:lineRule="auto"/>
        <w:jc w:val="center"/>
        <w:rPr>
          <w:rFonts w:ascii="宋体" w:hAnsi="宋体" w:cs="宋体"/>
          <w:color w:val="auto"/>
          <w:sz w:val="24"/>
          <w:szCs w:val="32"/>
        </w:rPr>
      </w:pPr>
      <w:r>
        <w:rPr>
          <w:rFonts w:hint="eastAsia" w:ascii="宋体" w:hAnsi="宋体" w:cs="宋体"/>
          <w:color w:val="auto"/>
          <w:sz w:val="24"/>
          <w:szCs w:val="32"/>
        </w:rPr>
        <w:t>（主要从业人员及其技术资格）</w:t>
      </w:r>
    </w:p>
    <w:tbl>
      <w:tblPr>
        <w:tblStyle w:val="24"/>
        <w:tblpPr w:leftFromText="180" w:rightFromText="180" w:vertAnchor="text" w:horzAnchor="page" w:tblpX="1633" w:tblpY="56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543"/>
        <w:gridCol w:w="1004"/>
        <w:gridCol w:w="795"/>
        <w:gridCol w:w="1276"/>
        <w:gridCol w:w="1275"/>
        <w:gridCol w:w="1418"/>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461" w:type="dxa"/>
          </w:tcPr>
          <w:p>
            <w:pPr>
              <w:pStyle w:val="76"/>
              <w:spacing w:before="156" w:line="364" w:lineRule="auto"/>
              <w:ind w:left="123" w:right="116"/>
              <w:rPr>
                <w:b/>
                <w:color w:val="auto"/>
              </w:rPr>
            </w:pPr>
            <w:r>
              <w:rPr>
                <w:b/>
                <w:color w:val="auto"/>
              </w:rPr>
              <w:t>序号</w:t>
            </w:r>
          </w:p>
        </w:tc>
        <w:tc>
          <w:tcPr>
            <w:tcW w:w="543" w:type="dxa"/>
          </w:tcPr>
          <w:p>
            <w:pPr>
              <w:pStyle w:val="76"/>
              <w:spacing w:before="156" w:line="364" w:lineRule="auto"/>
              <w:ind w:left="166" w:right="155"/>
              <w:rPr>
                <w:b/>
                <w:color w:val="auto"/>
              </w:rPr>
            </w:pPr>
            <w:r>
              <w:rPr>
                <w:b/>
                <w:color w:val="auto"/>
              </w:rPr>
              <w:t>姓名</w:t>
            </w:r>
          </w:p>
        </w:tc>
        <w:tc>
          <w:tcPr>
            <w:tcW w:w="1004" w:type="dxa"/>
          </w:tcPr>
          <w:p>
            <w:pPr>
              <w:pStyle w:val="76"/>
              <w:spacing w:before="1"/>
              <w:rPr>
                <w:color w:val="auto"/>
                <w:sz w:val="28"/>
              </w:rPr>
            </w:pPr>
          </w:p>
          <w:p>
            <w:pPr>
              <w:pStyle w:val="76"/>
              <w:spacing w:before="1"/>
              <w:ind w:left="290"/>
              <w:rPr>
                <w:b/>
                <w:color w:val="auto"/>
              </w:rPr>
            </w:pPr>
            <w:r>
              <w:rPr>
                <w:b/>
                <w:color w:val="auto"/>
              </w:rPr>
              <w:t>职务</w:t>
            </w:r>
          </w:p>
        </w:tc>
        <w:tc>
          <w:tcPr>
            <w:tcW w:w="795" w:type="dxa"/>
          </w:tcPr>
          <w:p>
            <w:pPr>
              <w:pStyle w:val="76"/>
              <w:spacing w:before="1"/>
              <w:rPr>
                <w:color w:val="auto"/>
                <w:sz w:val="28"/>
              </w:rPr>
            </w:pPr>
          </w:p>
          <w:p>
            <w:pPr>
              <w:pStyle w:val="76"/>
              <w:spacing w:before="1"/>
              <w:ind w:left="186"/>
              <w:rPr>
                <w:b/>
                <w:color w:val="auto"/>
              </w:rPr>
            </w:pPr>
            <w:r>
              <w:rPr>
                <w:b/>
                <w:color w:val="auto"/>
              </w:rPr>
              <w:t>职责</w:t>
            </w:r>
          </w:p>
        </w:tc>
        <w:tc>
          <w:tcPr>
            <w:tcW w:w="1276" w:type="dxa"/>
          </w:tcPr>
          <w:p>
            <w:pPr>
              <w:pStyle w:val="76"/>
              <w:spacing w:before="156" w:line="364" w:lineRule="auto"/>
              <w:ind w:left="531" w:right="100" w:hanging="420"/>
              <w:rPr>
                <w:b/>
                <w:color w:val="auto"/>
              </w:rPr>
            </w:pPr>
            <w:r>
              <w:rPr>
                <w:b/>
                <w:color w:val="auto"/>
                <w:w w:val="95"/>
              </w:rPr>
              <w:t>专业技术资</w:t>
            </w:r>
            <w:r>
              <w:rPr>
                <w:b/>
                <w:color w:val="auto"/>
              </w:rPr>
              <w:t>格</w:t>
            </w:r>
          </w:p>
        </w:tc>
        <w:tc>
          <w:tcPr>
            <w:tcW w:w="1275" w:type="dxa"/>
          </w:tcPr>
          <w:p>
            <w:pPr>
              <w:pStyle w:val="76"/>
              <w:spacing w:before="1"/>
              <w:rPr>
                <w:color w:val="auto"/>
                <w:sz w:val="28"/>
              </w:rPr>
            </w:pPr>
          </w:p>
          <w:p>
            <w:pPr>
              <w:pStyle w:val="76"/>
              <w:spacing w:before="1"/>
              <w:ind w:left="215"/>
              <w:rPr>
                <w:b/>
                <w:color w:val="auto"/>
              </w:rPr>
            </w:pPr>
            <w:r>
              <w:rPr>
                <w:b/>
                <w:color w:val="auto"/>
              </w:rPr>
              <w:t>证书编号</w:t>
            </w:r>
          </w:p>
        </w:tc>
        <w:tc>
          <w:tcPr>
            <w:tcW w:w="1418" w:type="dxa"/>
          </w:tcPr>
          <w:p>
            <w:pPr>
              <w:pStyle w:val="76"/>
              <w:spacing w:before="156" w:line="364" w:lineRule="auto"/>
              <w:ind w:left="289" w:right="170" w:hanging="106"/>
              <w:rPr>
                <w:b/>
                <w:color w:val="auto"/>
              </w:rPr>
            </w:pPr>
            <w:r>
              <w:rPr>
                <w:b/>
                <w:color w:val="auto"/>
                <w:w w:val="95"/>
              </w:rPr>
              <w:t>参加本单位</w:t>
            </w:r>
            <w:r>
              <w:rPr>
                <w:b/>
                <w:color w:val="auto"/>
              </w:rPr>
              <w:t>工作时间</w:t>
            </w:r>
          </w:p>
        </w:tc>
        <w:tc>
          <w:tcPr>
            <w:tcW w:w="2126" w:type="dxa"/>
          </w:tcPr>
          <w:p>
            <w:pPr>
              <w:pStyle w:val="76"/>
              <w:spacing w:before="1"/>
              <w:rPr>
                <w:color w:val="auto"/>
                <w:sz w:val="28"/>
              </w:rPr>
            </w:pPr>
          </w:p>
          <w:p>
            <w:pPr>
              <w:pStyle w:val="76"/>
              <w:spacing w:before="1"/>
              <w:ind w:left="431"/>
              <w:rPr>
                <w:b/>
                <w:color w:val="auto"/>
              </w:rPr>
            </w:pPr>
            <w:r>
              <w:rPr>
                <w:b/>
                <w:color w:val="auto"/>
              </w:rPr>
              <w:t>劳动合同编号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pPr>
              <w:pStyle w:val="76"/>
              <w:rPr>
                <w:rFonts w:ascii="Times New Roman"/>
                <w:color w:val="auto"/>
                <w:sz w:val="20"/>
              </w:rPr>
            </w:pPr>
          </w:p>
        </w:tc>
        <w:tc>
          <w:tcPr>
            <w:tcW w:w="543" w:type="dxa"/>
          </w:tcPr>
          <w:p>
            <w:pPr>
              <w:pStyle w:val="76"/>
              <w:rPr>
                <w:rFonts w:ascii="Times New Roman"/>
                <w:color w:val="auto"/>
                <w:sz w:val="20"/>
              </w:rPr>
            </w:pPr>
          </w:p>
        </w:tc>
        <w:tc>
          <w:tcPr>
            <w:tcW w:w="1004" w:type="dxa"/>
          </w:tcPr>
          <w:p>
            <w:pPr>
              <w:pStyle w:val="76"/>
              <w:rPr>
                <w:rFonts w:ascii="Times New Roman"/>
                <w:color w:val="auto"/>
                <w:sz w:val="20"/>
              </w:rPr>
            </w:pPr>
          </w:p>
        </w:tc>
        <w:tc>
          <w:tcPr>
            <w:tcW w:w="795" w:type="dxa"/>
          </w:tcPr>
          <w:p>
            <w:pPr>
              <w:pStyle w:val="76"/>
              <w:rPr>
                <w:rFonts w:ascii="Times New Roman"/>
                <w:color w:val="auto"/>
                <w:sz w:val="20"/>
              </w:rPr>
            </w:pPr>
          </w:p>
        </w:tc>
        <w:tc>
          <w:tcPr>
            <w:tcW w:w="1276" w:type="dxa"/>
          </w:tcPr>
          <w:p>
            <w:pPr>
              <w:pStyle w:val="76"/>
              <w:rPr>
                <w:rFonts w:ascii="Times New Roman"/>
                <w:color w:val="auto"/>
                <w:sz w:val="20"/>
              </w:rPr>
            </w:pPr>
          </w:p>
        </w:tc>
        <w:tc>
          <w:tcPr>
            <w:tcW w:w="1275" w:type="dxa"/>
          </w:tcPr>
          <w:p>
            <w:pPr>
              <w:pStyle w:val="76"/>
              <w:rPr>
                <w:rFonts w:ascii="Times New Roman"/>
                <w:color w:val="auto"/>
                <w:sz w:val="20"/>
              </w:rPr>
            </w:pPr>
          </w:p>
        </w:tc>
        <w:tc>
          <w:tcPr>
            <w:tcW w:w="1418" w:type="dxa"/>
          </w:tcPr>
          <w:p>
            <w:pPr>
              <w:pStyle w:val="76"/>
              <w:rPr>
                <w:rFonts w:ascii="Times New Roman"/>
                <w:color w:val="auto"/>
                <w:sz w:val="20"/>
              </w:rPr>
            </w:pPr>
          </w:p>
        </w:tc>
        <w:tc>
          <w:tcPr>
            <w:tcW w:w="2126" w:type="dxa"/>
          </w:tcPr>
          <w:p>
            <w:pPr>
              <w:pStyle w:val="7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61" w:type="dxa"/>
          </w:tcPr>
          <w:p>
            <w:pPr>
              <w:pStyle w:val="76"/>
              <w:rPr>
                <w:rFonts w:ascii="Times New Roman"/>
                <w:color w:val="auto"/>
                <w:sz w:val="20"/>
              </w:rPr>
            </w:pPr>
          </w:p>
        </w:tc>
        <w:tc>
          <w:tcPr>
            <w:tcW w:w="543" w:type="dxa"/>
          </w:tcPr>
          <w:p>
            <w:pPr>
              <w:pStyle w:val="76"/>
              <w:rPr>
                <w:rFonts w:ascii="Times New Roman"/>
                <w:color w:val="auto"/>
                <w:sz w:val="20"/>
              </w:rPr>
            </w:pPr>
          </w:p>
        </w:tc>
        <w:tc>
          <w:tcPr>
            <w:tcW w:w="1004" w:type="dxa"/>
          </w:tcPr>
          <w:p>
            <w:pPr>
              <w:pStyle w:val="76"/>
              <w:rPr>
                <w:rFonts w:ascii="Times New Roman"/>
                <w:color w:val="auto"/>
                <w:sz w:val="20"/>
              </w:rPr>
            </w:pPr>
          </w:p>
        </w:tc>
        <w:tc>
          <w:tcPr>
            <w:tcW w:w="795" w:type="dxa"/>
          </w:tcPr>
          <w:p>
            <w:pPr>
              <w:pStyle w:val="76"/>
              <w:rPr>
                <w:rFonts w:ascii="Times New Roman"/>
                <w:color w:val="auto"/>
                <w:sz w:val="20"/>
              </w:rPr>
            </w:pPr>
          </w:p>
        </w:tc>
        <w:tc>
          <w:tcPr>
            <w:tcW w:w="1276" w:type="dxa"/>
          </w:tcPr>
          <w:p>
            <w:pPr>
              <w:pStyle w:val="76"/>
              <w:rPr>
                <w:rFonts w:ascii="Times New Roman"/>
                <w:color w:val="auto"/>
                <w:sz w:val="20"/>
              </w:rPr>
            </w:pPr>
          </w:p>
        </w:tc>
        <w:tc>
          <w:tcPr>
            <w:tcW w:w="1275" w:type="dxa"/>
          </w:tcPr>
          <w:p>
            <w:pPr>
              <w:pStyle w:val="76"/>
              <w:rPr>
                <w:rFonts w:ascii="Times New Roman"/>
                <w:color w:val="auto"/>
                <w:sz w:val="20"/>
              </w:rPr>
            </w:pPr>
          </w:p>
        </w:tc>
        <w:tc>
          <w:tcPr>
            <w:tcW w:w="1418" w:type="dxa"/>
          </w:tcPr>
          <w:p>
            <w:pPr>
              <w:pStyle w:val="76"/>
              <w:rPr>
                <w:rFonts w:ascii="Times New Roman"/>
                <w:color w:val="auto"/>
                <w:sz w:val="20"/>
              </w:rPr>
            </w:pPr>
          </w:p>
        </w:tc>
        <w:tc>
          <w:tcPr>
            <w:tcW w:w="2126" w:type="dxa"/>
          </w:tcPr>
          <w:p>
            <w:pPr>
              <w:pStyle w:val="7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pPr>
              <w:pStyle w:val="76"/>
              <w:rPr>
                <w:rFonts w:ascii="Times New Roman"/>
                <w:color w:val="auto"/>
                <w:sz w:val="20"/>
              </w:rPr>
            </w:pPr>
          </w:p>
        </w:tc>
        <w:tc>
          <w:tcPr>
            <w:tcW w:w="543" w:type="dxa"/>
          </w:tcPr>
          <w:p>
            <w:pPr>
              <w:pStyle w:val="76"/>
              <w:rPr>
                <w:rFonts w:ascii="Times New Roman"/>
                <w:color w:val="auto"/>
                <w:sz w:val="20"/>
              </w:rPr>
            </w:pPr>
          </w:p>
        </w:tc>
        <w:tc>
          <w:tcPr>
            <w:tcW w:w="1004" w:type="dxa"/>
          </w:tcPr>
          <w:p>
            <w:pPr>
              <w:pStyle w:val="76"/>
              <w:rPr>
                <w:rFonts w:ascii="Times New Roman"/>
                <w:color w:val="auto"/>
                <w:sz w:val="20"/>
              </w:rPr>
            </w:pPr>
          </w:p>
        </w:tc>
        <w:tc>
          <w:tcPr>
            <w:tcW w:w="795" w:type="dxa"/>
          </w:tcPr>
          <w:p>
            <w:pPr>
              <w:pStyle w:val="76"/>
              <w:rPr>
                <w:rFonts w:ascii="Times New Roman"/>
                <w:color w:val="auto"/>
                <w:sz w:val="20"/>
              </w:rPr>
            </w:pPr>
          </w:p>
        </w:tc>
        <w:tc>
          <w:tcPr>
            <w:tcW w:w="1276" w:type="dxa"/>
          </w:tcPr>
          <w:p>
            <w:pPr>
              <w:pStyle w:val="76"/>
              <w:rPr>
                <w:rFonts w:ascii="Times New Roman"/>
                <w:color w:val="auto"/>
                <w:sz w:val="20"/>
              </w:rPr>
            </w:pPr>
          </w:p>
        </w:tc>
        <w:tc>
          <w:tcPr>
            <w:tcW w:w="1275" w:type="dxa"/>
          </w:tcPr>
          <w:p>
            <w:pPr>
              <w:pStyle w:val="76"/>
              <w:rPr>
                <w:rFonts w:ascii="Times New Roman"/>
                <w:color w:val="auto"/>
                <w:sz w:val="20"/>
              </w:rPr>
            </w:pPr>
          </w:p>
        </w:tc>
        <w:tc>
          <w:tcPr>
            <w:tcW w:w="1418" w:type="dxa"/>
          </w:tcPr>
          <w:p>
            <w:pPr>
              <w:pStyle w:val="76"/>
              <w:rPr>
                <w:rFonts w:ascii="Times New Roman"/>
                <w:color w:val="auto"/>
                <w:sz w:val="20"/>
              </w:rPr>
            </w:pPr>
          </w:p>
        </w:tc>
        <w:tc>
          <w:tcPr>
            <w:tcW w:w="2126" w:type="dxa"/>
          </w:tcPr>
          <w:p>
            <w:pPr>
              <w:pStyle w:val="7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61" w:type="dxa"/>
          </w:tcPr>
          <w:p>
            <w:pPr>
              <w:pStyle w:val="76"/>
              <w:rPr>
                <w:rFonts w:ascii="Times New Roman"/>
                <w:color w:val="auto"/>
                <w:sz w:val="20"/>
              </w:rPr>
            </w:pPr>
          </w:p>
        </w:tc>
        <w:tc>
          <w:tcPr>
            <w:tcW w:w="543" w:type="dxa"/>
          </w:tcPr>
          <w:p>
            <w:pPr>
              <w:pStyle w:val="76"/>
              <w:rPr>
                <w:rFonts w:ascii="Times New Roman"/>
                <w:color w:val="auto"/>
                <w:sz w:val="20"/>
              </w:rPr>
            </w:pPr>
          </w:p>
        </w:tc>
        <w:tc>
          <w:tcPr>
            <w:tcW w:w="1004" w:type="dxa"/>
          </w:tcPr>
          <w:p>
            <w:pPr>
              <w:pStyle w:val="76"/>
              <w:rPr>
                <w:rFonts w:ascii="Times New Roman"/>
                <w:color w:val="auto"/>
                <w:sz w:val="20"/>
              </w:rPr>
            </w:pPr>
          </w:p>
        </w:tc>
        <w:tc>
          <w:tcPr>
            <w:tcW w:w="795" w:type="dxa"/>
          </w:tcPr>
          <w:p>
            <w:pPr>
              <w:pStyle w:val="76"/>
              <w:rPr>
                <w:rFonts w:ascii="Times New Roman"/>
                <w:color w:val="auto"/>
                <w:sz w:val="20"/>
              </w:rPr>
            </w:pPr>
          </w:p>
        </w:tc>
        <w:tc>
          <w:tcPr>
            <w:tcW w:w="1276" w:type="dxa"/>
          </w:tcPr>
          <w:p>
            <w:pPr>
              <w:pStyle w:val="76"/>
              <w:rPr>
                <w:rFonts w:ascii="Times New Roman"/>
                <w:color w:val="auto"/>
                <w:sz w:val="20"/>
              </w:rPr>
            </w:pPr>
          </w:p>
        </w:tc>
        <w:tc>
          <w:tcPr>
            <w:tcW w:w="1275" w:type="dxa"/>
          </w:tcPr>
          <w:p>
            <w:pPr>
              <w:pStyle w:val="76"/>
              <w:rPr>
                <w:rFonts w:ascii="Times New Roman"/>
                <w:color w:val="auto"/>
                <w:sz w:val="20"/>
              </w:rPr>
            </w:pPr>
          </w:p>
        </w:tc>
        <w:tc>
          <w:tcPr>
            <w:tcW w:w="1418" w:type="dxa"/>
          </w:tcPr>
          <w:p>
            <w:pPr>
              <w:pStyle w:val="76"/>
              <w:rPr>
                <w:rFonts w:ascii="Times New Roman"/>
                <w:color w:val="auto"/>
                <w:sz w:val="20"/>
              </w:rPr>
            </w:pPr>
          </w:p>
        </w:tc>
        <w:tc>
          <w:tcPr>
            <w:tcW w:w="2126" w:type="dxa"/>
          </w:tcPr>
          <w:p>
            <w:pPr>
              <w:pStyle w:val="7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pPr>
              <w:pStyle w:val="76"/>
              <w:rPr>
                <w:rFonts w:ascii="Times New Roman"/>
                <w:color w:val="auto"/>
                <w:sz w:val="20"/>
              </w:rPr>
            </w:pPr>
          </w:p>
        </w:tc>
        <w:tc>
          <w:tcPr>
            <w:tcW w:w="543" w:type="dxa"/>
          </w:tcPr>
          <w:p>
            <w:pPr>
              <w:pStyle w:val="76"/>
              <w:rPr>
                <w:rFonts w:ascii="Times New Roman"/>
                <w:color w:val="auto"/>
                <w:sz w:val="20"/>
              </w:rPr>
            </w:pPr>
          </w:p>
        </w:tc>
        <w:tc>
          <w:tcPr>
            <w:tcW w:w="1004" w:type="dxa"/>
          </w:tcPr>
          <w:p>
            <w:pPr>
              <w:pStyle w:val="76"/>
              <w:rPr>
                <w:rFonts w:ascii="Times New Roman"/>
                <w:color w:val="auto"/>
                <w:sz w:val="20"/>
              </w:rPr>
            </w:pPr>
          </w:p>
        </w:tc>
        <w:tc>
          <w:tcPr>
            <w:tcW w:w="795" w:type="dxa"/>
          </w:tcPr>
          <w:p>
            <w:pPr>
              <w:pStyle w:val="76"/>
              <w:rPr>
                <w:rFonts w:ascii="Times New Roman"/>
                <w:color w:val="auto"/>
                <w:sz w:val="20"/>
              </w:rPr>
            </w:pPr>
          </w:p>
        </w:tc>
        <w:tc>
          <w:tcPr>
            <w:tcW w:w="1276" w:type="dxa"/>
          </w:tcPr>
          <w:p>
            <w:pPr>
              <w:pStyle w:val="76"/>
              <w:rPr>
                <w:rFonts w:ascii="Times New Roman"/>
                <w:color w:val="auto"/>
                <w:sz w:val="20"/>
              </w:rPr>
            </w:pPr>
          </w:p>
        </w:tc>
        <w:tc>
          <w:tcPr>
            <w:tcW w:w="1275" w:type="dxa"/>
          </w:tcPr>
          <w:p>
            <w:pPr>
              <w:pStyle w:val="76"/>
              <w:rPr>
                <w:rFonts w:ascii="Times New Roman"/>
                <w:color w:val="auto"/>
                <w:sz w:val="20"/>
              </w:rPr>
            </w:pPr>
          </w:p>
        </w:tc>
        <w:tc>
          <w:tcPr>
            <w:tcW w:w="1418" w:type="dxa"/>
          </w:tcPr>
          <w:p>
            <w:pPr>
              <w:pStyle w:val="76"/>
              <w:rPr>
                <w:rFonts w:ascii="Times New Roman"/>
                <w:color w:val="auto"/>
                <w:sz w:val="20"/>
              </w:rPr>
            </w:pPr>
          </w:p>
        </w:tc>
        <w:tc>
          <w:tcPr>
            <w:tcW w:w="2126" w:type="dxa"/>
          </w:tcPr>
          <w:p>
            <w:pPr>
              <w:pStyle w:val="7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pPr>
              <w:pStyle w:val="76"/>
              <w:rPr>
                <w:rFonts w:ascii="Times New Roman"/>
                <w:color w:val="auto"/>
                <w:sz w:val="20"/>
              </w:rPr>
            </w:pPr>
          </w:p>
        </w:tc>
        <w:tc>
          <w:tcPr>
            <w:tcW w:w="543" w:type="dxa"/>
          </w:tcPr>
          <w:p>
            <w:pPr>
              <w:pStyle w:val="76"/>
              <w:rPr>
                <w:rFonts w:ascii="Times New Roman"/>
                <w:color w:val="auto"/>
                <w:sz w:val="20"/>
              </w:rPr>
            </w:pPr>
          </w:p>
        </w:tc>
        <w:tc>
          <w:tcPr>
            <w:tcW w:w="1004" w:type="dxa"/>
          </w:tcPr>
          <w:p>
            <w:pPr>
              <w:pStyle w:val="76"/>
              <w:rPr>
                <w:rFonts w:ascii="Times New Roman"/>
                <w:color w:val="auto"/>
                <w:sz w:val="20"/>
              </w:rPr>
            </w:pPr>
          </w:p>
        </w:tc>
        <w:tc>
          <w:tcPr>
            <w:tcW w:w="795" w:type="dxa"/>
          </w:tcPr>
          <w:p>
            <w:pPr>
              <w:pStyle w:val="76"/>
              <w:rPr>
                <w:rFonts w:ascii="Times New Roman"/>
                <w:color w:val="auto"/>
                <w:sz w:val="20"/>
              </w:rPr>
            </w:pPr>
          </w:p>
        </w:tc>
        <w:tc>
          <w:tcPr>
            <w:tcW w:w="1276" w:type="dxa"/>
          </w:tcPr>
          <w:p>
            <w:pPr>
              <w:pStyle w:val="76"/>
              <w:rPr>
                <w:rFonts w:ascii="Times New Roman"/>
                <w:color w:val="auto"/>
                <w:sz w:val="20"/>
              </w:rPr>
            </w:pPr>
          </w:p>
        </w:tc>
        <w:tc>
          <w:tcPr>
            <w:tcW w:w="1275" w:type="dxa"/>
          </w:tcPr>
          <w:p>
            <w:pPr>
              <w:pStyle w:val="76"/>
              <w:rPr>
                <w:rFonts w:ascii="Times New Roman"/>
                <w:color w:val="auto"/>
                <w:sz w:val="20"/>
              </w:rPr>
            </w:pPr>
          </w:p>
        </w:tc>
        <w:tc>
          <w:tcPr>
            <w:tcW w:w="1418" w:type="dxa"/>
          </w:tcPr>
          <w:p>
            <w:pPr>
              <w:pStyle w:val="76"/>
              <w:rPr>
                <w:rFonts w:ascii="Times New Roman"/>
                <w:color w:val="auto"/>
                <w:sz w:val="20"/>
              </w:rPr>
            </w:pPr>
          </w:p>
        </w:tc>
        <w:tc>
          <w:tcPr>
            <w:tcW w:w="2126" w:type="dxa"/>
          </w:tcPr>
          <w:p>
            <w:pPr>
              <w:pStyle w:val="7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61" w:type="dxa"/>
          </w:tcPr>
          <w:p>
            <w:pPr>
              <w:pStyle w:val="76"/>
              <w:rPr>
                <w:rFonts w:ascii="Times New Roman"/>
                <w:color w:val="auto"/>
                <w:sz w:val="20"/>
              </w:rPr>
            </w:pPr>
          </w:p>
        </w:tc>
        <w:tc>
          <w:tcPr>
            <w:tcW w:w="543" w:type="dxa"/>
          </w:tcPr>
          <w:p>
            <w:pPr>
              <w:pStyle w:val="76"/>
              <w:rPr>
                <w:rFonts w:ascii="Times New Roman"/>
                <w:color w:val="auto"/>
                <w:sz w:val="20"/>
              </w:rPr>
            </w:pPr>
          </w:p>
        </w:tc>
        <w:tc>
          <w:tcPr>
            <w:tcW w:w="1004" w:type="dxa"/>
          </w:tcPr>
          <w:p>
            <w:pPr>
              <w:pStyle w:val="76"/>
              <w:rPr>
                <w:rFonts w:ascii="Times New Roman"/>
                <w:color w:val="auto"/>
                <w:sz w:val="20"/>
              </w:rPr>
            </w:pPr>
          </w:p>
        </w:tc>
        <w:tc>
          <w:tcPr>
            <w:tcW w:w="795" w:type="dxa"/>
          </w:tcPr>
          <w:p>
            <w:pPr>
              <w:pStyle w:val="76"/>
              <w:rPr>
                <w:rFonts w:ascii="Times New Roman"/>
                <w:color w:val="auto"/>
                <w:sz w:val="20"/>
              </w:rPr>
            </w:pPr>
          </w:p>
        </w:tc>
        <w:tc>
          <w:tcPr>
            <w:tcW w:w="1276" w:type="dxa"/>
          </w:tcPr>
          <w:p>
            <w:pPr>
              <w:pStyle w:val="76"/>
              <w:rPr>
                <w:rFonts w:ascii="Times New Roman"/>
                <w:color w:val="auto"/>
                <w:sz w:val="20"/>
              </w:rPr>
            </w:pPr>
          </w:p>
        </w:tc>
        <w:tc>
          <w:tcPr>
            <w:tcW w:w="1275" w:type="dxa"/>
          </w:tcPr>
          <w:p>
            <w:pPr>
              <w:pStyle w:val="76"/>
              <w:rPr>
                <w:rFonts w:ascii="Times New Roman"/>
                <w:color w:val="auto"/>
                <w:sz w:val="20"/>
              </w:rPr>
            </w:pPr>
          </w:p>
        </w:tc>
        <w:tc>
          <w:tcPr>
            <w:tcW w:w="1418" w:type="dxa"/>
          </w:tcPr>
          <w:p>
            <w:pPr>
              <w:pStyle w:val="76"/>
              <w:rPr>
                <w:rFonts w:ascii="Times New Roman"/>
                <w:color w:val="auto"/>
                <w:sz w:val="20"/>
              </w:rPr>
            </w:pPr>
          </w:p>
        </w:tc>
        <w:tc>
          <w:tcPr>
            <w:tcW w:w="2126" w:type="dxa"/>
          </w:tcPr>
          <w:p>
            <w:pPr>
              <w:pStyle w:val="7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61" w:type="dxa"/>
          </w:tcPr>
          <w:p>
            <w:pPr>
              <w:pStyle w:val="76"/>
              <w:rPr>
                <w:rFonts w:ascii="Times New Roman"/>
                <w:color w:val="auto"/>
                <w:sz w:val="20"/>
              </w:rPr>
            </w:pPr>
          </w:p>
        </w:tc>
        <w:tc>
          <w:tcPr>
            <w:tcW w:w="543" w:type="dxa"/>
          </w:tcPr>
          <w:p>
            <w:pPr>
              <w:pStyle w:val="76"/>
              <w:rPr>
                <w:rFonts w:ascii="Times New Roman"/>
                <w:color w:val="auto"/>
                <w:sz w:val="20"/>
              </w:rPr>
            </w:pPr>
          </w:p>
        </w:tc>
        <w:tc>
          <w:tcPr>
            <w:tcW w:w="1004" w:type="dxa"/>
          </w:tcPr>
          <w:p>
            <w:pPr>
              <w:pStyle w:val="76"/>
              <w:rPr>
                <w:rFonts w:ascii="Times New Roman"/>
                <w:color w:val="auto"/>
                <w:sz w:val="20"/>
              </w:rPr>
            </w:pPr>
          </w:p>
        </w:tc>
        <w:tc>
          <w:tcPr>
            <w:tcW w:w="795" w:type="dxa"/>
          </w:tcPr>
          <w:p>
            <w:pPr>
              <w:pStyle w:val="76"/>
              <w:rPr>
                <w:rFonts w:ascii="Times New Roman"/>
                <w:color w:val="auto"/>
                <w:sz w:val="20"/>
              </w:rPr>
            </w:pPr>
          </w:p>
        </w:tc>
        <w:tc>
          <w:tcPr>
            <w:tcW w:w="1276" w:type="dxa"/>
          </w:tcPr>
          <w:p>
            <w:pPr>
              <w:pStyle w:val="76"/>
              <w:rPr>
                <w:rFonts w:ascii="Times New Roman"/>
                <w:color w:val="auto"/>
                <w:sz w:val="20"/>
              </w:rPr>
            </w:pPr>
          </w:p>
        </w:tc>
        <w:tc>
          <w:tcPr>
            <w:tcW w:w="1275" w:type="dxa"/>
          </w:tcPr>
          <w:p>
            <w:pPr>
              <w:pStyle w:val="76"/>
              <w:rPr>
                <w:rFonts w:ascii="Times New Roman"/>
                <w:color w:val="auto"/>
                <w:sz w:val="20"/>
              </w:rPr>
            </w:pPr>
          </w:p>
        </w:tc>
        <w:tc>
          <w:tcPr>
            <w:tcW w:w="1418" w:type="dxa"/>
          </w:tcPr>
          <w:p>
            <w:pPr>
              <w:pStyle w:val="76"/>
              <w:rPr>
                <w:rFonts w:ascii="Times New Roman"/>
                <w:color w:val="auto"/>
                <w:sz w:val="20"/>
              </w:rPr>
            </w:pPr>
          </w:p>
        </w:tc>
        <w:tc>
          <w:tcPr>
            <w:tcW w:w="2126" w:type="dxa"/>
          </w:tcPr>
          <w:p>
            <w:pPr>
              <w:pStyle w:val="76"/>
              <w:rPr>
                <w:rFonts w:ascii="Times New Roman"/>
                <w:color w:val="auto"/>
                <w:sz w:val="20"/>
              </w:rPr>
            </w:pPr>
          </w:p>
        </w:tc>
      </w:tr>
    </w:tbl>
    <w:p>
      <w:pPr>
        <w:pStyle w:val="12"/>
        <w:ind w:left="1200"/>
        <w:rPr>
          <w:color w:val="auto"/>
        </w:rPr>
      </w:pPr>
    </w:p>
    <w:p>
      <w:pPr>
        <w:rPr>
          <w:rFonts w:ascii="宋体" w:hAnsi="宋体" w:cs="宋体"/>
          <w:color w:val="auto"/>
          <w:sz w:val="24"/>
          <w:szCs w:val="32"/>
        </w:rPr>
      </w:pPr>
    </w:p>
    <w:p>
      <w:pPr>
        <w:rPr>
          <w:rFonts w:ascii="宋体" w:hAnsi="宋体" w:cs="宋体"/>
          <w:color w:val="auto"/>
          <w:sz w:val="24"/>
          <w:szCs w:val="32"/>
        </w:rPr>
      </w:pPr>
      <w:r>
        <w:rPr>
          <w:rFonts w:hint="eastAsia" w:ascii="宋体" w:hAnsi="宋体" w:cs="宋体"/>
          <w:color w:val="auto"/>
          <w:sz w:val="24"/>
          <w:szCs w:val="32"/>
        </w:rPr>
        <w:t>要求：</w:t>
      </w:r>
    </w:p>
    <w:p>
      <w:pPr>
        <w:rPr>
          <w:rFonts w:ascii="宋体" w:hAnsi="宋体" w:cs="宋体"/>
          <w:color w:val="auto"/>
          <w:sz w:val="24"/>
          <w:szCs w:val="32"/>
        </w:rPr>
      </w:pPr>
      <w:r>
        <w:rPr>
          <w:rFonts w:hint="eastAsia" w:ascii="宋体" w:hAnsi="宋体" w:cs="宋体"/>
          <w:color w:val="auto"/>
          <w:sz w:val="24"/>
          <w:szCs w:val="32"/>
        </w:rPr>
        <w:t>1.在填写时，如本表格不适合投标单位的实际情况，可根据本表格式自行划表填写。</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日期：</w:t>
      </w:r>
      <w:r>
        <w:rPr>
          <w:rFonts w:hint="eastAsia" w:ascii="宋体" w:hAnsi="宋体" w:cs="宋体"/>
          <w:color w:val="auto"/>
          <w:sz w:val="24"/>
          <w:u w:val="single"/>
        </w:rPr>
        <w:t xml:space="preserve">                         </w:t>
      </w:r>
    </w:p>
    <w:p>
      <w:pPr>
        <w:rPr>
          <w:rFonts w:ascii="宋体" w:hAnsi="宋体" w:cs="宋体"/>
          <w:color w:val="auto"/>
          <w:sz w:val="24"/>
          <w:u w:val="single"/>
        </w:rPr>
      </w:pPr>
      <w:r>
        <w:rPr>
          <w:rFonts w:hint="eastAsia" w:ascii="宋体" w:hAnsi="宋体" w:cs="宋体"/>
          <w:color w:val="auto"/>
          <w:sz w:val="24"/>
          <w:u w:val="single"/>
        </w:rPr>
        <w:br w:type="page"/>
      </w:r>
    </w:p>
    <w:p>
      <w:pPr>
        <w:pStyle w:val="13"/>
        <w:rPr>
          <w:color w:val="auto"/>
        </w:rPr>
      </w:pPr>
    </w:p>
    <w:p>
      <w:pPr>
        <w:spacing w:line="360" w:lineRule="auto"/>
        <w:rPr>
          <w:rFonts w:ascii="宋体" w:hAnsi="宋体" w:cs="宋体"/>
          <w:b/>
          <w:color w:val="auto"/>
          <w:sz w:val="28"/>
        </w:rPr>
      </w:pPr>
      <w:r>
        <w:rPr>
          <w:rFonts w:hint="eastAsia" w:ascii="宋体" w:hAnsi="宋体" w:cs="宋体"/>
          <w:b/>
          <w:color w:val="auto"/>
          <w:sz w:val="28"/>
        </w:rPr>
        <w:t>附件7</w:t>
      </w:r>
    </w:p>
    <w:p>
      <w:pPr>
        <w:spacing w:before="156" w:beforeLines="50" w:after="156" w:afterLines="50" w:line="360" w:lineRule="auto"/>
        <w:ind w:right="-10"/>
        <w:jc w:val="center"/>
        <w:rPr>
          <w:rFonts w:ascii="宋体" w:hAnsi="宋体" w:cs="宋体"/>
          <w:b/>
          <w:bCs/>
          <w:color w:val="auto"/>
          <w:sz w:val="32"/>
          <w:szCs w:val="32"/>
        </w:rPr>
      </w:pPr>
      <w:r>
        <w:rPr>
          <w:rFonts w:hint="eastAsia" w:ascii="宋体" w:hAnsi="宋体" w:cs="宋体"/>
          <w:b/>
          <w:bCs/>
          <w:color w:val="auto"/>
          <w:sz w:val="32"/>
          <w:szCs w:val="32"/>
        </w:rPr>
        <w:t>项目负责人资格情况表</w:t>
      </w:r>
    </w:p>
    <w:p>
      <w:pPr>
        <w:spacing w:line="360" w:lineRule="auto"/>
        <w:rPr>
          <w:rFonts w:ascii="宋体" w:hAnsi="宋体" w:cs="宋体"/>
          <w:color w:val="auto"/>
          <w:sz w:val="24"/>
          <w:szCs w:val="32"/>
        </w:rPr>
      </w:pPr>
      <w:r>
        <w:rPr>
          <w:rFonts w:hint="eastAsia" w:ascii="宋体" w:hAnsi="宋体" w:cs="宋体"/>
          <w:color w:val="auto"/>
          <w:sz w:val="24"/>
          <w:szCs w:val="32"/>
        </w:rPr>
        <w:t>采购项目：                                        采购编号：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b/>
                <w:bCs/>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b/>
                <w:bCs/>
                <w:color w:val="auto"/>
                <w:sz w:val="24"/>
                <w:lang w:val="zh-CN"/>
              </w:rPr>
            </w:pPr>
            <w:r>
              <w:rPr>
                <w:rFonts w:hint="eastAsia" w:ascii="宋体" w:hAnsi="宋体" w:cs="宋体"/>
                <w:b/>
                <w:bCs/>
                <w:color w:val="auto"/>
                <w:sz w:val="24"/>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宋体" w:hAnsi="宋体" w:cs="宋体"/>
                <w:b/>
                <w:bCs/>
                <w:color w:val="auto"/>
                <w:sz w:val="24"/>
                <w:lang w:val="zh-CN"/>
              </w:rPr>
            </w:pPr>
          </w:p>
        </w:tc>
      </w:tr>
    </w:tbl>
    <w:p>
      <w:pPr>
        <w:autoSpaceDE w:val="0"/>
        <w:autoSpaceDN w:val="0"/>
        <w:adjustRightInd w:val="0"/>
        <w:spacing w:line="360" w:lineRule="auto"/>
        <w:ind w:firstLine="308" w:firstLineChars="147"/>
        <w:rPr>
          <w:rFonts w:ascii="宋体" w:hAnsi="宋体" w:cs="宋体"/>
          <w:color w:val="auto"/>
          <w:szCs w:val="21"/>
        </w:rPr>
      </w:pPr>
      <w:r>
        <w:rPr>
          <w:rFonts w:hint="eastAsia" w:ascii="宋体" w:hAnsi="宋体" w:cs="宋体"/>
          <w:color w:val="auto"/>
          <w:szCs w:val="21"/>
        </w:rPr>
        <w:t>注：项目负责人证书（如有则提供）、毕业证书、业绩证明应提供旁证材料（合同）应附本表后</w:t>
      </w:r>
    </w:p>
    <w:p>
      <w:pPr>
        <w:spacing w:line="360" w:lineRule="auto"/>
        <w:rPr>
          <w:rFonts w:ascii="宋体" w:hAnsi="宋体" w:cs="宋体"/>
          <w:color w:val="auto"/>
          <w:sz w:val="24"/>
        </w:rPr>
      </w:pP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u w:val="single"/>
        </w:rPr>
      </w:pPr>
      <w:r>
        <w:rPr>
          <w:rFonts w:hint="eastAsia" w:ascii="宋体" w:hAnsi="宋体" w:cs="宋体"/>
          <w:color w:val="auto"/>
          <w:sz w:val="24"/>
        </w:rPr>
        <w:t>日期：</w:t>
      </w:r>
      <w:r>
        <w:rPr>
          <w:rFonts w:hint="eastAsia" w:ascii="宋体" w:hAnsi="宋体" w:cs="宋体"/>
          <w:color w:val="auto"/>
          <w:sz w:val="24"/>
          <w:u w:val="single"/>
        </w:rPr>
        <w:t xml:space="preserve">                         </w:t>
      </w:r>
    </w:p>
    <w:p>
      <w:pPr>
        <w:rPr>
          <w:rFonts w:ascii="宋体" w:hAnsi="宋体" w:cs="宋体"/>
          <w:color w:val="auto"/>
          <w:sz w:val="24"/>
          <w:u w:val="single"/>
        </w:rPr>
      </w:pPr>
      <w:r>
        <w:rPr>
          <w:rFonts w:hint="eastAsia" w:ascii="宋体" w:hAnsi="宋体" w:cs="宋体"/>
          <w:color w:val="auto"/>
          <w:sz w:val="24"/>
          <w:u w:val="single"/>
        </w:rPr>
        <w:br w:type="page"/>
      </w:r>
    </w:p>
    <w:p>
      <w:pPr>
        <w:pStyle w:val="13"/>
        <w:rPr>
          <w:color w:val="auto"/>
        </w:rPr>
      </w:pPr>
    </w:p>
    <w:p>
      <w:pPr>
        <w:spacing w:line="360" w:lineRule="auto"/>
        <w:jc w:val="left"/>
        <w:rPr>
          <w:rFonts w:ascii="宋体" w:hAnsi="宋体" w:cs="宋体"/>
          <w:b/>
          <w:bCs/>
          <w:color w:val="auto"/>
          <w:sz w:val="28"/>
          <w:szCs w:val="36"/>
          <w:lang w:val="zh-CN"/>
        </w:rPr>
      </w:pPr>
      <w:r>
        <w:rPr>
          <w:rFonts w:hint="eastAsia" w:ascii="宋体" w:hAnsi="宋体" w:cs="宋体"/>
          <w:b/>
          <w:bCs/>
          <w:color w:val="auto"/>
          <w:sz w:val="28"/>
          <w:szCs w:val="36"/>
          <w:lang w:val="zh-CN"/>
        </w:rPr>
        <w:t>附件</w:t>
      </w:r>
      <w:r>
        <w:rPr>
          <w:rFonts w:hint="eastAsia" w:ascii="宋体" w:hAnsi="宋体" w:cs="宋体"/>
          <w:b/>
          <w:bCs/>
          <w:color w:val="auto"/>
          <w:sz w:val="28"/>
          <w:szCs w:val="36"/>
        </w:rPr>
        <w:t>8</w:t>
      </w:r>
    </w:p>
    <w:p>
      <w:pPr>
        <w:pStyle w:val="74"/>
        <w:spacing w:line="360" w:lineRule="auto"/>
        <w:jc w:val="center"/>
        <w:rPr>
          <w:rFonts w:hAnsi="宋体" w:eastAsia="宋体"/>
          <w:color w:val="auto"/>
          <w:sz w:val="32"/>
          <w:szCs w:val="32"/>
        </w:rPr>
      </w:pPr>
      <w:r>
        <w:rPr>
          <w:rFonts w:hint="eastAsia" w:hAnsi="宋体" w:eastAsia="宋体"/>
          <w:b/>
          <w:color w:val="auto"/>
          <w:sz w:val="32"/>
          <w:szCs w:val="32"/>
          <w:lang w:val="zh-CN"/>
        </w:rPr>
        <w:t>技术</w:t>
      </w:r>
      <w:r>
        <w:rPr>
          <w:rFonts w:hint="eastAsia" w:hAnsi="宋体" w:eastAsia="宋体"/>
          <w:b/>
          <w:color w:val="auto"/>
          <w:sz w:val="32"/>
          <w:szCs w:val="32"/>
        </w:rPr>
        <w:t>需求响应表</w:t>
      </w:r>
      <w:r>
        <w:rPr>
          <w:rFonts w:hAnsi="宋体" w:eastAsia="宋体"/>
          <w:color w:val="auto"/>
          <w:sz w:val="32"/>
          <w:szCs w:val="32"/>
        </w:rPr>
        <w:t xml:space="preserve"> </w:t>
      </w:r>
    </w:p>
    <w:p>
      <w:pPr>
        <w:pStyle w:val="74"/>
        <w:spacing w:line="360" w:lineRule="auto"/>
        <w:jc w:val="center"/>
        <w:rPr>
          <w:rFonts w:hAnsi="宋体" w:eastAsia="宋体"/>
          <w:color w:val="auto"/>
          <w:sz w:val="32"/>
          <w:szCs w:val="32"/>
        </w:r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cs="宋体"/>
                <w:b/>
                <w:color w:val="auto"/>
                <w:sz w:val="24"/>
              </w:rPr>
            </w:pPr>
            <w:r>
              <w:rPr>
                <w:rFonts w:hint="eastAsia" w:ascii="宋体" w:hAnsi="宋体" w:cs="宋体"/>
                <w:b/>
                <w:color w:val="auto"/>
                <w:sz w:val="24"/>
              </w:rPr>
              <w:t>序号</w:t>
            </w:r>
          </w:p>
        </w:tc>
        <w:tc>
          <w:tcPr>
            <w:tcW w:w="1785" w:type="dxa"/>
            <w:vAlign w:val="center"/>
          </w:tcPr>
          <w:p>
            <w:pPr>
              <w:spacing w:line="360" w:lineRule="auto"/>
              <w:ind w:left="13" w:leftChars="6" w:firstLine="482" w:firstLineChars="200"/>
              <w:rPr>
                <w:rFonts w:ascii="宋体" w:hAnsi="宋体" w:cs="宋体"/>
                <w:b/>
                <w:color w:val="auto"/>
                <w:sz w:val="24"/>
              </w:rPr>
            </w:pPr>
            <w:r>
              <w:rPr>
                <w:rFonts w:hint="eastAsia" w:ascii="宋体" w:hAnsi="宋体" w:cs="宋体"/>
                <w:b/>
                <w:color w:val="auto"/>
                <w:sz w:val="24"/>
              </w:rPr>
              <w:t>名称</w:t>
            </w:r>
          </w:p>
        </w:tc>
        <w:tc>
          <w:tcPr>
            <w:tcW w:w="1449" w:type="dxa"/>
            <w:vAlign w:val="center"/>
          </w:tcPr>
          <w:p>
            <w:pPr>
              <w:spacing w:line="360" w:lineRule="auto"/>
              <w:ind w:left="52"/>
              <w:rPr>
                <w:rFonts w:ascii="宋体" w:hAnsi="宋体" w:cs="宋体"/>
                <w:b/>
                <w:color w:val="auto"/>
                <w:sz w:val="24"/>
              </w:rPr>
            </w:pPr>
            <w:r>
              <w:rPr>
                <w:rFonts w:hint="eastAsia" w:ascii="宋体" w:hAnsi="宋体" w:cs="宋体"/>
                <w:b/>
                <w:color w:val="auto"/>
                <w:sz w:val="24"/>
              </w:rPr>
              <w:t>规格型号</w:t>
            </w:r>
          </w:p>
        </w:tc>
        <w:tc>
          <w:tcPr>
            <w:tcW w:w="1560" w:type="dxa"/>
            <w:vAlign w:val="center"/>
          </w:tcPr>
          <w:p>
            <w:pPr>
              <w:spacing w:line="360" w:lineRule="auto"/>
              <w:ind w:left="152"/>
              <w:rPr>
                <w:rFonts w:ascii="宋体" w:hAnsi="宋体" w:cs="宋体"/>
                <w:b/>
                <w:color w:val="auto"/>
                <w:sz w:val="24"/>
              </w:rPr>
            </w:pPr>
            <w:r>
              <w:rPr>
                <w:rFonts w:hint="eastAsia" w:ascii="宋体" w:hAnsi="宋体" w:cs="宋体"/>
                <w:b/>
                <w:color w:val="auto"/>
                <w:sz w:val="24"/>
              </w:rPr>
              <w:t>招标参数</w:t>
            </w:r>
          </w:p>
        </w:tc>
        <w:tc>
          <w:tcPr>
            <w:tcW w:w="1401" w:type="dxa"/>
            <w:vAlign w:val="center"/>
          </w:tcPr>
          <w:p>
            <w:pPr>
              <w:spacing w:line="360" w:lineRule="auto"/>
              <w:rPr>
                <w:rFonts w:ascii="宋体" w:hAnsi="宋体" w:cs="宋体"/>
                <w:b/>
                <w:color w:val="auto"/>
                <w:sz w:val="24"/>
              </w:rPr>
            </w:pPr>
            <w:r>
              <w:rPr>
                <w:rFonts w:hint="eastAsia" w:ascii="宋体" w:hAnsi="宋体" w:cs="宋体"/>
                <w:b/>
                <w:color w:val="auto"/>
                <w:sz w:val="24"/>
              </w:rPr>
              <w:t>投标参数</w:t>
            </w:r>
          </w:p>
        </w:tc>
        <w:tc>
          <w:tcPr>
            <w:tcW w:w="1365" w:type="dxa"/>
            <w:vAlign w:val="center"/>
          </w:tcPr>
          <w:p>
            <w:pPr>
              <w:spacing w:line="360" w:lineRule="auto"/>
              <w:rPr>
                <w:rFonts w:ascii="宋体" w:hAnsi="宋体" w:cs="宋体"/>
                <w:b/>
                <w:color w:val="auto"/>
                <w:sz w:val="24"/>
              </w:rPr>
            </w:pPr>
            <w:r>
              <w:rPr>
                <w:rFonts w:hint="eastAsia" w:ascii="宋体" w:hAnsi="宋体" w:cs="宋体"/>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s="宋体"/>
                <w:color w:val="auto"/>
                <w:sz w:val="24"/>
              </w:rPr>
            </w:pPr>
          </w:p>
        </w:tc>
        <w:tc>
          <w:tcPr>
            <w:tcW w:w="1785" w:type="dxa"/>
            <w:vAlign w:val="center"/>
          </w:tcPr>
          <w:p>
            <w:pPr>
              <w:spacing w:line="360" w:lineRule="auto"/>
              <w:rPr>
                <w:rFonts w:ascii="宋体" w:hAnsi="宋体" w:cs="宋体"/>
                <w:color w:val="auto"/>
                <w:sz w:val="24"/>
              </w:rPr>
            </w:pPr>
          </w:p>
        </w:tc>
        <w:tc>
          <w:tcPr>
            <w:tcW w:w="1449" w:type="dxa"/>
            <w:vAlign w:val="center"/>
          </w:tcPr>
          <w:p>
            <w:pPr>
              <w:spacing w:line="360" w:lineRule="auto"/>
              <w:rPr>
                <w:rFonts w:ascii="宋体" w:hAnsi="宋体" w:cs="宋体"/>
                <w:color w:val="auto"/>
                <w:sz w:val="24"/>
              </w:rPr>
            </w:pPr>
          </w:p>
        </w:tc>
        <w:tc>
          <w:tcPr>
            <w:tcW w:w="1560" w:type="dxa"/>
            <w:vAlign w:val="center"/>
          </w:tcPr>
          <w:p>
            <w:pPr>
              <w:spacing w:line="360" w:lineRule="auto"/>
              <w:rPr>
                <w:rFonts w:ascii="宋体" w:hAnsi="宋体" w:cs="宋体"/>
                <w:color w:val="auto"/>
                <w:sz w:val="24"/>
              </w:rPr>
            </w:pPr>
          </w:p>
        </w:tc>
        <w:tc>
          <w:tcPr>
            <w:tcW w:w="1401" w:type="dxa"/>
            <w:vAlign w:val="center"/>
          </w:tcPr>
          <w:p>
            <w:pPr>
              <w:spacing w:line="360" w:lineRule="auto"/>
              <w:rPr>
                <w:rFonts w:ascii="宋体" w:hAnsi="宋体" w:cs="宋体"/>
                <w:color w:val="auto"/>
                <w:sz w:val="24"/>
              </w:rPr>
            </w:pPr>
          </w:p>
        </w:tc>
        <w:tc>
          <w:tcPr>
            <w:tcW w:w="1365"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s="宋体"/>
                <w:color w:val="auto"/>
                <w:sz w:val="24"/>
              </w:rPr>
            </w:pPr>
          </w:p>
        </w:tc>
        <w:tc>
          <w:tcPr>
            <w:tcW w:w="1785" w:type="dxa"/>
            <w:vAlign w:val="center"/>
          </w:tcPr>
          <w:p>
            <w:pPr>
              <w:spacing w:line="360" w:lineRule="auto"/>
              <w:rPr>
                <w:rFonts w:ascii="宋体" w:hAnsi="宋体" w:cs="宋体"/>
                <w:color w:val="auto"/>
                <w:sz w:val="24"/>
              </w:rPr>
            </w:pPr>
          </w:p>
        </w:tc>
        <w:tc>
          <w:tcPr>
            <w:tcW w:w="1449" w:type="dxa"/>
            <w:vAlign w:val="center"/>
          </w:tcPr>
          <w:p>
            <w:pPr>
              <w:spacing w:line="360" w:lineRule="auto"/>
              <w:rPr>
                <w:rFonts w:ascii="宋体" w:hAnsi="宋体" w:cs="宋体"/>
                <w:color w:val="auto"/>
                <w:sz w:val="24"/>
              </w:rPr>
            </w:pPr>
          </w:p>
        </w:tc>
        <w:tc>
          <w:tcPr>
            <w:tcW w:w="1560" w:type="dxa"/>
            <w:vAlign w:val="center"/>
          </w:tcPr>
          <w:p>
            <w:pPr>
              <w:spacing w:line="360" w:lineRule="auto"/>
              <w:rPr>
                <w:rFonts w:ascii="宋体" w:hAnsi="宋体" w:cs="宋体"/>
                <w:color w:val="auto"/>
                <w:sz w:val="24"/>
              </w:rPr>
            </w:pPr>
          </w:p>
        </w:tc>
        <w:tc>
          <w:tcPr>
            <w:tcW w:w="1401" w:type="dxa"/>
            <w:vAlign w:val="center"/>
          </w:tcPr>
          <w:p>
            <w:pPr>
              <w:spacing w:line="360" w:lineRule="auto"/>
              <w:rPr>
                <w:rFonts w:ascii="宋体" w:hAnsi="宋体" w:cs="宋体"/>
                <w:color w:val="auto"/>
                <w:sz w:val="24"/>
              </w:rPr>
            </w:pPr>
          </w:p>
        </w:tc>
        <w:tc>
          <w:tcPr>
            <w:tcW w:w="1365"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s="宋体"/>
                <w:color w:val="auto"/>
                <w:sz w:val="24"/>
              </w:rPr>
            </w:pPr>
          </w:p>
        </w:tc>
        <w:tc>
          <w:tcPr>
            <w:tcW w:w="1785" w:type="dxa"/>
            <w:vAlign w:val="center"/>
          </w:tcPr>
          <w:p>
            <w:pPr>
              <w:spacing w:line="360" w:lineRule="auto"/>
              <w:rPr>
                <w:rFonts w:ascii="宋体" w:hAnsi="宋体" w:cs="宋体"/>
                <w:color w:val="auto"/>
                <w:sz w:val="24"/>
              </w:rPr>
            </w:pPr>
          </w:p>
        </w:tc>
        <w:tc>
          <w:tcPr>
            <w:tcW w:w="1449" w:type="dxa"/>
            <w:vAlign w:val="center"/>
          </w:tcPr>
          <w:p>
            <w:pPr>
              <w:spacing w:line="360" w:lineRule="auto"/>
              <w:rPr>
                <w:rFonts w:ascii="宋体" w:hAnsi="宋体" w:cs="宋体"/>
                <w:color w:val="auto"/>
                <w:sz w:val="24"/>
              </w:rPr>
            </w:pPr>
          </w:p>
        </w:tc>
        <w:tc>
          <w:tcPr>
            <w:tcW w:w="1560" w:type="dxa"/>
            <w:vAlign w:val="center"/>
          </w:tcPr>
          <w:p>
            <w:pPr>
              <w:spacing w:line="360" w:lineRule="auto"/>
              <w:rPr>
                <w:rFonts w:ascii="宋体" w:hAnsi="宋体" w:cs="宋体"/>
                <w:color w:val="auto"/>
                <w:sz w:val="24"/>
              </w:rPr>
            </w:pPr>
          </w:p>
        </w:tc>
        <w:tc>
          <w:tcPr>
            <w:tcW w:w="1401" w:type="dxa"/>
            <w:vAlign w:val="center"/>
          </w:tcPr>
          <w:p>
            <w:pPr>
              <w:spacing w:line="360" w:lineRule="auto"/>
              <w:rPr>
                <w:rFonts w:ascii="宋体" w:hAnsi="宋体" w:cs="宋体"/>
                <w:color w:val="auto"/>
                <w:sz w:val="24"/>
              </w:rPr>
            </w:pPr>
          </w:p>
        </w:tc>
        <w:tc>
          <w:tcPr>
            <w:tcW w:w="1365"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s="宋体"/>
                <w:color w:val="auto"/>
                <w:sz w:val="24"/>
              </w:rPr>
            </w:pPr>
          </w:p>
        </w:tc>
        <w:tc>
          <w:tcPr>
            <w:tcW w:w="1785" w:type="dxa"/>
            <w:vAlign w:val="center"/>
          </w:tcPr>
          <w:p>
            <w:pPr>
              <w:spacing w:line="360" w:lineRule="auto"/>
              <w:rPr>
                <w:rFonts w:ascii="宋体" w:hAnsi="宋体" w:cs="宋体"/>
                <w:color w:val="auto"/>
                <w:sz w:val="24"/>
              </w:rPr>
            </w:pPr>
          </w:p>
        </w:tc>
        <w:tc>
          <w:tcPr>
            <w:tcW w:w="1449" w:type="dxa"/>
            <w:vAlign w:val="center"/>
          </w:tcPr>
          <w:p>
            <w:pPr>
              <w:spacing w:line="360" w:lineRule="auto"/>
              <w:rPr>
                <w:rFonts w:ascii="宋体" w:hAnsi="宋体" w:cs="宋体"/>
                <w:color w:val="auto"/>
                <w:sz w:val="24"/>
              </w:rPr>
            </w:pPr>
          </w:p>
        </w:tc>
        <w:tc>
          <w:tcPr>
            <w:tcW w:w="1560" w:type="dxa"/>
            <w:vAlign w:val="center"/>
          </w:tcPr>
          <w:p>
            <w:pPr>
              <w:spacing w:line="360" w:lineRule="auto"/>
              <w:rPr>
                <w:rFonts w:ascii="宋体" w:hAnsi="宋体" w:cs="宋体"/>
                <w:color w:val="auto"/>
                <w:sz w:val="24"/>
              </w:rPr>
            </w:pPr>
          </w:p>
        </w:tc>
        <w:tc>
          <w:tcPr>
            <w:tcW w:w="1401" w:type="dxa"/>
            <w:vAlign w:val="center"/>
          </w:tcPr>
          <w:p>
            <w:pPr>
              <w:spacing w:line="360" w:lineRule="auto"/>
              <w:rPr>
                <w:rFonts w:ascii="宋体" w:hAnsi="宋体" w:cs="宋体"/>
                <w:color w:val="auto"/>
                <w:sz w:val="24"/>
              </w:rPr>
            </w:pPr>
          </w:p>
        </w:tc>
        <w:tc>
          <w:tcPr>
            <w:tcW w:w="1365"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s="宋体"/>
                <w:color w:val="auto"/>
                <w:sz w:val="24"/>
              </w:rPr>
            </w:pPr>
          </w:p>
        </w:tc>
        <w:tc>
          <w:tcPr>
            <w:tcW w:w="1785" w:type="dxa"/>
            <w:vAlign w:val="center"/>
          </w:tcPr>
          <w:p>
            <w:pPr>
              <w:spacing w:line="360" w:lineRule="auto"/>
              <w:rPr>
                <w:rFonts w:ascii="宋体" w:hAnsi="宋体" w:cs="宋体"/>
                <w:color w:val="auto"/>
                <w:sz w:val="24"/>
              </w:rPr>
            </w:pPr>
          </w:p>
        </w:tc>
        <w:tc>
          <w:tcPr>
            <w:tcW w:w="1449" w:type="dxa"/>
            <w:vAlign w:val="center"/>
          </w:tcPr>
          <w:p>
            <w:pPr>
              <w:spacing w:line="360" w:lineRule="auto"/>
              <w:rPr>
                <w:rFonts w:ascii="宋体" w:hAnsi="宋体" w:cs="宋体"/>
                <w:color w:val="auto"/>
                <w:sz w:val="24"/>
              </w:rPr>
            </w:pPr>
          </w:p>
        </w:tc>
        <w:tc>
          <w:tcPr>
            <w:tcW w:w="1560" w:type="dxa"/>
            <w:vAlign w:val="center"/>
          </w:tcPr>
          <w:p>
            <w:pPr>
              <w:spacing w:line="360" w:lineRule="auto"/>
              <w:rPr>
                <w:rFonts w:ascii="宋体" w:hAnsi="宋体" w:cs="宋体"/>
                <w:color w:val="auto"/>
                <w:sz w:val="24"/>
              </w:rPr>
            </w:pPr>
          </w:p>
        </w:tc>
        <w:tc>
          <w:tcPr>
            <w:tcW w:w="1401" w:type="dxa"/>
            <w:vAlign w:val="center"/>
          </w:tcPr>
          <w:p>
            <w:pPr>
              <w:spacing w:line="360" w:lineRule="auto"/>
              <w:rPr>
                <w:rFonts w:ascii="宋体" w:hAnsi="宋体" w:cs="宋体"/>
                <w:color w:val="auto"/>
                <w:sz w:val="24"/>
              </w:rPr>
            </w:pPr>
          </w:p>
        </w:tc>
        <w:tc>
          <w:tcPr>
            <w:tcW w:w="1365"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s="宋体"/>
                <w:color w:val="auto"/>
                <w:sz w:val="24"/>
              </w:rPr>
            </w:pPr>
          </w:p>
        </w:tc>
        <w:tc>
          <w:tcPr>
            <w:tcW w:w="1785" w:type="dxa"/>
            <w:vAlign w:val="center"/>
          </w:tcPr>
          <w:p>
            <w:pPr>
              <w:spacing w:line="360" w:lineRule="auto"/>
              <w:rPr>
                <w:rFonts w:ascii="宋体" w:hAnsi="宋体" w:cs="宋体"/>
                <w:color w:val="auto"/>
                <w:sz w:val="24"/>
              </w:rPr>
            </w:pPr>
          </w:p>
        </w:tc>
        <w:tc>
          <w:tcPr>
            <w:tcW w:w="1449" w:type="dxa"/>
            <w:vAlign w:val="center"/>
          </w:tcPr>
          <w:p>
            <w:pPr>
              <w:spacing w:line="360" w:lineRule="auto"/>
              <w:rPr>
                <w:rFonts w:ascii="宋体" w:hAnsi="宋体" w:cs="宋体"/>
                <w:color w:val="auto"/>
                <w:sz w:val="24"/>
              </w:rPr>
            </w:pPr>
          </w:p>
        </w:tc>
        <w:tc>
          <w:tcPr>
            <w:tcW w:w="1560" w:type="dxa"/>
            <w:vAlign w:val="center"/>
          </w:tcPr>
          <w:p>
            <w:pPr>
              <w:spacing w:line="360" w:lineRule="auto"/>
              <w:rPr>
                <w:rFonts w:ascii="宋体" w:hAnsi="宋体" w:cs="宋体"/>
                <w:color w:val="auto"/>
                <w:sz w:val="24"/>
              </w:rPr>
            </w:pPr>
          </w:p>
        </w:tc>
        <w:tc>
          <w:tcPr>
            <w:tcW w:w="1401" w:type="dxa"/>
            <w:vAlign w:val="center"/>
          </w:tcPr>
          <w:p>
            <w:pPr>
              <w:spacing w:line="360" w:lineRule="auto"/>
              <w:rPr>
                <w:rFonts w:ascii="宋体" w:hAnsi="宋体" w:cs="宋体"/>
                <w:color w:val="auto"/>
                <w:sz w:val="24"/>
              </w:rPr>
            </w:pPr>
          </w:p>
        </w:tc>
        <w:tc>
          <w:tcPr>
            <w:tcW w:w="1365"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s="宋体"/>
                <w:color w:val="auto"/>
                <w:sz w:val="24"/>
              </w:rPr>
            </w:pPr>
          </w:p>
        </w:tc>
        <w:tc>
          <w:tcPr>
            <w:tcW w:w="1785" w:type="dxa"/>
            <w:vAlign w:val="center"/>
          </w:tcPr>
          <w:p>
            <w:pPr>
              <w:spacing w:line="360" w:lineRule="auto"/>
              <w:rPr>
                <w:rFonts w:ascii="宋体" w:hAnsi="宋体" w:cs="宋体"/>
                <w:color w:val="auto"/>
                <w:sz w:val="24"/>
              </w:rPr>
            </w:pPr>
          </w:p>
        </w:tc>
        <w:tc>
          <w:tcPr>
            <w:tcW w:w="1449" w:type="dxa"/>
            <w:vAlign w:val="center"/>
          </w:tcPr>
          <w:p>
            <w:pPr>
              <w:spacing w:line="360" w:lineRule="auto"/>
              <w:rPr>
                <w:rFonts w:ascii="宋体" w:hAnsi="宋体" w:cs="宋体"/>
                <w:color w:val="auto"/>
                <w:sz w:val="24"/>
              </w:rPr>
            </w:pPr>
          </w:p>
        </w:tc>
        <w:tc>
          <w:tcPr>
            <w:tcW w:w="1560" w:type="dxa"/>
            <w:vAlign w:val="center"/>
          </w:tcPr>
          <w:p>
            <w:pPr>
              <w:spacing w:line="360" w:lineRule="auto"/>
              <w:rPr>
                <w:rFonts w:ascii="宋体" w:hAnsi="宋体" w:cs="宋体"/>
                <w:color w:val="auto"/>
                <w:sz w:val="24"/>
              </w:rPr>
            </w:pPr>
          </w:p>
        </w:tc>
        <w:tc>
          <w:tcPr>
            <w:tcW w:w="1401" w:type="dxa"/>
            <w:vAlign w:val="center"/>
          </w:tcPr>
          <w:p>
            <w:pPr>
              <w:spacing w:line="360" w:lineRule="auto"/>
              <w:rPr>
                <w:rFonts w:ascii="宋体" w:hAnsi="宋体" w:cs="宋体"/>
                <w:color w:val="auto"/>
                <w:sz w:val="24"/>
              </w:rPr>
            </w:pPr>
          </w:p>
        </w:tc>
        <w:tc>
          <w:tcPr>
            <w:tcW w:w="1365" w:type="dxa"/>
            <w:vAlign w:val="center"/>
          </w:tcPr>
          <w:p>
            <w:pPr>
              <w:spacing w:line="360" w:lineRule="auto"/>
              <w:rPr>
                <w:rFonts w:ascii="宋体" w:hAnsi="宋体" w:cs="宋体"/>
                <w:color w:val="auto"/>
                <w:sz w:val="24"/>
              </w:rPr>
            </w:pPr>
          </w:p>
        </w:tc>
      </w:tr>
    </w:tbl>
    <w:p>
      <w:pPr>
        <w:spacing w:line="360" w:lineRule="auto"/>
        <w:rPr>
          <w:rFonts w:ascii="宋体" w:hAnsi="宋体" w:cs="宋体"/>
          <w:color w:val="auto"/>
          <w:sz w:val="24"/>
        </w:rPr>
      </w:pPr>
      <w:r>
        <w:rPr>
          <w:rFonts w:hint="eastAsia" w:ascii="宋体" w:hAnsi="宋体" w:cs="宋体"/>
          <w:color w:val="auto"/>
          <w:sz w:val="24"/>
        </w:rPr>
        <w:t>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1.本表的名称须与《报价明细表》一致。</w:t>
      </w:r>
    </w:p>
    <w:p>
      <w:pPr>
        <w:spacing w:line="360" w:lineRule="auto"/>
        <w:ind w:firstLine="480" w:firstLineChars="200"/>
        <w:rPr>
          <w:rFonts w:ascii="宋体" w:hAnsi="宋体" w:cs="宋体"/>
          <w:color w:val="auto"/>
          <w:sz w:val="24"/>
        </w:rPr>
      </w:pPr>
      <w:r>
        <w:rPr>
          <w:rFonts w:hint="eastAsia" w:ascii="宋体" w:hAnsi="宋体" w:cs="宋体"/>
          <w:color w:val="auto"/>
          <w:sz w:val="24"/>
        </w:rPr>
        <w:t>2.本表参照本招标文件“招标需求”填制，投标人应根据投标设备的性能指标、服务指标，对照招标文件要求在“偏离情况”栏注明“正偏离”、“负偏离”或“无偏离”。</w:t>
      </w:r>
    </w:p>
    <w:p>
      <w:pPr>
        <w:spacing w:line="360" w:lineRule="auto"/>
        <w:ind w:firstLine="480" w:firstLineChars="200"/>
        <w:rPr>
          <w:rFonts w:ascii="宋体" w:hAnsi="宋体" w:cs="宋体"/>
          <w:color w:val="auto"/>
          <w:sz w:val="24"/>
        </w:rPr>
      </w:pPr>
      <w:r>
        <w:rPr>
          <w:rFonts w:hint="eastAsia" w:ascii="宋体" w:hAnsi="宋体" w:cs="宋体"/>
          <w:color w:val="auto"/>
          <w:sz w:val="24"/>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480" w:lineRule="auto"/>
        <w:rPr>
          <w:rFonts w:ascii="宋体" w:hAnsi="宋体" w:cs="宋体"/>
          <w:color w:val="auto"/>
          <w:sz w:val="24"/>
        </w:rPr>
      </w:pP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jc w:val="left"/>
        <w:rPr>
          <w:rFonts w:ascii="宋体" w:hAnsi="宋体" w:cs="宋体"/>
          <w:b/>
          <w:bCs/>
          <w:color w:val="auto"/>
          <w:sz w:val="32"/>
          <w:szCs w:val="32"/>
          <w:lang w:val="zh-CN"/>
        </w:rPr>
      </w:pPr>
      <w:r>
        <w:rPr>
          <w:rFonts w:hint="eastAsia" w:ascii="宋体" w:hAnsi="宋体" w:cs="宋体"/>
          <w:b/>
          <w:bCs/>
          <w:color w:val="auto"/>
          <w:sz w:val="28"/>
          <w:szCs w:val="36"/>
          <w:lang w:val="zh-CN"/>
        </w:rPr>
        <w:t>附件</w:t>
      </w:r>
      <w:r>
        <w:rPr>
          <w:rFonts w:hint="eastAsia" w:ascii="宋体" w:hAnsi="宋体" w:cs="宋体"/>
          <w:b/>
          <w:bCs/>
          <w:color w:val="auto"/>
          <w:sz w:val="28"/>
          <w:szCs w:val="36"/>
        </w:rPr>
        <w:t>9</w:t>
      </w:r>
    </w:p>
    <w:p>
      <w:pPr>
        <w:pStyle w:val="16"/>
        <w:adjustRightInd w:val="0"/>
        <w:snapToGrid w:val="0"/>
        <w:spacing w:line="360" w:lineRule="auto"/>
        <w:jc w:val="center"/>
        <w:rPr>
          <w:rFonts w:hAnsi="宋体"/>
          <w:b/>
          <w:color w:val="auto"/>
          <w:sz w:val="32"/>
          <w:szCs w:val="32"/>
        </w:rPr>
      </w:pPr>
      <w:r>
        <w:rPr>
          <w:rFonts w:hint="eastAsia"/>
          <w:b/>
          <w:color w:val="auto"/>
          <w:sz w:val="32"/>
          <w:szCs w:val="32"/>
        </w:rPr>
        <w:t>资信及商务需求响应表</w:t>
      </w:r>
    </w:p>
    <w:tbl>
      <w:tblPr>
        <w:tblStyle w:val="24"/>
        <w:tblpPr w:leftFromText="180" w:rightFromText="180" w:vertAnchor="text" w:horzAnchor="page" w:tblpX="1870"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2029"/>
        <w:gridCol w:w="1541"/>
        <w:gridCol w:w="1365"/>
        <w:gridCol w:w="2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735" w:type="dxa"/>
          </w:tcPr>
          <w:p>
            <w:pPr>
              <w:pStyle w:val="76"/>
              <w:rPr>
                <w:b/>
                <w:color w:val="auto"/>
                <w:sz w:val="20"/>
              </w:rPr>
            </w:pPr>
          </w:p>
          <w:p>
            <w:pPr>
              <w:pStyle w:val="76"/>
              <w:spacing w:before="141"/>
              <w:ind w:left="107"/>
              <w:rPr>
                <w:b/>
                <w:color w:val="auto"/>
              </w:rPr>
            </w:pPr>
            <w:r>
              <w:rPr>
                <w:b/>
                <w:color w:val="auto"/>
              </w:rPr>
              <w:t>序号</w:t>
            </w:r>
          </w:p>
        </w:tc>
        <w:tc>
          <w:tcPr>
            <w:tcW w:w="2029" w:type="dxa"/>
          </w:tcPr>
          <w:p>
            <w:pPr>
              <w:pStyle w:val="76"/>
              <w:rPr>
                <w:b/>
                <w:color w:val="auto"/>
                <w:sz w:val="20"/>
              </w:rPr>
            </w:pPr>
          </w:p>
          <w:p>
            <w:pPr>
              <w:pStyle w:val="76"/>
              <w:spacing w:before="141"/>
              <w:ind w:left="107"/>
              <w:rPr>
                <w:b/>
                <w:color w:val="auto"/>
              </w:rPr>
            </w:pPr>
            <w:r>
              <w:rPr>
                <w:b/>
                <w:color w:val="auto"/>
              </w:rPr>
              <w:t>内容</w:t>
            </w:r>
          </w:p>
        </w:tc>
        <w:tc>
          <w:tcPr>
            <w:tcW w:w="1541" w:type="dxa"/>
          </w:tcPr>
          <w:p>
            <w:pPr>
              <w:pStyle w:val="76"/>
              <w:rPr>
                <w:b/>
                <w:color w:val="auto"/>
                <w:sz w:val="20"/>
              </w:rPr>
            </w:pPr>
          </w:p>
          <w:p>
            <w:pPr>
              <w:pStyle w:val="76"/>
              <w:spacing w:before="141"/>
              <w:ind w:left="370"/>
              <w:rPr>
                <w:b/>
                <w:color w:val="auto"/>
              </w:rPr>
            </w:pPr>
            <w:r>
              <w:rPr>
                <w:b/>
                <w:color w:val="auto"/>
              </w:rPr>
              <w:t>招标需求</w:t>
            </w:r>
          </w:p>
        </w:tc>
        <w:tc>
          <w:tcPr>
            <w:tcW w:w="1365" w:type="dxa"/>
          </w:tcPr>
          <w:p>
            <w:pPr>
              <w:pStyle w:val="76"/>
              <w:rPr>
                <w:b/>
                <w:color w:val="auto"/>
                <w:sz w:val="20"/>
              </w:rPr>
            </w:pPr>
          </w:p>
          <w:p>
            <w:pPr>
              <w:pStyle w:val="76"/>
              <w:spacing w:before="141"/>
              <w:ind w:left="259"/>
              <w:rPr>
                <w:b/>
                <w:color w:val="auto"/>
              </w:rPr>
            </w:pPr>
            <w:r>
              <w:rPr>
                <w:b/>
                <w:color w:val="auto"/>
              </w:rPr>
              <w:t>是否响应</w:t>
            </w:r>
          </w:p>
        </w:tc>
        <w:tc>
          <w:tcPr>
            <w:tcW w:w="2625" w:type="dxa"/>
          </w:tcPr>
          <w:p>
            <w:pPr>
              <w:pStyle w:val="76"/>
              <w:rPr>
                <w:b/>
                <w:color w:val="auto"/>
                <w:sz w:val="20"/>
              </w:rPr>
            </w:pPr>
          </w:p>
          <w:p>
            <w:pPr>
              <w:pStyle w:val="76"/>
              <w:spacing w:before="141"/>
              <w:ind w:left="365"/>
              <w:rPr>
                <w:b/>
                <w:color w:val="auto"/>
              </w:rPr>
            </w:pPr>
            <w:r>
              <w:rPr>
                <w:b/>
                <w:color w:val="auto"/>
              </w:rPr>
              <w:t>投标人的承诺或说明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5" w:type="dxa"/>
          </w:tcPr>
          <w:p>
            <w:pPr>
              <w:pStyle w:val="76"/>
              <w:rPr>
                <w:rFonts w:ascii="Times New Roman"/>
                <w:color w:val="auto"/>
                <w:sz w:val="20"/>
              </w:rPr>
            </w:pPr>
          </w:p>
        </w:tc>
        <w:tc>
          <w:tcPr>
            <w:tcW w:w="2029" w:type="dxa"/>
          </w:tcPr>
          <w:p>
            <w:pPr>
              <w:pStyle w:val="76"/>
              <w:spacing w:before="133"/>
              <w:ind w:left="677" w:right="672"/>
              <w:jc w:val="center"/>
              <w:rPr>
                <w:color w:val="auto"/>
              </w:rPr>
            </w:pPr>
          </w:p>
        </w:tc>
        <w:tc>
          <w:tcPr>
            <w:tcW w:w="1541" w:type="dxa"/>
          </w:tcPr>
          <w:p>
            <w:pPr>
              <w:pStyle w:val="76"/>
              <w:rPr>
                <w:rFonts w:ascii="Times New Roman"/>
                <w:color w:val="auto"/>
                <w:sz w:val="20"/>
              </w:rPr>
            </w:pPr>
          </w:p>
        </w:tc>
        <w:tc>
          <w:tcPr>
            <w:tcW w:w="1365" w:type="dxa"/>
          </w:tcPr>
          <w:p>
            <w:pPr>
              <w:pStyle w:val="76"/>
              <w:rPr>
                <w:rFonts w:ascii="Times New Roman"/>
                <w:color w:val="auto"/>
                <w:sz w:val="20"/>
              </w:rPr>
            </w:pPr>
          </w:p>
        </w:tc>
        <w:tc>
          <w:tcPr>
            <w:tcW w:w="2625" w:type="dxa"/>
          </w:tcPr>
          <w:p>
            <w:pPr>
              <w:pStyle w:val="7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pPr>
              <w:pStyle w:val="76"/>
              <w:rPr>
                <w:rFonts w:ascii="Times New Roman"/>
                <w:color w:val="auto"/>
                <w:sz w:val="20"/>
              </w:rPr>
            </w:pPr>
          </w:p>
        </w:tc>
        <w:tc>
          <w:tcPr>
            <w:tcW w:w="2029" w:type="dxa"/>
          </w:tcPr>
          <w:p>
            <w:pPr>
              <w:pStyle w:val="76"/>
              <w:spacing w:before="113"/>
              <w:ind w:left="677" w:right="672"/>
              <w:jc w:val="center"/>
              <w:rPr>
                <w:color w:val="auto"/>
              </w:rPr>
            </w:pPr>
          </w:p>
        </w:tc>
        <w:tc>
          <w:tcPr>
            <w:tcW w:w="1541" w:type="dxa"/>
          </w:tcPr>
          <w:p>
            <w:pPr>
              <w:pStyle w:val="76"/>
              <w:rPr>
                <w:rFonts w:ascii="Times New Roman"/>
                <w:color w:val="auto"/>
                <w:sz w:val="20"/>
              </w:rPr>
            </w:pPr>
          </w:p>
        </w:tc>
        <w:tc>
          <w:tcPr>
            <w:tcW w:w="1365" w:type="dxa"/>
          </w:tcPr>
          <w:p>
            <w:pPr>
              <w:pStyle w:val="76"/>
              <w:rPr>
                <w:rFonts w:ascii="Times New Roman"/>
                <w:color w:val="auto"/>
                <w:sz w:val="20"/>
              </w:rPr>
            </w:pPr>
          </w:p>
        </w:tc>
        <w:tc>
          <w:tcPr>
            <w:tcW w:w="2625" w:type="dxa"/>
          </w:tcPr>
          <w:p>
            <w:pPr>
              <w:pStyle w:val="7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pPr>
              <w:pStyle w:val="76"/>
              <w:rPr>
                <w:rFonts w:ascii="Times New Roman"/>
                <w:color w:val="auto"/>
                <w:sz w:val="20"/>
              </w:rPr>
            </w:pPr>
          </w:p>
        </w:tc>
        <w:tc>
          <w:tcPr>
            <w:tcW w:w="2029" w:type="dxa"/>
          </w:tcPr>
          <w:p>
            <w:pPr>
              <w:pStyle w:val="76"/>
              <w:spacing w:before="115"/>
              <w:ind w:left="594"/>
              <w:rPr>
                <w:color w:val="auto"/>
              </w:rPr>
            </w:pPr>
          </w:p>
        </w:tc>
        <w:tc>
          <w:tcPr>
            <w:tcW w:w="1541" w:type="dxa"/>
          </w:tcPr>
          <w:p>
            <w:pPr>
              <w:pStyle w:val="76"/>
              <w:rPr>
                <w:rFonts w:ascii="Times New Roman"/>
                <w:color w:val="auto"/>
                <w:sz w:val="20"/>
              </w:rPr>
            </w:pPr>
          </w:p>
        </w:tc>
        <w:tc>
          <w:tcPr>
            <w:tcW w:w="1365" w:type="dxa"/>
          </w:tcPr>
          <w:p>
            <w:pPr>
              <w:pStyle w:val="76"/>
              <w:rPr>
                <w:rFonts w:ascii="Times New Roman"/>
                <w:color w:val="auto"/>
                <w:sz w:val="20"/>
              </w:rPr>
            </w:pPr>
          </w:p>
        </w:tc>
        <w:tc>
          <w:tcPr>
            <w:tcW w:w="2625" w:type="dxa"/>
          </w:tcPr>
          <w:p>
            <w:pPr>
              <w:pStyle w:val="7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5" w:type="dxa"/>
          </w:tcPr>
          <w:p>
            <w:pPr>
              <w:pStyle w:val="76"/>
              <w:rPr>
                <w:rFonts w:ascii="Times New Roman"/>
                <w:color w:val="auto"/>
                <w:sz w:val="20"/>
              </w:rPr>
            </w:pPr>
          </w:p>
        </w:tc>
        <w:tc>
          <w:tcPr>
            <w:tcW w:w="2029" w:type="dxa"/>
          </w:tcPr>
          <w:p>
            <w:pPr>
              <w:pStyle w:val="76"/>
              <w:spacing w:before="113"/>
              <w:ind w:left="677" w:right="672"/>
              <w:jc w:val="center"/>
              <w:rPr>
                <w:color w:val="auto"/>
              </w:rPr>
            </w:pPr>
          </w:p>
        </w:tc>
        <w:tc>
          <w:tcPr>
            <w:tcW w:w="1541" w:type="dxa"/>
          </w:tcPr>
          <w:p>
            <w:pPr>
              <w:pStyle w:val="76"/>
              <w:rPr>
                <w:rFonts w:ascii="Times New Roman"/>
                <w:color w:val="auto"/>
                <w:sz w:val="20"/>
              </w:rPr>
            </w:pPr>
          </w:p>
        </w:tc>
        <w:tc>
          <w:tcPr>
            <w:tcW w:w="1365" w:type="dxa"/>
          </w:tcPr>
          <w:p>
            <w:pPr>
              <w:pStyle w:val="76"/>
              <w:rPr>
                <w:rFonts w:ascii="Times New Roman"/>
                <w:color w:val="auto"/>
                <w:sz w:val="20"/>
              </w:rPr>
            </w:pPr>
          </w:p>
        </w:tc>
        <w:tc>
          <w:tcPr>
            <w:tcW w:w="2625" w:type="dxa"/>
          </w:tcPr>
          <w:p>
            <w:pPr>
              <w:pStyle w:val="7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35" w:type="dxa"/>
          </w:tcPr>
          <w:p>
            <w:pPr>
              <w:pStyle w:val="76"/>
              <w:rPr>
                <w:rFonts w:ascii="Times New Roman"/>
                <w:color w:val="auto"/>
                <w:sz w:val="20"/>
              </w:rPr>
            </w:pPr>
          </w:p>
        </w:tc>
        <w:tc>
          <w:tcPr>
            <w:tcW w:w="2029" w:type="dxa"/>
          </w:tcPr>
          <w:p>
            <w:pPr>
              <w:pStyle w:val="76"/>
              <w:rPr>
                <w:rFonts w:ascii="Times New Roman"/>
                <w:color w:val="auto"/>
                <w:sz w:val="20"/>
              </w:rPr>
            </w:pPr>
          </w:p>
        </w:tc>
        <w:tc>
          <w:tcPr>
            <w:tcW w:w="1541" w:type="dxa"/>
          </w:tcPr>
          <w:p>
            <w:pPr>
              <w:pStyle w:val="76"/>
              <w:rPr>
                <w:rFonts w:ascii="Times New Roman"/>
                <w:color w:val="auto"/>
                <w:sz w:val="20"/>
              </w:rPr>
            </w:pPr>
          </w:p>
        </w:tc>
        <w:tc>
          <w:tcPr>
            <w:tcW w:w="1365" w:type="dxa"/>
          </w:tcPr>
          <w:p>
            <w:pPr>
              <w:pStyle w:val="76"/>
              <w:rPr>
                <w:rFonts w:ascii="Times New Roman"/>
                <w:color w:val="auto"/>
                <w:sz w:val="20"/>
              </w:rPr>
            </w:pPr>
          </w:p>
        </w:tc>
        <w:tc>
          <w:tcPr>
            <w:tcW w:w="2625" w:type="dxa"/>
          </w:tcPr>
          <w:p>
            <w:pPr>
              <w:pStyle w:val="76"/>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35" w:type="dxa"/>
          </w:tcPr>
          <w:p>
            <w:pPr>
              <w:pStyle w:val="76"/>
              <w:rPr>
                <w:rFonts w:ascii="Times New Roman"/>
                <w:color w:val="auto"/>
                <w:sz w:val="20"/>
              </w:rPr>
            </w:pPr>
          </w:p>
        </w:tc>
        <w:tc>
          <w:tcPr>
            <w:tcW w:w="2029" w:type="dxa"/>
          </w:tcPr>
          <w:p>
            <w:pPr>
              <w:pStyle w:val="76"/>
              <w:rPr>
                <w:rFonts w:ascii="Times New Roman"/>
                <w:color w:val="auto"/>
                <w:sz w:val="20"/>
              </w:rPr>
            </w:pPr>
          </w:p>
        </w:tc>
        <w:tc>
          <w:tcPr>
            <w:tcW w:w="1541" w:type="dxa"/>
          </w:tcPr>
          <w:p>
            <w:pPr>
              <w:pStyle w:val="76"/>
              <w:rPr>
                <w:rFonts w:ascii="Times New Roman"/>
                <w:color w:val="auto"/>
                <w:sz w:val="20"/>
              </w:rPr>
            </w:pPr>
          </w:p>
        </w:tc>
        <w:tc>
          <w:tcPr>
            <w:tcW w:w="1365" w:type="dxa"/>
          </w:tcPr>
          <w:p>
            <w:pPr>
              <w:pStyle w:val="76"/>
              <w:rPr>
                <w:rFonts w:ascii="Times New Roman"/>
                <w:color w:val="auto"/>
                <w:sz w:val="20"/>
              </w:rPr>
            </w:pPr>
          </w:p>
        </w:tc>
        <w:tc>
          <w:tcPr>
            <w:tcW w:w="2625" w:type="dxa"/>
          </w:tcPr>
          <w:p>
            <w:pPr>
              <w:pStyle w:val="76"/>
              <w:rPr>
                <w:rFonts w:ascii="Times New Roman"/>
                <w:color w:val="auto"/>
                <w:sz w:val="20"/>
              </w:rPr>
            </w:pPr>
          </w:p>
        </w:tc>
      </w:tr>
    </w:tbl>
    <w:p>
      <w:pPr>
        <w:pStyle w:val="9"/>
        <w:overflowPunct w:val="0"/>
        <w:spacing w:line="360" w:lineRule="auto"/>
        <w:rPr>
          <w:rFonts w:ascii="宋体"/>
          <w:bCs/>
          <w:color w:val="auto"/>
          <w:szCs w:val="21"/>
        </w:rPr>
      </w:pPr>
    </w:p>
    <w:p>
      <w:pPr>
        <w:pStyle w:val="9"/>
        <w:overflowPunct w:val="0"/>
        <w:spacing w:line="360" w:lineRule="auto"/>
        <w:rPr>
          <w:rFonts w:ascii="宋体"/>
          <w:bCs/>
          <w:color w:val="auto"/>
          <w:szCs w:val="21"/>
        </w:rPr>
      </w:pPr>
    </w:p>
    <w:p>
      <w:pPr>
        <w:pStyle w:val="9"/>
        <w:overflowPunct w:val="0"/>
        <w:spacing w:line="360" w:lineRule="auto"/>
        <w:rPr>
          <w:rFonts w:ascii="宋体"/>
          <w:bCs/>
          <w:color w:val="auto"/>
          <w:szCs w:val="21"/>
        </w:rPr>
      </w:pPr>
      <w:r>
        <w:rPr>
          <w:rFonts w:hint="eastAsia" w:ascii="宋体"/>
          <w:bCs/>
          <w:color w:val="auto"/>
          <w:szCs w:val="21"/>
        </w:rPr>
        <w:t>注：如不填写，则视为完全响应。</w:t>
      </w:r>
    </w:p>
    <w:p>
      <w:pPr>
        <w:spacing w:line="360" w:lineRule="auto"/>
        <w:rPr>
          <w:rFonts w:ascii="宋体" w:hAnsi="宋体" w:cs="宋体"/>
          <w:color w:val="auto"/>
          <w:sz w:val="24"/>
        </w:rPr>
      </w:pP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rPr>
          <w:rFonts w:ascii="宋体" w:hAnsi="宋体" w:cs="宋体"/>
          <w:color w:val="auto"/>
          <w:sz w:val="24"/>
        </w:rPr>
      </w:pPr>
    </w:p>
    <w:p>
      <w:pPr>
        <w:rPr>
          <w:rFonts w:ascii="宋体" w:hAnsi="宋体" w:cs="宋体"/>
          <w:color w:val="auto"/>
          <w:sz w:val="24"/>
        </w:rPr>
      </w:pPr>
      <w:r>
        <w:rPr>
          <w:rFonts w:ascii="宋体" w:hAnsi="宋体" w:cs="宋体"/>
          <w:color w:val="auto"/>
          <w:sz w:val="24"/>
        </w:rPr>
        <w:br w:type="page"/>
      </w:r>
    </w:p>
    <w:p>
      <w:pPr>
        <w:spacing w:line="360" w:lineRule="auto"/>
        <w:rPr>
          <w:rFonts w:ascii="宋体" w:hAnsi="宋体" w:cs="宋体"/>
          <w:color w:val="auto"/>
          <w:sz w:val="24"/>
        </w:rPr>
      </w:pPr>
    </w:p>
    <w:p>
      <w:pPr>
        <w:spacing w:line="360" w:lineRule="auto"/>
        <w:jc w:val="left"/>
        <w:rPr>
          <w:rFonts w:ascii="宋体" w:hAnsi="宋体" w:cs="宋体"/>
          <w:b/>
          <w:bCs/>
          <w:color w:val="auto"/>
          <w:sz w:val="28"/>
          <w:szCs w:val="36"/>
        </w:rPr>
      </w:pPr>
      <w:r>
        <w:rPr>
          <w:rFonts w:hint="eastAsia" w:ascii="宋体" w:hAnsi="宋体" w:cs="宋体"/>
          <w:b/>
          <w:bCs/>
          <w:color w:val="auto"/>
          <w:sz w:val="28"/>
          <w:szCs w:val="36"/>
          <w:lang w:val="zh-CN"/>
        </w:rPr>
        <w:t>附件</w:t>
      </w:r>
      <w:r>
        <w:rPr>
          <w:rFonts w:hint="eastAsia" w:ascii="宋体" w:hAnsi="宋体" w:cs="宋体"/>
          <w:b/>
          <w:bCs/>
          <w:color w:val="auto"/>
          <w:sz w:val="28"/>
          <w:szCs w:val="36"/>
        </w:rPr>
        <w:t>10</w:t>
      </w:r>
    </w:p>
    <w:p>
      <w:pPr>
        <w:adjustRightInd w:val="0"/>
        <w:snapToGrid w:val="0"/>
        <w:spacing w:line="360" w:lineRule="auto"/>
        <w:jc w:val="center"/>
        <w:rPr>
          <w:rFonts w:ascii="宋体" w:hAnsi="宋体" w:cs="宋体"/>
          <w:b/>
          <w:color w:val="auto"/>
          <w:sz w:val="32"/>
          <w:szCs w:val="32"/>
        </w:rPr>
      </w:pPr>
      <w:r>
        <w:rPr>
          <w:rFonts w:hint="eastAsia" w:ascii="宋体" w:hAnsi="宋体" w:cs="宋体"/>
          <w:b/>
          <w:color w:val="auto"/>
          <w:sz w:val="32"/>
          <w:szCs w:val="32"/>
        </w:rPr>
        <w:t>投标人类似项目业绩（以合同签订日期为准）</w:t>
      </w:r>
    </w:p>
    <w:p>
      <w:pPr>
        <w:adjustRightInd w:val="0"/>
        <w:snapToGrid w:val="0"/>
        <w:spacing w:line="360" w:lineRule="auto"/>
        <w:jc w:val="center"/>
        <w:rPr>
          <w:rFonts w:ascii="宋体" w:hAnsi="宋体" w:cs="宋体"/>
          <w:b/>
          <w:color w:val="auto"/>
          <w:szCs w:val="21"/>
        </w:rPr>
      </w:pP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2340"/>
        <w:gridCol w:w="126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20" w:type="dxa"/>
            <w:vAlign w:val="center"/>
          </w:tcPr>
          <w:p>
            <w:pPr>
              <w:pStyle w:val="16"/>
              <w:adjustRightInd w:val="0"/>
              <w:snapToGrid w:val="0"/>
              <w:spacing w:line="360" w:lineRule="auto"/>
              <w:jc w:val="center"/>
              <w:rPr>
                <w:rFonts w:hAnsi="宋体" w:cs="宋体"/>
                <w:color w:val="auto"/>
                <w:szCs w:val="21"/>
              </w:rPr>
            </w:pPr>
            <w:r>
              <w:rPr>
                <w:rFonts w:hint="eastAsia" w:hAnsi="宋体" w:cs="宋体"/>
                <w:color w:val="auto"/>
                <w:szCs w:val="21"/>
              </w:rPr>
              <w:t>序 号</w:t>
            </w:r>
          </w:p>
        </w:tc>
        <w:tc>
          <w:tcPr>
            <w:tcW w:w="1260" w:type="dxa"/>
            <w:vAlign w:val="center"/>
          </w:tcPr>
          <w:p>
            <w:pPr>
              <w:pStyle w:val="16"/>
              <w:adjustRightInd w:val="0"/>
              <w:snapToGrid w:val="0"/>
              <w:spacing w:line="360" w:lineRule="auto"/>
              <w:jc w:val="center"/>
              <w:rPr>
                <w:rFonts w:hAnsi="宋体" w:cs="宋体"/>
                <w:color w:val="auto"/>
                <w:szCs w:val="21"/>
              </w:rPr>
            </w:pPr>
            <w:r>
              <w:rPr>
                <w:rFonts w:hint="eastAsia" w:hAnsi="宋体" w:cs="宋体"/>
                <w:color w:val="auto"/>
                <w:szCs w:val="21"/>
              </w:rPr>
              <w:t>业主名称</w:t>
            </w:r>
          </w:p>
        </w:tc>
        <w:tc>
          <w:tcPr>
            <w:tcW w:w="2340" w:type="dxa"/>
            <w:vAlign w:val="center"/>
          </w:tcPr>
          <w:p>
            <w:pPr>
              <w:pStyle w:val="16"/>
              <w:adjustRightInd w:val="0"/>
              <w:snapToGrid w:val="0"/>
              <w:spacing w:line="360" w:lineRule="auto"/>
              <w:jc w:val="center"/>
              <w:rPr>
                <w:rFonts w:hAnsi="宋体" w:cs="宋体"/>
                <w:color w:val="auto"/>
                <w:szCs w:val="21"/>
              </w:rPr>
            </w:pPr>
            <w:r>
              <w:rPr>
                <w:rFonts w:hint="eastAsia" w:hAnsi="宋体" w:cs="宋体"/>
                <w:color w:val="auto"/>
                <w:szCs w:val="21"/>
              </w:rPr>
              <w:t>项目名称</w:t>
            </w:r>
          </w:p>
        </w:tc>
        <w:tc>
          <w:tcPr>
            <w:tcW w:w="1260" w:type="dxa"/>
            <w:vAlign w:val="center"/>
          </w:tcPr>
          <w:p>
            <w:pPr>
              <w:pStyle w:val="16"/>
              <w:adjustRightInd w:val="0"/>
              <w:snapToGrid w:val="0"/>
              <w:spacing w:line="360" w:lineRule="auto"/>
              <w:jc w:val="center"/>
              <w:rPr>
                <w:rFonts w:hAnsi="宋体" w:cs="宋体"/>
                <w:color w:val="auto"/>
                <w:szCs w:val="21"/>
              </w:rPr>
            </w:pPr>
            <w:r>
              <w:rPr>
                <w:rFonts w:hint="eastAsia" w:hAnsi="宋体" w:cs="宋体"/>
                <w:color w:val="auto"/>
                <w:szCs w:val="21"/>
              </w:rPr>
              <w:t>合同金额</w:t>
            </w:r>
          </w:p>
          <w:p>
            <w:pPr>
              <w:pStyle w:val="16"/>
              <w:adjustRightInd w:val="0"/>
              <w:snapToGrid w:val="0"/>
              <w:spacing w:line="360" w:lineRule="auto"/>
              <w:jc w:val="center"/>
              <w:rPr>
                <w:rFonts w:hAnsi="宋体" w:cs="宋体"/>
                <w:color w:val="auto"/>
                <w:szCs w:val="21"/>
              </w:rPr>
            </w:pPr>
            <w:r>
              <w:rPr>
                <w:rFonts w:hint="eastAsia" w:hAnsi="宋体" w:cs="宋体"/>
                <w:color w:val="auto"/>
                <w:szCs w:val="21"/>
              </w:rPr>
              <w:t>(万元)</w:t>
            </w:r>
          </w:p>
        </w:tc>
        <w:tc>
          <w:tcPr>
            <w:tcW w:w="1620" w:type="dxa"/>
            <w:vAlign w:val="center"/>
          </w:tcPr>
          <w:p>
            <w:pPr>
              <w:pStyle w:val="16"/>
              <w:adjustRightInd w:val="0"/>
              <w:snapToGrid w:val="0"/>
              <w:spacing w:line="360" w:lineRule="auto"/>
              <w:jc w:val="center"/>
              <w:rPr>
                <w:rFonts w:hAnsi="宋体" w:cs="宋体"/>
                <w:color w:val="auto"/>
                <w:szCs w:val="21"/>
              </w:rPr>
            </w:pPr>
            <w:r>
              <w:rPr>
                <w:rFonts w:hint="eastAsia" w:hAnsi="宋体" w:cs="宋体"/>
                <w:color w:val="auto"/>
                <w:szCs w:val="21"/>
              </w:rPr>
              <w:t>合同开始日期</w:t>
            </w:r>
          </w:p>
          <w:p>
            <w:pPr>
              <w:pStyle w:val="16"/>
              <w:adjustRightInd w:val="0"/>
              <w:snapToGrid w:val="0"/>
              <w:spacing w:line="360" w:lineRule="auto"/>
              <w:jc w:val="center"/>
              <w:rPr>
                <w:rFonts w:hAnsi="宋体" w:cs="宋体"/>
                <w:color w:val="auto"/>
                <w:szCs w:val="21"/>
              </w:rPr>
            </w:pPr>
            <w:r>
              <w:rPr>
                <w:rFonts w:hint="eastAsia" w:hAnsi="宋体" w:cs="宋体"/>
                <w:color w:val="auto"/>
                <w:szCs w:val="21"/>
              </w:rPr>
              <w:t>和终止日期</w:t>
            </w:r>
          </w:p>
        </w:tc>
        <w:tc>
          <w:tcPr>
            <w:tcW w:w="1440" w:type="dxa"/>
            <w:vAlign w:val="center"/>
          </w:tcPr>
          <w:p>
            <w:pPr>
              <w:pStyle w:val="16"/>
              <w:adjustRightInd w:val="0"/>
              <w:snapToGrid w:val="0"/>
              <w:spacing w:line="360" w:lineRule="auto"/>
              <w:jc w:val="center"/>
              <w:rPr>
                <w:rFonts w:hAnsi="宋体" w:cs="宋体"/>
                <w:color w:val="auto"/>
                <w:szCs w:val="21"/>
              </w:rPr>
            </w:pPr>
            <w:r>
              <w:rPr>
                <w:rFonts w:hint="eastAsia" w:hAnsi="宋体" w:cs="宋体"/>
                <w:color w:val="auto"/>
                <w:szCs w:val="21"/>
              </w:rPr>
              <w:t>业主联系人</w:t>
            </w:r>
          </w:p>
          <w:p>
            <w:pPr>
              <w:pStyle w:val="16"/>
              <w:adjustRightInd w:val="0"/>
              <w:snapToGrid w:val="0"/>
              <w:spacing w:line="360" w:lineRule="auto"/>
              <w:jc w:val="center"/>
              <w:rPr>
                <w:rFonts w:hAnsi="宋体" w:cs="宋体"/>
                <w:color w:val="auto"/>
                <w:szCs w:val="21"/>
              </w:rPr>
            </w:pPr>
            <w:r>
              <w:rPr>
                <w:rFonts w:hint="eastAsia" w:hAnsi="宋体" w:cs="宋体"/>
                <w:color w:val="auto"/>
                <w:szCs w:val="21"/>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pPr>
              <w:pStyle w:val="16"/>
              <w:adjustRightInd w:val="0"/>
              <w:snapToGrid w:val="0"/>
              <w:spacing w:line="360" w:lineRule="auto"/>
              <w:rPr>
                <w:rFonts w:hAnsi="宋体" w:cs="宋体"/>
                <w:color w:val="auto"/>
                <w:szCs w:val="21"/>
              </w:rPr>
            </w:pPr>
          </w:p>
        </w:tc>
        <w:tc>
          <w:tcPr>
            <w:tcW w:w="1260" w:type="dxa"/>
          </w:tcPr>
          <w:p>
            <w:pPr>
              <w:pStyle w:val="16"/>
              <w:adjustRightInd w:val="0"/>
              <w:snapToGrid w:val="0"/>
              <w:spacing w:line="360" w:lineRule="auto"/>
              <w:rPr>
                <w:rFonts w:hAnsi="宋体" w:cs="宋体"/>
                <w:color w:val="auto"/>
                <w:szCs w:val="21"/>
              </w:rPr>
            </w:pPr>
          </w:p>
        </w:tc>
        <w:tc>
          <w:tcPr>
            <w:tcW w:w="2340" w:type="dxa"/>
          </w:tcPr>
          <w:p>
            <w:pPr>
              <w:pStyle w:val="16"/>
              <w:adjustRightInd w:val="0"/>
              <w:snapToGrid w:val="0"/>
              <w:spacing w:line="360" w:lineRule="auto"/>
              <w:rPr>
                <w:rFonts w:hAnsi="宋体" w:cs="宋体"/>
                <w:color w:val="auto"/>
                <w:szCs w:val="21"/>
              </w:rPr>
            </w:pPr>
          </w:p>
        </w:tc>
        <w:tc>
          <w:tcPr>
            <w:tcW w:w="1260" w:type="dxa"/>
          </w:tcPr>
          <w:p>
            <w:pPr>
              <w:pStyle w:val="16"/>
              <w:adjustRightInd w:val="0"/>
              <w:snapToGrid w:val="0"/>
              <w:spacing w:line="360" w:lineRule="auto"/>
              <w:rPr>
                <w:rFonts w:hAnsi="宋体" w:cs="宋体"/>
                <w:color w:val="auto"/>
                <w:szCs w:val="21"/>
              </w:rPr>
            </w:pPr>
          </w:p>
        </w:tc>
        <w:tc>
          <w:tcPr>
            <w:tcW w:w="1620" w:type="dxa"/>
          </w:tcPr>
          <w:p>
            <w:pPr>
              <w:pStyle w:val="16"/>
              <w:adjustRightInd w:val="0"/>
              <w:snapToGrid w:val="0"/>
              <w:spacing w:line="360" w:lineRule="auto"/>
              <w:rPr>
                <w:rFonts w:hAnsi="宋体" w:cs="宋体"/>
                <w:color w:val="auto"/>
                <w:szCs w:val="21"/>
              </w:rPr>
            </w:pPr>
          </w:p>
        </w:tc>
        <w:tc>
          <w:tcPr>
            <w:tcW w:w="1440" w:type="dxa"/>
          </w:tcPr>
          <w:p>
            <w:pPr>
              <w:pStyle w:val="16"/>
              <w:adjustRightInd w:val="0"/>
              <w:snapToGrid w:val="0"/>
              <w:spacing w:line="360" w:lineRule="auto"/>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pPr>
              <w:pStyle w:val="16"/>
              <w:adjustRightInd w:val="0"/>
              <w:snapToGrid w:val="0"/>
              <w:spacing w:line="360" w:lineRule="auto"/>
              <w:rPr>
                <w:rFonts w:hAnsi="宋体" w:cs="宋体"/>
                <w:color w:val="auto"/>
                <w:szCs w:val="21"/>
              </w:rPr>
            </w:pPr>
          </w:p>
        </w:tc>
        <w:tc>
          <w:tcPr>
            <w:tcW w:w="1260" w:type="dxa"/>
          </w:tcPr>
          <w:p>
            <w:pPr>
              <w:pStyle w:val="16"/>
              <w:adjustRightInd w:val="0"/>
              <w:snapToGrid w:val="0"/>
              <w:spacing w:line="360" w:lineRule="auto"/>
              <w:rPr>
                <w:rFonts w:hAnsi="宋体" w:cs="宋体"/>
                <w:color w:val="auto"/>
                <w:szCs w:val="21"/>
              </w:rPr>
            </w:pPr>
          </w:p>
        </w:tc>
        <w:tc>
          <w:tcPr>
            <w:tcW w:w="2340" w:type="dxa"/>
          </w:tcPr>
          <w:p>
            <w:pPr>
              <w:pStyle w:val="16"/>
              <w:adjustRightInd w:val="0"/>
              <w:snapToGrid w:val="0"/>
              <w:spacing w:line="360" w:lineRule="auto"/>
              <w:rPr>
                <w:rFonts w:hAnsi="宋体" w:cs="宋体"/>
                <w:color w:val="auto"/>
                <w:szCs w:val="21"/>
              </w:rPr>
            </w:pPr>
          </w:p>
        </w:tc>
        <w:tc>
          <w:tcPr>
            <w:tcW w:w="1260" w:type="dxa"/>
          </w:tcPr>
          <w:p>
            <w:pPr>
              <w:pStyle w:val="16"/>
              <w:adjustRightInd w:val="0"/>
              <w:snapToGrid w:val="0"/>
              <w:spacing w:line="360" w:lineRule="auto"/>
              <w:rPr>
                <w:rFonts w:hAnsi="宋体" w:cs="宋体"/>
                <w:color w:val="auto"/>
                <w:szCs w:val="21"/>
              </w:rPr>
            </w:pPr>
          </w:p>
        </w:tc>
        <w:tc>
          <w:tcPr>
            <w:tcW w:w="1620" w:type="dxa"/>
          </w:tcPr>
          <w:p>
            <w:pPr>
              <w:pStyle w:val="16"/>
              <w:adjustRightInd w:val="0"/>
              <w:snapToGrid w:val="0"/>
              <w:spacing w:line="360" w:lineRule="auto"/>
              <w:rPr>
                <w:rFonts w:hAnsi="宋体" w:cs="宋体"/>
                <w:color w:val="auto"/>
                <w:szCs w:val="21"/>
              </w:rPr>
            </w:pPr>
          </w:p>
        </w:tc>
        <w:tc>
          <w:tcPr>
            <w:tcW w:w="1440" w:type="dxa"/>
          </w:tcPr>
          <w:p>
            <w:pPr>
              <w:pStyle w:val="16"/>
              <w:adjustRightInd w:val="0"/>
              <w:snapToGrid w:val="0"/>
              <w:spacing w:line="360" w:lineRule="auto"/>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pPr>
              <w:pStyle w:val="16"/>
              <w:adjustRightInd w:val="0"/>
              <w:snapToGrid w:val="0"/>
              <w:spacing w:line="360" w:lineRule="auto"/>
              <w:rPr>
                <w:rFonts w:hAnsi="宋体" w:cs="宋体"/>
                <w:color w:val="auto"/>
                <w:szCs w:val="21"/>
              </w:rPr>
            </w:pPr>
          </w:p>
        </w:tc>
        <w:tc>
          <w:tcPr>
            <w:tcW w:w="1260" w:type="dxa"/>
          </w:tcPr>
          <w:p>
            <w:pPr>
              <w:pStyle w:val="16"/>
              <w:adjustRightInd w:val="0"/>
              <w:snapToGrid w:val="0"/>
              <w:spacing w:line="360" w:lineRule="auto"/>
              <w:rPr>
                <w:rFonts w:hAnsi="宋体" w:cs="宋体"/>
                <w:color w:val="auto"/>
                <w:szCs w:val="21"/>
              </w:rPr>
            </w:pPr>
          </w:p>
        </w:tc>
        <w:tc>
          <w:tcPr>
            <w:tcW w:w="2340" w:type="dxa"/>
          </w:tcPr>
          <w:p>
            <w:pPr>
              <w:pStyle w:val="16"/>
              <w:adjustRightInd w:val="0"/>
              <w:snapToGrid w:val="0"/>
              <w:spacing w:line="360" w:lineRule="auto"/>
              <w:rPr>
                <w:rFonts w:hAnsi="宋体" w:cs="宋体"/>
                <w:color w:val="auto"/>
                <w:szCs w:val="21"/>
              </w:rPr>
            </w:pPr>
          </w:p>
        </w:tc>
        <w:tc>
          <w:tcPr>
            <w:tcW w:w="1260" w:type="dxa"/>
          </w:tcPr>
          <w:p>
            <w:pPr>
              <w:pStyle w:val="16"/>
              <w:adjustRightInd w:val="0"/>
              <w:snapToGrid w:val="0"/>
              <w:spacing w:line="360" w:lineRule="auto"/>
              <w:rPr>
                <w:rFonts w:hAnsi="宋体" w:cs="宋体"/>
                <w:color w:val="auto"/>
                <w:szCs w:val="21"/>
              </w:rPr>
            </w:pPr>
          </w:p>
        </w:tc>
        <w:tc>
          <w:tcPr>
            <w:tcW w:w="1620" w:type="dxa"/>
          </w:tcPr>
          <w:p>
            <w:pPr>
              <w:pStyle w:val="16"/>
              <w:adjustRightInd w:val="0"/>
              <w:snapToGrid w:val="0"/>
              <w:spacing w:line="360" w:lineRule="auto"/>
              <w:rPr>
                <w:rFonts w:hAnsi="宋体" w:cs="宋体"/>
                <w:color w:val="auto"/>
                <w:szCs w:val="21"/>
              </w:rPr>
            </w:pPr>
          </w:p>
        </w:tc>
        <w:tc>
          <w:tcPr>
            <w:tcW w:w="1440" w:type="dxa"/>
          </w:tcPr>
          <w:p>
            <w:pPr>
              <w:pStyle w:val="16"/>
              <w:adjustRightInd w:val="0"/>
              <w:snapToGrid w:val="0"/>
              <w:spacing w:line="360" w:lineRule="auto"/>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pPr>
              <w:pStyle w:val="16"/>
              <w:adjustRightInd w:val="0"/>
              <w:snapToGrid w:val="0"/>
              <w:spacing w:line="360" w:lineRule="auto"/>
              <w:rPr>
                <w:rFonts w:hAnsi="宋体" w:cs="宋体"/>
                <w:color w:val="auto"/>
                <w:szCs w:val="21"/>
              </w:rPr>
            </w:pPr>
          </w:p>
        </w:tc>
        <w:tc>
          <w:tcPr>
            <w:tcW w:w="1260" w:type="dxa"/>
          </w:tcPr>
          <w:p>
            <w:pPr>
              <w:pStyle w:val="16"/>
              <w:adjustRightInd w:val="0"/>
              <w:snapToGrid w:val="0"/>
              <w:spacing w:line="360" w:lineRule="auto"/>
              <w:rPr>
                <w:rFonts w:hAnsi="宋体" w:cs="宋体"/>
                <w:color w:val="auto"/>
                <w:szCs w:val="21"/>
              </w:rPr>
            </w:pPr>
          </w:p>
        </w:tc>
        <w:tc>
          <w:tcPr>
            <w:tcW w:w="2340" w:type="dxa"/>
          </w:tcPr>
          <w:p>
            <w:pPr>
              <w:pStyle w:val="16"/>
              <w:adjustRightInd w:val="0"/>
              <w:snapToGrid w:val="0"/>
              <w:spacing w:line="360" w:lineRule="auto"/>
              <w:rPr>
                <w:rFonts w:hAnsi="宋体" w:cs="宋体"/>
                <w:color w:val="auto"/>
                <w:szCs w:val="21"/>
              </w:rPr>
            </w:pPr>
          </w:p>
        </w:tc>
        <w:tc>
          <w:tcPr>
            <w:tcW w:w="1260" w:type="dxa"/>
          </w:tcPr>
          <w:p>
            <w:pPr>
              <w:pStyle w:val="16"/>
              <w:adjustRightInd w:val="0"/>
              <w:snapToGrid w:val="0"/>
              <w:spacing w:line="360" w:lineRule="auto"/>
              <w:rPr>
                <w:rFonts w:hAnsi="宋体" w:cs="宋体"/>
                <w:color w:val="auto"/>
                <w:szCs w:val="21"/>
              </w:rPr>
            </w:pPr>
          </w:p>
        </w:tc>
        <w:tc>
          <w:tcPr>
            <w:tcW w:w="1620" w:type="dxa"/>
          </w:tcPr>
          <w:p>
            <w:pPr>
              <w:pStyle w:val="16"/>
              <w:adjustRightInd w:val="0"/>
              <w:snapToGrid w:val="0"/>
              <w:spacing w:line="360" w:lineRule="auto"/>
              <w:rPr>
                <w:rFonts w:hAnsi="宋体" w:cs="宋体"/>
                <w:color w:val="auto"/>
                <w:szCs w:val="21"/>
              </w:rPr>
            </w:pPr>
          </w:p>
        </w:tc>
        <w:tc>
          <w:tcPr>
            <w:tcW w:w="1440" w:type="dxa"/>
          </w:tcPr>
          <w:p>
            <w:pPr>
              <w:pStyle w:val="16"/>
              <w:adjustRightInd w:val="0"/>
              <w:snapToGrid w:val="0"/>
              <w:spacing w:line="360" w:lineRule="auto"/>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pPr>
              <w:pStyle w:val="16"/>
              <w:adjustRightInd w:val="0"/>
              <w:snapToGrid w:val="0"/>
              <w:spacing w:line="360" w:lineRule="auto"/>
              <w:rPr>
                <w:rFonts w:hAnsi="宋体" w:cs="宋体"/>
                <w:color w:val="auto"/>
                <w:szCs w:val="21"/>
              </w:rPr>
            </w:pPr>
          </w:p>
        </w:tc>
        <w:tc>
          <w:tcPr>
            <w:tcW w:w="1260" w:type="dxa"/>
          </w:tcPr>
          <w:p>
            <w:pPr>
              <w:pStyle w:val="16"/>
              <w:adjustRightInd w:val="0"/>
              <w:snapToGrid w:val="0"/>
              <w:spacing w:line="360" w:lineRule="auto"/>
              <w:rPr>
                <w:rFonts w:hAnsi="宋体" w:cs="宋体"/>
                <w:color w:val="auto"/>
                <w:szCs w:val="21"/>
              </w:rPr>
            </w:pPr>
          </w:p>
        </w:tc>
        <w:tc>
          <w:tcPr>
            <w:tcW w:w="2340" w:type="dxa"/>
          </w:tcPr>
          <w:p>
            <w:pPr>
              <w:pStyle w:val="16"/>
              <w:adjustRightInd w:val="0"/>
              <w:snapToGrid w:val="0"/>
              <w:spacing w:line="360" w:lineRule="auto"/>
              <w:rPr>
                <w:rFonts w:hAnsi="宋体" w:cs="宋体"/>
                <w:color w:val="auto"/>
                <w:szCs w:val="21"/>
              </w:rPr>
            </w:pPr>
          </w:p>
        </w:tc>
        <w:tc>
          <w:tcPr>
            <w:tcW w:w="1260" w:type="dxa"/>
          </w:tcPr>
          <w:p>
            <w:pPr>
              <w:pStyle w:val="16"/>
              <w:adjustRightInd w:val="0"/>
              <w:snapToGrid w:val="0"/>
              <w:spacing w:line="360" w:lineRule="auto"/>
              <w:rPr>
                <w:rFonts w:hAnsi="宋体" w:cs="宋体"/>
                <w:color w:val="auto"/>
                <w:szCs w:val="21"/>
              </w:rPr>
            </w:pPr>
          </w:p>
        </w:tc>
        <w:tc>
          <w:tcPr>
            <w:tcW w:w="1620" w:type="dxa"/>
          </w:tcPr>
          <w:p>
            <w:pPr>
              <w:pStyle w:val="16"/>
              <w:adjustRightInd w:val="0"/>
              <w:snapToGrid w:val="0"/>
              <w:spacing w:line="360" w:lineRule="auto"/>
              <w:rPr>
                <w:rFonts w:hAnsi="宋体" w:cs="宋体"/>
                <w:color w:val="auto"/>
                <w:szCs w:val="21"/>
              </w:rPr>
            </w:pPr>
          </w:p>
        </w:tc>
        <w:tc>
          <w:tcPr>
            <w:tcW w:w="1440" w:type="dxa"/>
          </w:tcPr>
          <w:p>
            <w:pPr>
              <w:pStyle w:val="16"/>
              <w:adjustRightInd w:val="0"/>
              <w:snapToGrid w:val="0"/>
              <w:spacing w:line="360" w:lineRule="auto"/>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pPr>
              <w:pStyle w:val="16"/>
              <w:adjustRightInd w:val="0"/>
              <w:snapToGrid w:val="0"/>
              <w:spacing w:line="360" w:lineRule="auto"/>
              <w:rPr>
                <w:rFonts w:hAnsi="宋体" w:cs="宋体"/>
                <w:color w:val="auto"/>
                <w:szCs w:val="21"/>
              </w:rPr>
            </w:pPr>
          </w:p>
        </w:tc>
        <w:tc>
          <w:tcPr>
            <w:tcW w:w="1260" w:type="dxa"/>
          </w:tcPr>
          <w:p>
            <w:pPr>
              <w:pStyle w:val="16"/>
              <w:adjustRightInd w:val="0"/>
              <w:snapToGrid w:val="0"/>
              <w:spacing w:line="360" w:lineRule="auto"/>
              <w:rPr>
                <w:rFonts w:hAnsi="宋体" w:cs="宋体"/>
                <w:color w:val="auto"/>
                <w:szCs w:val="21"/>
              </w:rPr>
            </w:pPr>
          </w:p>
        </w:tc>
        <w:tc>
          <w:tcPr>
            <w:tcW w:w="2340" w:type="dxa"/>
          </w:tcPr>
          <w:p>
            <w:pPr>
              <w:pStyle w:val="16"/>
              <w:adjustRightInd w:val="0"/>
              <w:snapToGrid w:val="0"/>
              <w:spacing w:line="360" w:lineRule="auto"/>
              <w:rPr>
                <w:rFonts w:hAnsi="宋体" w:cs="宋体"/>
                <w:color w:val="auto"/>
                <w:szCs w:val="21"/>
              </w:rPr>
            </w:pPr>
          </w:p>
        </w:tc>
        <w:tc>
          <w:tcPr>
            <w:tcW w:w="1260" w:type="dxa"/>
          </w:tcPr>
          <w:p>
            <w:pPr>
              <w:pStyle w:val="16"/>
              <w:adjustRightInd w:val="0"/>
              <w:snapToGrid w:val="0"/>
              <w:spacing w:line="360" w:lineRule="auto"/>
              <w:rPr>
                <w:rFonts w:hAnsi="宋体" w:cs="宋体"/>
                <w:color w:val="auto"/>
                <w:szCs w:val="21"/>
              </w:rPr>
            </w:pPr>
          </w:p>
        </w:tc>
        <w:tc>
          <w:tcPr>
            <w:tcW w:w="1620" w:type="dxa"/>
          </w:tcPr>
          <w:p>
            <w:pPr>
              <w:pStyle w:val="16"/>
              <w:adjustRightInd w:val="0"/>
              <w:snapToGrid w:val="0"/>
              <w:spacing w:line="360" w:lineRule="auto"/>
              <w:rPr>
                <w:rFonts w:hAnsi="宋体" w:cs="宋体"/>
                <w:color w:val="auto"/>
                <w:szCs w:val="21"/>
              </w:rPr>
            </w:pPr>
          </w:p>
        </w:tc>
        <w:tc>
          <w:tcPr>
            <w:tcW w:w="1440" w:type="dxa"/>
          </w:tcPr>
          <w:p>
            <w:pPr>
              <w:pStyle w:val="16"/>
              <w:adjustRightInd w:val="0"/>
              <w:snapToGrid w:val="0"/>
              <w:spacing w:line="360" w:lineRule="auto"/>
              <w:rPr>
                <w:rFonts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0" w:type="dxa"/>
          </w:tcPr>
          <w:p>
            <w:pPr>
              <w:pStyle w:val="16"/>
              <w:adjustRightInd w:val="0"/>
              <w:snapToGrid w:val="0"/>
              <w:spacing w:line="360" w:lineRule="auto"/>
              <w:rPr>
                <w:rFonts w:hAnsi="宋体" w:cs="宋体"/>
                <w:color w:val="auto"/>
                <w:szCs w:val="21"/>
              </w:rPr>
            </w:pPr>
          </w:p>
        </w:tc>
        <w:tc>
          <w:tcPr>
            <w:tcW w:w="1260" w:type="dxa"/>
          </w:tcPr>
          <w:p>
            <w:pPr>
              <w:pStyle w:val="16"/>
              <w:adjustRightInd w:val="0"/>
              <w:snapToGrid w:val="0"/>
              <w:spacing w:line="360" w:lineRule="auto"/>
              <w:rPr>
                <w:rFonts w:hAnsi="宋体" w:cs="宋体"/>
                <w:color w:val="auto"/>
                <w:szCs w:val="21"/>
              </w:rPr>
            </w:pPr>
          </w:p>
        </w:tc>
        <w:tc>
          <w:tcPr>
            <w:tcW w:w="2340" w:type="dxa"/>
          </w:tcPr>
          <w:p>
            <w:pPr>
              <w:pStyle w:val="16"/>
              <w:adjustRightInd w:val="0"/>
              <w:snapToGrid w:val="0"/>
              <w:spacing w:line="360" w:lineRule="auto"/>
              <w:rPr>
                <w:rFonts w:hAnsi="宋体" w:cs="宋体"/>
                <w:color w:val="auto"/>
                <w:szCs w:val="21"/>
              </w:rPr>
            </w:pPr>
          </w:p>
        </w:tc>
        <w:tc>
          <w:tcPr>
            <w:tcW w:w="1260" w:type="dxa"/>
          </w:tcPr>
          <w:p>
            <w:pPr>
              <w:pStyle w:val="16"/>
              <w:adjustRightInd w:val="0"/>
              <w:snapToGrid w:val="0"/>
              <w:spacing w:line="360" w:lineRule="auto"/>
              <w:rPr>
                <w:rFonts w:hAnsi="宋体" w:cs="宋体"/>
                <w:color w:val="auto"/>
                <w:szCs w:val="21"/>
              </w:rPr>
            </w:pPr>
          </w:p>
        </w:tc>
        <w:tc>
          <w:tcPr>
            <w:tcW w:w="1620" w:type="dxa"/>
          </w:tcPr>
          <w:p>
            <w:pPr>
              <w:pStyle w:val="16"/>
              <w:adjustRightInd w:val="0"/>
              <w:snapToGrid w:val="0"/>
              <w:spacing w:line="360" w:lineRule="auto"/>
              <w:rPr>
                <w:rFonts w:hAnsi="宋体" w:cs="宋体"/>
                <w:color w:val="auto"/>
                <w:szCs w:val="21"/>
              </w:rPr>
            </w:pPr>
          </w:p>
        </w:tc>
        <w:tc>
          <w:tcPr>
            <w:tcW w:w="1440" w:type="dxa"/>
          </w:tcPr>
          <w:p>
            <w:pPr>
              <w:pStyle w:val="16"/>
              <w:adjustRightInd w:val="0"/>
              <w:snapToGrid w:val="0"/>
              <w:spacing w:line="360" w:lineRule="auto"/>
              <w:rPr>
                <w:rFonts w:hAnsi="宋体" w:cs="宋体"/>
                <w:color w:val="auto"/>
                <w:szCs w:val="21"/>
              </w:rPr>
            </w:pPr>
          </w:p>
        </w:tc>
      </w:tr>
    </w:tbl>
    <w:p>
      <w:pPr>
        <w:snapToGrid w:val="0"/>
        <w:spacing w:line="360" w:lineRule="auto"/>
        <w:rPr>
          <w:rFonts w:ascii="宋体" w:hAnsi="宋体" w:cs="宋体"/>
          <w:b/>
          <w:color w:val="auto"/>
          <w:szCs w:val="21"/>
        </w:rPr>
      </w:pPr>
    </w:p>
    <w:p>
      <w:pPr>
        <w:snapToGrid w:val="0"/>
        <w:spacing w:line="360" w:lineRule="auto"/>
        <w:rPr>
          <w:rFonts w:ascii="宋体" w:hAnsi="宋体" w:cs="宋体"/>
          <w:b/>
          <w:color w:val="auto"/>
          <w:szCs w:val="21"/>
        </w:rPr>
      </w:pPr>
      <w:r>
        <w:rPr>
          <w:rFonts w:hint="eastAsia" w:ascii="宋体" w:hAnsi="宋体" w:cs="宋体"/>
          <w:b/>
          <w:color w:val="auto"/>
          <w:szCs w:val="21"/>
        </w:rPr>
        <w:t>注：1、各投标商可以根据各自业绩量准备充分的表格，此页后须附上合同复印件（加盖公章）等证明材料。</w:t>
      </w:r>
    </w:p>
    <w:p>
      <w:pPr>
        <w:spacing w:line="48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48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spacing w:line="360" w:lineRule="auto"/>
        <w:jc w:val="left"/>
        <w:rPr>
          <w:rFonts w:ascii="宋体" w:hAnsi="宋体" w:cs="宋体"/>
          <w:b/>
          <w:bCs/>
          <w:color w:val="auto"/>
          <w:sz w:val="28"/>
          <w:szCs w:val="36"/>
        </w:rPr>
      </w:pPr>
      <w:r>
        <w:rPr>
          <w:rFonts w:ascii="宋体" w:hAnsi="宋体" w:cs="宋体"/>
          <w:b/>
          <w:color w:val="auto"/>
          <w:sz w:val="24"/>
        </w:rPr>
        <w:br w:type="page"/>
      </w:r>
    </w:p>
    <w:p>
      <w:pPr>
        <w:rPr>
          <w:rFonts w:ascii="宋体" w:hAnsi="宋体" w:cs="宋体"/>
          <w:b/>
          <w:bCs/>
          <w:color w:val="auto"/>
          <w:sz w:val="28"/>
          <w:szCs w:val="36"/>
        </w:rPr>
      </w:pPr>
      <w:r>
        <w:rPr>
          <w:rFonts w:hint="eastAsia" w:ascii="宋体" w:hAnsi="宋体" w:cs="宋体"/>
          <w:b/>
          <w:bCs/>
          <w:color w:val="auto"/>
          <w:sz w:val="28"/>
          <w:szCs w:val="36"/>
        </w:rPr>
        <w:t>附件11</w:t>
      </w:r>
    </w:p>
    <w:p>
      <w:pPr>
        <w:jc w:val="center"/>
        <w:rPr>
          <w:rFonts w:ascii="宋体" w:hAnsi="宋体" w:cs="宋体"/>
          <w:color w:val="auto"/>
          <w:spacing w:val="40"/>
          <w:sz w:val="52"/>
          <w:szCs w:val="52"/>
        </w:rPr>
      </w:pPr>
      <w:r>
        <w:rPr>
          <w:rFonts w:hint="eastAsia" w:ascii="宋体" w:hAnsi="宋体" w:cs="宋体"/>
          <w:color w:val="auto"/>
          <w:spacing w:val="40"/>
          <w:sz w:val="52"/>
          <w:szCs w:val="52"/>
        </w:rPr>
        <w:t>项目名称</w:t>
      </w:r>
    </w:p>
    <w:p>
      <w:pPr>
        <w:jc w:val="center"/>
        <w:rPr>
          <w:rFonts w:ascii="宋体" w:hAnsi="宋体" w:cs="宋体"/>
          <w:b/>
          <w:color w:val="auto"/>
          <w:spacing w:val="40"/>
          <w:sz w:val="84"/>
          <w:szCs w:val="84"/>
        </w:rPr>
      </w:pPr>
      <w:r>
        <w:rPr>
          <w:rFonts w:hint="eastAsia" w:ascii="宋体" w:hAnsi="宋体" w:cs="宋体"/>
          <w:color w:val="auto"/>
          <w:sz w:val="36"/>
          <w:szCs w:val="36"/>
        </w:rPr>
        <w:t>项目编号：</w:t>
      </w:r>
    </w:p>
    <w:p>
      <w:pPr>
        <w:jc w:val="center"/>
        <w:rPr>
          <w:rFonts w:ascii="宋体" w:hAnsi="宋体" w:cs="宋体"/>
          <w:b/>
          <w:color w:val="auto"/>
          <w:spacing w:val="40"/>
          <w:sz w:val="84"/>
          <w:szCs w:val="84"/>
        </w:rPr>
      </w:pPr>
      <w:r>
        <w:rPr>
          <w:rFonts w:hint="eastAsia" w:ascii="宋体" w:hAnsi="宋体" w:cs="宋体"/>
          <w:b/>
          <w:color w:val="auto"/>
          <w:spacing w:val="40"/>
          <w:sz w:val="84"/>
          <w:szCs w:val="84"/>
        </w:rPr>
        <w:t>报</w:t>
      </w:r>
    </w:p>
    <w:p>
      <w:pPr>
        <w:jc w:val="center"/>
        <w:rPr>
          <w:rFonts w:ascii="宋体" w:hAnsi="宋体" w:cs="宋体"/>
          <w:b/>
          <w:color w:val="auto"/>
          <w:spacing w:val="40"/>
          <w:sz w:val="84"/>
          <w:szCs w:val="84"/>
        </w:rPr>
      </w:pPr>
      <w:r>
        <w:rPr>
          <w:rFonts w:hint="eastAsia" w:ascii="宋体" w:hAnsi="宋体" w:cs="宋体"/>
          <w:b/>
          <w:color w:val="auto"/>
          <w:spacing w:val="40"/>
          <w:sz w:val="84"/>
          <w:szCs w:val="84"/>
        </w:rPr>
        <w:t>价</w:t>
      </w:r>
    </w:p>
    <w:p>
      <w:pPr>
        <w:jc w:val="center"/>
        <w:rPr>
          <w:rFonts w:ascii="宋体" w:hAnsi="宋体" w:cs="宋体"/>
          <w:b/>
          <w:color w:val="auto"/>
          <w:spacing w:val="40"/>
          <w:sz w:val="84"/>
          <w:szCs w:val="84"/>
        </w:rPr>
      </w:pPr>
      <w:r>
        <w:rPr>
          <w:rFonts w:hint="eastAsia" w:ascii="宋体" w:hAnsi="宋体" w:cs="宋体"/>
          <w:b/>
          <w:color w:val="auto"/>
          <w:spacing w:val="40"/>
          <w:sz w:val="84"/>
          <w:szCs w:val="84"/>
        </w:rPr>
        <w:t>文</w:t>
      </w:r>
    </w:p>
    <w:p>
      <w:pPr>
        <w:jc w:val="center"/>
        <w:rPr>
          <w:rFonts w:ascii="宋体" w:hAnsi="宋体" w:cs="宋体"/>
          <w:b/>
          <w:color w:val="auto"/>
          <w:spacing w:val="40"/>
          <w:sz w:val="84"/>
          <w:szCs w:val="84"/>
        </w:rPr>
      </w:pPr>
      <w:r>
        <w:rPr>
          <w:rFonts w:hint="eastAsia" w:ascii="宋体" w:hAnsi="宋体" w:cs="宋体"/>
          <w:b/>
          <w:color w:val="auto"/>
          <w:spacing w:val="40"/>
          <w:sz w:val="84"/>
          <w:szCs w:val="84"/>
        </w:rPr>
        <w:t>件</w:t>
      </w:r>
    </w:p>
    <w:p>
      <w:pPr>
        <w:jc w:val="center"/>
        <w:rPr>
          <w:rFonts w:ascii="宋体" w:hAnsi="宋体" w:cs="宋体"/>
          <w:color w:val="auto"/>
          <w:sz w:val="36"/>
          <w:szCs w:val="36"/>
        </w:rPr>
      </w:pPr>
    </w:p>
    <w:p>
      <w:pPr>
        <w:jc w:val="center"/>
        <w:rPr>
          <w:rFonts w:ascii="宋体" w:hAnsi="宋体" w:cs="宋体"/>
          <w:color w:val="auto"/>
          <w:sz w:val="36"/>
          <w:szCs w:val="36"/>
        </w:rPr>
      </w:pPr>
    </w:p>
    <w:p>
      <w:pPr>
        <w:spacing w:line="360" w:lineRule="auto"/>
        <w:ind w:right="532"/>
        <w:jc w:val="center"/>
        <w:rPr>
          <w:rFonts w:ascii="宋体" w:hAnsi="宋体" w:cs="宋体"/>
          <w:color w:val="auto"/>
          <w:sz w:val="36"/>
          <w:szCs w:val="36"/>
        </w:rPr>
      </w:pPr>
    </w:p>
    <w:p>
      <w:pPr>
        <w:rPr>
          <w:rFonts w:ascii="宋体" w:hAnsi="宋体" w:cs="宋体"/>
          <w:color w:val="auto"/>
          <w:sz w:val="36"/>
          <w:szCs w:val="36"/>
        </w:rPr>
      </w:pPr>
      <w:r>
        <w:rPr>
          <w:rFonts w:hint="eastAsia" w:ascii="宋体" w:hAnsi="宋体" w:cs="宋体"/>
          <w:color w:val="auto"/>
          <w:sz w:val="36"/>
          <w:szCs w:val="36"/>
        </w:rPr>
        <w:t>投标人全称（公章）：</w:t>
      </w:r>
    </w:p>
    <w:p>
      <w:pPr>
        <w:rPr>
          <w:rFonts w:ascii="宋体" w:hAnsi="宋体" w:cs="宋体"/>
          <w:color w:val="auto"/>
          <w:sz w:val="36"/>
          <w:szCs w:val="36"/>
        </w:rPr>
      </w:pPr>
      <w:r>
        <w:rPr>
          <w:rFonts w:hint="eastAsia" w:ascii="宋体" w:hAnsi="宋体" w:cs="宋体"/>
          <w:color w:val="auto"/>
          <w:sz w:val="36"/>
          <w:szCs w:val="36"/>
        </w:rPr>
        <w:t>地址：</w:t>
      </w:r>
    </w:p>
    <w:p>
      <w:pPr>
        <w:rPr>
          <w:rFonts w:ascii="宋体" w:hAnsi="宋体" w:cs="宋体"/>
          <w:color w:val="auto"/>
          <w:sz w:val="36"/>
          <w:szCs w:val="36"/>
        </w:rPr>
      </w:pPr>
      <w:r>
        <w:rPr>
          <w:rFonts w:hint="eastAsia" w:ascii="宋体" w:hAnsi="宋体" w:cs="宋体"/>
          <w:color w:val="auto"/>
          <w:sz w:val="36"/>
          <w:szCs w:val="36"/>
        </w:rPr>
        <w:t>时间：</w:t>
      </w:r>
    </w:p>
    <w:p>
      <w:pPr>
        <w:spacing w:line="360" w:lineRule="auto"/>
        <w:rPr>
          <w:rFonts w:ascii="宋体" w:hAnsi="宋体" w:cs="宋体"/>
          <w:color w:val="auto"/>
          <w:sz w:val="24"/>
          <w:szCs w:val="32"/>
        </w:rPr>
      </w:pPr>
    </w:p>
    <w:p>
      <w:pPr>
        <w:pStyle w:val="13"/>
        <w:rPr>
          <w:rFonts w:ascii="宋体" w:hAnsi="宋体" w:cs="宋体"/>
          <w:color w:val="auto"/>
          <w:sz w:val="24"/>
          <w:szCs w:val="32"/>
        </w:rPr>
      </w:pPr>
    </w:p>
    <w:p>
      <w:pPr>
        <w:pStyle w:val="13"/>
        <w:rPr>
          <w:rFonts w:ascii="宋体" w:hAnsi="宋体" w:cs="宋体"/>
          <w:color w:val="auto"/>
          <w:sz w:val="24"/>
          <w:szCs w:val="32"/>
        </w:rPr>
      </w:pPr>
    </w:p>
    <w:p>
      <w:pPr>
        <w:pStyle w:val="13"/>
        <w:rPr>
          <w:rFonts w:ascii="宋体" w:hAnsi="宋体" w:cs="宋体"/>
          <w:color w:val="auto"/>
          <w:sz w:val="24"/>
          <w:szCs w:val="32"/>
        </w:rPr>
      </w:pPr>
    </w:p>
    <w:p>
      <w:pPr>
        <w:pStyle w:val="14"/>
        <w:rPr>
          <w:color w:val="auto"/>
        </w:rPr>
      </w:pPr>
    </w:p>
    <w:p>
      <w:pPr>
        <w:pStyle w:val="13"/>
        <w:rPr>
          <w:rFonts w:ascii="宋体" w:hAnsi="宋体" w:cs="宋体"/>
          <w:color w:val="auto"/>
          <w:sz w:val="24"/>
          <w:szCs w:val="32"/>
        </w:rPr>
      </w:pPr>
    </w:p>
    <w:p>
      <w:pPr>
        <w:spacing w:line="360" w:lineRule="auto"/>
        <w:jc w:val="center"/>
        <w:rPr>
          <w:rFonts w:ascii="宋体" w:hAnsi="宋体" w:cs="宋体"/>
          <w:b/>
          <w:bCs/>
          <w:color w:val="auto"/>
          <w:sz w:val="32"/>
          <w:szCs w:val="40"/>
          <w:lang w:val="zh-CN"/>
        </w:rPr>
      </w:pPr>
    </w:p>
    <w:p>
      <w:pPr>
        <w:spacing w:line="360" w:lineRule="auto"/>
        <w:jc w:val="center"/>
        <w:rPr>
          <w:rFonts w:ascii="宋体" w:hAnsi="宋体" w:cs="宋体"/>
          <w:b/>
          <w:bCs/>
          <w:color w:val="auto"/>
          <w:sz w:val="32"/>
          <w:szCs w:val="40"/>
          <w:lang w:val="zh-CN"/>
        </w:rPr>
      </w:pPr>
      <w:r>
        <w:rPr>
          <w:rFonts w:hint="eastAsia" w:ascii="宋体" w:hAnsi="宋体" w:cs="宋体"/>
          <w:b/>
          <w:bCs/>
          <w:color w:val="auto"/>
          <w:sz w:val="32"/>
          <w:szCs w:val="40"/>
          <w:lang w:val="zh-CN"/>
        </w:rPr>
        <w:t>报价文件目录</w:t>
      </w:r>
    </w:p>
    <w:p>
      <w:pPr>
        <w:spacing w:line="360" w:lineRule="auto"/>
        <w:rPr>
          <w:rFonts w:ascii="宋体" w:hAnsi="宋体" w:cs="宋体"/>
          <w:color w:val="auto"/>
          <w:sz w:val="24"/>
        </w:rPr>
      </w:pPr>
    </w:p>
    <w:p>
      <w:pPr>
        <w:spacing w:line="360" w:lineRule="auto"/>
        <w:ind w:firstLine="560" w:firstLineChars="200"/>
        <w:jc w:val="left"/>
        <w:rPr>
          <w:rFonts w:ascii="宋体" w:hAnsi="宋体" w:cs="宋体"/>
          <w:color w:val="auto"/>
          <w:sz w:val="28"/>
          <w:szCs w:val="36"/>
        </w:rPr>
      </w:pPr>
      <w:r>
        <w:rPr>
          <w:rFonts w:hint="eastAsia" w:ascii="宋体" w:hAnsi="宋体" w:cs="宋体"/>
          <w:color w:val="auto"/>
          <w:sz w:val="28"/>
          <w:szCs w:val="36"/>
        </w:rPr>
        <w:t>1、开标一览表；</w:t>
      </w:r>
    </w:p>
    <w:p>
      <w:pPr>
        <w:spacing w:line="360" w:lineRule="auto"/>
        <w:ind w:firstLine="560" w:firstLineChars="200"/>
        <w:jc w:val="left"/>
        <w:rPr>
          <w:rFonts w:ascii="宋体" w:hAnsi="宋体" w:cs="宋体"/>
          <w:color w:val="auto"/>
          <w:sz w:val="28"/>
          <w:szCs w:val="36"/>
        </w:rPr>
      </w:pPr>
      <w:r>
        <w:rPr>
          <w:rFonts w:hint="eastAsia" w:ascii="宋体" w:hAnsi="宋体" w:cs="宋体"/>
          <w:color w:val="auto"/>
          <w:sz w:val="28"/>
          <w:szCs w:val="36"/>
        </w:rPr>
        <w:t>2、报价明细表；</w:t>
      </w:r>
    </w:p>
    <w:p>
      <w:pPr>
        <w:spacing w:line="360" w:lineRule="auto"/>
        <w:ind w:firstLine="560" w:firstLineChars="200"/>
        <w:jc w:val="left"/>
        <w:rPr>
          <w:rFonts w:ascii="宋体" w:hAnsi="宋体" w:cs="宋体"/>
          <w:color w:val="auto"/>
          <w:sz w:val="28"/>
          <w:szCs w:val="36"/>
        </w:rPr>
      </w:pPr>
      <w:r>
        <w:rPr>
          <w:rFonts w:hint="eastAsia" w:ascii="宋体" w:hAnsi="宋体" w:cs="宋体"/>
          <w:color w:val="auto"/>
          <w:sz w:val="28"/>
          <w:szCs w:val="36"/>
        </w:rPr>
        <w:t>3、针对报价投标人认为其他需要说明的；</w:t>
      </w:r>
    </w:p>
    <w:p>
      <w:pPr>
        <w:spacing w:line="360" w:lineRule="auto"/>
        <w:ind w:firstLine="560" w:firstLineChars="200"/>
        <w:jc w:val="left"/>
        <w:rPr>
          <w:rFonts w:ascii="宋体" w:hAnsi="宋体" w:cs="宋体"/>
          <w:color w:val="auto"/>
          <w:sz w:val="28"/>
          <w:szCs w:val="36"/>
        </w:rPr>
      </w:pPr>
      <w:r>
        <w:rPr>
          <w:rFonts w:hint="eastAsia" w:ascii="宋体" w:hAnsi="宋体" w:cs="宋体"/>
          <w:color w:val="auto"/>
          <w:sz w:val="28"/>
          <w:szCs w:val="36"/>
        </w:rPr>
        <w:t>4、小微企业等声明函(如有)；</w:t>
      </w:r>
    </w:p>
    <w:p>
      <w:pPr>
        <w:spacing w:line="360" w:lineRule="auto"/>
        <w:ind w:firstLine="560" w:firstLineChars="200"/>
        <w:jc w:val="left"/>
        <w:rPr>
          <w:rFonts w:ascii="宋体" w:hAnsi="宋体" w:cs="宋体"/>
          <w:color w:val="auto"/>
          <w:sz w:val="28"/>
          <w:szCs w:val="36"/>
        </w:rPr>
      </w:pPr>
      <w:r>
        <w:rPr>
          <w:rFonts w:hint="eastAsia" w:ascii="宋体" w:hAnsi="宋体" w:cs="宋体"/>
          <w:color w:val="auto"/>
          <w:sz w:val="28"/>
          <w:szCs w:val="36"/>
        </w:rPr>
        <w:t>5、</w:t>
      </w:r>
      <w:r>
        <w:rPr>
          <w:rFonts w:hint="eastAsia" w:ascii="宋体" w:hAnsi="宋体" w:cs="宋体"/>
          <w:color w:val="auto"/>
          <w:sz w:val="28"/>
          <w:szCs w:val="36"/>
          <w:lang w:val="en-GB"/>
        </w:rPr>
        <w:t>残疾人福利性单位声明函（</w:t>
      </w:r>
      <w:r>
        <w:rPr>
          <w:rFonts w:hint="eastAsia" w:ascii="宋体" w:hAnsi="宋体" w:cs="宋体"/>
          <w:color w:val="auto"/>
          <w:sz w:val="28"/>
          <w:szCs w:val="36"/>
        </w:rPr>
        <w:t>如有</w:t>
      </w:r>
      <w:r>
        <w:rPr>
          <w:rFonts w:hint="eastAsia" w:ascii="宋体" w:hAnsi="宋体" w:cs="宋体"/>
          <w:color w:val="auto"/>
          <w:sz w:val="28"/>
          <w:szCs w:val="36"/>
          <w:lang w:val="en-GB"/>
        </w:rPr>
        <w:t>）</w:t>
      </w:r>
      <w:r>
        <w:rPr>
          <w:rFonts w:hint="eastAsia" w:ascii="宋体" w:hAnsi="宋体" w:cs="宋体"/>
          <w:color w:val="auto"/>
          <w:sz w:val="28"/>
          <w:szCs w:val="36"/>
        </w:rPr>
        <w:t>；</w:t>
      </w:r>
    </w:p>
    <w:p>
      <w:pPr>
        <w:spacing w:line="360" w:lineRule="auto"/>
        <w:ind w:firstLine="560" w:firstLineChars="200"/>
        <w:jc w:val="left"/>
        <w:rPr>
          <w:rFonts w:ascii="宋体" w:hAnsi="宋体" w:cs="宋体"/>
          <w:color w:val="auto"/>
          <w:sz w:val="28"/>
          <w:szCs w:val="36"/>
          <w:lang w:val="en-GB"/>
        </w:rPr>
      </w:pPr>
      <w:r>
        <w:rPr>
          <w:rFonts w:hint="eastAsia" w:ascii="宋体" w:hAnsi="宋体" w:cs="宋体"/>
          <w:color w:val="auto"/>
          <w:sz w:val="28"/>
          <w:szCs w:val="36"/>
        </w:rPr>
        <w:t>6</w:t>
      </w:r>
      <w:r>
        <w:rPr>
          <w:rFonts w:hint="eastAsia" w:ascii="宋体" w:hAnsi="宋体" w:cs="宋体"/>
          <w:color w:val="auto"/>
          <w:sz w:val="28"/>
          <w:szCs w:val="36"/>
          <w:lang w:val="en-GB"/>
        </w:rPr>
        <w:t>、产品适用政府采购政策情况表（</w:t>
      </w:r>
      <w:r>
        <w:rPr>
          <w:rFonts w:hint="eastAsia" w:ascii="宋体" w:hAnsi="宋体" w:cs="宋体"/>
          <w:color w:val="auto"/>
          <w:sz w:val="28"/>
          <w:szCs w:val="36"/>
        </w:rPr>
        <w:t>如有</w:t>
      </w:r>
      <w:r>
        <w:rPr>
          <w:rFonts w:hint="eastAsia" w:ascii="宋体" w:hAnsi="宋体" w:cs="宋体"/>
          <w:color w:val="auto"/>
          <w:sz w:val="28"/>
          <w:szCs w:val="36"/>
          <w:lang w:val="en-GB"/>
        </w:rPr>
        <w:t>）</w:t>
      </w:r>
      <w:r>
        <w:rPr>
          <w:rFonts w:hint="eastAsia" w:ascii="宋体" w:hAnsi="宋体" w:cs="宋体"/>
          <w:color w:val="auto"/>
          <w:sz w:val="28"/>
          <w:szCs w:val="36"/>
        </w:rPr>
        <w:t>；</w:t>
      </w:r>
    </w:p>
    <w:p>
      <w:pPr>
        <w:pStyle w:val="3"/>
        <w:rPr>
          <w:color w:val="auto"/>
        </w:rPr>
      </w:pPr>
    </w:p>
    <w:p>
      <w:pPr>
        <w:pStyle w:val="5"/>
        <w:rPr>
          <w:color w:val="auto"/>
          <w:lang w:val="en-GB"/>
        </w:rPr>
      </w:pPr>
    </w:p>
    <w:p>
      <w:pPr>
        <w:spacing w:line="360" w:lineRule="auto"/>
        <w:ind w:firstLine="560" w:firstLineChars="200"/>
        <w:jc w:val="left"/>
        <w:rPr>
          <w:rFonts w:ascii="宋体" w:hAnsi="宋体" w:cs="宋体"/>
          <w:color w:val="auto"/>
          <w:sz w:val="28"/>
          <w:szCs w:val="36"/>
        </w:rPr>
      </w:pPr>
    </w:p>
    <w:p>
      <w:pPr>
        <w:spacing w:line="360" w:lineRule="auto"/>
        <w:jc w:val="left"/>
        <w:rPr>
          <w:rFonts w:ascii="宋体" w:hAnsi="宋体" w:cs="宋体"/>
          <w:color w:val="auto"/>
          <w:sz w:val="28"/>
          <w:szCs w:val="36"/>
        </w:rPr>
      </w:pPr>
    </w:p>
    <w:p>
      <w:pPr>
        <w:spacing w:line="360" w:lineRule="auto"/>
        <w:jc w:val="left"/>
        <w:rPr>
          <w:rFonts w:ascii="宋体" w:hAnsi="宋体" w:cs="宋体"/>
          <w:color w:val="auto"/>
          <w:sz w:val="28"/>
          <w:szCs w:val="36"/>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spacing w:line="360" w:lineRule="auto"/>
        <w:rPr>
          <w:rFonts w:ascii="宋体" w:hAnsi="宋体" w:cs="宋体"/>
          <w:color w:val="auto"/>
          <w:sz w:val="24"/>
          <w:szCs w:val="32"/>
        </w:rPr>
      </w:pPr>
    </w:p>
    <w:p>
      <w:pPr>
        <w:rPr>
          <w:rFonts w:ascii="宋体" w:hAnsi="宋体" w:cs="宋体"/>
          <w:color w:val="auto"/>
          <w:sz w:val="24"/>
          <w:szCs w:val="32"/>
        </w:rPr>
      </w:pPr>
      <w:r>
        <w:rPr>
          <w:rFonts w:ascii="宋体" w:hAnsi="宋体" w:cs="宋体"/>
          <w:color w:val="auto"/>
          <w:sz w:val="24"/>
          <w:szCs w:val="32"/>
        </w:rPr>
        <w:br w:type="page"/>
      </w:r>
    </w:p>
    <w:p>
      <w:pPr>
        <w:tabs>
          <w:tab w:val="left" w:pos="2460"/>
        </w:tabs>
        <w:spacing w:line="360" w:lineRule="auto"/>
        <w:rPr>
          <w:rFonts w:ascii="宋体" w:hAnsi="宋体" w:cs="宋体"/>
          <w:b/>
          <w:color w:val="auto"/>
          <w:sz w:val="28"/>
        </w:rPr>
      </w:pPr>
      <w:r>
        <w:rPr>
          <w:rFonts w:hint="eastAsia" w:ascii="宋体" w:hAnsi="宋体" w:cs="宋体"/>
          <w:b/>
          <w:color w:val="auto"/>
          <w:sz w:val="28"/>
        </w:rPr>
        <w:t xml:space="preserve">附件12 </w:t>
      </w:r>
    </w:p>
    <w:p>
      <w:pPr>
        <w:spacing w:line="360" w:lineRule="auto"/>
        <w:ind w:left="-2" w:hanging="2"/>
        <w:jc w:val="center"/>
        <w:rPr>
          <w:rFonts w:ascii="宋体" w:hAnsi="宋体" w:cs="宋体"/>
          <w:b/>
          <w:color w:val="auto"/>
          <w:sz w:val="32"/>
          <w:szCs w:val="32"/>
        </w:rPr>
      </w:pPr>
      <w:r>
        <w:rPr>
          <w:rFonts w:hint="eastAsia" w:ascii="宋体" w:hAnsi="宋体" w:cs="宋体"/>
          <w:b/>
          <w:color w:val="auto"/>
          <w:sz w:val="32"/>
          <w:szCs w:val="32"/>
        </w:rPr>
        <w:t xml:space="preserve">开标一览表 </w:t>
      </w:r>
    </w:p>
    <w:p>
      <w:pPr>
        <w:spacing w:line="360" w:lineRule="auto"/>
        <w:jc w:val="left"/>
        <w:rPr>
          <w:rFonts w:ascii="宋体" w:hAnsi="宋体" w:cs="宋体"/>
          <w:b/>
          <w:bCs/>
          <w:color w:val="auto"/>
          <w:sz w:val="24"/>
          <w:szCs w:val="32"/>
        </w:rPr>
      </w:pPr>
      <w:r>
        <w:rPr>
          <w:rFonts w:hint="eastAsia" w:ascii="宋体" w:hAnsi="宋体" w:cs="宋体"/>
          <w:b/>
          <w:bCs/>
          <w:color w:val="auto"/>
          <w:sz w:val="24"/>
          <w:szCs w:val="32"/>
        </w:rPr>
        <w:t>项目名称：</w:t>
      </w:r>
      <w:r>
        <w:rPr>
          <w:rFonts w:hint="eastAsia" w:ascii="宋体" w:hAnsi="宋体" w:cs="宋体"/>
          <w:color w:val="auto"/>
          <w:sz w:val="24"/>
          <w:szCs w:val="32"/>
        </w:rPr>
        <w:t xml:space="preserve">                                      [货币单位：人民币/元]</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ascii="宋体" w:hAnsi="宋体" w:cs="宋体"/>
                <w:color w:val="auto"/>
                <w:sz w:val="24"/>
              </w:rPr>
            </w:pPr>
            <w:r>
              <w:rPr>
                <w:rFonts w:hint="eastAsia" w:ascii="宋体" w:hAnsi="宋体" w:cs="宋体"/>
                <w:color w:val="auto"/>
                <w:sz w:val="24"/>
              </w:rPr>
              <w:t>投标总报价(元)</w:t>
            </w:r>
          </w:p>
        </w:tc>
        <w:tc>
          <w:tcPr>
            <w:tcW w:w="1349" w:type="dxa"/>
            <w:vAlign w:val="center"/>
          </w:tcPr>
          <w:p>
            <w:pPr>
              <w:autoSpaceDE w:val="0"/>
              <w:autoSpaceDN w:val="0"/>
              <w:spacing w:line="450" w:lineRule="exact"/>
              <w:jc w:val="center"/>
              <w:textAlignment w:val="bottom"/>
              <w:rPr>
                <w:rFonts w:ascii="宋体" w:hAnsi="宋体" w:cs="宋体"/>
                <w:color w:val="auto"/>
                <w:sz w:val="24"/>
              </w:rPr>
            </w:pPr>
            <w:r>
              <w:rPr>
                <w:rFonts w:hint="eastAsia" w:ascii="宋体" w:hAnsi="宋体" w:cs="宋体"/>
                <w:color w:val="auto"/>
                <w:sz w:val="24"/>
              </w:rPr>
              <w:t>大写</w:t>
            </w:r>
          </w:p>
        </w:tc>
        <w:tc>
          <w:tcPr>
            <w:tcW w:w="4629" w:type="dxa"/>
            <w:vAlign w:val="center"/>
          </w:tcPr>
          <w:p>
            <w:pPr>
              <w:autoSpaceDE w:val="0"/>
              <w:autoSpaceDN w:val="0"/>
              <w:spacing w:line="450" w:lineRule="exact"/>
              <w:jc w:val="center"/>
              <w:textAlignment w:val="bottom"/>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ascii="宋体" w:hAnsi="宋体" w:cs="宋体"/>
                <w:color w:val="auto"/>
                <w:sz w:val="24"/>
              </w:rPr>
            </w:pPr>
          </w:p>
        </w:tc>
        <w:tc>
          <w:tcPr>
            <w:tcW w:w="1349" w:type="dxa"/>
            <w:vAlign w:val="center"/>
          </w:tcPr>
          <w:p>
            <w:pPr>
              <w:autoSpaceDE w:val="0"/>
              <w:autoSpaceDN w:val="0"/>
              <w:spacing w:line="450" w:lineRule="exact"/>
              <w:jc w:val="center"/>
              <w:textAlignment w:val="bottom"/>
              <w:rPr>
                <w:rFonts w:ascii="宋体" w:hAnsi="宋体" w:cs="宋体"/>
                <w:color w:val="auto"/>
                <w:sz w:val="24"/>
              </w:rPr>
            </w:pPr>
            <w:r>
              <w:rPr>
                <w:rFonts w:hint="eastAsia" w:ascii="宋体" w:hAnsi="宋体" w:cs="宋体"/>
                <w:color w:val="auto"/>
                <w:sz w:val="24"/>
              </w:rPr>
              <w:t>小写</w:t>
            </w:r>
          </w:p>
        </w:tc>
        <w:tc>
          <w:tcPr>
            <w:tcW w:w="4629" w:type="dxa"/>
            <w:vAlign w:val="center"/>
          </w:tcPr>
          <w:p>
            <w:pPr>
              <w:autoSpaceDE w:val="0"/>
              <w:autoSpaceDN w:val="0"/>
              <w:spacing w:line="450" w:lineRule="exact"/>
              <w:jc w:val="center"/>
              <w:textAlignment w:val="bottom"/>
              <w:rPr>
                <w:rFonts w:ascii="宋体" w:hAnsi="宋体" w:cs="宋体"/>
                <w:color w:val="auto"/>
                <w:sz w:val="24"/>
              </w:rPr>
            </w:pPr>
          </w:p>
        </w:tc>
      </w:tr>
    </w:tbl>
    <w:p>
      <w:pPr>
        <w:spacing w:line="360" w:lineRule="auto"/>
        <w:jc w:val="left"/>
        <w:rPr>
          <w:rFonts w:ascii="宋体" w:hAnsi="宋体" w:cs="宋体"/>
          <w:b/>
          <w:bCs/>
          <w:color w:val="auto"/>
          <w:sz w:val="24"/>
          <w:szCs w:val="32"/>
        </w:rPr>
      </w:pPr>
    </w:p>
    <w:p>
      <w:pPr>
        <w:spacing w:line="360" w:lineRule="auto"/>
        <w:jc w:val="left"/>
        <w:rPr>
          <w:rFonts w:ascii="宋体" w:hAnsi="宋体" w:cs="宋体"/>
          <w:b/>
          <w:bCs/>
          <w:color w:val="auto"/>
          <w:sz w:val="24"/>
          <w:szCs w:val="32"/>
        </w:rPr>
      </w:pPr>
      <w:r>
        <w:rPr>
          <w:rFonts w:hint="eastAsia" w:ascii="宋体" w:hAnsi="宋体" w:cs="宋体"/>
          <w:b/>
          <w:bCs/>
          <w:color w:val="auto"/>
          <w:sz w:val="24"/>
          <w:szCs w:val="32"/>
        </w:rPr>
        <w:t>填报要求：</w:t>
      </w:r>
    </w:p>
    <w:p>
      <w:pPr>
        <w:spacing w:line="360" w:lineRule="auto"/>
        <w:ind w:firstLine="480" w:firstLineChars="200"/>
        <w:jc w:val="left"/>
        <w:rPr>
          <w:rFonts w:ascii="宋体" w:hAnsi="宋体" w:cs="宋体"/>
          <w:color w:val="auto"/>
          <w:sz w:val="24"/>
          <w:szCs w:val="32"/>
        </w:rPr>
      </w:pPr>
      <w:r>
        <w:rPr>
          <w:rFonts w:ascii="宋体" w:hAnsi="宋体" w:cs="宋体"/>
          <w:color w:val="auto"/>
          <w:sz w:val="24"/>
          <w:szCs w:val="32"/>
        </w:rPr>
        <w:t>1.</w:t>
      </w:r>
      <w:r>
        <w:rPr>
          <w:rFonts w:hint="eastAsia" w:ascii="宋体" w:hAnsi="宋体" w:cs="宋体"/>
          <w:color w:val="auto"/>
          <w:sz w:val="24"/>
          <w:szCs w:val="32"/>
        </w:rPr>
        <w:t>投标报价为完成本项目的所有费用，项目报告的各项费用及成果鉴定验收会议发生的费用等一切费用均包括在内。投标人应考虑企业自身实力、经验及项目实施过程中的各种因素，在投标报价中应充分考虑所有可能发生的费用，否则采购人将视投标总价中已包括所有费用。</w:t>
      </w:r>
    </w:p>
    <w:p>
      <w:pPr>
        <w:spacing w:line="360" w:lineRule="auto"/>
        <w:ind w:firstLine="480" w:firstLineChars="200"/>
        <w:jc w:val="left"/>
        <w:rPr>
          <w:rFonts w:ascii="宋体" w:hAnsi="宋体" w:cs="宋体"/>
          <w:color w:val="auto"/>
          <w:sz w:val="24"/>
          <w:szCs w:val="32"/>
        </w:rPr>
      </w:pPr>
      <w:r>
        <w:rPr>
          <w:rFonts w:ascii="宋体" w:hAnsi="宋体" w:cs="宋体"/>
          <w:color w:val="auto"/>
          <w:sz w:val="24"/>
          <w:szCs w:val="32"/>
        </w:rPr>
        <w:t>2.</w:t>
      </w:r>
      <w:r>
        <w:rPr>
          <w:rFonts w:hint="eastAsia" w:ascii="宋体" w:hAnsi="宋体" w:cs="宋体"/>
          <w:color w:val="auto"/>
          <w:sz w:val="24"/>
          <w:szCs w:val="32"/>
        </w:rPr>
        <w:t>开标一览表，要求按格式填写，统一规范，不得自行增减内容。</w:t>
      </w:r>
    </w:p>
    <w:p>
      <w:pPr>
        <w:spacing w:line="360" w:lineRule="auto"/>
        <w:jc w:val="left"/>
        <w:rPr>
          <w:rFonts w:ascii="宋体" w:hAnsi="宋体" w:cs="宋体"/>
          <w:color w:val="auto"/>
          <w:sz w:val="24"/>
          <w:szCs w:val="32"/>
        </w:rPr>
      </w:pPr>
    </w:p>
    <w:p>
      <w:pPr>
        <w:spacing w:line="360" w:lineRule="auto"/>
        <w:jc w:val="center"/>
        <w:rPr>
          <w:rFonts w:ascii="宋体" w:hAnsi="宋体"/>
          <w:color w:val="auto"/>
          <w:szCs w:val="21"/>
        </w:rPr>
      </w:pPr>
    </w:p>
    <w:p>
      <w:pPr>
        <w:spacing w:line="480" w:lineRule="auto"/>
        <w:rPr>
          <w:rFonts w:ascii="宋体" w:hAnsi="宋体" w:cs="宋体"/>
          <w:color w:val="auto"/>
          <w:szCs w:val="21"/>
        </w:rPr>
      </w:pPr>
      <w:r>
        <w:rPr>
          <w:rFonts w:hint="eastAsia" w:ascii="宋体" w:hAnsi="宋体" w:cs="宋体"/>
          <w:color w:val="auto"/>
          <w:szCs w:val="21"/>
        </w:rPr>
        <w:t>投标人名称（盖章）：</w:t>
      </w:r>
      <w:r>
        <w:rPr>
          <w:rFonts w:hint="eastAsia" w:ascii="宋体" w:hAnsi="宋体" w:cs="宋体"/>
          <w:color w:val="auto"/>
          <w:szCs w:val="21"/>
          <w:u w:val="single"/>
        </w:rPr>
        <w:t xml:space="preserve">                         </w:t>
      </w:r>
    </w:p>
    <w:p>
      <w:pPr>
        <w:spacing w:line="480" w:lineRule="auto"/>
        <w:rPr>
          <w:rFonts w:ascii="宋体" w:hAnsi="宋体" w:cs="宋体"/>
          <w:color w:val="auto"/>
          <w:szCs w:val="21"/>
        </w:rPr>
      </w:pPr>
      <w:r>
        <w:rPr>
          <w:rFonts w:hint="eastAsia" w:ascii="宋体" w:hAnsi="宋体" w:cs="宋体"/>
          <w:color w:val="auto"/>
          <w:szCs w:val="21"/>
        </w:rPr>
        <w:t>授权委托代理人签字或盖章：</w:t>
      </w:r>
      <w:r>
        <w:rPr>
          <w:rFonts w:hint="eastAsia" w:ascii="宋体" w:hAnsi="宋体" w:cs="宋体"/>
          <w:color w:val="auto"/>
          <w:szCs w:val="21"/>
          <w:u w:val="single"/>
        </w:rPr>
        <w:t xml:space="preserve">                   </w:t>
      </w:r>
    </w:p>
    <w:p>
      <w:pPr>
        <w:spacing w:line="480" w:lineRule="auto"/>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p>
    <w:p>
      <w:pPr>
        <w:spacing w:line="360" w:lineRule="auto"/>
        <w:ind w:firstLine="480" w:firstLineChars="200"/>
        <w:jc w:val="left"/>
        <w:rPr>
          <w:rFonts w:ascii="宋体" w:hAnsi="宋体" w:cs="宋体"/>
          <w:color w:val="auto"/>
          <w:sz w:val="24"/>
          <w:szCs w:val="32"/>
        </w:rPr>
      </w:pPr>
    </w:p>
    <w:p>
      <w:pPr>
        <w:rPr>
          <w:rFonts w:ascii="宋体" w:hAnsi="宋体" w:cs="宋体"/>
          <w:color w:val="auto"/>
          <w:sz w:val="24"/>
          <w:szCs w:val="32"/>
        </w:rPr>
      </w:pPr>
      <w:r>
        <w:rPr>
          <w:rFonts w:ascii="宋体" w:hAnsi="宋体" w:cs="宋体"/>
          <w:color w:val="auto"/>
          <w:sz w:val="24"/>
          <w:szCs w:val="32"/>
        </w:rPr>
        <w:br w:type="page"/>
      </w:r>
    </w:p>
    <w:p>
      <w:pPr>
        <w:tabs>
          <w:tab w:val="left" w:pos="2460"/>
        </w:tabs>
        <w:spacing w:line="360" w:lineRule="auto"/>
        <w:rPr>
          <w:rFonts w:ascii="宋体" w:hAnsi="宋体" w:cs="宋体"/>
          <w:b/>
          <w:color w:val="auto"/>
          <w:sz w:val="28"/>
        </w:rPr>
      </w:pPr>
      <w:r>
        <w:rPr>
          <w:rFonts w:hint="eastAsia" w:ascii="宋体" w:hAnsi="宋体" w:cs="宋体"/>
          <w:b/>
          <w:color w:val="auto"/>
          <w:sz w:val="28"/>
        </w:rPr>
        <w:t>附件13</w:t>
      </w:r>
    </w:p>
    <w:p>
      <w:pPr>
        <w:spacing w:line="360" w:lineRule="auto"/>
        <w:ind w:left="-2" w:hanging="2"/>
        <w:jc w:val="center"/>
        <w:rPr>
          <w:rFonts w:ascii="宋体" w:hAnsi="宋体" w:cs="宋体"/>
          <w:b/>
          <w:color w:val="auto"/>
          <w:sz w:val="32"/>
          <w:szCs w:val="32"/>
        </w:rPr>
      </w:pPr>
      <w:r>
        <w:rPr>
          <w:rFonts w:hint="eastAsia" w:ascii="宋体" w:hAnsi="宋体" w:cs="宋体"/>
          <w:b/>
          <w:color w:val="auto"/>
          <w:sz w:val="32"/>
          <w:szCs w:val="32"/>
        </w:rPr>
        <w:t>报价明细表</w:t>
      </w:r>
    </w:p>
    <w:p>
      <w:pPr>
        <w:spacing w:line="360" w:lineRule="auto"/>
        <w:rPr>
          <w:rFonts w:ascii="宋体" w:hAnsi="宋体" w:cs="宋体"/>
          <w:color w:val="auto"/>
          <w:sz w:val="24"/>
        </w:rPr>
      </w:pPr>
      <w:r>
        <w:rPr>
          <w:rFonts w:hint="eastAsia" w:ascii="宋体" w:hAnsi="宋体" w:cs="宋体"/>
          <w:color w:val="auto"/>
          <w:sz w:val="24"/>
        </w:rPr>
        <w:t>项目编号：                                       [货币单位：人民币/元]</w:t>
      </w:r>
    </w:p>
    <w:tbl>
      <w:tblPr>
        <w:tblStyle w:val="2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3295"/>
        <w:gridCol w:w="997"/>
        <w:gridCol w:w="1023"/>
        <w:gridCol w:w="1023"/>
        <w:gridCol w:w="1023"/>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49" w:type="dxa"/>
            <w:vAlign w:val="center"/>
          </w:tcPr>
          <w:p>
            <w:pPr>
              <w:spacing w:line="48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3295"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内容</w:t>
            </w:r>
          </w:p>
        </w:tc>
        <w:tc>
          <w:tcPr>
            <w:tcW w:w="997" w:type="dxa"/>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单价上限价</w:t>
            </w:r>
          </w:p>
        </w:tc>
        <w:tc>
          <w:tcPr>
            <w:tcW w:w="1023"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w:t>
            </w:r>
          </w:p>
        </w:tc>
        <w:tc>
          <w:tcPr>
            <w:tcW w:w="1023"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投标报价</w:t>
            </w:r>
          </w:p>
        </w:tc>
        <w:tc>
          <w:tcPr>
            <w:tcW w:w="1023"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小计</w:t>
            </w:r>
          </w:p>
        </w:tc>
        <w:tc>
          <w:tcPr>
            <w:tcW w:w="1023" w:type="dxa"/>
            <w:vAlign w:val="center"/>
          </w:tcPr>
          <w:p>
            <w:pPr>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649"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3295"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初步排查椒江近岸海域和沿岸曾从事过工业生产（含规模化养殖）、垃圾填埋场和堆场（含已封场）的场地（约300家），绘制完成沿岸工业场地清单和空间矢量信息，并输入“台州市土壤环境信息化管理平台”</w:t>
            </w:r>
          </w:p>
        </w:tc>
        <w:tc>
          <w:tcPr>
            <w:tcW w:w="997"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5000元</w:t>
            </w:r>
          </w:p>
        </w:tc>
        <w:tc>
          <w:tcPr>
            <w:tcW w:w="1023"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300</w:t>
            </w:r>
          </w:p>
        </w:tc>
        <w:tc>
          <w:tcPr>
            <w:tcW w:w="1023"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tc>
        <w:tc>
          <w:tcPr>
            <w:tcW w:w="1023" w:type="dxa"/>
            <w:vAlign w:val="center"/>
          </w:tcPr>
          <w:p>
            <w:pPr>
              <w:jc w:val="center"/>
              <w:rPr>
                <w:rFonts w:asciiTheme="minorEastAsia" w:hAnsiTheme="minorEastAsia" w:eastAsiaTheme="minorEastAsia" w:cstheme="minorEastAsia"/>
                <w:color w:val="auto"/>
                <w:szCs w:val="21"/>
              </w:rPr>
            </w:pPr>
          </w:p>
        </w:tc>
        <w:tc>
          <w:tcPr>
            <w:tcW w:w="1023" w:type="dxa"/>
            <w:vAlign w:val="center"/>
          </w:tcPr>
          <w:p>
            <w:pPr>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49"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3295"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在产企业土壤及地下水环境污染隐患“一厂一策”整改方案（约200家）</w:t>
            </w:r>
          </w:p>
        </w:tc>
        <w:tc>
          <w:tcPr>
            <w:tcW w:w="997"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10000元</w:t>
            </w:r>
          </w:p>
        </w:tc>
        <w:tc>
          <w:tcPr>
            <w:tcW w:w="1023"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200</w:t>
            </w:r>
          </w:p>
        </w:tc>
        <w:tc>
          <w:tcPr>
            <w:tcW w:w="1023"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tc>
        <w:tc>
          <w:tcPr>
            <w:tcW w:w="1023" w:type="dxa"/>
            <w:vAlign w:val="center"/>
          </w:tcPr>
          <w:p>
            <w:pPr>
              <w:jc w:val="center"/>
              <w:rPr>
                <w:rFonts w:asciiTheme="minorEastAsia" w:hAnsiTheme="minorEastAsia" w:eastAsiaTheme="minorEastAsia" w:cstheme="minorEastAsia"/>
                <w:color w:val="auto"/>
                <w:szCs w:val="21"/>
              </w:rPr>
            </w:pPr>
          </w:p>
        </w:tc>
        <w:tc>
          <w:tcPr>
            <w:tcW w:w="1023"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49"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3295"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《椒江近岸海域和沿岸土壤污染状况调查报告》，并形成椒江近岸海域和沿岸疑似污染地块清单（约40个沿岸退役工业企业场地）</w:t>
            </w:r>
          </w:p>
        </w:tc>
        <w:tc>
          <w:tcPr>
            <w:tcW w:w="997"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20000元</w:t>
            </w:r>
          </w:p>
        </w:tc>
        <w:tc>
          <w:tcPr>
            <w:tcW w:w="1023"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40</w:t>
            </w:r>
          </w:p>
        </w:tc>
        <w:tc>
          <w:tcPr>
            <w:tcW w:w="1023"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tc>
        <w:tc>
          <w:tcPr>
            <w:tcW w:w="1023" w:type="dxa"/>
            <w:vAlign w:val="center"/>
          </w:tcPr>
          <w:p>
            <w:pPr>
              <w:jc w:val="center"/>
              <w:rPr>
                <w:rFonts w:asciiTheme="minorEastAsia" w:hAnsiTheme="minorEastAsia" w:eastAsiaTheme="minorEastAsia" w:cstheme="minorEastAsia"/>
                <w:color w:val="auto"/>
                <w:szCs w:val="21"/>
              </w:rPr>
            </w:pPr>
          </w:p>
        </w:tc>
        <w:tc>
          <w:tcPr>
            <w:tcW w:w="1023"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649"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3295"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椒江近岸海域和沿岸土壤及地下水环境污染隐患总结评估报告》，绘制沿岸土壤和地下水污染地图，明确疑似污染区域范围、污染风险点位、污染源分布，实施高风险、中风险、低风险的分级“一张图”管理，形成沿岸土壤和地下水污染隐患“对账销号”清单等</w:t>
            </w:r>
          </w:p>
        </w:tc>
        <w:tc>
          <w:tcPr>
            <w:tcW w:w="997"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150</w:t>
            </w:r>
          </w:p>
        </w:tc>
        <w:tc>
          <w:tcPr>
            <w:tcW w:w="1023"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1023"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tc>
        <w:tc>
          <w:tcPr>
            <w:tcW w:w="1023" w:type="dxa"/>
            <w:vAlign w:val="center"/>
          </w:tcPr>
          <w:p>
            <w:pPr>
              <w:jc w:val="center"/>
              <w:rPr>
                <w:rFonts w:asciiTheme="minorEastAsia" w:hAnsiTheme="minorEastAsia" w:eastAsiaTheme="minorEastAsia" w:cstheme="minorEastAsia"/>
                <w:color w:val="auto"/>
                <w:szCs w:val="21"/>
              </w:rPr>
            </w:pPr>
          </w:p>
        </w:tc>
        <w:tc>
          <w:tcPr>
            <w:tcW w:w="1023"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一次性包干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944" w:type="dxa"/>
            <w:gridSpan w:val="2"/>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合计</w:t>
            </w:r>
          </w:p>
        </w:tc>
        <w:tc>
          <w:tcPr>
            <w:tcW w:w="997"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023" w:type="dxa"/>
            <w:vAlign w:val="center"/>
          </w:tcPr>
          <w:p>
            <w:pPr>
              <w:jc w:val="center"/>
              <w:rPr>
                <w:rFonts w:asciiTheme="minorEastAsia" w:hAnsiTheme="minorEastAsia" w:eastAsiaTheme="minorEastAsia" w:cstheme="minorEastAsia"/>
                <w:color w:val="auto"/>
                <w:szCs w:val="21"/>
              </w:rPr>
            </w:pPr>
          </w:p>
        </w:tc>
        <w:tc>
          <w:tcPr>
            <w:tcW w:w="1023" w:type="dxa"/>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tc>
        <w:tc>
          <w:tcPr>
            <w:tcW w:w="1023" w:type="dxa"/>
            <w:vAlign w:val="center"/>
          </w:tcPr>
          <w:p>
            <w:pPr>
              <w:jc w:val="center"/>
              <w:rPr>
                <w:rFonts w:asciiTheme="minorEastAsia" w:hAnsiTheme="minorEastAsia" w:eastAsiaTheme="minorEastAsia" w:cstheme="minorEastAsia"/>
                <w:color w:val="auto"/>
                <w:szCs w:val="21"/>
              </w:rPr>
            </w:pPr>
          </w:p>
        </w:tc>
        <w:tc>
          <w:tcPr>
            <w:tcW w:w="1023" w:type="dxa"/>
            <w:vAlign w:val="center"/>
          </w:tcPr>
          <w:p>
            <w:pPr>
              <w:jc w:val="center"/>
              <w:rPr>
                <w:rFonts w:asciiTheme="minorEastAsia" w:hAnsiTheme="minorEastAsia" w:eastAsiaTheme="minorEastAsia" w:cstheme="minorEastAsia"/>
                <w:color w:val="auto"/>
                <w:szCs w:val="21"/>
              </w:rPr>
            </w:pPr>
          </w:p>
        </w:tc>
      </w:tr>
    </w:tbl>
    <w:p>
      <w:pPr>
        <w:spacing w:line="360" w:lineRule="auto"/>
        <w:rPr>
          <w:rFonts w:ascii="宋体" w:hAnsi="宋体" w:cs="宋体"/>
          <w:b/>
          <w:bCs/>
          <w:color w:val="auto"/>
          <w:sz w:val="24"/>
        </w:rPr>
      </w:pPr>
      <w:r>
        <w:rPr>
          <w:rFonts w:hint="eastAsia" w:ascii="宋体" w:hAnsi="宋体" w:cs="宋体"/>
          <w:b/>
          <w:bCs/>
          <w:color w:val="auto"/>
          <w:sz w:val="24"/>
        </w:rPr>
        <w:t>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 本表为《开标一览表》的报价明细表，如有缺项、漏项，视为投标报价中已包含相关费用，采购人无需另外支付任何费用。</w:t>
      </w:r>
    </w:p>
    <w:p>
      <w:pPr>
        <w:spacing w:line="360" w:lineRule="auto"/>
        <w:ind w:firstLine="480" w:firstLineChars="200"/>
        <w:rPr>
          <w:color w:val="auto"/>
        </w:rPr>
      </w:pPr>
      <w:r>
        <w:rPr>
          <w:rFonts w:hint="eastAsia" w:ascii="宋体" w:hAnsi="宋体" w:cs="宋体"/>
          <w:color w:val="auto"/>
          <w:sz w:val="24"/>
        </w:rPr>
        <w:t>2.</w:t>
      </w:r>
      <w:r>
        <w:rPr>
          <w:rFonts w:hint="eastAsia" w:ascii="宋体" w:hAnsi="宋体" w:cs="宋体"/>
          <w:color w:val="auto"/>
          <w:sz w:val="24"/>
          <w:lang w:val="zh-CN"/>
        </w:rPr>
        <w:t>“报价明细表”中的报价合计应与“开标一览表”中的投标总报价相一致，不一致时，以开标一览表为准。</w:t>
      </w:r>
    </w:p>
    <w:p>
      <w:pPr>
        <w:spacing w:line="360" w:lineRule="auto"/>
        <w:rPr>
          <w:rFonts w:ascii="宋体" w:hAnsi="宋体" w:cs="宋体"/>
          <w:color w:val="auto"/>
          <w:sz w:val="24"/>
        </w:rPr>
      </w:pPr>
      <w:r>
        <w:rPr>
          <w:rFonts w:hint="eastAsia" w:ascii="宋体" w:hAnsi="宋体" w:cs="宋体"/>
          <w:color w:val="auto"/>
          <w:sz w:val="24"/>
        </w:rPr>
        <w:t>投标人名称（盖章）：</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授权委托代理人签字或盖章：</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p>
    <w:p>
      <w:pPr>
        <w:rPr>
          <w:rFonts w:ascii="宋体" w:hAnsi="宋体" w:cs="宋体"/>
          <w:color w:val="auto"/>
          <w:szCs w:val="32"/>
        </w:rPr>
      </w:pPr>
      <w:r>
        <w:rPr>
          <w:rFonts w:ascii="宋体" w:hAnsi="宋体" w:cs="宋体"/>
          <w:color w:val="auto"/>
          <w:szCs w:val="32"/>
        </w:rPr>
        <w:br w:type="page"/>
      </w:r>
    </w:p>
    <w:p>
      <w:pPr>
        <w:pStyle w:val="13"/>
        <w:rPr>
          <w:color w:val="auto"/>
        </w:rPr>
      </w:pPr>
    </w:p>
    <w:p>
      <w:pPr>
        <w:tabs>
          <w:tab w:val="left" w:pos="2460"/>
        </w:tabs>
        <w:spacing w:line="360" w:lineRule="auto"/>
        <w:rPr>
          <w:rFonts w:ascii="宋体" w:hAnsi="宋体" w:cs="宋体"/>
          <w:b/>
          <w:color w:val="auto"/>
          <w:sz w:val="28"/>
        </w:rPr>
      </w:pPr>
      <w:r>
        <w:rPr>
          <w:rFonts w:hint="eastAsia" w:ascii="宋体" w:hAnsi="宋体" w:cs="宋体"/>
          <w:b/>
          <w:color w:val="auto"/>
          <w:sz w:val="28"/>
        </w:rPr>
        <w:t>附件14</w:t>
      </w:r>
    </w:p>
    <w:p>
      <w:pPr>
        <w:widowControl/>
        <w:jc w:val="center"/>
        <w:rPr>
          <w:rFonts w:ascii="宋体" w:hAnsi="宋体" w:cs="宋体"/>
          <w:b/>
          <w:color w:val="auto"/>
          <w:kern w:val="0"/>
          <w:sz w:val="36"/>
          <w:szCs w:val="36"/>
        </w:rPr>
      </w:pPr>
      <w:r>
        <w:rPr>
          <w:rFonts w:hint="eastAsia" w:ascii="宋体" w:hAnsi="宋体" w:cs="宋体"/>
          <w:b/>
          <w:color w:val="auto"/>
          <w:kern w:val="0"/>
          <w:sz w:val="36"/>
          <w:szCs w:val="36"/>
        </w:rPr>
        <w:t>中小企业声明函</w:t>
      </w:r>
    </w:p>
    <w:p>
      <w:pPr>
        <w:pStyle w:val="2"/>
        <w:rPr>
          <w:color w:val="auto"/>
        </w:rPr>
      </w:pP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本公司郑重声明，根据《政府采购促进中小企业发展管理办法》（财库﹝2020﹞46 号）的规定，本公司参加参加</w:t>
      </w:r>
      <w:r>
        <w:rPr>
          <w:rFonts w:hint="eastAsia" w:ascii="宋体" w:hAnsi="宋体"/>
          <w:color w:val="auto"/>
          <w:sz w:val="24"/>
          <w:u w:val="single"/>
        </w:rPr>
        <w:t xml:space="preserve"> </w:t>
      </w:r>
      <w:r>
        <w:rPr>
          <w:rFonts w:hint="eastAsia" w:ascii="宋体" w:hAnsi="宋体" w:cs="宋体"/>
          <w:i/>
          <w:color w:val="auto"/>
          <w:kern w:val="0"/>
          <w:sz w:val="24"/>
          <w:u w:val="single"/>
        </w:rPr>
        <w:t>（单位名称）</w:t>
      </w:r>
      <w:r>
        <w:rPr>
          <w:rFonts w:hint="eastAsia" w:ascii="宋体" w:hAnsi="宋体" w:cs="宋体"/>
          <w:color w:val="auto"/>
          <w:kern w:val="0"/>
          <w:sz w:val="24"/>
        </w:rPr>
        <w:t>的</w:t>
      </w:r>
      <w:r>
        <w:rPr>
          <w:rFonts w:hint="eastAsia" w:ascii="宋体" w:hAnsi="宋体" w:cs="宋体"/>
          <w:i/>
          <w:color w:val="auto"/>
          <w:kern w:val="0"/>
          <w:sz w:val="24"/>
          <w:u w:val="single"/>
        </w:rPr>
        <w:t>（项目名称）</w:t>
      </w:r>
      <w:r>
        <w:rPr>
          <w:rFonts w:hint="eastAsia" w:ascii="宋体" w:hAnsi="宋体" w:cs="宋体"/>
          <w:color w:val="auto"/>
          <w:kern w:val="0"/>
          <w:sz w:val="24"/>
        </w:rPr>
        <w:t>采购活动，全部为符合政策要求的中小企业（或者：服务全部由符合政策要求的中小企业承接）。相关企业（含联合体中的中小企业、签订分包意向协议的中小企业）的具体情 况如下：</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 xml:space="preserve">1. </w:t>
      </w:r>
      <w:r>
        <w:rPr>
          <w:rFonts w:hint="eastAsia" w:ascii="宋体" w:hAnsi="宋体" w:cs="宋体"/>
          <w:i/>
          <w:color w:val="auto"/>
          <w:kern w:val="0"/>
          <w:sz w:val="24"/>
          <w:u w:val="single"/>
        </w:rPr>
        <w:t xml:space="preserve">（标的名称） </w:t>
      </w:r>
      <w:r>
        <w:rPr>
          <w:rFonts w:hint="eastAsia" w:ascii="宋体" w:hAnsi="宋体" w:cs="宋体"/>
          <w:color w:val="auto"/>
          <w:kern w:val="0"/>
          <w:sz w:val="24"/>
        </w:rPr>
        <w:t>，属于</w:t>
      </w:r>
      <w:r>
        <w:rPr>
          <w:rFonts w:hint="eastAsia" w:ascii="宋体" w:hAnsi="宋体" w:cs="宋体"/>
          <w:i/>
          <w:color w:val="auto"/>
          <w:kern w:val="0"/>
          <w:sz w:val="24"/>
          <w:u w:val="single"/>
        </w:rPr>
        <w:t>（采购文件中明确的所属行业）</w:t>
      </w:r>
      <w:r>
        <w:rPr>
          <w:rFonts w:hint="eastAsia" w:ascii="宋体" w:hAnsi="宋体" w:cs="宋体"/>
          <w:color w:val="auto"/>
          <w:kern w:val="0"/>
          <w:sz w:val="24"/>
        </w:rPr>
        <w:t>；承建（承接）企业为</w:t>
      </w:r>
      <w:r>
        <w:rPr>
          <w:rFonts w:hint="eastAsia" w:ascii="宋体" w:hAnsi="宋体" w:cs="宋体"/>
          <w:i/>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 xml:space="preserve">     </w:t>
      </w:r>
      <w:r>
        <w:rPr>
          <w:rFonts w:hint="eastAsia" w:ascii="宋体" w:hAnsi="宋体" w:cs="宋体"/>
          <w:color w:val="auto"/>
          <w:kern w:val="0"/>
          <w:sz w:val="24"/>
        </w:rPr>
        <w:t>人，营业收入为</w:t>
      </w:r>
      <w:r>
        <w:rPr>
          <w:rFonts w:hint="eastAsia" w:ascii="宋体" w:hAnsi="宋体" w:cs="宋体"/>
          <w:color w:val="auto"/>
          <w:kern w:val="0"/>
          <w:sz w:val="24"/>
          <w:u w:val="single"/>
        </w:rPr>
        <w:t xml:space="preserve">    </w:t>
      </w:r>
      <w:r>
        <w:rPr>
          <w:rFonts w:hint="eastAsia" w:ascii="宋体" w:hAnsi="宋体" w:cs="宋体"/>
          <w:color w:val="auto"/>
          <w:kern w:val="0"/>
          <w:sz w:val="24"/>
        </w:rPr>
        <w:t>万元，资产总额为</w:t>
      </w:r>
      <w:r>
        <w:rPr>
          <w:rFonts w:hint="eastAsia" w:ascii="宋体" w:hAnsi="宋体" w:cs="宋体"/>
          <w:color w:val="auto"/>
          <w:kern w:val="0"/>
          <w:sz w:val="24"/>
          <w:u w:val="single"/>
        </w:rPr>
        <w:t xml:space="preserve">       </w:t>
      </w:r>
      <w:r>
        <w:rPr>
          <w:rFonts w:hint="eastAsia" w:ascii="宋体" w:hAnsi="宋体" w:cs="宋体"/>
          <w:color w:val="auto"/>
          <w:kern w:val="0"/>
          <w:sz w:val="24"/>
        </w:rPr>
        <w:t>万元，属于</w:t>
      </w:r>
      <w:r>
        <w:rPr>
          <w:rFonts w:hint="eastAsia" w:ascii="宋体" w:hAnsi="宋体" w:cs="宋体"/>
          <w:i/>
          <w:color w:val="auto"/>
          <w:kern w:val="0"/>
          <w:sz w:val="24"/>
          <w:u w:val="single"/>
        </w:rPr>
        <w:t>（中型企业、 小型企业、微型企业）</w:t>
      </w:r>
      <w:r>
        <w:rPr>
          <w:rFonts w:hint="eastAsia" w:ascii="宋体" w:hAnsi="宋体" w:cs="宋体"/>
          <w:color w:val="auto"/>
          <w:kern w:val="0"/>
          <w:sz w:val="24"/>
        </w:rPr>
        <w:t xml:space="preserve">； </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 xml:space="preserve">以上企业，不属于大企业的分支机构，不存在控股股东为大企业的情形，也不存在与大企业的负责人为同一人的情形。本企业对上述声明内容的真实性负责。如有虚假，将依法承担相应责任。 </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本公司对上述声明的真实性负责。如有虚假，将依法承担相应责任。</w:t>
      </w:r>
    </w:p>
    <w:p>
      <w:pPr>
        <w:pStyle w:val="9"/>
        <w:rPr>
          <w:color w:val="auto"/>
        </w:rPr>
      </w:pPr>
    </w:p>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 xml:space="preserve">                </w:t>
      </w:r>
    </w:p>
    <w:p>
      <w:pPr>
        <w:widowControl/>
        <w:spacing w:line="360" w:lineRule="auto"/>
        <w:jc w:val="center"/>
        <w:rPr>
          <w:rFonts w:ascii="宋体" w:hAnsi="宋体" w:cs="宋体"/>
          <w:color w:val="auto"/>
          <w:sz w:val="24"/>
        </w:rPr>
      </w:pPr>
      <w:r>
        <w:rPr>
          <w:rFonts w:hint="eastAsia" w:ascii="宋体" w:hAnsi="宋体" w:cs="宋体"/>
          <w:color w:val="auto"/>
          <w:kern w:val="0"/>
          <w:sz w:val="24"/>
        </w:rPr>
        <w:t xml:space="preserve">                                企业名称（盖章）： </w:t>
      </w:r>
    </w:p>
    <w:p>
      <w:pPr>
        <w:widowControl/>
        <w:spacing w:line="360" w:lineRule="auto"/>
        <w:jc w:val="center"/>
        <w:rPr>
          <w:rFonts w:ascii="宋体" w:hAnsi="宋体" w:cs="宋体"/>
          <w:color w:val="auto"/>
          <w:sz w:val="24"/>
        </w:rPr>
      </w:pPr>
      <w:r>
        <w:rPr>
          <w:rFonts w:hint="eastAsia" w:ascii="宋体" w:hAnsi="宋体" w:cs="宋体"/>
          <w:color w:val="auto"/>
          <w:kern w:val="0"/>
          <w:sz w:val="24"/>
        </w:rPr>
        <w:t xml:space="preserve">                     日 期：</w:t>
      </w:r>
    </w:p>
    <w:p>
      <w:pPr>
        <w:pStyle w:val="65"/>
        <w:spacing w:line="360" w:lineRule="auto"/>
        <w:rPr>
          <w:rFonts w:ascii="宋体" w:hAnsi="宋体" w:cs="宋体"/>
          <w:color w:val="auto"/>
          <w:sz w:val="24"/>
        </w:rPr>
      </w:pPr>
    </w:p>
    <w:p>
      <w:pPr>
        <w:pStyle w:val="12"/>
        <w:spacing w:line="360" w:lineRule="auto"/>
        <w:ind w:firstLine="480" w:firstLineChars="200"/>
        <w:jc w:val="left"/>
        <w:rPr>
          <w:b/>
          <w:color w:val="auto"/>
          <w:szCs w:val="21"/>
        </w:rPr>
      </w:pPr>
      <w:r>
        <w:rPr>
          <w:rFonts w:hint="eastAsia"/>
          <w:color w:val="auto"/>
          <w:szCs w:val="21"/>
        </w:rPr>
        <w:t>注：1.</w:t>
      </w:r>
      <w:r>
        <w:rPr>
          <w:rFonts w:hint="eastAsia" w:ascii="宋体" w:cs="宋体"/>
          <w:color w:val="auto"/>
          <w:spacing w:val="20"/>
          <w:kern w:val="0"/>
          <w:szCs w:val="21"/>
        </w:rPr>
        <w:t>须</w:t>
      </w:r>
      <w:r>
        <w:rPr>
          <w:rFonts w:hint="eastAsia" w:ascii="宋体" w:hAnsi="宋体" w:cs="宋体"/>
          <w:color w:val="auto"/>
          <w:spacing w:val="20"/>
          <w:kern w:val="0"/>
          <w:szCs w:val="21"/>
        </w:rPr>
        <w:t>提供国家企业信用信息公示系统——小微企业名录”页面查询结果</w:t>
      </w:r>
      <w:r>
        <w:rPr>
          <w:rFonts w:hint="eastAsia" w:ascii="宋体" w:hAnsi="宋体" w:cs="宋体"/>
          <w:b/>
          <w:bCs/>
          <w:color w:val="auto"/>
          <w:spacing w:val="20"/>
          <w:kern w:val="0"/>
          <w:szCs w:val="21"/>
        </w:rPr>
        <w:t>（查询时间为投标前一周内，并加盖单位公章）</w:t>
      </w:r>
      <w:r>
        <w:rPr>
          <w:rFonts w:hint="eastAsia" w:ascii="宋体" w:hAnsi="宋体" w:cs="宋体"/>
          <w:color w:val="auto"/>
          <w:spacing w:val="20"/>
          <w:kern w:val="0"/>
          <w:szCs w:val="21"/>
        </w:rPr>
        <w:t>等相关证明材料</w:t>
      </w:r>
      <w:r>
        <w:rPr>
          <w:rFonts w:hint="eastAsia" w:ascii="宋体" w:cs="宋体"/>
          <w:color w:val="auto"/>
          <w:spacing w:val="20"/>
          <w:kern w:val="0"/>
          <w:szCs w:val="21"/>
        </w:rPr>
        <w:t>，</w:t>
      </w:r>
      <w:r>
        <w:rPr>
          <w:rFonts w:hint="eastAsia" w:ascii="Arial" w:hAnsi="Arial" w:cs="Arial"/>
          <w:b/>
          <w:bCs/>
          <w:color w:val="auto"/>
          <w:sz w:val="28"/>
          <w:szCs w:val="28"/>
          <w:u w:val="single"/>
        </w:rPr>
        <w:t>*</w:t>
      </w:r>
      <w:r>
        <w:rPr>
          <w:rFonts w:hint="eastAsia" w:ascii="Arial" w:hAnsi="Arial" w:cs="Arial"/>
          <w:b/>
          <w:bCs/>
          <w:color w:val="auto"/>
          <w:szCs w:val="21"/>
          <w:u w:val="single"/>
          <w:lang w:val="zh-CN"/>
        </w:rPr>
        <w:t>以上证明材料不提供的视为自动放弃优惠政策</w:t>
      </w:r>
      <w:r>
        <w:rPr>
          <w:rFonts w:hint="eastAsia"/>
          <w:b/>
          <w:color w:val="auto"/>
          <w:szCs w:val="21"/>
        </w:rPr>
        <w:t>。</w:t>
      </w:r>
    </w:p>
    <w:p>
      <w:pPr>
        <w:pStyle w:val="12"/>
        <w:spacing w:line="360" w:lineRule="auto"/>
        <w:ind w:firstLine="560" w:firstLineChars="200"/>
        <w:jc w:val="left"/>
        <w:rPr>
          <w:rFonts w:ascii="宋体" w:hAnsi="宋体" w:cs="宋体"/>
          <w:color w:val="auto"/>
          <w:spacing w:val="20"/>
          <w:kern w:val="0"/>
          <w:szCs w:val="21"/>
        </w:rPr>
      </w:pPr>
      <w:r>
        <w:rPr>
          <w:rFonts w:hint="eastAsia" w:ascii="宋体" w:hAnsi="宋体" w:cs="宋体"/>
          <w:color w:val="auto"/>
          <w:spacing w:val="20"/>
          <w:kern w:val="0"/>
          <w:szCs w:val="21"/>
        </w:rPr>
        <w:t>2.从业人员、营业收入、资产总额填报上一年度数据，无上一年度数据的新成立企业可不填报。</w:t>
      </w:r>
    </w:p>
    <w:p>
      <w:pPr>
        <w:pStyle w:val="13"/>
        <w:adjustRightInd w:val="0"/>
        <w:spacing w:line="240" w:lineRule="auto"/>
        <w:ind w:firstLine="560" w:firstLineChars="200"/>
        <w:rPr>
          <w:rFonts w:ascii="宋体" w:hAnsi="宋体" w:cs="宋体"/>
          <w:color w:val="auto"/>
          <w:spacing w:val="20"/>
          <w:kern w:val="0"/>
          <w:sz w:val="24"/>
          <w:szCs w:val="21"/>
        </w:rPr>
      </w:pPr>
      <w:r>
        <w:rPr>
          <w:rFonts w:hint="eastAsia" w:ascii="宋体" w:hAnsi="宋体" w:cs="宋体"/>
          <w:color w:val="auto"/>
          <w:spacing w:val="20"/>
          <w:kern w:val="0"/>
          <w:sz w:val="24"/>
          <w:szCs w:val="21"/>
        </w:rPr>
        <w:t xml:space="preserve"> </w:t>
      </w:r>
    </w:p>
    <w:p>
      <w:pPr>
        <w:rPr>
          <w:rFonts w:ascii="宋体" w:hAnsi="宋体" w:cs="宋体"/>
          <w:b/>
          <w:color w:val="auto"/>
          <w:sz w:val="32"/>
          <w:szCs w:val="32"/>
          <w:lang w:val="en-GB"/>
        </w:rPr>
      </w:pPr>
      <w:r>
        <w:rPr>
          <w:rFonts w:hint="eastAsia" w:ascii="宋体" w:hAnsi="宋体" w:cs="宋体"/>
          <w:b/>
          <w:color w:val="auto"/>
          <w:sz w:val="32"/>
          <w:szCs w:val="32"/>
          <w:lang w:val="en-GB"/>
        </w:rPr>
        <w:br w:type="page"/>
      </w:r>
    </w:p>
    <w:p>
      <w:pPr>
        <w:spacing w:line="360" w:lineRule="auto"/>
        <w:ind w:left="-2" w:hanging="2"/>
        <w:jc w:val="center"/>
        <w:rPr>
          <w:rFonts w:ascii="宋体" w:hAnsi="宋体" w:cs="宋体"/>
          <w:b/>
          <w:color w:val="auto"/>
          <w:sz w:val="32"/>
          <w:szCs w:val="32"/>
          <w:lang w:val="en-GB"/>
        </w:rPr>
      </w:pPr>
    </w:p>
    <w:p>
      <w:pPr>
        <w:spacing w:line="360" w:lineRule="auto"/>
        <w:ind w:left="-2" w:hanging="2"/>
        <w:jc w:val="center"/>
        <w:rPr>
          <w:rFonts w:ascii="宋体" w:hAnsi="宋体" w:cs="宋体"/>
          <w:b/>
          <w:color w:val="auto"/>
          <w:sz w:val="32"/>
          <w:szCs w:val="32"/>
          <w:lang w:val="en-GB"/>
        </w:rPr>
      </w:pPr>
      <w:r>
        <w:rPr>
          <w:rFonts w:hint="eastAsia" w:ascii="宋体" w:hAnsi="宋体" w:cs="宋体"/>
          <w:b/>
          <w:color w:val="auto"/>
          <w:sz w:val="32"/>
          <w:szCs w:val="32"/>
          <w:lang w:val="en-GB"/>
        </w:rPr>
        <w:t>残疾人福利性单位声明函（</w:t>
      </w:r>
      <w:r>
        <w:rPr>
          <w:rFonts w:hint="eastAsia" w:ascii="宋体" w:hAnsi="宋体" w:cs="宋体"/>
          <w:b/>
          <w:color w:val="auto"/>
          <w:sz w:val="32"/>
          <w:szCs w:val="32"/>
        </w:rPr>
        <w:t>如有</w:t>
      </w:r>
      <w:r>
        <w:rPr>
          <w:rFonts w:hint="eastAsia" w:ascii="宋体" w:hAnsi="宋体" w:cs="宋体"/>
          <w:b/>
          <w:color w:val="auto"/>
          <w:sz w:val="32"/>
          <w:szCs w:val="32"/>
          <w:lang w:val="en-GB"/>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2880" w:firstLineChars="1200"/>
        <w:rPr>
          <w:rFonts w:ascii="宋体" w:hAnsi="宋体" w:cs="宋体"/>
          <w:color w:val="auto"/>
          <w:sz w:val="24"/>
          <w:szCs w:val="32"/>
        </w:rPr>
      </w:pPr>
      <w:r>
        <w:rPr>
          <w:rFonts w:hint="eastAsia" w:ascii="宋体" w:hAnsi="宋体" w:cs="宋体"/>
          <w:color w:val="auto"/>
          <w:sz w:val="24"/>
          <w:szCs w:val="32"/>
        </w:rPr>
        <w:t>单位名称（单位公章）：</w:t>
      </w:r>
    </w:p>
    <w:p>
      <w:pPr>
        <w:pStyle w:val="65"/>
        <w:spacing w:line="360" w:lineRule="auto"/>
        <w:ind w:left="4253" w:leftChars="2025" w:right="360"/>
        <w:jc w:val="right"/>
        <w:rPr>
          <w:rFonts w:ascii="宋体" w:hAnsi="宋体" w:cs="宋体"/>
          <w:color w:val="auto"/>
          <w:spacing w:val="6"/>
          <w:sz w:val="24"/>
        </w:rPr>
      </w:pPr>
      <w:r>
        <w:rPr>
          <w:rFonts w:hint="eastAsia" w:ascii="宋体" w:hAnsi="宋体" w:cs="宋体"/>
          <w:color w:val="auto"/>
          <w:sz w:val="24"/>
          <w:szCs w:val="32"/>
        </w:rPr>
        <w:t>日期：</w:t>
      </w:r>
      <w:r>
        <w:rPr>
          <w:rFonts w:hint="eastAsia" w:ascii="宋体" w:hAnsi="宋体" w:cs="宋体"/>
          <w:color w:val="auto"/>
          <w:sz w:val="24"/>
          <w:szCs w:val="32"/>
          <w:u w:val="single"/>
        </w:rPr>
        <w:t xml:space="preserve">      </w:t>
      </w:r>
      <w:r>
        <w:rPr>
          <w:rFonts w:hint="eastAsia" w:ascii="宋体" w:hAnsi="宋体" w:cs="宋体"/>
          <w:color w:val="auto"/>
          <w:sz w:val="24"/>
        </w:rPr>
        <w:t>年</w:t>
      </w:r>
      <w:r>
        <w:rPr>
          <w:rFonts w:hint="eastAsia" w:ascii="宋体" w:hAnsi="宋体" w:cs="宋体"/>
          <w:color w:val="auto"/>
          <w:sz w:val="24"/>
          <w:szCs w:val="32"/>
          <w:u w:val="single"/>
        </w:rPr>
        <w:t xml:space="preserve">    </w:t>
      </w:r>
      <w:r>
        <w:rPr>
          <w:rFonts w:hint="eastAsia" w:ascii="宋体" w:hAnsi="宋体" w:cs="宋体"/>
          <w:color w:val="auto"/>
          <w:sz w:val="24"/>
        </w:rPr>
        <w:t>月</w:t>
      </w:r>
      <w:r>
        <w:rPr>
          <w:rFonts w:hint="eastAsia" w:ascii="宋体" w:hAnsi="宋体" w:cs="宋体"/>
          <w:color w:val="auto"/>
          <w:sz w:val="24"/>
          <w:szCs w:val="32"/>
          <w:u w:val="single"/>
        </w:rPr>
        <w:t xml:space="preserve">    </w:t>
      </w:r>
      <w:r>
        <w:rPr>
          <w:rFonts w:hint="eastAsia" w:ascii="宋体" w:hAnsi="宋体" w:cs="宋体"/>
          <w:color w:val="auto"/>
          <w:sz w:val="24"/>
        </w:rPr>
        <w:t>日</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rPr>
          <w:rFonts w:ascii="宋体" w:hAnsi="宋体" w:cs="宋体"/>
          <w:color w:val="auto"/>
          <w:sz w:val="24"/>
        </w:rPr>
      </w:pPr>
      <w:r>
        <w:rPr>
          <w:rFonts w:ascii="宋体" w:hAnsi="宋体" w:cs="宋体"/>
          <w:color w:val="auto"/>
          <w:sz w:val="24"/>
        </w:rPr>
        <w:br w:type="page"/>
      </w:r>
    </w:p>
    <w:p>
      <w:pPr>
        <w:tabs>
          <w:tab w:val="left" w:pos="2460"/>
        </w:tabs>
        <w:spacing w:line="360" w:lineRule="auto"/>
        <w:rPr>
          <w:rFonts w:ascii="宋体" w:hAnsi="宋体" w:cs="宋体"/>
          <w:b/>
          <w:color w:val="auto"/>
          <w:sz w:val="28"/>
        </w:rPr>
      </w:pPr>
      <w:r>
        <w:rPr>
          <w:rFonts w:hint="eastAsia" w:ascii="宋体" w:hAnsi="宋体" w:cs="宋体"/>
          <w:b/>
          <w:color w:val="auto"/>
          <w:sz w:val="28"/>
        </w:rPr>
        <w:t>附件15</w:t>
      </w:r>
    </w:p>
    <w:p>
      <w:pPr>
        <w:spacing w:line="360" w:lineRule="auto"/>
        <w:jc w:val="center"/>
        <w:rPr>
          <w:rFonts w:ascii="宋体" w:hAnsi="宋体" w:cs="宋体"/>
          <w:color w:val="auto"/>
          <w:sz w:val="24"/>
        </w:rPr>
      </w:pPr>
      <w:r>
        <w:rPr>
          <w:rFonts w:hint="eastAsia" w:ascii="宋体" w:hAnsi="宋体" w:cs="宋体"/>
          <w:b/>
          <w:color w:val="auto"/>
          <w:sz w:val="32"/>
          <w:szCs w:val="32"/>
          <w:lang w:val="en-GB"/>
        </w:rPr>
        <w:t>产品适用政府采购政策情况表（</w:t>
      </w:r>
      <w:r>
        <w:rPr>
          <w:rFonts w:hint="eastAsia" w:ascii="宋体" w:hAnsi="宋体" w:cs="宋体"/>
          <w:b/>
          <w:color w:val="auto"/>
          <w:sz w:val="32"/>
          <w:szCs w:val="32"/>
        </w:rPr>
        <w:t>如有</w:t>
      </w:r>
      <w:r>
        <w:rPr>
          <w:rFonts w:hint="eastAsia" w:ascii="宋体" w:hAnsi="宋体" w:cs="宋体"/>
          <w:b/>
          <w:color w:val="auto"/>
          <w:sz w:val="32"/>
          <w:szCs w:val="32"/>
          <w:lang w:val="en-GB"/>
        </w:rPr>
        <w:t>）</w:t>
      </w:r>
    </w:p>
    <w:p>
      <w:pPr>
        <w:spacing w:line="360" w:lineRule="auto"/>
        <w:ind w:firstLine="480" w:firstLineChars="200"/>
        <w:rPr>
          <w:rFonts w:ascii="宋体" w:hAnsi="宋体" w:cs="宋体"/>
          <w:color w:val="auto"/>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rPr>
                <w:rFonts w:ascii="宋体" w:hAnsi="宋体" w:cs="宋体"/>
                <w:color w:val="auto"/>
                <w:sz w:val="24"/>
              </w:rPr>
            </w:pPr>
          </w:p>
          <w:p>
            <w:pPr>
              <w:rPr>
                <w:rFonts w:ascii="宋体" w:hAnsi="宋体" w:cs="宋体"/>
                <w:color w:val="auto"/>
                <w:sz w:val="24"/>
              </w:rPr>
            </w:pPr>
          </w:p>
          <w:p>
            <w:pPr>
              <w:jc w:val="center"/>
              <w:rPr>
                <w:rFonts w:ascii="宋体" w:hAnsi="宋体" w:cs="宋体"/>
                <w:color w:val="auto"/>
                <w:sz w:val="24"/>
                <w:lang w:val="en-GB"/>
              </w:rPr>
            </w:pPr>
            <w:r>
              <w:rPr>
                <w:rFonts w:hint="eastAsia" w:ascii="宋体" w:hAnsi="宋体" w:cs="宋体"/>
                <w:color w:val="auto"/>
                <w:sz w:val="24"/>
                <w:lang w:val="en-GB"/>
              </w:rPr>
              <w:t>小微企业扶持政策</w:t>
            </w:r>
          </w:p>
        </w:tc>
        <w:tc>
          <w:tcPr>
            <w:tcW w:w="8111" w:type="dxa"/>
            <w:gridSpan w:val="3"/>
            <w:vAlign w:val="center"/>
          </w:tcPr>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b/>
                      <w:bCs/>
                      <w:color w:val="auto"/>
                      <w:sz w:val="24"/>
                    </w:rPr>
                    <w:t>小型、微型企业投标且所投产品（指货物、工程、服务）由本企业制造，或者所投产品（仅指货物）含有其他小型、微型企业制造的，应</w:t>
                  </w:r>
                  <w:r>
                    <w:rPr>
                      <w:rFonts w:hint="eastAsia" w:ascii="宋体" w:hAnsi="宋体" w:cs="宋体"/>
                      <w:b/>
                      <w:bCs/>
                      <w:color w:val="auto"/>
                      <w:sz w:val="24"/>
                      <w:lang w:val="en-GB"/>
                    </w:rPr>
                    <w:t>按要求列出具体产品与金额。</w:t>
                  </w:r>
                </w:p>
              </w:tc>
            </w:tr>
          </w:tbl>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rFonts w:ascii="宋体" w:hAnsi="宋体" w:cs="宋体"/>
                <w:color w:val="auto"/>
                <w:sz w:val="24"/>
                <w:lang w:val="en-GB"/>
              </w:rPr>
            </w:pPr>
          </w:p>
        </w:tc>
        <w:tc>
          <w:tcPr>
            <w:tcW w:w="2679" w:type="dxa"/>
            <w:vAlign w:val="center"/>
          </w:tcPr>
          <w:p>
            <w:pPr>
              <w:jc w:val="center"/>
              <w:rPr>
                <w:rFonts w:ascii="宋体" w:hAnsi="宋体" w:cs="宋体"/>
                <w:color w:val="auto"/>
                <w:sz w:val="24"/>
                <w:lang w:val="en-GB"/>
              </w:rPr>
            </w:pPr>
            <w:r>
              <w:rPr>
                <w:rFonts w:hint="eastAsia" w:ascii="宋体" w:hAnsi="宋体" w:cs="宋体"/>
                <w:color w:val="auto"/>
                <w:sz w:val="24"/>
                <w:lang w:val="en-GB"/>
              </w:rPr>
              <w:t>产品名称（品牌、型号）</w:t>
            </w:r>
          </w:p>
        </w:tc>
        <w:tc>
          <w:tcPr>
            <w:tcW w:w="3811" w:type="dxa"/>
            <w:vAlign w:val="center"/>
          </w:tcPr>
          <w:p>
            <w:pPr>
              <w:jc w:val="center"/>
              <w:rPr>
                <w:rFonts w:ascii="宋体" w:hAnsi="宋体" w:cs="宋体"/>
                <w:color w:val="auto"/>
                <w:sz w:val="24"/>
                <w:lang w:val="en-GB"/>
              </w:rPr>
            </w:pPr>
            <w:r>
              <w:rPr>
                <w:rFonts w:hint="eastAsia" w:ascii="宋体" w:hAnsi="宋体" w:cs="宋体"/>
                <w:color w:val="auto"/>
                <w:sz w:val="24"/>
                <w:lang w:val="en-GB"/>
              </w:rPr>
              <w:t>制造企业名称</w:t>
            </w:r>
          </w:p>
        </w:tc>
        <w:tc>
          <w:tcPr>
            <w:tcW w:w="1621" w:type="dxa"/>
            <w:vAlign w:val="center"/>
          </w:tcPr>
          <w:p>
            <w:pPr>
              <w:jc w:val="center"/>
              <w:rPr>
                <w:rFonts w:ascii="宋体" w:hAnsi="宋体" w:cs="宋体"/>
                <w:color w:val="auto"/>
                <w:sz w:val="24"/>
                <w:lang w:val="en-GB"/>
              </w:rPr>
            </w:pPr>
            <w:r>
              <w:rPr>
                <w:rFonts w:hint="eastAsia" w:ascii="宋体" w:hAnsi="宋体" w:cs="宋体"/>
                <w:color w:val="auto"/>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rFonts w:ascii="宋体" w:hAnsi="宋体" w:cs="宋体"/>
                <w:color w:val="auto"/>
                <w:sz w:val="24"/>
                <w:lang w:val="en-GB"/>
              </w:rPr>
            </w:pPr>
          </w:p>
        </w:tc>
        <w:tc>
          <w:tcPr>
            <w:tcW w:w="2679" w:type="dxa"/>
            <w:vAlign w:val="center"/>
          </w:tcPr>
          <w:p>
            <w:pPr>
              <w:rPr>
                <w:rFonts w:ascii="宋体" w:hAnsi="宋体" w:cs="宋体"/>
                <w:color w:val="auto"/>
                <w:sz w:val="24"/>
                <w:lang w:val="en-GB"/>
              </w:rPr>
            </w:pPr>
          </w:p>
        </w:tc>
        <w:tc>
          <w:tcPr>
            <w:tcW w:w="3811" w:type="dxa"/>
            <w:vAlign w:val="center"/>
          </w:tcPr>
          <w:p>
            <w:pPr>
              <w:rPr>
                <w:rFonts w:ascii="宋体" w:hAnsi="宋体" w:cs="宋体"/>
                <w:color w:val="auto"/>
                <w:sz w:val="24"/>
                <w:lang w:val="en-GB"/>
              </w:rPr>
            </w:pPr>
          </w:p>
        </w:tc>
        <w:tc>
          <w:tcPr>
            <w:tcW w:w="1621" w:type="dxa"/>
            <w:vAlign w:val="center"/>
          </w:tcPr>
          <w:p>
            <w:pPr>
              <w:rPr>
                <w:rFonts w:ascii="宋体" w:hAnsi="宋体" w:cs="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rFonts w:ascii="宋体" w:hAnsi="宋体" w:cs="宋体"/>
                <w:color w:val="auto"/>
                <w:sz w:val="24"/>
                <w:lang w:val="en-GB"/>
              </w:rPr>
            </w:pPr>
          </w:p>
        </w:tc>
        <w:tc>
          <w:tcPr>
            <w:tcW w:w="2679" w:type="dxa"/>
            <w:vAlign w:val="center"/>
          </w:tcPr>
          <w:p>
            <w:pPr>
              <w:rPr>
                <w:rFonts w:ascii="宋体" w:hAnsi="宋体" w:cs="宋体"/>
                <w:color w:val="auto"/>
                <w:sz w:val="24"/>
                <w:lang w:val="en-GB"/>
              </w:rPr>
            </w:pPr>
          </w:p>
        </w:tc>
        <w:tc>
          <w:tcPr>
            <w:tcW w:w="3811" w:type="dxa"/>
            <w:vAlign w:val="center"/>
          </w:tcPr>
          <w:p>
            <w:pPr>
              <w:rPr>
                <w:rFonts w:ascii="宋体" w:hAnsi="宋体" w:cs="宋体"/>
                <w:color w:val="auto"/>
                <w:sz w:val="24"/>
                <w:lang w:val="en-GB"/>
              </w:rPr>
            </w:pPr>
          </w:p>
        </w:tc>
        <w:tc>
          <w:tcPr>
            <w:tcW w:w="1621" w:type="dxa"/>
            <w:vAlign w:val="center"/>
          </w:tcPr>
          <w:p>
            <w:pPr>
              <w:rPr>
                <w:rFonts w:ascii="宋体" w:hAnsi="宋体" w:cs="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rFonts w:ascii="宋体" w:hAnsi="宋体" w:cs="宋体"/>
                <w:color w:val="auto"/>
                <w:sz w:val="24"/>
                <w:lang w:val="en-GB"/>
              </w:rPr>
            </w:pPr>
          </w:p>
        </w:tc>
        <w:tc>
          <w:tcPr>
            <w:tcW w:w="2679" w:type="dxa"/>
            <w:vAlign w:val="center"/>
          </w:tcPr>
          <w:p>
            <w:pPr>
              <w:rPr>
                <w:rFonts w:ascii="宋体" w:hAnsi="宋体" w:cs="宋体"/>
                <w:color w:val="auto"/>
                <w:sz w:val="24"/>
                <w:lang w:val="en-GB"/>
              </w:rPr>
            </w:pPr>
          </w:p>
        </w:tc>
        <w:tc>
          <w:tcPr>
            <w:tcW w:w="3811" w:type="dxa"/>
            <w:vAlign w:val="center"/>
          </w:tcPr>
          <w:p>
            <w:pPr>
              <w:rPr>
                <w:rFonts w:ascii="宋体" w:hAnsi="宋体" w:cs="宋体"/>
                <w:color w:val="auto"/>
                <w:sz w:val="24"/>
                <w:lang w:val="en-GB"/>
              </w:rPr>
            </w:pPr>
          </w:p>
        </w:tc>
        <w:tc>
          <w:tcPr>
            <w:tcW w:w="1621" w:type="dxa"/>
            <w:vAlign w:val="center"/>
          </w:tcPr>
          <w:p>
            <w:pPr>
              <w:rPr>
                <w:rFonts w:ascii="宋体" w:hAnsi="宋体" w:cs="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rFonts w:ascii="宋体" w:hAnsi="宋体" w:cs="宋体"/>
                <w:color w:val="auto"/>
                <w:sz w:val="24"/>
                <w:lang w:val="en-GB"/>
              </w:rPr>
            </w:pPr>
          </w:p>
        </w:tc>
        <w:tc>
          <w:tcPr>
            <w:tcW w:w="2679" w:type="dxa"/>
            <w:vAlign w:val="center"/>
          </w:tcPr>
          <w:p>
            <w:pPr>
              <w:rPr>
                <w:rFonts w:ascii="宋体" w:hAnsi="宋体" w:cs="宋体"/>
                <w:color w:val="auto"/>
                <w:sz w:val="24"/>
                <w:lang w:val="en-GB"/>
              </w:rPr>
            </w:pPr>
          </w:p>
        </w:tc>
        <w:tc>
          <w:tcPr>
            <w:tcW w:w="3811" w:type="dxa"/>
            <w:vAlign w:val="center"/>
          </w:tcPr>
          <w:p>
            <w:pPr>
              <w:rPr>
                <w:rFonts w:ascii="宋体" w:hAnsi="宋体" w:cs="宋体"/>
                <w:color w:val="auto"/>
                <w:sz w:val="24"/>
                <w:lang w:val="en-GB"/>
              </w:rPr>
            </w:pPr>
          </w:p>
        </w:tc>
        <w:tc>
          <w:tcPr>
            <w:tcW w:w="1621" w:type="dxa"/>
            <w:vAlign w:val="center"/>
          </w:tcPr>
          <w:p>
            <w:pPr>
              <w:rPr>
                <w:rFonts w:ascii="宋体" w:hAnsi="宋体" w:cs="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rPr>
                <w:rFonts w:ascii="宋体" w:hAnsi="宋体" w:cs="宋体"/>
                <w:color w:val="auto"/>
                <w:sz w:val="24"/>
                <w:lang w:val="en-GB"/>
              </w:rPr>
            </w:pPr>
          </w:p>
        </w:tc>
        <w:tc>
          <w:tcPr>
            <w:tcW w:w="6490" w:type="dxa"/>
            <w:gridSpan w:val="2"/>
            <w:vAlign w:val="center"/>
          </w:tcPr>
          <w:p>
            <w:pPr>
              <w:rPr>
                <w:rFonts w:ascii="宋体" w:hAnsi="宋体" w:cs="宋体"/>
                <w:color w:val="auto"/>
                <w:sz w:val="24"/>
              </w:rPr>
            </w:pPr>
            <w:r>
              <w:rPr>
                <w:rFonts w:hint="eastAsia" w:ascii="宋体" w:hAnsi="宋体" w:cs="宋体"/>
                <w:color w:val="auto"/>
                <w:sz w:val="24"/>
              </w:rPr>
              <w:t>小型、微型企业产品</w:t>
            </w:r>
            <w:r>
              <w:rPr>
                <w:rFonts w:hint="eastAsia" w:ascii="宋体" w:hAnsi="宋体" w:cs="宋体"/>
                <w:color w:val="auto"/>
                <w:sz w:val="24"/>
                <w:lang w:val="en-GB"/>
              </w:rPr>
              <w:t>金额合计（元）</w:t>
            </w:r>
          </w:p>
        </w:tc>
        <w:tc>
          <w:tcPr>
            <w:tcW w:w="1621" w:type="dxa"/>
            <w:vAlign w:val="center"/>
          </w:tcPr>
          <w:p>
            <w:pPr>
              <w:rPr>
                <w:rFonts w:ascii="宋体" w:hAnsi="宋体" w:cs="宋体"/>
                <w:color w:val="auto"/>
                <w:sz w:val="24"/>
                <w:lang w:val="en-GB"/>
              </w:rPr>
            </w:pPr>
          </w:p>
        </w:tc>
      </w:tr>
    </w:tbl>
    <w:p>
      <w:pPr>
        <w:spacing w:line="360" w:lineRule="auto"/>
        <w:rPr>
          <w:rFonts w:ascii="宋体" w:hAnsi="宋体" w:cs="宋体"/>
          <w:color w:val="auto"/>
          <w:sz w:val="24"/>
          <w:szCs w:val="32"/>
          <w:lang w:val="en-GB"/>
        </w:rPr>
      </w:pPr>
    </w:p>
    <w:p>
      <w:pPr>
        <w:spacing w:line="360" w:lineRule="auto"/>
        <w:jc w:val="left"/>
        <w:rPr>
          <w:rFonts w:ascii="宋体" w:hAnsi="宋体" w:cs="宋体"/>
          <w:b/>
          <w:bCs/>
          <w:color w:val="auto"/>
          <w:sz w:val="24"/>
          <w:szCs w:val="32"/>
          <w:lang w:val="en-GB"/>
        </w:rPr>
      </w:pPr>
      <w:r>
        <w:rPr>
          <w:rFonts w:hint="eastAsia" w:ascii="宋体" w:hAnsi="宋体" w:cs="宋体"/>
          <w:b/>
          <w:bCs/>
          <w:color w:val="auto"/>
          <w:sz w:val="24"/>
          <w:szCs w:val="32"/>
          <w:lang w:val="en-GB"/>
        </w:rPr>
        <w:t>填报要求：</w:t>
      </w:r>
    </w:p>
    <w:p>
      <w:pPr>
        <w:spacing w:line="360" w:lineRule="auto"/>
        <w:ind w:firstLine="480" w:firstLineChars="200"/>
        <w:jc w:val="left"/>
        <w:rPr>
          <w:rFonts w:ascii="宋体" w:hAnsi="宋体" w:cs="宋体"/>
          <w:color w:val="auto"/>
          <w:sz w:val="24"/>
          <w:szCs w:val="32"/>
          <w:lang w:val="en-GB"/>
        </w:rPr>
      </w:pPr>
      <w:r>
        <w:rPr>
          <w:rFonts w:hint="eastAsia" w:ascii="宋体" w:hAnsi="宋体" w:cs="宋体"/>
          <w:color w:val="auto"/>
          <w:sz w:val="24"/>
          <w:szCs w:val="32"/>
        </w:rPr>
        <w:t>1.</w:t>
      </w:r>
      <w:r>
        <w:rPr>
          <w:rFonts w:hint="eastAsia" w:ascii="宋体" w:hAnsi="宋体" w:cs="宋体"/>
          <w:color w:val="auto"/>
          <w:sz w:val="24"/>
          <w:szCs w:val="32"/>
          <w:lang w:val="en-GB"/>
        </w:rPr>
        <w:t>本表的产品名称、规格型号和注册商标、金额要与《报价明细表》一致。</w:t>
      </w:r>
    </w:p>
    <w:p>
      <w:pPr>
        <w:spacing w:line="360" w:lineRule="auto"/>
        <w:ind w:firstLine="480" w:firstLineChars="200"/>
        <w:jc w:val="left"/>
        <w:rPr>
          <w:rFonts w:ascii="宋体" w:hAnsi="宋体" w:cs="宋体"/>
          <w:color w:val="auto"/>
          <w:sz w:val="24"/>
          <w:szCs w:val="32"/>
          <w:lang w:val="en-GB"/>
        </w:rPr>
      </w:pPr>
      <w:r>
        <w:rPr>
          <w:rFonts w:hint="eastAsia" w:ascii="宋体" w:hAnsi="宋体" w:cs="宋体"/>
          <w:color w:val="auto"/>
          <w:sz w:val="24"/>
          <w:szCs w:val="32"/>
        </w:rPr>
        <w:t>2.</w:t>
      </w:r>
      <w:r>
        <w:rPr>
          <w:rFonts w:hint="eastAsia" w:ascii="宋体" w:hAnsi="宋体" w:cs="宋体"/>
          <w:color w:val="auto"/>
          <w:sz w:val="24"/>
          <w:szCs w:val="32"/>
          <w:lang w:val="en-GB"/>
        </w:rPr>
        <w:t>制造商为小型或微型企业时才需要填“制造商企业类型”栏，填写内容为“小型”或“微型”。</w:t>
      </w:r>
    </w:p>
    <w:p>
      <w:pPr>
        <w:spacing w:line="360" w:lineRule="auto"/>
        <w:ind w:firstLine="480" w:firstLineChars="200"/>
        <w:jc w:val="left"/>
        <w:rPr>
          <w:rFonts w:ascii="宋体" w:hAnsi="宋体" w:cs="宋体"/>
          <w:color w:val="auto"/>
        </w:rPr>
      </w:pPr>
      <w:r>
        <w:rPr>
          <w:rFonts w:hint="eastAsia" w:ascii="宋体" w:hAnsi="宋体" w:cs="宋体"/>
          <w:color w:val="auto"/>
          <w:sz w:val="24"/>
          <w:szCs w:val="32"/>
        </w:rPr>
        <w:t>3.</w:t>
      </w:r>
      <w:r>
        <w:rPr>
          <w:rFonts w:hint="eastAsia" w:ascii="宋体" w:hAnsi="宋体" w:cs="宋体"/>
          <w:color w:val="auto"/>
          <w:sz w:val="24"/>
          <w:szCs w:val="32"/>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pStyle w:val="3"/>
        <w:rPr>
          <w:color w:val="auto"/>
        </w:rPr>
      </w:pPr>
    </w:p>
    <w:p>
      <w:pPr>
        <w:rPr>
          <w:rFonts w:ascii="宋体" w:hAnsi="宋体" w:cs="宋体"/>
          <w:color w:val="auto"/>
          <w:sz w:val="24"/>
        </w:rPr>
      </w:pPr>
      <w:r>
        <w:rPr>
          <w:rFonts w:ascii="宋体" w:hAnsi="宋体" w:cs="宋体"/>
          <w:color w:val="auto"/>
          <w:sz w:val="24"/>
        </w:rPr>
        <w:br w:type="page"/>
      </w:r>
    </w:p>
    <w:p>
      <w:pPr>
        <w:rPr>
          <w:rFonts w:ascii="宋体" w:hAnsi="宋体" w:cs="宋体"/>
          <w:b/>
          <w:color w:val="auto"/>
          <w:sz w:val="28"/>
        </w:rPr>
      </w:pPr>
      <w:r>
        <w:rPr>
          <w:rFonts w:hint="eastAsia" w:ascii="宋体" w:hAnsi="宋体" w:cs="宋体"/>
          <w:b/>
          <w:color w:val="auto"/>
          <w:sz w:val="28"/>
        </w:rPr>
        <w:t>附件16</w:t>
      </w:r>
    </w:p>
    <w:p>
      <w:pPr>
        <w:pStyle w:val="2"/>
        <w:rPr>
          <w:color w:val="auto"/>
        </w:rPr>
      </w:pPr>
    </w:p>
    <w:p>
      <w:pPr>
        <w:pStyle w:val="81"/>
        <w:widowControl w:val="0"/>
        <w:snapToGrid w:val="0"/>
        <w:spacing w:line="480" w:lineRule="auto"/>
        <w:jc w:val="center"/>
        <w:rPr>
          <w:rFonts w:hint="default" w:ascii="黑体" w:hAnsi="黑体" w:eastAsia="黑体" w:cs="黑体"/>
          <w:color w:val="auto"/>
          <w:kern w:val="0"/>
          <w:sz w:val="18"/>
          <w:szCs w:val="11"/>
        </w:rPr>
      </w:pPr>
      <w:r>
        <w:rPr>
          <w:rFonts w:ascii="黑体" w:hAnsi="黑体" w:eastAsia="黑体" w:cs="黑体"/>
          <w:color w:val="auto"/>
          <w:sz w:val="28"/>
          <w:szCs w:val="28"/>
        </w:rPr>
        <w:t>政府采购活动现场确认声明书</w:t>
      </w:r>
    </w:p>
    <w:p>
      <w:pPr>
        <w:pStyle w:val="81"/>
        <w:widowControl w:val="0"/>
        <w:snapToGrid w:val="0"/>
        <w:spacing w:line="420" w:lineRule="auto"/>
        <w:jc w:val="both"/>
        <w:rPr>
          <w:rFonts w:hint="default" w:ascii="黑体" w:hAnsi="黑体" w:eastAsia="黑体" w:cs="黑体"/>
          <w:b/>
          <w:color w:val="auto"/>
          <w:sz w:val="20"/>
          <w:szCs w:val="15"/>
        </w:rPr>
      </w:pPr>
      <w:r>
        <w:rPr>
          <w:rFonts w:ascii="黑体" w:hAnsi="黑体" w:eastAsia="黑体" w:cs="黑体"/>
          <w:color w:val="auto"/>
          <w:kern w:val="0"/>
          <w:sz w:val="20"/>
          <w:szCs w:val="13"/>
        </w:rPr>
        <w:t xml:space="preserve"> </w:t>
      </w:r>
      <w:r>
        <w:rPr>
          <w:rFonts w:ascii="黑体" w:hAnsi="黑体" w:eastAsia="黑体" w:cs="黑体"/>
          <w:color w:val="auto"/>
          <w:kern w:val="0"/>
          <w:sz w:val="20"/>
          <w:szCs w:val="13"/>
          <w:u w:val="single"/>
        </w:rPr>
        <w:t xml:space="preserve">                                     </w:t>
      </w:r>
      <w:r>
        <w:rPr>
          <w:rFonts w:ascii="黑体" w:hAnsi="黑体" w:eastAsia="黑体" w:cs="黑体"/>
          <w:color w:val="auto"/>
          <w:kern w:val="0"/>
          <w:sz w:val="20"/>
          <w:szCs w:val="15"/>
        </w:rPr>
        <w:t>（采购组织机构名称）：</w:t>
      </w:r>
    </w:p>
    <w:p>
      <w:pPr>
        <w:pStyle w:val="81"/>
        <w:widowControl w:val="0"/>
        <w:snapToGrid w:val="0"/>
        <w:spacing w:line="420" w:lineRule="auto"/>
        <w:ind w:firstLine="424" w:firstLineChars="200"/>
        <w:jc w:val="both"/>
        <w:rPr>
          <w:rFonts w:hint="default" w:ascii="黑体" w:hAnsi="黑体" w:eastAsia="黑体" w:cs="黑体"/>
          <w:color w:val="auto"/>
          <w:spacing w:val="6"/>
          <w:sz w:val="20"/>
          <w:szCs w:val="15"/>
        </w:rPr>
      </w:pPr>
      <w:r>
        <w:rPr>
          <w:rFonts w:ascii="黑体" w:hAnsi="黑体" w:eastAsia="黑体" w:cs="黑体"/>
          <w:color w:val="auto"/>
          <w:spacing w:val="6"/>
          <w:sz w:val="20"/>
          <w:szCs w:val="15"/>
        </w:rPr>
        <w:t>本人经由</w:t>
      </w:r>
      <w:r>
        <w:rPr>
          <w:rFonts w:ascii="黑体" w:hAnsi="黑体" w:eastAsia="黑体" w:cs="黑体"/>
          <w:color w:val="auto"/>
          <w:spacing w:val="6"/>
          <w:sz w:val="20"/>
          <w:szCs w:val="15"/>
          <w:u w:val="single"/>
        </w:rPr>
        <w:t xml:space="preserve">                  （单位）</w:t>
      </w:r>
      <w:r>
        <w:rPr>
          <w:rFonts w:ascii="黑体" w:hAnsi="黑体" w:eastAsia="黑体" w:cs="黑体"/>
          <w:color w:val="auto"/>
          <w:spacing w:val="6"/>
          <w:sz w:val="20"/>
          <w:szCs w:val="15"/>
        </w:rPr>
        <w:t>负责人</w:t>
      </w:r>
      <w:r>
        <w:rPr>
          <w:rFonts w:ascii="黑体" w:hAnsi="黑体" w:eastAsia="黑体" w:cs="黑体"/>
          <w:color w:val="auto"/>
          <w:spacing w:val="6"/>
          <w:sz w:val="20"/>
          <w:szCs w:val="15"/>
          <w:u w:val="single"/>
        </w:rPr>
        <w:t xml:space="preserve">        （姓名）</w:t>
      </w:r>
      <w:r>
        <w:rPr>
          <w:rFonts w:ascii="黑体" w:hAnsi="黑体" w:eastAsia="黑体" w:cs="黑体"/>
          <w:color w:val="auto"/>
          <w:spacing w:val="6"/>
          <w:sz w:val="20"/>
          <w:szCs w:val="15"/>
        </w:rPr>
        <w:t>合法授权参加</w:t>
      </w:r>
      <w:r>
        <w:rPr>
          <w:rFonts w:hint="eastAsia" w:ascii="黑体" w:hAnsi="黑体" w:eastAsia="黑体" w:cs="黑体"/>
          <w:color w:val="auto"/>
          <w:spacing w:val="6"/>
          <w:sz w:val="20"/>
          <w:szCs w:val="15"/>
          <w:u w:val="single"/>
          <w:lang w:eastAsia="zh-CN"/>
        </w:rPr>
        <w:t>椒江沿岸工业地块和河滩专项排查</w:t>
      </w:r>
      <w:r>
        <w:rPr>
          <w:rFonts w:ascii="黑体" w:hAnsi="黑体" w:eastAsia="黑体" w:cs="黑体"/>
          <w:color w:val="auto"/>
          <w:spacing w:val="6"/>
          <w:sz w:val="20"/>
          <w:szCs w:val="15"/>
        </w:rPr>
        <w:t>采购项目采购</w:t>
      </w:r>
      <w:r>
        <w:rPr>
          <w:rFonts w:ascii="黑体" w:hAnsi="黑体" w:eastAsia="黑体" w:cs="黑体"/>
          <w:color w:val="auto"/>
          <w:spacing w:val="6"/>
          <w:sz w:val="20"/>
          <w:szCs w:val="15"/>
          <w:u w:val="single"/>
        </w:rPr>
        <w:t xml:space="preserve">（编号：          </w:t>
      </w:r>
      <w:r>
        <w:rPr>
          <w:rFonts w:ascii="黑体" w:hAnsi="黑体" w:eastAsia="黑体" w:cs="黑体"/>
          <w:color w:val="auto"/>
          <w:spacing w:val="6"/>
          <w:sz w:val="20"/>
          <w:szCs w:val="15"/>
        </w:rPr>
        <w:t xml:space="preserve">）政府采购活动，经与本单位法人代表（负责人）联系确认，现就有关公平竞争事项郑重声明如下： </w:t>
      </w:r>
    </w:p>
    <w:p>
      <w:pPr>
        <w:pStyle w:val="82"/>
        <w:widowControl/>
        <w:numPr>
          <w:ilvl w:val="0"/>
          <w:numId w:val="3"/>
        </w:numPr>
        <w:snapToGrid w:val="0"/>
        <w:spacing w:line="420" w:lineRule="auto"/>
        <w:ind w:firstLine="378" w:firstLineChars="189"/>
        <w:rPr>
          <w:rFonts w:hint="default" w:ascii="黑体" w:hAnsi="黑体" w:eastAsia="黑体" w:cs="黑体"/>
          <w:color w:val="auto"/>
          <w:kern w:val="0"/>
          <w:sz w:val="20"/>
          <w:szCs w:val="15"/>
        </w:rPr>
      </w:pPr>
      <w:r>
        <w:rPr>
          <w:rFonts w:ascii="黑体" w:hAnsi="黑体" w:eastAsia="黑体" w:cs="黑体"/>
          <w:color w:val="auto"/>
          <w:kern w:val="0"/>
          <w:sz w:val="20"/>
          <w:szCs w:val="15"/>
        </w:rPr>
        <w:t xml:space="preserve">本单位与采购人之间 </w:t>
      </w:r>
      <w:r>
        <w:rPr>
          <w:rFonts w:ascii="黑体" w:hAnsi="黑体" w:eastAsia="黑体" w:cs="黑体"/>
          <w:color w:val="auto"/>
          <w:kern w:val="0"/>
          <w:sz w:val="20"/>
          <w:szCs w:val="15"/>
        </w:rPr>
        <w:sym w:font="Wingdings 2" w:char="00A3"/>
      </w:r>
      <w:r>
        <w:rPr>
          <w:rFonts w:ascii="黑体" w:hAnsi="黑体" w:eastAsia="黑体" w:cs="黑体"/>
          <w:color w:val="auto"/>
          <w:kern w:val="0"/>
          <w:sz w:val="20"/>
          <w:szCs w:val="15"/>
        </w:rPr>
        <w:t>不存在利害关系 □存在下列利害关系</w:t>
      </w:r>
      <w:r>
        <w:rPr>
          <w:rFonts w:ascii="黑体" w:hAnsi="黑体" w:eastAsia="黑体" w:cs="黑体"/>
          <w:color w:val="auto"/>
          <w:kern w:val="0"/>
          <w:sz w:val="20"/>
          <w:szCs w:val="15"/>
          <w:u w:val="single"/>
        </w:rPr>
        <w:t xml:space="preserve">           </w:t>
      </w:r>
      <w:r>
        <w:rPr>
          <w:rFonts w:ascii="黑体" w:hAnsi="黑体" w:eastAsia="黑体" w:cs="黑体"/>
          <w:color w:val="auto"/>
          <w:kern w:val="0"/>
          <w:sz w:val="20"/>
          <w:szCs w:val="15"/>
        </w:rPr>
        <w:t>：</w:t>
      </w:r>
    </w:p>
    <w:p>
      <w:pPr>
        <w:pStyle w:val="82"/>
        <w:widowControl/>
        <w:snapToGrid w:val="0"/>
        <w:spacing w:line="420" w:lineRule="auto"/>
        <w:rPr>
          <w:rFonts w:hint="default" w:ascii="黑体" w:hAnsi="黑体" w:eastAsia="黑体" w:cs="黑体"/>
          <w:color w:val="auto"/>
          <w:kern w:val="0"/>
          <w:sz w:val="20"/>
          <w:szCs w:val="15"/>
        </w:rPr>
      </w:pPr>
      <w:r>
        <w:rPr>
          <w:rFonts w:ascii="黑体" w:hAnsi="黑体" w:eastAsia="黑体" w:cs="黑体"/>
          <w:color w:val="auto"/>
          <w:kern w:val="0"/>
          <w:sz w:val="20"/>
          <w:szCs w:val="15"/>
        </w:rPr>
        <w:t xml:space="preserve">  A.投资关系    B.行政隶属关系    C.业务指导关系</w:t>
      </w:r>
    </w:p>
    <w:p>
      <w:pPr>
        <w:pStyle w:val="82"/>
        <w:widowControl/>
        <w:snapToGrid w:val="0"/>
        <w:spacing w:line="420" w:lineRule="auto"/>
        <w:rPr>
          <w:rFonts w:hint="default" w:ascii="黑体" w:hAnsi="黑体" w:eastAsia="黑体" w:cs="黑体"/>
          <w:color w:val="auto"/>
          <w:kern w:val="0"/>
          <w:sz w:val="20"/>
          <w:szCs w:val="15"/>
        </w:rPr>
      </w:pPr>
      <w:r>
        <w:rPr>
          <w:rFonts w:ascii="黑体" w:hAnsi="黑体" w:eastAsia="黑体" w:cs="黑体"/>
          <w:color w:val="auto"/>
          <w:kern w:val="0"/>
          <w:sz w:val="20"/>
          <w:szCs w:val="15"/>
        </w:rPr>
        <w:t xml:space="preserve">  D.其他可能</w:t>
      </w:r>
      <w:r>
        <w:rPr>
          <w:rFonts w:ascii="黑体" w:hAnsi="黑体" w:eastAsia="黑体" w:cs="黑体"/>
          <w:color w:val="auto"/>
          <w:sz w:val="20"/>
          <w:szCs w:val="15"/>
        </w:rPr>
        <w:t>影响采购公正的</w:t>
      </w:r>
      <w:r>
        <w:rPr>
          <w:rFonts w:ascii="黑体" w:hAnsi="黑体" w:eastAsia="黑体" w:cs="黑体"/>
          <w:color w:val="auto"/>
          <w:kern w:val="0"/>
          <w:sz w:val="20"/>
          <w:szCs w:val="15"/>
        </w:rPr>
        <w:t>利害关系</w:t>
      </w:r>
      <w:r>
        <w:rPr>
          <w:rFonts w:ascii="黑体" w:hAnsi="黑体" w:eastAsia="黑体" w:cs="黑体"/>
          <w:color w:val="auto"/>
          <w:kern w:val="0"/>
          <w:sz w:val="20"/>
          <w:szCs w:val="15"/>
          <w:u w:val="single"/>
        </w:rPr>
        <w:t xml:space="preserve">（如有，请如实说明）                 </w:t>
      </w:r>
      <w:r>
        <w:rPr>
          <w:rFonts w:ascii="黑体" w:hAnsi="黑体" w:eastAsia="黑体" w:cs="黑体"/>
          <w:color w:val="auto"/>
          <w:kern w:val="0"/>
          <w:sz w:val="20"/>
          <w:szCs w:val="15"/>
        </w:rPr>
        <w:t>。</w:t>
      </w:r>
    </w:p>
    <w:p>
      <w:pPr>
        <w:pStyle w:val="82"/>
        <w:widowControl/>
        <w:snapToGrid w:val="0"/>
        <w:spacing w:line="420" w:lineRule="auto"/>
        <w:rPr>
          <w:rFonts w:hint="default" w:ascii="黑体" w:hAnsi="黑体" w:eastAsia="黑体" w:cs="黑体"/>
          <w:color w:val="auto"/>
          <w:kern w:val="0"/>
          <w:sz w:val="20"/>
          <w:szCs w:val="15"/>
        </w:rPr>
      </w:pPr>
      <w:r>
        <w:rPr>
          <w:rFonts w:ascii="黑体" w:hAnsi="黑体" w:eastAsia="黑体" w:cs="黑体"/>
          <w:color w:val="auto"/>
          <w:spacing w:val="6"/>
          <w:sz w:val="20"/>
          <w:szCs w:val="15"/>
        </w:rPr>
        <w:t xml:space="preserve">  二、</w:t>
      </w:r>
      <w:r>
        <w:rPr>
          <w:rFonts w:ascii="黑体" w:hAnsi="黑体" w:eastAsia="黑体" w:cs="黑体"/>
          <w:color w:val="auto"/>
          <w:kern w:val="0"/>
          <w:sz w:val="20"/>
          <w:szCs w:val="15"/>
        </w:rPr>
        <w:t xml:space="preserve">现已清楚知道参加本项目采购活动的其他所有供应商名称，本单位 □与其他所有供应商之间均不存在利害关系 </w:t>
      </w:r>
      <w:r>
        <w:rPr>
          <w:rFonts w:ascii="黑体" w:hAnsi="黑体" w:eastAsia="黑体" w:cs="黑体"/>
          <w:color w:val="auto"/>
          <w:kern w:val="0"/>
          <w:sz w:val="20"/>
          <w:szCs w:val="15"/>
        </w:rPr>
        <w:sym w:font="Wingdings 2" w:char="00A3"/>
      </w:r>
      <w:r>
        <w:rPr>
          <w:rFonts w:ascii="黑体" w:hAnsi="黑体" w:eastAsia="黑体" w:cs="黑体"/>
          <w:color w:val="auto"/>
          <w:kern w:val="0"/>
          <w:sz w:val="20"/>
          <w:szCs w:val="15"/>
        </w:rPr>
        <w:t>与</w:t>
      </w:r>
      <w:r>
        <w:rPr>
          <w:rFonts w:ascii="黑体" w:hAnsi="黑体" w:eastAsia="黑体" w:cs="黑体"/>
          <w:color w:val="auto"/>
          <w:kern w:val="0"/>
          <w:sz w:val="20"/>
          <w:szCs w:val="15"/>
          <w:u w:val="single"/>
        </w:rPr>
        <w:t xml:space="preserve">           （供应商名称）</w:t>
      </w:r>
      <w:r>
        <w:rPr>
          <w:rFonts w:ascii="黑体" w:hAnsi="黑体" w:eastAsia="黑体" w:cs="黑体"/>
          <w:color w:val="auto"/>
          <w:kern w:val="0"/>
          <w:sz w:val="20"/>
          <w:szCs w:val="15"/>
        </w:rPr>
        <w:t>之间存在下列利害关系</w:t>
      </w:r>
      <w:r>
        <w:rPr>
          <w:rFonts w:ascii="黑体" w:hAnsi="黑体" w:eastAsia="黑体" w:cs="黑体"/>
          <w:color w:val="auto"/>
          <w:kern w:val="0"/>
          <w:sz w:val="20"/>
          <w:szCs w:val="15"/>
          <w:u w:val="single"/>
        </w:rPr>
        <w:t xml:space="preserve">          </w:t>
      </w:r>
      <w:r>
        <w:rPr>
          <w:rFonts w:ascii="黑体" w:hAnsi="黑体" w:eastAsia="黑体" w:cs="黑体"/>
          <w:color w:val="auto"/>
          <w:kern w:val="0"/>
          <w:sz w:val="20"/>
          <w:szCs w:val="15"/>
        </w:rPr>
        <w:t>：</w:t>
      </w:r>
    </w:p>
    <w:p>
      <w:pPr>
        <w:pStyle w:val="81"/>
        <w:widowControl w:val="0"/>
        <w:snapToGrid w:val="0"/>
        <w:spacing w:line="420" w:lineRule="auto"/>
        <w:jc w:val="both"/>
        <w:rPr>
          <w:rFonts w:hint="default" w:ascii="黑体" w:hAnsi="黑体" w:eastAsia="黑体" w:cs="黑体"/>
          <w:color w:val="auto"/>
          <w:kern w:val="0"/>
          <w:sz w:val="20"/>
          <w:szCs w:val="15"/>
        </w:rPr>
      </w:pPr>
      <w:r>
        <w:rPr>
          <w:rFonts w:ascii="黑体" w:hAnsi="黑体" w:eastAsia="黑体" w:cs="黑体"/>
          <w:color w:val="auto"/>
          <w:kern w:val="0"/>
          <w:sz w:val="20"/>
          <w:szCs w:val="15"/>
        </w:rPr>
        <w:t xml:space="preserve">  A.法定代表人或负责人或实际控制人是同一人</w:t>
      </w:r>
    </w:p>
    <w:p>
      <w:pPr>
        <w:pStyle w:val="81"/>
        <w:widowControl w:val="0"/>
        <w:snapToGrid w:val="0"/>
        <w:spacing w:line="420" w:lineRule="auto"/>
        <w:jc w:val="both"/>
        <w:rPr>
          <w:rFonts w:hint="default" w:ascii="黑体" w:hAnsi="黑体" w:eastAsia="黑体" w:cs="黑体"/>
          <w:color w:val="auto"/>
          <w:spacing w:val="6"/>
          <w:sz w:val="20"/>
          <w:szCs w:val="15"/>
        </w:rPr>
      </w:pPr>
      <w:r>
        <w:rPr>
          <w:rFonts w:ascii="黑体" w:hAnsi="黑体" w:eastAsia="黑体" w:cs="黑体"/>
          <w:color w:val="auto"/>
          <w:kern w:val="0"/>
          <w:sz w:val="20"/>
          <w:szCs w:val="15"/>
        </w:rPr>
        <w:t xml:space="preserve">  B.法定代表人或负责人或实际控制人是夫妻关系</w:t>
      </w:r>
    </w:p>
    <w:p>
      <w:pPr>
        <w:pStyle w:val="81"/>
        <w:widowControl w:val="0"/>
        <w:snapToGrid w:val="0"/>
        <w:spacing w:line="420" w:lineRule="auto"/>
        <w:jc w:val="both"/>
        <w:rPr>
          <w:rFonts w:hint="default" w:ascii="黑体" w:hAnsi="黑体" w:eastAsia="黑体" w:cs="黑体"/>
          <w:color w:val="auto"/>
          <w:spacing w:val="6"/>
          <w:sz w:val="20"/>
          <w:szCs w:val="15"/>
        </w:rPr>
      </w:pPr>
      <w:r>
        <w:rPr>
          <w:rFonts w:ascii="黑体" w:hAnsi="黑体" w:eastAsia="黑体" w:cs="黑体"/>
          <w:color w:val="auto"/>
          <w:kern w:val="0"/>
          <w:sz w:val="20"/>
          <w:szCs w:val="15"/>
        </w:rPr>
        <w:t xml:space="preserve">  C.法定代表人或负责人或实际控制人是直系血亲关系</w:t>
      </w:r>
    </w:p>
    <w:p>
      <w:pPr>
        <w:pStyle w:val="81"/>
        <w:widowControl w:val="0"/>
        <w:snapToGrid w:val="0"/>
        <w:spacing w:line="420" w:lineRule="auto"/>
        <w:jc w:val="both"/>
        <w:rPr>
          <w:rFonts w:hint="default" w:ascii="黑体" w:hAnsi="黑体" w:eastAsia="黑体" w:cs="黑体"/>
          <w:color w:val="auto"/>
          <w:spacing w:val="6"/>
          <w:sz w:val="20"/>
          <w:szCs w:val="15"/>
        </w:rPr>
      </w:pPr>
      <w:r>
        <w:rPr>
          <w:rFonts w:ascii="黑体" w:hAnsi="黑体" w:eastAsia="黑体" w:cs="黑体"/>
          <w:color w:val="auto"/>
          <w:kern w:val="0"/>
          <w:sz w:val="20"/>
          <w:szCs w:val="15"/>
        </w:rPr>
        <w:t xml:space="preserve">  D.法定代表人或负责人或实际控制人存在三代以内旁系血亲关系</w:t>
      </w:r>
    </w:p>
    <w:p>
      <w:pPr>
        <w:pStyle w:val="81"/>
        <w:widowControl w:val="0"/>
        <w:snapToGrid w:val="0"/>
        <w:spacing w:line="420" w:lineRule="auto"/>
        <w:jc w:val="both"/>
        <w:rPr>
          <w:rFonts w:hint="default" w:ascii="黑体" w:hAnsi="黑体" w:eastAsia="黑体" w:cs="黑体"/>
          <w:color w:val="auto"/>
          <w:kern w:val="0"/>
          <w:sz w:val="20"/>
          <w:szCs w:val="15"/>
        </w:rPr>
      </w:pPr>
      <w:r>
        <w:rPr>
          <w:rFonts w:ascii="黑体" w:hAnsi="黑体" w:eastAsia="黑体" w:cs="黑体"/>
          <w:color w:val="auto"/>
          <w:kern w:val="0"/>
          <w:sz w:val="20"/>
          <w:szCs w:val="15"/>
        </w:rPr>
        <w:t xml:space="preserve">  E.法定代表人或负责人或实际控制人存在近姻亲关系</w:t>
      </w:r>
    </w:p>
    <w:p>
      <w:pPr>
        <w:pStyle w:val="81"/>
        <w:widowControl w:val="0"/>
        <w:snapToGrid w:val="0"/>
        <w:spacing w:line="420" w:lineRule="auto"/>
        <w:jc w:val="both"/>
        <w:rPr>
          <w:rFonts w:hint="default" w:ascii="黑体" w:hAnsi="黑体" w:eastAsia="黑体" w:cs="黑体"/>
          <w:color w:val="auto"/>
          <w:kern w:val="0"/>
          <w:sz w:val="20"/>
          <w:szCs w:val="15"/>
        </w:rPr>
      </w:pPr>
      <w:r>
        <w:rPr>
          <w:rFonts w:ascii="黑体" w:hAnsi="黑体" w:eastAsia="黑体" w:cs="黑体"/>
          <w:color w:val="auto"/>
          <w:kern w:val="0"/>
          <w:sz w:val="20"/>
          <w:szCs w:val="15"/>
        </w:rPr>
        <w:t xml:space="preserve">  F.法定代表人或负责人或实际控制人存在股份控制或实际控制关系</w:t>
      </w:r>
    </w:p>
    <w:p>
      <w:pPr>
        <w:pStyle w:val="81"/>
        <w:widowControl w:val="0"/>
        <w:snapToGrid w:val="0"/>
        <w:spacing w:line="420" w:lineRule="auto"/>
        <w:jc w:val="both"/>
        <w:outlineLvl w:val="0"/>
        <w:rPr>
          <w:rFonts w:hint="default" w:ascii="黑体" w:hAnsi="黑体" w:eastAsia="黑体" w:cs="黑体"/>
          <w:color w:val="auto"/>
          <w:kern w:val="0"/>
          <w:sz w:val="20"/>
          <w:szCs w:val="15"/>
        </w:rPr>
      </w:pPr>
      <w:r>
        <w:rPr>
          <w:rFonts w:ascii="黑体" w:hAnsi="黑体" w:eastAsia="黑体" w:cs="黑体"/>
          <w:color w:val="auto"/>
          <w:kern w:val="0"/>
          <w:sz w:val="20"/>
          <w:szCs w:val="15"/>
        </w:rPr>
        <w:t xml:space="preserve">  G.存在共同直接或间接投资设立子公司、联营企业和合营企业情况</w:t>
      </w:r>
    </w:p>
    <w:p>
      <w:pPr>
        <w:pStyle w:val="81"/>
        <w:widowControl w:val="0"/>
        <w:snapToGrid w:val="0"/>
        <w:spacing w:line="420" w:lineRule="auto"/>
        <w:jc w:val="both"/>
        <w:rPr>
          <w:rFonts w:hint="default" w:ascii="黑体" w:hAnsi="黑体" w:eastAsia="黑体" w:cs="黑体"/>
          <w:color w:val="auto"/>
          <w:sz w:val="20"/>
          <w:szCs w:val="15"/>
        </w:rPr>
      </w:pPr>
      <w:r>
        <w:rPr>
          <w:rFonts w:ascii="黑体" w:hAnsi="黑体" w:eastAsia="黑体" w:cs="黑体"/>
          <w:color w:val="auto"/>
          <w:kern w:val="0"/>
          <w:sz w:val="20"/>
          <w:szCs w:val="15"/>
        </w:rPr>
        <w:t xml:space="preserve">  H.存在分级代理或代销关系、同一生产制造商关系、</w:t>
      </w:r>
      <w:r>
        <w:rPr>
          <w:rFonts w:ascii="黑体" w:hAnsi="黑体" w:eastAsia="黑体" w:cs="黑体"/>
          <w:color w:val="auto"/>
          <w:sz w:val="20"/>
          <w:szCs w:val="15"/>
        </w:rPr>
        <w:t>管理关系、重要业务（占主营业务收入50%以上）或重要财务往来关系（如融资）等其他实质性控制关系</w:t>
      </w:r>
    </w:p>
    <w:p>
      <w:pPr>
        <w:pStyle w:val="81"/>
        <w:widowControl w:val="0"/>
        <w:snapToGrid w:val="0"/>
        <w:spacing w:line="420" w:lineRule="auto"/>
        <w:jc w:val="both"/>
        <w:rPr>
          <w:rFonts w:hint="default" w:ascii="黑体" w:hAnsi="黑体" w:eastAsia="黑体" w:cs="黑体"/>
          <w:color w:val="auto"/>
          <w:spacing w:val="6"/>
          <w:sz w:val="20"/>
          <w:szCs w:val="15"/>
        </w:rPr>
      </w:pPr>
      <w:r>
        <w:rPr>
          <w:rFonts w:ascii="黑体" w:hAnsi="黑体" w:eastAsia="黑体" w:cs="黑体"/>
          <w:color w:val="auto"/>
          <w:sz w:val="20"/>
          <w:szCs w:val="15"/>
        </w:rPr>
        <w:t xml:space="preserve">    I</w:t>
      </w:r>
      <w:r>
        <w:rPr>
          <w:rFonts w:ascii="黑体" w:hAnsi="黑体" w:eastAsia="黑体" w:cs="黑体"/>
          <w:color w:val="auto"/>
          <w:kern w:val="0"/>
          <w:sz w:val="20"/>
          <w:szCs w:val="15"/>
        </w:rPr>
        <w:t>.</w:t>
      </w:r>
      <w:r>
        <w:rPr>
          <w:rFonts w:ascii="黑体" w:hAnsi="黑体" w:eastAsia="黑体" w:cs="黑体"/>
          <w:color w:val="auto"/>
          <w:sz w:val="20"/>
          <w:szCs w:val="15"/>
        </w:rPr>
        <w:t>其他利害关系情况</w:t>
      </w:r>
      <w:r>
        <w:rPr>
          <w:rFonts w:ascii="黑体" w:hAnsi="黑体" w:eastAsia="黑体" w:cs="黑体"/>
          <w:color w:val="auto"/>
          <w:sz w:val="20"/>
          <w:szCs w:val="15"/>
          <w:u w:val="single"/>
        </w:rPr>
        <w:t xml:space="preserve">                              </w:t>
      </w:r>
      <w:r>
        <w:rPr>
          <w:rFonts w:ascii="黑体" w:hAnsi="黑体" w:eastAsia="黑体" w:cs="黑体"/>
          <w:color w:val="auto"/>
          <w:kern w:val="0"/>
          <w:sz w:val="20"/>
          <w:szCs w:val="15"/>
        </w:rPr>
        <w:t>。</w:t>
      </w:r>
    </w:p>
    <w:p>
      <w:pPr>
        <w:pStyle w:val="82"/>
        <w:widowControl/>
        <w:numPr>
          <w:ilvl w:val="0"/>
          <w:numId w:val="4"/>
        </w:numPr>
        <w:snapToGrid w:val="0"/>
        <w:spacing w:line="420" w:lineRule="auto"/>
        <w:ind w:firstLine="378" w:firstLineChars="189"/>
        <w:rPr>
          <w:rFonts w:hint="default" w:ascii="黑体" w:hAnsi="黑体" w:eastAsia="黑体" w:cs="黑体"/>
          <w:color w:val="auto"/>
          <w:kern w:val="0"/>
          <w:sz w:val="20"/>
          <w:szCs w:val="15"/>
        </w:rPr>
      </w:pPr>
      <w:r>
        <w:rPr>
          <w:rFonts w:ascii="黑体" w:hAnsi="黑体" w:eastAsia="黑体" w:cs="黑体"/>
          <w:color w:val="auto"/>
          <w:sz w:val="20"/>
          <w:szCs w:val="15"/>
        </w:rPr>
        <w:t>现已清楚知道并</w:t>
      </w:r>
      <w:r>
        <w:rPr>
          <w:rFonts w:ascii="黑体" w:hAnsi="黑体" w:eastAsia="黑体" w:cs="黑体"/>
          <w:color w:val="auto"/>
          <w:kern w:val="0"/>
          <w:sz w:val="20"/>
          <w:szCs w:val="15"/>
        </w:rPr>
        <w:t>严格遵守政府采购法律法规和现场纪律。</w:t>
      </w:r>
    </w:p>
    <w:p>
      <w:pPr>
        <w:pStyle w:val="82"/>
        <w:widowControl/>
        <w:numPr>
          <w:ilvl w:val="0"/>
          <w:numId w:val="4"/>
        </w:numPr>
        <w:snapToGrid w:val="0"/>
        <w:spacing w:line="420" w:lineRule="auto"/>
        <w:ind w:firstLine="378" w:firstLineChars="189"/>
        <w:jc w:val="left"/>
        <w:rPr>
          <w:rFonts w:hint="default" w:ascii="黑体" w:hAnsi="黑体" w:eastAsia="黑体" w:cs="黑体"/>
          <w:color w:val="auto"/>
          <w:sz w:val="20"/>
          <w:szCs w:val="15"/>
        </w:rPr>
      </w:pPr>
      <w:r>
        <w:rPr>
          <w:rFonts w:ascii="黑体" w:hAnsi="黑体" w:eastAsia="黑体" w:cs="黑体"/>
          <w:color w:val="auto"/>
          <w:kern w:val="0"/>
          <w:sz w:val="20"/>
          <w:szCs w:val="15"/>
        </w:rPr>
        <w:t>我发现</w:t>
      </w:r>
      <w:r>
        <w:rPr>
          <w:rFonts w:ascii="黑体" w:hAnsi="黑体" w:eastAsia="黑体" w:cs="黑体"/>
          <w:color w:val="auto"/>
          <w:kern w:val="0"/>
          <w:sz w:val="20"/>
          <w:szCs w:val="15"/>
          <w:u w:val="single"/>
        </w:rPr>
        <w:t xml:space="preserve">                    </w:t>
      </w:r>
      <w:r>
        <w:rPr>
          <w:rFonts w:ascii="黑体" w:hAnsi="黑体" w:eastAsia="黑体" w:cs="黑体"/>
          <w:color w:val="auto"/>
          <w:kern w:val="0"/>
          <w:sz w:val="20"/>
          <w:szCs w:val="15"/>
        </w:rPr>
        <w:t>供应商之间存在或可能存在上述第二条第</w:t>
      </w:r>
      <w:r>
        <w:rPr>
          <w:rFonts w:ascii="黑体" w:hAnsi="黑体" w:eastAsia="黑体" w:cs="黑体"/>
          <w:color w:val="auto"/>
          <w:kern w:val="0"/>
          <w:sz w:val="20"/>
          <w:szCs w:val="15"/>
          <w:u w:val="single"/>
        </w:rPr>
        <w:t xml:space="preserve">        </w:t>
      </w:r>
      <w:r>
        <w:rPr>
          <w:rFonts w:ascii="黑体" w:hAnsi="黑体" w:eastAsia="黑体" w:cs="黑体"/>
          <w:color w:val="auto"/>
          <w:kern w:val="0"/>
          <w:sz w:val="20"/>
          <w:szCs w:val="15"/>
        </w:rPr>
        <w:t>项利害关系</w:t>
      </w:r>
      <w:r>
        <w:rPr>
          <w:rFonts w:ascii="黑体" w:hAnsi="黑体" w:eastAsia="黑体" w:cs="黑体"/>
          <w:color w:val="auto"/>
          <w:sz w:val="20"/>
          <w:szCs w:val="15"/>
        </w:rPr>
        <w:t xml:space="preserve">                                            （供应商代表签名）</w:t>
      </w:r>
    </w:p>
    <w:p>
      <w:pPr>
        <w:pStyle w:val="12"/>
        <w:rPr>
          <w:color w:val="auto"/>
        </w:rPr>
      </w:pPr>
      <w:r>
        <w:rPr>
          <w:rFonts w:hint="eastAsia" w:ascii="黑体" w:hAnsi="黑体" w:eastAsia="黑体" w:cs="黑体"/>
          <w:color w:val="auto"/>
          <w:sz w:val="20"/>
          <w:szCs w:val="15"/>
        </w:rPr>
        <w:t xml:space="preserve">                                                                      年  月  日</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sz w:val="24"/>
        </w:rPr>
      </w:pPr>
    </w:p>
    <w:sectPr>
      <w:headerReference r:id="rId10" w:type="default"/>
      <w:footerReference r:id="rId11" w:type="default"/>
      <w:pgSz w:w="11906" w:h="16838"/>
      <w:pgMar w:top="1240" w:right="14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7A"/>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8"/>
      </w:rPr>
    </w:pPr>
    <w:r>
      <w:fldChar w:fldCharType="begin"/>
    </w:r>
    <w:r>
      <w:rPr>
        <w:rStyle w:val="28"/>
      </w:rPr>
      <w:instrText xml:space="preserve">PAGE  </w:instrText>
    </w:r>
    <w:r>
      <w:fldChar w:fldCharType="end"/>
    </w: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8"/>
      </w:rPr>
    </w:pPr>
    <w:r>
      <w:fldChar w:fldCharType="begin"/>
    </w:r>
    <w:r>
      <w:rPr>
        <w:rStyle w:val="28"/>
      </w:rPr>
      <w:instrText xml:space="preserve">PAGE  </w:instrText>
    </w:r>
    <w:r>
      <w:fldChar w:fldCharType="separate"/>
    </w:r>
    <w:r>
      <w:rPr>
        <w:rStyle w:val="28"/>
      </w:rPr>
      <w:t>21</w:t>
    </w:r>
    <w:r>
      <w:fldChar w:fldCharType="end"/>
    </w:r>
  </w:p>
  <w:p>
    <w:pPr>
      <w:pStyle w:val="19"/>
      <w:ind w:right="720"/>
      <w:rPr>
        <w:rFonts w:asci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right="90"/>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8CF31"/>
    <w:multiLevelType w:val="singleLevel"/>
    <w:tmpl w:val="8A08CF31"/>
    <w:lvl w:ilvl="0" w:tentative="0">
      <w:start w:val="13"/>
      <w:numFmt w:val="decimal"/>
      <w:suff w:val="nothing"/>
      <w:lvlText w:val="%1、"/>
      <w:lvlJc w:val="left"/>
    </w:lvl>
  </w:abstractNum>
  <w:abstractNum w:abstractNumId="1">
    <w:nsid w:val="00000001"/>
    <w:multiLevelType w:val="singleLevel"/>
    <w:tmpl w:val="00000001"/>
    <w:lvl w:ilvl="0" w:tentative="0">
      <w:start w:val="1"/>
      <w:numFmt w:val="decimal"/>
      <w:pStyle w:val="8"/>
      <w:lvlText w:val="%1."/>
      <w:lvlJc w:val="left"/>
      <w:pPr>
        <w:tabs>
          <w:tab w:val="left" w:pos="360"/>
        </w:tabs>
        <w:ind w:left="360" w:hanging="360"/>
      </w:pPr>
      <w:rPr>
        <w:rFonts w:cs="Times New Roman"/>
      </w:rPr>
    </w:lvl>
  </w:abstractNum>
  <w:abstractNum w:abstractNumId="2">
    <w:nsid w:val="54F403B5"/>
    <w:multiLevelType w:val="singleLevel"/>
    <w:tmpl w:val="54F403B5"/>
    <w:lvl w:ilvl="0" w:tentative="0">
      <w:start w:val="1"/>
      <w:numFmt w:val="chineseCounting"/>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925"/>
    <w:rsid w:val="00016260"/>
    <w:rsid w:val="0002035B"/>
    <w:rsid w:val="000403F7"/>
    <w:rsid w:val="0006294D"/>
    <w:rsid w:val="00062AB3"/>
    <w:rsid w:val="000630DA"/>
    <w:rsid w:val="00067E9E"/>
    <w:rsid w:val="00082C5B"/>
    <w:rsid w:val="000E691D"/>
    <w:rsid w:val="000F553F"/>
    <w:rsid w:val="00107BF6"/>
    <w:rsid w:val="001334F2"/>
    <w:rsid w:val="001358F3"/>
    <w:rsid w:val="0014385D"/>
    <w:rsid w:val="00165E90"/>
    <w:rsid w:val="00165F2A"/>
    <w:rsid w:val="00172A27"/>
    <w:rsid w:val="00180836"/>
    <w:rsid w:val="00186933"/>
    <w:rsid w:val="00186F5F"/>
    <w:rsid w:val="00201D2F"/>
    <w:rsid w:val="00201D62"/>
    <w:rsid w:val="00203C2F"/>
    <w:rsid w:val="0021318F"/>
    <w:rsid w:val="00213575"/>
    <w:rsid w:val="00241352"/>
    <w:rsid w:val="00250146"/>
    <w:rsid w:val="00286DC1"/>
    <w:rsid w:val="002A1620"/>
    <w:rsid w:val="002B37A3"/>
    <w:rsid w:val="002B6305"/>
    <w:rsid w:val="002C0D3B"/>
    <w:rsid w:val="002C5C4C"/>
    <w:rsid w:val="0030238E"/>
    <w:rsid w:val="003067B0"/>
    <w:rsid w:val="00307A6E"/>
    <w:rsid w:val="003102FB"/>
    <w:rsid w:val="0033011F"/>
    <w:rsid w:val="00332E30"/>
    <w:rsid w:val="0034542D"/>
    <w:rsid w:val="00353DAF"/>
    <w:rsid w:val="00394F4B"/>
    <w:rsid w:val="00395796"/>
    <w:rsid w:val="003B2FE2"/>
    <w:rsid w:val="003B5E94"/>
    <w:rsid w:val="003C020E"/>
    <w:rsid w:val="003C5E00"/>
    <w:rsid w:val="003D5902"/>
    <w:rsid w:val="003E6DE1"/>
    <w:rsid w:val="003F595C"/>
    <w:rsid w:val="003F78E0"/>
    <w:rsid w:val="00403E05"/>
    <w:rsid w:val="00413664"/>
    <w:rsid w:val="00437388"/>
    <w:rsid w:val="00441FAE"/>
    <w:rsid w:val="00446CEF"/>
    <w:rsid w:val="00452368"/>
    <w:rsid w:val="004605CE"/>
    <w:rsid w:val="00483323"/>
    <w:rsid w:val="00485524"/>
    <w:rsid w:val="00485DC1"/>
    <w:rsid w:val="00491BDF"/>
    <w:rsid w:val="0049522F"/>
    <w:rsid w:val="004B4165"/>
    <w:rsid w:val="004C66AA"/>
    <w:rsid w:val="004E57BC"/>
    <w:rsid w:val="00501A00"/>
    <w:rsid w:val="0051020A"/>
    <w:rsid w:val="00531666"/>
    <w:rsid w:val="0053231F"/>
    <w:rsid w:val="00542F87"/>
    <w:rsid w:val="005963D8"/>
    <w:rsid w:val="005B636D"/>
    <w:rsid w:val="005D0736"/>
    <w:rsid w:val="005D31BA"/>
    <w:rsid w:val="005E026A"/>
    <w:rsid w:val="005F18BF"/>
    <w:rsid w:val="00616E31"/>
    <w:rsid w:val="00636172"/>
    <w:rsid w:val="00646CA0"/>
    <w:rsid w:val="006540F3"/>
    <w:rsid w:val="00655E3C"/>
    <w:rsid w:val="00674C42"/>
    <w:rsid w:val="006A39C4"/>
    <w:rsid w:val="006A5B3F"/>
    <w:rsid w:val="006D6513"/>
    <w:rsid w:val="006E5A80"/>
    <w:rsid w:val="006F4DFE"/>
    <w:rsid w:val="00722FE9"/>
    <w:rsid w:val="0075349E"/>
    <w:rsid w:val="00754602"/>
    <w:rsid w:val="00783370"/>
    <w:rsid w:val="00793C81"/>
    <w:rsid w:val="007A0856"/>
    <w:rsid w:val="007A2629"/>
    <w:rsid w:val="007A5C4A"/>
    <w:rsid w:val="007C0DBB"/>
    <w:rsid w:val="007C1005"/>
    <w:rsid w:val="007D5CDA"/>
    <w:rsid w:val="007F5FAF"/>
    <w:rsid w:val="00802325"/>
    <w:rsid w:val="008154BD"/>
    <w:rsid w:val="00815B9C"/>
    <w:rsid w:val="00823978"/>
    <w:rsid w:val="00847BE5"/>
    <w:rsid w:val="0088066B"/>
    <w:rsid w:val="00892B3C"/>
    <w:rsid w:val="008A269F"/>
    <w:rsid w:val="008A4030"/>
    <w:rsid w:val="008C1E23"/>
    <w:rsid w:val="008E781F"/>
    <w:rsid w:val="00912983"/>
    <w:rsid w:val="00944004"/>
    <w:rsid w:val="00944EE4"/>
    <w:rsid w:val="00946162"/>
    <w:rsid w:val="00966677"/>
    <w:rsid w:val="0096763B"/>
    <w:rsid w:val="00986274"/>
    <w:rsid w:val="00990C1C"/>
    <w:rsid w:val="009B3E22"/>
    <w:rsid w:val="009F3459"/>
    <w:rsid w:val="009F36F6"/>
    <w:rsid w:val="00A0357F"/>
    <w:rsid w:val="00A12F71"/>
    <w:rsid w:val="00A17880"/>
    <w:rsid w:val="00A30B75"/>
    <w:rsid w:val="00A730CA"/>
    <w:rsid w:val="00A74AEF"/>
    <w:rsid w:val="00A833E9"/>
    <w:rsid w:val="00A925C1"/>
    <w:rsid w:val="00AF276E"/>
    <w:rsid w:val="00B0420E"/>
    <w:rsid w:val="00B3290F"/>
    <w:rsid w:val="00B64328"/>
    <w:rsid w:val="00B83B78"/>
    <w:rsid w:val="00BB7B5B"/>
    <w:rsid w:val="00BD2FCF"/>
    <w:rsid w:val="00BE0ADF"/>
    <w:rsid w:val="00BE1978"/>
    <w:rsid w:val="00C02F34"/>
    <w:rsid w:val="00C44AFB"/>
    <w:rsid w:val="00C52E14"/>
    <w:rsid w:val="00C57611"/>
    <w:rsid w:val="00C767D4"/>
    <w:rsid w:val="00CB0437"/>
    <w:rsid w:val="00CC232E"/>
    <w:rsid w:val="00CC60D1"/>
    <w:rsid w:val="00CD1804"/>
    <w:rsid w:val="00CF6A74"/>
    <w:rsid w:val="00D12CD8"/>
    <w:rsid w:val="00D264AC"/>
    <w:rsid w:val="00D5269F"/>
    <w:rsid w:val="00DA25C4"/>
    <w:rsid w:val="00DA45EB"/>
    <w:rsid w:val="00DB1C05"/>
    <w:rsid w:val="00DB2B95"/>
    <w:rsid w:val="00DB6334"/>
    <w:rsid w:val="00DC320A"/>
    <w:rsid w:val="00DC5866"/>
    <w:rsid w:val="00E03B74"/>
    <w:rsid w:val="00E319E7"/>
    <w:rsid w:val="00E372BC"/>
    <w:rsid w:val="00E40C6C"/>
    <w:rsid w:val="00ED2410"/>
    <w:rsid w:val="00EE2B18"/>
    <w:rsid w:val="00EF2797"/>
    <w:rsid w:val="00F07EDC"/>
    <w:rsid w:val="00F127FF"/>
    <w:rsid w:val="00F64E95"/>
    <w:rsid w:val="00F65AD7"/>
    <w:rsid w:val="00F74D1E"/>
    <w:rsid w:val="00F835F4"/>
    <w:rsid w:val="00F94869"/>
    <w:rsid w:val="00FC2794"/>
    <w:rsid w:val="00FC6190"/>
    <w:rsid w:val="00FC6950"/>
    <w:rsid w:val="00FE2BF3"/>
    <w:rsid w:val="013B05A4"/>
    <w:rsid w:val="0162067B"/>
    <w:rsid w:val="01935887"/>
    <w:rsid w:val="022F3D89"/>
    <w:rsid w:val="0248373E"/>
    <w:rsid w:val="026B5F45"/>
    <w:rsid w:val="0286182B"/>
    <w:rsid w:val="02C643DA"/>
    <w:rsid w:val="03546F93"/>
    <w:rsid w:val="03887300"/>
    <w:rsid w:val="03AD3543"/>
    <w:rsid w:val="04397505"/>
    <w:rsid w:val="045E051E"/>
    <w:rsid w:val="045F085E"/>
    <w:rsid w:val="04AE50DC"/>
    <w:rsid w:val="04CC341D"/>
    <w:rsid w:val="05067E2F"/>
    <w:rsid w:val="05137CD7"/>
    <w:rsid w:val="056C0C89"/>
    <w:rsid w:val="060B26E0"/>
    <w:rsid w:val="06693463"/>
    <w:rsid w:val="069758D8"/>
    <w:rsid w:val="06A6112A"/>
    <w:rsid w:val="07891B39"/>
    <w:rsid w:val="08201321"/>
    <w:rsid w:val="08314B23"/>
    <w:rsid w:val="086C0E69"/>
    <w:rsid w:val="08971E61"/>
    <w:rsid w:val="08D66A7F"/>
    <w:rsid w:val="097A796A"/>
    <w:rsid w:val="09930D65"/>
    <w:rsid w:val="099C1689"/>
    <w:rsid w:val="0A3C0A8A"/>
    <w:rsid w:val="0A5D1978"/>
    <w:rsid w:val="0ADB4F19"/>
    <w:rsid w:val="0AE74CDE"/>
    <w:rsid w:val="0AFC1330"/>
    <w:rsid w:val="0B123A5A"/>
    <w:rsid w:val="0BBA1B60"/>
    <w:rsid w:val="0BFC6774"/>
    <w:rsid w:val="0C1E2BA0"/>
    <w:rsid w:val="0C765CB2"/>
    <w:rsid w:val="0CCE3D8B"/>
    <w:rsid w:val="0CED6A37"/>
    <w:rsid w:val="0D7C10F1"/>
    <w:rsid w:val="0DD061AE"/>
    <w:rsid w:val="0E1A08A4"/>
    <w:rsid w:val="0E970358"/>
    <w:rsid w:val="0EC169E9"/>
    <w:rsid w:val="0ED55764"/>
    <w:rsid w:val="10032795"/>
    <w:rsid w:val="10053DFB"/>
    <w:rsid w:val="10392EAE"/>
    <w:rsid w:val="10706EC2"/>
    <w:rsid w:val="114D620F"/>
    <w:rsid w:val="12112AFD"/>
    <w:rsid w:val="122D52D9"/>
    <w:rsid w:val="12663F91"/>
    <w:rsid w:val="127549CB"/>
    <w:rsid w:val="12807280"/>
    <w:rsid w:val="131C543E"/>
    <w:rsid w:val="13FC1BC3"/>
    <w:rsid w:val="14755497"/>
    <w:rsid w:val="148463E6"/>
    <w:rsid w:val="14D20D9B"/>
    <w:rsid w:val="15A72BED"/>
    <w:rsid w:val="15D83494"/>
    <w:rsid w:val="16042D3E"/>
    <w:rsid w:val="1621170E"/>
    <w:rsid w:val="173E668A"/>
    <w:rsid w:val="179B1FCB"/>
    <w:rsid w:val="17B52E9B"/>
    <w:rsid w:val="18437D19"/>
    <w:rsid w:val="1853602A"/>
    <w:rsid w:val="18820ED2"/>
    <w:rsid w:val="18B01EF6"/>
    <w:rsid w:val="18B91D2B"/>
    <w:rsid w:val="18C40414"/>
    <w:rsid w:val="18E11A7C"/>
    <w:rsid w:val="193A6772"/>
    <w:rsid w:val="196F764E"/>
    <w:rsid w:val="19825DCE"/>
    <w:rsid w:val="19A51A0E"/>
    <w:rsid w:val="1A6A6D44"/>
    <w:rsid w:val="1A817123"/>
    <w:rsid w:val="1B674FFA"/>
    <w:rsid w:val="1BCC5180"/>
    <w:rsid w:val="1C093ECB"/>
    <w:rsid w:val="1C2A1FDB"/>
    <w:rsid w:val="1CE4433A"/>
    <w:rsid w:val="1DC530BD"/>
    <w:rsid w:val="1E463802"/>
    <w:rsid w:val="1E58234F"/>
    <w:rsid w:val="1EE84AA8"/>
    <w:rsid w:val="1F031196"/>
    <w:rsid w:val="1F46048B"/>
    <w:rsid w:val="228447E5"/>
    <w:rsid w:val="23424F53"/>
    <w:rsid w:val="236E14E2"/>
    <w:rsid w:val="244563AF"/>
    <w:rsid w:val="25636F8B"/>
    <w:rsid w:val="25882B25"/>
    <w:rsid w:val="25A61D12"/>
    <w:rsid w:val="25B46A8A"/>
    <w:rsid w:val="25F95E41"/>
    <w:rsid w:val="268A132E"/>
    <w:rsid w:val="27CC2D66"/>
    <w:rsid w:val="27DB4C7A"/>
    <w:rsid w:val="28076A74"/>
    <w:rsid w:val="293B552D"/>
    <w:rsid w:val="296A7C16"/>
    <w:rsid w:val="29803A90"/>
    <w:rsid w:val="29D148D0"/>
    <w:rsid w:val="2A041F58"/>
    <w:rsid w:val="2A22794C"/>
    <w:rsid w:val="2AC803DC"/>
    <w:rsid w:val="2ADD4DFE"/>
    <w:rsid w:val="2AF71430"/>
    <w:rsid w:val="2B520C88"/>
    <w:rsid w:val="2BCA3B51"/>
    <w:rsid w:val="2BF2591A"/>
    <w:rsid w:val="2CBA680C"/>
    <w:rsid w:val="2D206E8C"/>
    <w:rsid w:val="2DD039FB"/>
    <w:rsid w:val="2DFF1C49"/>
    <w:rsid w:val="2E1A681E"/>
    <w:rsid w:val="2E5D528B"/>
    <w:rsid w:val="2E9340BA"/>
    <w:rsid w:val="2E9C3401"/>
    <w:rsid w:val="2F402F53"/>
    <w:rsid w:val="2F7A2384"/>
    <w:rsid w:val="30143D85"/>
    <w:rsid w:val="3101069D"/>
    <w:rsid w:val="314A4DAF"/>
    <w:rsid w:val="31752B09"/>
    <w:rsid w:val="33AD460B"/>
    <w:rsid w:val="33AE3B47"/>
    <w:rsid w:val="33EE10C0"/>
    <w:rsid w:val="341548E3"/>
    <w:rsid w:val="342544D9"/>
    <w:rsid w:val="345F0670"/>
    <w:rsid w:val="34D81BC7"/>
    <w:rsid w:val="35671120"/>
    <w:rsid w:val="359B739A"/>
    <w:rsid w:val="35BB4C98"/>
    <w:rsid w:val="35E7353B"/>
    <w:rsid w:val="36623E0E"/>
    <w:rsid w:val="368B60BF"/>
    <w:rsid w:val="37712A39"/>
    <w:rsid w:val="37C00F71"/>
    <w:rsid w:val="38353F3F"/>
    <w:rsid w:val="38D21EE2"/>
    <w:rsid w:val="39761550"/>
    <w:rsid w:val="39CE7CF0"/>
    <w:rsid w:val="39E1476A"/>
    <w:rsid w:val="3A3137F9"/>
    <w:rsid w:val="3A516D36"/>
    <w:rsid w:val="3A885E00"/>
    <w:rsid w:val="3AE50133"/>
    <w:rsid w:val="3B345EA5"/>
    <w:rsid w:val="3BE34972"/>
    <w:rsid w:val="3CEB6062"/>
    <w:rsid w:val="3D1275D3"/>
    <w:rsid w:val="3D71428A"/>
    <w:rsid w:val="3DB531EC"/>
    <w:rsid w:val="3DB872E1"/>
    <w:rsid w:val="3DBB71E5"/>
    <w:rsid w:val="3E2E59CD"/>
    <w:rsid w:val="3E585ACC"/>
    <w:rsid w:val="3E83469F"/>
    <w:rsid w:val="3FED78DC"/>
    <w:rsid w:val="3FF620E5"/>
    <w:rsid w:val="40D83598"/>
    <w:rsid w:val="40E8055A"/>
    <w:rsid w:val="41030EB0"/>
    <w:rsid w:val="416939BE"/>
    <w:rsid w:val="41CB5DD2"/>
    <w:rsid w:val="422C1171"/>
    <w:rsid w:val="42680089"/>
    <w:rsid w:val="42A37796"/>
    <w:rsid w:val="43036342"/>
    <w:rsid w:val="432F2122"/>
    <w:rsid w:val="43346686"/>
    <w:rsid w:val="43A23F2B"/>
    <w:rsid w:val="43C1032F"/>
    <w:rsid w:val="43D911A2"/>
    <w:rsid w:val="44C950FE"/>
    <w:rsid w:val="44E23928"/>
    <w:rsid w:val="450A7141"/>
    <w:rsid w:val="453B3D33"/>
    <w:rsid w:val="4563730C"/>
    <w:rsid w:val="456B496E"/>
    <w:rsid w:val="460A79C0"/>
    <w:rsid w:val="464506B2"/>
    <w:rsid w:val="46C253B8"/>
    <w:rsid w:val="47934C9C"/>
    <w:rsid w:val="48440F51"/>
    <w:rsid w:val="48694FA0"/>
    <w:rsid w:val="486C3FA3"/>
    <w:rsid w:val="488E768B"/>
    <w:rsid w:val="495A0736"/>
    <w:rsid w:val="49BE6993"/>
    <w:rsid w:val="49F41D5E"/>
    <w:rsid w:val="4AFF6678"/>
    <w:rsid w:val="4B1E31F7"/>
    <w:rsid w:val="4B7F47D7"/>
    <w:rsid w:val="4B8231D2"/>
    <w:rsid w:val="4BC61B14"/>
    <w:rsid w:val="4BCB3573"/>
    <w:rsid w:val="4BFC5823"/>
    <w:rsid w:val="4C13299B"/>
    <w:rsid w:val="4C696439"/>
    <w:rsid w:val="4C7D520F"/>
    <w:rsid w:val="4CE75373"/>
    <w:rsid w:val="4D5934CA"/>
    <w:rsid w:val="4DA42626"/>
    <w:rsid w:val="4DBA747C"/>
    <w:rsid w:val="4E113803"/>
    <w:rsid w:val="4E7B6655"/>
    <w:rsid w:val="4EDE2B4D"/>
    <w:rsid w:val="4EF22A86"/>
    <w:rsid w:val="4FDD1093"/>
    <w:rsid w:val="503817C4"/>
    <w:rsid w:val="509142A4"/>
    <w:rsid w:val="50C00AF5"/>
    <w:rsid w:val="51776BB3"/>
    <w:rsid w:val="51B67D04"/>
    <w:rsid w:val="51C435D0"/>
    <w:rsid w:val="51CC2F0E"/>
    <w:rsid w:val="52033E13"/>
    <w:rsid w:val="52351984"/>
    <w:rsid w:val="536713D3"/>
    <w:rsid w:val="53B87AE0"/>
    <w:rsid w:val="5468114F"/>
    <w:rsid w:val="54955994"/>
    <w:rsid w:val="54D91D6D"/>
    <w:rsid w:val="55487CC3"/>
    <w:rsid w:val="55907D69"/>
    <w:rsid w:val="55AD3BE1"/>
    <w:rsid w:val="55F506FE"/>
    <w:rsid w:val="566D4B95"/>
    <w:rsid w:val="566F4075"/>
    <w:rsid w:val="56B5587A"/>
    <w:rsid w:val="571A638E"/>
    <w:rsid w:val="572656D4"/>
    <w:rsid w:val="578671EF"/>
    <w:rsid w:val="578D0B51"/>
    <w:rsid w:val="57A674E7"/>
    <w:rsid w:val="57AF073A"/>
    <w:rsid w:val="58252DCB"/>
    <w:rsid w:val="59234CED"/>
    <w:rsid w:val="595758F4"/>
    <w:rsid w:val="59AD06A4"/>
    <w:rsid w:val="59BD4088"/>
    <w:rsid w:val="5A072142"/>
    <w:rsid w:val="5A4D586D"/>
    <w:rsid w:val="5A6249B0"/>
    <w:rsid w:val="5C353432"/>
    <w:rsid w:val="5C750FD7"/>
    <w:rsid w:val="5C995E78"/>
    <w:rsid w:val="5CE65B79"/>
    <w:rsid w:val="5E171B68"/>
    <w:rsid w:val="5EE84C68"/>
    <w:rsid w:val="5FA703FC"/>
    <w:rsid w:val="5FC738DA"/>
    <w:rsid w:val="602463B0"/>
    <w:rsid w:val="6026592A"/>
    <w:rsid w:val="6032557F"/>
    <w:rsid w:val="60E05E5B"/>
    <w:rsid w:val="60E07B05"/>
    <w:rsid w:val="61A6009B"/>
    <w:rsid w:val="61BD35F9"/>
    <w:rsid w:val="621D5BA4"/>
    <w:rsid w:val="62826D0A"/>
    <w:rsid w:val="62854105"/>
    <w:rsid w:val="62FD6013"/>
    <w:rsid w:val="63197EAF"/>
    <w:rsid w:val="635738AB"/>
    <w:rsid w:val="635B6748"/>
    <w:rsid w:val="63947A95"/>
    <w:rsid w:val="646A1D02"/>
    <w:rsid w:val="64A457C8"/>
    <w:rsid w:val="64C6077E"/>
    <w:rsid w:val="65281F90"/>
    <w:rsid w:val="65762FCC"/>
    <w:rsid w:val="66491557"/>
    <w:rsid w:val="66645865"/>
    <w:rsid w:val="669358D0"/>
    <w:rsid w:val="67955748"/>
    <w:rsid w:val="67B05ABC"/>
    <w:rsid w:val="67B167D1"/>
    <w:rsid w:val="67CF0497"/>
    <w:rsid w:val="67DB0789"/>
    <w:rsid w:val="67E30C0D"/>
    <w:rsid w:val="681529B8"/>
    <w:rsid w:val="68521509"/>
    <w:rsid w:val="68553532"/>
    <w:rsid w:val="685F1C50"/>
    <w:rsid w:val="690D12D9"/>
    <w:rsid w:val="699022E9"/>
    <w:rsid w:val="69C04B37"/>
    <w:rsid w:val="69D95313"/>
    <w:rsid w:val="6A4E1132"/>
    <w:rsid w:val="6A714498"/>
    <w:rsid w:val="6CCE3A75"/>
    <w:rsid w:val="6D4A0F02"/>
    <w:rsid w:val="6D8431DE"/>
    <w:rsid w:val="6DAC38CE"/>
    <w:rsid w:val="6E4C051C"/>
    <w:rsid w:val="6E880AEF"/>
    <w:rsid w:val="6E90275C"/>
    <w:rsid w:val="6FE16B83"/>
    <w:rsid w:val="6FEE694C"/>
    <w:rsid w:val="6FF739FD"/>
    <w:rsid w:val="70681E7E"/>
    <w:rsid w:val="70855276"/>
    <w:rsid w:val="70EF6F65"/>
    <w:rsid w:val="72147FE2"/>
    <w:rsid w:val="72386682"/>
    <w:rsid w:val="727151E7"/>
    <w:rsid w:val="731242C6"/>
    <w:rsid w:val="73BD37DD"/>
    <w:rsid w:val="73BE13D0"/>
    <w:rsid w:val="74520B2E"/>
    <w:rsid w:val="745919C6"/>
    <w:rsid w:val="745A098A"/>
    <w:rsid w:val="745F03FA"/>
    <w:rsid w:val="74702A9A"/>
    <w:rsid w:val="74C046C2"/>
    <w:rsid w:val="753155BA"/>
    <w:rsid w:val="754D3957"/>
    <w:rsid w:val="75745308"/>
    <w:rsid w:val="761C2BBB"/>
    <w:rsid w:val="7671701C"/>
    <w:rsid w:val="776A1DE8"/>
    <w:rsid w:val="77706134"/>
    <w:rsid w:val="77AA6501"/>
    <w:rsid w:val="77B62176"/>
    <w:rsid w:val="77BB3AE7"/>
    <w:rsid w:val="785D00CA"/>
    <w:rsid w:val="78642464"/>
    <w:rsid w:val="7A00425F"/>
    <w:rsid w:val="7ADD5E65"/>
    <w:rsid w:val="7B8A6104"/>
    <w:rsid w:val="7BAE104D"/>
    <w:rsid w:val="7D206D85"/>
    <w:rsid w:val="7D5424FE"/>
    <w:rsid w:val="7D6E784A"/>
    <w:rsid w:val="7D92429B"/>
    <w:rsid w:val="7DA27AE4"/>
    <w:rsid w:val="7DDD6CEA"/>
    <w:rsid w:val="7DED0920"/>
    <w:rsid w:val="7E1C3253"/>
    <w:rsid w:val="7E3A10B9"/>
    <w:rsid w:val="7E636E14"/>
    <w:rsid w:val="7F155A7D"/>
    <w:rsid w:val="7F575FB7"/>
    <w:rsid w:val="7F772681"/>
    <w:rsid w:val="7F77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1" w:name="heading 6"/>
    <w:lsdException w:qFormat="1" w:unhideWhenUsed="0" w:uiPriority="1"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0"/>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46"/>
    <w:qFormat/>
    <w:uiPriority w:val="0"/>
    <w:pPr>
      <w:keepNext/>
      <w:keepLines/>
      <w:spacing w:before="260" w:after="260" w:line="416" w:lineRule="auto"/>
      <w:outlineLvl w:val="2"/>
    </w:pPr>
    <w:rPr>
      <w:b/>
      <w:bCs/>
      <w:sz w:val="32"/>
      <w:szCs w:val="32"/>
    </w:rPr>
  </w:style>
  <w:style w:type="paragraph" w:styleId="7">
    <w:name w:val="heading 7"/>
    <w:basedOn w:val="1"/>
    <w:next w:val="1"/>
    <w:qFormat/>
    <w:uiPriority w:val="1"/>
    <w:pPr>
      <w:ind w:left="1521"/>
      <w:outlineLvl w:val="6"/>
    </w:pPr>
    <w:rPr>
      <w:rFonts w:ascii="宋体" w:hAnsi="宋体" w:cs="宋体"/>
      <w:b/>
      <w:bCs/>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link w:val="48"/>
    <w:qFormat/>
    <w:uiPriority w:val="0"/>
    <w:pPr>
      <w:spacing w:after="120"/>
      <w:ind w:left="420" w:leftChars="200"/>
    </w:pPr>
  </w:style>
  <w:style w:type="paragraph" w:styleId="8">
    <w:name w:val="List Number"/>
    <w:basedOn w:val="1"/>
    <w:qFormat/>
    <w:uiPriority w:val="0"/>
    <w:pPr>
      <w:numPr>
        <w:ilvl w:val="0"/>
        <w:numId w:val="1"/>
      </w:numPr>
    </w:pPr>
  </w:style>
  <w:style w:type="paragraph" w:styleId="9">
    <w:name w:val="Normal Indent"/>
    <w:basedOn w:val="1"/>
    <w:next w:val="10"/>
    <w:qFormat/>
    <w:uiPriority w:val="0"/>
    <w:pPr>
      <w:ind w:firstLine="420"/>
    </w:pPr>
    <w:rPr>
      <w:szCs w:val="20"/>
    </w:rPr>
  </w:style>
  <w:style w:type="paragraph" w:styleId="10">
    <w:name w:val="toc 2"/>
    <w:basedOn w:val="1"/>
    <w:next w:val="1"/>
    <w:qFormat/>
    <w:uiPriority w:val="0"/>
    <w:pPr>
      <w:ind w:left="420" w:leftChars="200"/>
    </w:pPr>
  </w:style>
  <w:style w:type="paragraph" w:styleId="11">
    <w:name w:val="annotation text"/>
    <w:basedOn w:val="1"/>
    <w:link w:val="41"/>
    <w:qFormat/>
    <w:uiPriority w:val="0"/>
    <w:pPr>
      <w:jc w:val="left"/>
    </w:pPr>
  </w:style>
  <w:style w:type="paragraph" w:styleId="12">
    <w:name w:val="Body Text"/>
    <w:basedOn w:val="1"/>
    <w:next w:val="13"/>
    <w:link w:val="43"/>
    <w:qFormat/>
    <w:uiPriority w:val="0"/>
    <w:pPr>
      <w:spacing w:line="360" w:lineRule="exact"/>
    </w:pPr>
    <w:rPr>
      <w:sz w:val="24"/>
    </w:rPr>
  </w:style>
  <w:style w:type="paragraph" w:styleId="13">
    <w:name w:val="Body Text First Indent"/>
    <w:basedOn w:val="12"/>
    <w:next w:val="14"/>
    <w:qFormat/>
    <w:uiPriority w:val="0"/>
    <w:pPr>
      <w:ind w:firstLine="420"/>
    </w:pPr>
    <w:rPr>
      <w:sz w:val="21"/>
    </w:rPr>
  </w:style>
  <w:style w:type="paragraph" w:styleId="14">
    <w:name w:val="toc 6"/>
    <w:basedOn w:val="1"/>
    <w:next w:val="1"/>
    <w:qFormat/>
    <w:uiPriority w:val="39"/>
    <w:pPr>
      <w:widowControl/>
      <w:ind w:left="1000"/>
      <w:jc w:val="left"/>
    </w:pPr>
    <w:rPr>
      <w:kern w:val="0"/>
      <w:sz w:val="18"/>
      <w:szCs w:val="20"/>
    </w:rPr>
  </w:style>
  <w:style w:type="paragraph" w:styleId="15">
    <w:name w:val="Block Text"/>
    <w:basedOn w:val="1"/>
    <w:qFormat/>
    <w:uiPriority w:val="0"/>
    <w:pPr>
      <w:adjustRightInd w:val="0"/>
      <w:spacing w:line="300" w:lineRule="auto"/>
      <w:ind w:left="958" w:right="-120" w:rightChars="-120"/>
      <w:jc w:val="left"/>
    </w:pPr>
    <w:rPr>
      <w:rFonts w:ascii="宋体" w:hAnsi="宋体"/>
      <w:sz w:val="28"/>
    </w:rPr>
  </w:style>
  <w:style w:type="paragraph" w:styleId="16">
    <w:name w:val="Plain Text"/>
    <w:basedOn w:val="1"/>
    <w:next w:val="17"/>
    <w:link w:val="35"/>
    <w:qFormat/>
    <w:uiPriority w:val="0"/>
    <w:rPr>
      <w:rFonts w:ascii="宋体" w:hAnsi="Courier New"/>
    </w:rPr>
  </w:style>
  <w:style w:type="paragraph" w:styleId="17">
    <w:name w:val="Date"/>
    <w:basedOn w:val="1"/>
    <w:next w:val="1"/>
    <w:link w:val="47"/>
    <w:qFormat/>
    <w:uiPriority w:val="0"/>
    <w:pPr>
      <w:ind w:left="2500" w:leftChars="2500"/>
    </w:pPr>
    <w:rPr>
      <w:rFonts w:ascii="Calibri" w:hAnsi="Calibri" w:eastAsia="楷体_GB2312"/>
      <w:sz w:val="32"/>
      <w:szCs w:val="22"/>
    </w:rPr>
  </w:style>
  <w:style w:type="paragraph" w:styleId="18">
    <w:name w:val="Balloon Text"/>
    <w:basedOn w:val="1"/>
    <w:link w:val="36"/>
    <w:qFormat/>
    <w:uiPriority w:val="0"/>
    <w:rPr>
      <w:sz w:val="18"/>
      <w:szCs w:val="18"/>
    </w:rPr>
  </w:style>
  <w:style w:type="paragraph" w:styleId="19">
    <w:name w:val="footer"/>
    <w:basedOn w:val="1"/>
    <w:link w:val="37"/>
    <w:qFormat/>
    <w:uiPriority w:val="0"/>
    <w:pPr>
      <w:tabs>
        <w:tab w:val="center" w:pos="4153"/>
        <w:tab w:val="right" w:pos="8306"/>
      </w:tabs>
      <w:snapToGrid w:val="0"/>
      <w:jc w:val="left"/>
    </w:pPr>
    <w:rPr>
      <w:sz w:val="18"/>
    </w:rPr>
  </w:style>
  <w:style w:type="paragraph" w:styleId="20">
    <w:name w:val="header"/>
    <w:basedOn w:val="1"/>
    <w:link w:val="4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Body Text Indent 3"/>
    <w:basedOn w:val="1"/>
    <w:link w:val="75"/>
    <w:unhideWhenUsed/>
    <w:qFormat/>
    <w:uiPriority w:val="0"/>
    <w:pPr>
      <w:autoSpaceDE w:val="0"/>
      <w:autoSpaceDN w:val="0"/>
      <w:spacing w:line="400" w:lineRule="atLeast"/>
      <w:ind w:firstLine="443"/>
    </w:pPr>
    <w:rPr>
      <w:rFonts w:eastAsia="黑体"/>
      <w:color w:val="000000"/>
      <w:sz w:val="24"/>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annotation subject"/>
    <w:basedOn w:val="11"/>
    <w:next w:val="11"/>
    <w:link w:val="40"/>
    <w:qFormat/>
    <w:uiPriority w:val="0"/>
    <w:rPr>
      <w:b/>
      <w:bCs/>
    </w:rPr>
  </w:style>
  <w:style w:type="table" w:styleId="25">
    <w:name w:val="Table Grid"/>
    <w:basedOn w:val="24"/>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rFonts w:ascii="Times New Roman" w:hAnsi="Times New Roman" w:eastAsia="宋体" w:cs="Times New Roman"/>
      <w:b/>
    </w:rPr>
  </w:style>
  <w:style w:type="character" w:styleId="28">
    <w:name w:val="page number"/>
    <w:basedOn w:val="26"/>
    <w:qFormat/>
    <w:uiPriority w:val="0"/>
  </w:style>
  <w:style w:type="character" w:styleId="29">
    <w:name w:val="Hyperlink"/>
    <w:basedOn w:val="26"/>
    <w:qFormat/>
    <w:uiPriority w:val="0"/>
    <w:rPr>
      <w:rFonts w:ascii="Times New Roman" w:hAnsi="Times New Roman" w:eastAsia="宋体" w:cs="Times New Roman"/>
      <w:color w:val="0000FF"/>
      <w:u w:val="single"/>
    </w:rPr>
  </w:style>
  <w:style w:type="character" w:styleId="30">
    <w:name w:val="annotation reference"/>
    <w:basedOn w:val="26"/>
    <w:qFormat/>
    <w:uiPriority w:val="0"/>
    <w:rPr>
      <w:rFonts w:ascii="Times New Roman" w:hAnsi="Times New Roman" w:eastAsia="宋体" w:cs="Times New Roman"/>
      <w:sz w:val="21"/>
      <w:szCs w:val="21"/>
    </w:rPr>
  </w:style>
  <w:style w:type="paragraph" w:customStyle="1" w:styleId="31">
    <w:name w:val="标准正文"/>
    <w:basedOn w:val="1"/>
    <w:qFormat/>
    <w:uiPriority w:val="0"/>
    <w:pPr>
      <w:spacing w:line="360" w:lineRule="auto"/>
      <w:ind w:firstLine="200" w:firstLineChars="200"/>
    </w:pPr>
    <w:rPr>
      <w:sz w:val="24"/>
      <w:szCs w:val="20"/>
    </w:rPr>
  </w:style>
  <w:style w:type="paragraph" w:customStyle="1" w:styleId="3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
    <w:name w:val="DAS正文"/>
    <w:basedOn w:val="1"/>
    <w:qFormat/>
    <w:uiPriority w:val="0"/>
    <w:pPr>
      <w:spacing w:line="360" w:lineRule="auto"/>
      <w:ind w:right="181" w:firstLine="480" w:firstLineChars="200"/>
    </w:pPr>
    <w:rPr>
      <w:rFonts w:ascii="Verdana" w:hAnsi="Verdana"/>
    </w:rPr>
  </w:style>
  <w:style w:type="character" w:customStyle="1" w:styleId="34">
    <w:name w:val="标题 1 字符"/>
    <w:basedOn w:val="26"/>
    <w:link w:val="4"/>
    <w:qFormat/>
    <w:uiPriority w:val="0"/>
    <w:rPr>
      <w:rFonts w:ascii="Times New Roman" w:hAnsi="Times New Roman" w:eastAsia="宋体" w:cs="Times New Roman"/>
      <w:b/>
      <w:bCs/>
      <w:kern w:val="44"/>
      <w:sz w:val="44"/>
      <w:szCs w:val="44"/>
    </w:rPr>
  </w:style>
  <w:style w:type="character" w:customStyle="1" w:styleId="35">
    <w:name w:val="纯文本 字符"/>
    <w:basedOn w:val="26"/>
    <w:link w:val="16"/>
    <w:qFormat/>
    <w:uiPriority w:val="0"/>
    <w:rPr>
      <w:rFonts w:ascii="宋体" w:hAnsi="Courier New" w:eastAsia="宋体" w:cs="Courier New"/>
      <w:sz w:val="21"/>
      <w:szCs w:val="21"/>
    </w:rPr>
  </w:style>
  <w:style w:type="character" w:customStyle="1" w:styleId="36">
    <w:name w:val="批注框文本 字符"/>
    <w:basedOn w:val="26"/>
    <w:link w:val="18"/>
    <w:qFormat/>
    <w:uiPriority w:val="0"/>
    <w:rPr>
      <w:rFonts w:ascii="Times New Roman" w:hAnsi="Times New Roman" w:eastAsia="宋体" w:cs="Times New Roman"/>
      <w:kern w:val="2"/>
      <w:sz w:val="18"/>
      <w:szCs w:val="18"/>
    </w:rPr>
  </w:style>
  <w:style w:type="character" w:customStyle="1" w:styleId="37">
    <w:name w:val="页脚 字符"/>
    <w:basedOn w:val="26"/>
    <w:link w:val="19"/>
    <w:qFormat/>
    <w:uiPriority w:val="0"/>
    <w:rPr>
      <w:rFonts w:ascii="Times New Roman" w:hAnsi="Times New Roman" w:eastAsia="宋体" w:cs="Times New Roman"/>
      <w:sz w:val="18"/>
      <w:szCs w:val="18"/>
    </w:rPr>
  </w:style>
  <w:style w:type="character" w:customStyle="1" w:styleId="38">
    <w:name w:val="标题 2 字符"/>
    <w:basedOn w:val="26"/>
    <w:link w:val="5"/>
    <w:qFormat/>
    <w:uiPriority w:val="0"/>
    <w:rPr>
      <w:rFonts w:ascii="Cambria" w:hAnsi="Cambria" w:eastAsia="宋体" w:cs="Times New Roman"/>
      <w:b/>
      <w:bCs/>
      <w:sz w:val="32"/>
      <w:szCs w:val="32"/>
    </w:rPr>
  </w:style>
  <w:style w:type="character" w:customStyle="1" w:styleId="39">
    <w:name w:val="font01"/>
    <w:qFormat/>
    <w:uiPriority w:val="0"/>
    <w:rPr>
      <w:rFonts w:hint="eastAsia" w:ascii="宋体" w:hAnsi="宋体" w:eastAsia="宋体" w:cs="宋体"/>
      <w:color w:val="000000"/>
      <w:sz w:val="24"/>
      <w:szCs w:val="24"/>
      <w:u w:val="none"/>
    </w:rPr>
  </w:style>
  <w:style w:type="character" w:customStyle="1" w:styleId="40">
    <w:name w:val="批注主题 字符"/>
    <w:basedOn w:val="41"/>
    <w:link w:val="23"/>
    <w:qFormat/>
    <w:uiPriority w:val="0"/>
    <w:rPr>
      <w:rFonts w:ascii="Times New Roman" w:hAnsi="Times New Roman" w:eastAsia="宋体" w:cs="Times New Roman"/>
      <w:b/>
      <w:bCs/>
      <w:kern w:val="2"/>
      <w:sz w:val="24"/>
      <w:szCs w:val="24"/>
    </w:rPr>
  </w:style>
  <w:style w:type="character" w:customStyle="1" w:styleId="41">
    <w:name w:val="批注文字 字符"/>
    <w:basedOn w:val="26"/>
    <w:link w:val="11"/>
    <w:qFormat/>
    <w:uiPriority w:val="0"/>
    <w:rPr>
      <w:rFonts w:ascii="Times New Roman" w:hAnsi="Times New Roman" w:eastAsia="宋体" w:cs="Times New Roman"/>
      <w:kern w:val="2"/>
      <w:sz w:val="24"/>
      <w:szCs w:val="24"/>
    </w:rPr>
  </w:style>
  <w:style w:type="character" w:customStyle="1" w:styleId="42">
    <w:name w:val="font11"/>
    <w:qFormat/>
    <w:uiPriority w:val="0"/>
    <w:rPr>
      <w:rFonts w:hint="default" w:ascii="Times New Roman" w:hAnsi="Times New Roman" w:eastAsia="宋体" w:cs="Times New Roman"/>
      <w:color w:val="000000"/>
      <w:sz w:val="24"/>
      <w:szCs w:val="24"/>
      <w:u w:val="none"/>
    </w:rPr>
  </w:style>
  <w:style w:type="character" w:customStyle="1" w:styleId="43">
    <w:name w:val="正文文本 字符"/>
    <w:basedOn w:val="26"/>
    <w:link w:val="12"/>
    <w:qFormat/>
    <w:uiPriority w:val="0"/>
    <w:rPr>
      <w:rFonts w:ascii="Times New Roman" w:hAnsi="Times New Roman" w:eastAsia="宋体" w:cs="Times New Roman"/>
      <w:sz w:val="24"/>
      <w:szCs w:val="24"/>
    </w:rPr>
  </w:style>
  <w:style w:type="character" w:customStyle="1" w:styleId="44">
    <w:name w:val="页眉 字符"/>
    <w:basedOn w:val="26"/>
    <w:link w:val="20"/>
    <w:qFormat/>
    <w:uiPriority w:val="0"/>
    <w:rPr>
      <w:rFonts w:ascii="Times New Roman" w:hAnsi="Times New Roman" w:eastAsia="宋体" w:cs="Times New Roman"/>
      <w:sz w:val="18"/>
      <w:szCs w:val="18"/>
    </w:rPr>
  </w:style>
  <w:style w:type="character" w:customStyle="1" w:styleId="45">
    <w:name w:val="font31"/>
    <w:qFormat/>
    <w:uiPriority w:val="0"/>
    <w:rPr>
      <w:rFonts w:hint="eastAsia" w:ascii="宋体" w:hAnsi="宋体" w:eastAsia="宋体" w:cs="宋体"/>
      <w:color w:val="000000"/>
      <w:sz w:val="24"/>
      <w:szCs w:val="24"/>
      <w:u w:val="none"/>
    </w:rPr>
  </w:style>
  <w:style w:type="character" w:customStyle="1" w:styleId="46">
    <w:name w:val="标题 3 字符"/>
    <w:basedOn w:val="26"/>
    <w:link w:val="6"/>
    <w:qFormat/>
    <w:uiPriority w:val="0"/>
    <w:rPr>
      <w:rFonts w:ascii="Times New Roman" w:hAnsi="Times New Roman" w:eastAsia="宋体" w:cs="Times New Roman"/>
      <w:b/>
      <w:bCs/>
      <w:sz w:val="32"/>
      <w:szCs w:val="32"/>
    </w:rPr>
  </w:style>
  <w:style w:type="character" w:customStyle="1" w:styleId="47">
    <w:name w:val="日期 字符"/>
    <w:basedOn w:val="26"/>
    <w:link w:val="17"/>
    <w:qFormat/>
    <w:uiPriority w:val="0"/>
    <w:rPr>
      <w:rFonts w:ascii="Times New Roman" w:hAnsi="Times New Roman" w:eastAsia="宋体" w:cs="Times New Roman"/>
      <w:sz w:val="24"/>
      <w:szCs w:val="24"/>
    </w:rPr>
  </w:style>
  <w:style w:type="character" w:customStyle="1" w:styleId="48">
    <w:name w:val="正文文本缩进 字符"/>
    <w:basedOn w:val="26"/>
    <w:link w:val="3"/>
    <w:qFormat/>
    <w:uiPriority w:val="0"/>
    <w:rPr>
      <w:rFonts w:ascii="Times New Roman" w:hAnsi="Times New Roman" w:eastAsia="宋体" w:cs="Times New Roman"/>
      <w:kern w:val="2"/>
      <w:sz w:val="24"/>
      <w:szCs w:val="24"/>
    </w:rPr>
  </w:style>
  <w:style w:type="paragraph" w:customStyle="1" w:styleId="49">
    <w:name w:val="纯文本_3"/>
    <w:basedOn w:val="50"/>
    <w:qFormat/>
    <w:uiPriority w:val="0"/>
    <w:pPr>
      <w:widowControl/>
      <w:jc w:val="left"/>
    </w:pPr>
    <w:rPr>
      <w:rFonts w:ascii="宋体" w:hAnsi="Courier New"/>
      <w:szCs w:val="21"/>
    </w:rPr>
  </w:style>
  <w:style w:type="paragraph" w:customStyle="1" w:styleId="5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纯文本_0_1"/>
    <w:basedOn w:val="1"/>
    <w:qFormat/>
    <w:uiPriority w:val="0"/>
    <w:pPr>
      <w:widowControl/>
      <w:jc w:val="left"/>
    </w:pPr>
    <w:rPr>
      <w:rFonts w:ascii="宋体" w:hAnsi="Courier New"/>
      <w:szCs w:val="21"/>
    </w:rPr>
  </w:style>
  <w:style w:type="paragraph" w:customStyle="1" w:styleId="5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54">
    <w:name w:val="表格文字"/>
    <w:basedOn w:val="1"/>
    <w:next w:val="12"/>
    <w:qFormat/>
    <w:uiPriority w:val="0"/>
    <w:pPr>
      <w:adjustRightInd w:val="0"/>
      <w:spacing w:line="420" w:lineRule="atLeast"/>
      <w:jc w:val="left"/>
      <w:textAlignment w:val="baseline"/>
    </w:pPr>
    <w:rPr>
      <w:kern w:val="0"/>
    </w:rPr>
  </w:style>
  <w:style w:type="paragraph" w:customStyle="1" w:styleId="55">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59">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paragraph" w:customStyle="1" w:styleId="60">
    <w:name w:val="正文（首行缩进2字符）"/>
    <w:basedOn w:val="1"/>
    <w:qFormat/>
    <w:uiPriority w:val="0"/>
    <w:pPr>
      <w:spacing w:line="360" w:lineRule="auto"/>
      <w:ind w:firstLine="420" w:firstLineChars="200"/>
    </w:pPr>
    <w:rPr>
      <w:szCs w:val="21"/>
    </w:rPr>
  </w:style>
  <w:style w:type="paragraph" w:customStyle="1" w:styleId="61">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6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4"/>
    <w:qFormat/>
    <w:uiPriority w:val="0"/>
    <w:rPr>
      <w:rFonts w:ascii="Times New Roman" w:hAnsi="Times New Roman" w:eastAsia="宋体" w:cs="Times New Roman"/>
      <w:sz w:val="21"/>
      <w:szCs w:val="22"/>
      <w:lang w:val="en-US" w:eastAsia="zh-CN" w:bidi="ar-SA"/>
    </w:rPr>
  </w:style>
  <w:style w:type="paragraph" w:customStyle="1" w:styleId="6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列出段落1"/>
    <w:basedOn w:val="1"/>
    <w:qFormat/>
    <w:uiPriority w:val="0"/>
    <w:pPr>
      <w:ind w:firstLine="420" w:firstLineChars="200"/>
    </w:pPr>
    <w:rPr>
      <w:rFonts w:ascii="Calibri" w:hAnsi="Calibri"/>
      <w:kern w:val="0"/>
      <w:szCs w:val="20"/>
    </w:rPr>
  </w:style>
  <w:style w:type="paragraph" w:customStyle="1" w:styleId="68">
    <w:name w:val="正文2"/>
    <w:basedOn w:val="1"/>
    <w:qFormat/>
    <w:uiPriority w:val="0"/>
    <w:pPr>
      <w:spacing w:before="156" w:line="360" w:lineRule="auto"/>
      <w:ind w:firstLine="510" w:firstLineChars="200"/>
    </w:pPr>
    <w:rPr>
      <w:sz w:val="24"/>
      <w:szCs w:val="20"/>
    </w:rPr>
  </w:style>
  <w:style w:type="paragraph" w:customStyle="1" w:styleId="69">
    <w:name w:val="正文 A"/>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70">
    <w:name w:val="列表段落1"/>
    <w:basedOn w:val="1"/>
    <w:qFormat/>
    <w:uiPriority w:val="0"/>
    <w:pPr>
      <w:ind w:firstLine="420" w:firstLineChars="200"/>
    </w:pPr>
    <w:rPr>
      <w:rFonts w:ascii="Calibri" w:hAnsi="Calibri"/>
      <w:szCs w:val="22"/>
    </w:rPr>
  </w:style>
  <w:style w:type="character" w:customStyle="1" w:styleId="71">
    <w:name w:val="font111"/>
    <w:basedOn w:val="26"/>
    <w:qFormat/>
    <w:uiPriority w:val="0"/>
    <w:rPr>
      <w:rFonts w:hint="eastAsia" w:ascii="宋体" w:hAnsi="宋体" w:eastAsia="宋体" w:cs="宋体"/>
      <w:color w:val="000000"/>
      <w:sz w:val="18"/>
      <w:szCs w:val="18"/>
      <w:u w:val="none"/>
    </w:rPr>
  </w:style>
  <w:style w:type="paragraph" w:customStyle="1" w:styleId="72">
    <w:name w:val="列表段落2"/>
    <w:basedOn w:val="1"/>
    <w:qFormat/>
    <w:uiPriority w:val="0"/>
    <w:pPr>
      <w:ind w:firstLine="420" w:firstLineChars="200"/>
    </w:pPr>
  </w:style>
  <w:style w:type="paragraph" w:styleId="73">
    <w:name w:val="List Paragraph"/>
    <w:basedOn w:val="1"/>
    <w:qFormat/>
    <w:uiPriority w:val="99"/>
    <w:pPr>
      <w:ind w:firstLine="420" w:firstLineChars="200"/>
    </w:pPr>
  </w:style>
  <w:style w:type="paragraph" w:customStyle="1" w:styleId="74">
    <w:name w:val="纯文本1"/>
    <w:basedOn w:val="1"/>
    <w:qFormat/>
    <w:uiPriority w:val="0"/>
    <w:pPr>
      <w:adjustRightInd w:val="0"/>
    </w:pPr>
    <w:rPr>
      <w:rFonts w:ascii="宋体" w:hAnsi="Courier New" w:eastAsia="楷体_GB2312"/>
      <w:sz w:val="28"/>
      <w:szCs w:val="20"/>
    </w:rPr>
  </w:style>
  <w:style w:type="character" w:customStyle="1" w:styleId="75">
    <w:name w:val="正文文本缩进 3 字符"/>
    <w:link w:val="21"/>
    <w:qFormat/>
    <w:uiPriority w:val="0"/>
    <w:rPr>
      <w:rFonts w:eastAsia="黑体"/>
      <w:color w:val="000000"/>
      <w:sz w:val="24"/>
    </w:rPr>
  </w:style>
  <w:style w:type="paragraph" w:customStyle="1" w:styleId="76">
    <w:name w:val="Table Paragraph"/>
    <w:basedOn w:val="1"/>
    <w:qFormat/>
    <w:uiPriority w:val="1"/>
    <w:rPr>
      <w:rFonts w:ascii="宋体" w:hAnsi="宋体" w:cs="宋体"/>
    </w:rPr>
  </w:style>
  <w:style w:type="paragraph" w:customStyle="1" w:styleId="77">
    <w:name w:val="List Paragraph1"/>
    <w:basedOn w:val="1"/>
    <w:qFormat/>
    <w:uiPriority w:val="0"/>
    <w:pPr>
      <w:ind w:firstLine="420" w:firstLineChars="200"/>
    </w:pPr>
    <w:rPr>
      <w:rFonts w:ascii="Calibri" w:hAnsi="Calibri"/>
      <w:szCs w:val="22"/>
    </w:rPr>
  </w:style>
  <w:style w:type="paragraph" w:customStyle="1" w:styleId="78">
    <w:name w:val="Char Char Char Char Char Char2 Char Char Char Char1"/>
    <w:basedOn w:val="1"/>
    <w:qFormat/>
    <w:uiPriority w:val="0"/>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81">
    <w:name w:val="纯文本2"/>
    <w:basedOn w:val="82"/>
    <w:qFormat/>
    <w:uiPriority w:val="0"/>
    <w:pPr>
      <w:widowControl/>
      <w:jc w:val="left"/>
    </w:pPr>
    <w:rPr>
      <w:rFonts w:ascii="宋体" w:hAnsi="Courier New"/>
    </w:rPr>
  </w:style>
  <w:style w:type="paragraph" w:customStyle="1" w:styleId="82">
    <w:name w:val="正文3"/>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57</Pages>
  <Words>4648</Words>
  <Characters>26496</Characters>
  <Lines>220</Lines>
  <Paragraphs>62</Paragraphs>
  <TotalTime>12</TotalTime>
  <ScaleCrop>false</ScaleCrop>
  <LinksUpToDate>false</LinksUpToDate>
  <CharactersWithSpaces>31082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2020-05-13T04:57:00Z</dcterms:created>
  <dc:creator>S-mile</dc:creator>
  <cp:lastModifiedBy>………</cp:lastModifiedBy>
  <cp:lastPrinted>2021-01-27T02:24:00Z</cp:lastPrinted>
  <dcterms:modified xsi:type="dcterms:W3CDTF">2021-01-28T01:29:01Z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