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36"/>
          <w:szCs w:val="36"/>
        </w:rPr>
      </w:pPr>
    </w:p>
    <w:p>
      <w:pPr>
        <w:pStyle w:val="43"/>
      </w:pPr>
    </w:p>
    <w:p>
      <w:pPr>
        <w:jc w:val="center"/>
        <w:rPr>
          <w:rFonts w:ascii="宋体" w:hAnsi="宋体" w:cs="宋体"/>
          <w:b/>
          <w:sz w:val="72"/>
          <w:szCs w:val="72"/>
        </w:rPr>
      </w:pPr>
      <w:r>
        <w:rPr>
          <w:rFonts w:hint="eastAsia" w:ascii="宋体" w:hAnsi="宋体" w:cs="宋体"/>
          <w:b/>
          <w:sz w:val="72"/>
          <w:szCs w:val="72"/>
        </w:rPr>
        <w:t xml:space="preserve"> </w:t>
      </w:r>
    </w:p>
    <w:p>
      <w:pPr>
        <w:shd w:val="clear" w:color="auto" w:fill="FFFFFF"/>
        <w:spacing w:line="360" w:lineRule="auto"/>
        <w:jc w:val="center"/>
        <w:textAlignment w:val="bottom"/>
        <w:rPr>
          <w:rFonts w:ascii="宋体" w:hAnsi="宋体" w:cs="宋体"/>
          <w:b/>
          <w:kern w:val="0"/>
          <w:sz w:val="52"/>
          <w:szCs w:val="52"/>
        </w:rPr>
      </w:pPr>
      <w:r>
        <w:rPr>
          <w:rFonts w:hint="eastAsia" w:ascii="宋体" w:hAnsi="宋体" w:cs="宋体"/>
          <w:b/>
          <w:kern w:val="0"/>
          <w:sz w:val="52"/>
          <w:szCs w:val="52"/>
        </w:rPr>
        <w:t>政府采购电子招标</w:t>
      </w:r>
    </w:p>
    <w:p>
      <w:pPr>
        <w:shd w:val="clear" w:color="auto" w:fill="FFFFFF"/>
        <w:spacing w:line="360" w:lineRule="auto"/>
        <w:jc w:val="center"/>
        <w:textAlignment w:val="bottom"/>
        <w:rPr>
          <w:rFonts w:ascii="宋体" w:hAnsi="宋体" w:cs="宋体"/>
          <w:b/>
          <w:kern w:val="0"/>
          <w:sz w:val="52"/>
          <w:szCs w:val="52"/>
        </w:rPr>
      </w:pPr>
      <w:r>
        <w:rPr>
          <w:rFonts w:hint="eastAsia" w:ascii="宋体" w:hAnsi="宋体" w:cs="宋体"/>
          <w:b/>
          <w:kern w:val="0"/>
          <w:sz w:val="52"/>
          <w:szCs w:val="52"/>
        </w:rPr>
        <w:t>竞争性磋商文件</w:t>
      </w:r>
    </w:p>
    <w:p>
      <w:pPr>
        <w:shd w:val="clear" w:color="auto" w:fill="FFFFFF"/>
        <w:spacing w:line="360" w:lineRule="auto"/>
        <w:jc w:val="center"/>
        <w:textAlignment w:val="bottom"/>
        <w:rPr>
          <w:rFonts w:ascii="宋体" w:hAnsi="宋体" w:cs="宋体"/>
          <w:sz w:val="28"/>
          <w:szCs w:val="28"/>
        </w:rPr>
      </w:pPr>
    </w:p>
    <w:p>
      <w:pPr>
        <w:shd w:val="clear" w:color="auto" w:fill="FFFFFF"/>
        <w:tabs>
          <w:tab w:val="center" w:pos="4213"/>
          <w:tab w:val="left" w:pos="6438"/>
        </w:tabs>
        <w:spacing w:line="360" w:lineRule="auto"/>
        <w:jc w:val="left"/>
        <w:textAlignment w:val="bottom"/>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项目编号：ZJHD-2024-0412</w:t>
      </w:r>
      <w:r>
        <w:rPr>
          <w:rFonts w:hint="eastAsia" w:ascii="宋体" w:hAnsi="宋体" w:cs="宋体"/>
          <w:sz w:val="28"/>
          <w:szCs w:val="28"/>
        </w:rPr>
        <w:tab/>
      </w:r>
    </w:p>
    <w:p>
      <w:pPr>
        <w:shd w:val="clear" w:color="auto" w:fill="FFFFFF"/>
        <w:spacing w:line="360" w:lineRule="auto"/>
        <w:textAlignment w:val="bottom"/>
        <w:rPr>
          <w:rFonts w:ascii="宋体" w:hAnsi="宋体" w:cs="宋体"/>
          <w:kern w:val="0"/>
          <w:sz w:val="28"/>
        </w:rPr>
      </w:pPr>
    </w:p>
    <w:p>
      <w:pPr>
        <w:autoSpaceDE w:val="0"/>
        <w:autoSpaceDN w:val="0"/>
        <w:adjustRightInd w:val="0"/>
        <w:spacing w:line="360" w:lineRule="auto"/>
        <w:ind w:left="2238" w:leftChars="399" w:hanging="1400" w:hangingChars="500"/>
        <w:rPr>
          <w:rFonts w:ascii="宋体" w:hAnsi="宋体" w:cs="宋体"/>
          <w:kern w:val="0"/>
          <w:sz w:val="28"/>
        </w:rPr>
      </w:pPr>
      <w:r>
        <w:rPr>
          <w:rFonts w:hint="eastAsia" w:ascii="宋体" w:hAnsi="宋体" w:cs="宋体"/>
          <w:kern w:val="0"/>
          <w:sz w:val="28"/>
        </w:rPr>
        <w:t>采购项目：工矿企业购买第三方服务项目</w:t>
      </w:r>
    </w:p>
    <w:p>
      <w:pPr>
        <w:autoSpaceDE w:val="0"/>
        <w:autoSpaceDN w:val="0"/>
        <w:adjustRightInd w:val="0"/>
        <w:spacing w:line="360" w:lineRule="auto"/>
        <w:ind w:left="838" w:leftChars="399"/>
        <w:rPr>
          <w:rFonts w:ascii="宋体" w:hAnsi="宋体" w:cs="宋体"/>
          <w:kern w:val="0"/>
          <w:sz w:val="28"/>
        </w:rPr>
      </w:pPr>
      <w:r>
        <w:rPr>
          <w:rFonts w:hint="eastAsia" w:ascii="宋体" w:hAnsi="宋体" w:cs="宋体"/>
          <w:kern w:val="0"/>
          <w:sz w:val="28"/>
        </w:rPr>
        <w:t>采购单位：台州市椒江区应急管理局</w:t>
      </w:r>
    </w:p>
    <w:p>
      <w:pPr>
        <w:spacing w:line="360" w:lineRule="auto"/>
        <w:ind w:firstLine="840" w:firstLineChars="300"/>
        <w:rPr>
          <w:rFonts w:ascii="宋体" w:hAnsi="宋体" w:cs="宋体"/>
          <w:sz w:val="28"/>
          <w:szCs w:val="36"/>
        </w:rPr>
      </w:pPr>
      <w:r>
        <w:rPr>
          <w:rFonts w:hint="eastAsia" w:ascii="宋体" w:hAnsi="宋体" w:cs="宋体"/>
          <w:sz w:val="28"/>
          <w:szCs w:val="36"/>
        </w:rPr>
        <w:t>采购代理机构：浙江洪大工程咨询有限公司</w:t>
      </w:r>
    </w:p>
    <w:p>
      <w:pPr>
        <w:pStyle w:val="13"/>
        <w:rPr>
          <w:rFonts w:ascii="宋体" w:hAnsi="宋体" w:cs="宋体"/>
          <w:sz w:val="28"/>
          <w:szCs w:val="36"/>
        </w:rPr>
      </w:pPr>
    </w:p>
    <w:p>
      <w:pPr>
        <w:pStyle w:val="14"/>
        <w:rPr>
          <w:rFonts w:ascii="宋体" w:hAnsi="宋体" w:cs="宋体"/>
          <w:sz w:val="28"/>
          <w:szCs w:val="36"/>
        </w:rPr>
      </w:pPr>
    </w:p>
    <w:p>
      <w:pPr>
        <w:pStyle w:val="24"/>
        <w:rPr>
          <w:rFonts w:ascii="宋体" w:hAnsi="宋体" w:cs="宋体"/>
          <w:sz w:val="28"/>
          <w:szCs w:val="36"/>
        </w:rPr>
      </w:pPr>
    </w:p>
    <w:p>
      <w:pPr>
        <w:rPr>
          <w:rFonts w:ascii="宋体" w:hAnsi="宋体" w:cs="宋体"/>
          <w:sz w:val="28"/>
          <w:szCs w:val="36"/>
        </w:rPr>
      </w:pPr>
    </w:p>
    <w:p>
      <w:pPr>
        <w:pStyle w:val="13"/>
        <w:rPr>
          <w:rFonts w:ascii="宋体" w:hAnsi="宋体" w:cs="宋体"/>
          <w:sz w:val="28"/>
          <w:szCs w:val="36"/>
        </w:rPr>
      </w:pPr>
    </w:p>
    <w:p>
      <w:pPr>
        <w:pStyle w:val="14"/>
        <w:rPr>
          <w:rFonts w:ascii="宋体" w:hAnsi="宋体" w:cs="宋体"/>
          <w:sz w:val="28"/>
          <w:szCs w:val="36"/>
        </w:rPr>
      </w:pPr>
    </w:p>
    <w:p>
      <w:pPr>
        <w:pStyle w:val="24"/>
      </w:pPr>
    </w:p>
    <w:p>
      <w:pPr>
        <w:autoSpaceDE w:val="0"/>
        <w:autoSpaceDN w:val="0"/>
        <w:adjustRightInd w:val="0"/>
        <w:spacing w:line="360" w:lineRule="auto"/>
        <w:jc w:val="center"/>
        <w:rPr>
          <w:rFonts w:ascii="宋体" w:hAnsi="宋体" w:cs="宋体"/>
          <w:kern w:val="0"/>
          <w:sz w:val="28"/>
        </w:rPr>
        <w:sectPr>
          <w:headerReference r:id="rId4" w:type="default"/>
          <w:pgSz w:w="11906" w:h="16838"/>
          <w:pgMar w:top="1440" w:right="1800" w:bottom="1440" w:left="1800" w:header="851" w:footer="992" w:gutter="0"/>
          <w:cols w:space="720" w:num="1"/>
          <w:docGrid w:type="lines" w:linePitch="312" w:charSpace="0"/>
        </w:sectPr>
      </w:pPr>
      <w:r>
        <w:rPr>
          <w:rFonts w:hint="eastAsia" w:ascii="宋体" w:hAnsi="宋体" w:cs="宋体"/>
          <w:kern w:val="0"/>
          <w:sz w:val="28"/>
        </w:rPr>
        <w:t>二○二四年</w:t>
      </w:r>
      <w:r>
        <w:rPr>
          <w:rFonts w:hint="eastAsia" w:ascii="宋体" w:hAnsi="宋体" w:cs="宋体"/>
          <w:kern w:val="0"/>
          <w:sz w:val="28"/>
          <w:lang w:val="en-US" w:eastAsia="zh-CN"/>
        </w:rPr>
        <w:t>四</w:t>
      </w:r>
      <w:r>
        <w:rPr>
          <w:rFonts w:hint="eastAsia" w:ascii="宋体" w:hAnsi="宋体" w:cs="宋体"/>
          <w:kern w:val="0"/>
          <w:sz w:val="28"/>
        </w:rPr>
        <w:t>月</w:t>
      </w:r>
    </w:p>
    <w:p>
      <w:pPr>
        <w:pStyle w:val="73"/>
        <w:sectPr>
          <w:footerReference r:id="rId5" w:type="default"/>
          <w:pgSz w:w="11906" w:h="16838"/>
          <w:pgMar w:top="1440" w:right="1800" w:bottom="1440" w:left="1800" w:header="851" w:footer="992" w:gutter="0"/>
          <w:pgNumType w:start="1"/>
          <w:cols w:space="720" w:num="1"/>
          <w:docGrid w:type="lines" w:linePitch="312" w:charSpace="0"/>
        </w:sectPr>
      </w:pPr>
    </w:p>
    <w:p>
      <w:pPr>
        <w:pStyle w:val="73"/>
      </w:pPr>
    </w:p>
    <w:p>
      <w:pPr>
        <w:spacing w:line="360" w:lineRule="auto"/>
        <w:rPr>
          <w:rFonts w:ascii="宋体" w:hAnsi="宋体" w:cs="宋体"/>
          <w:sz w:val="24"/>
          <w:szCs w:val="32"/>
        </w:rPr>
      </w:pPr>
    </w:p>
    <w:p>
      <w:pPr>
        <w:jc w:val="center"/>
        <w:rPr>
          <w:rFonts w:ascii="宋体" w:hAnsi="宋体" w:cs="宋体"/>
          <w:b/>
          <w:bCs/>
          <w:sz w:val="48"/>
          <w:szCs w:val="48"/>
        </w:rPr>
      </w:pPr>
      <w:r>
        <w:rPr>
          <w:rFonts w:hint="eastAsia" w:ascii="宋体" w:hAnsi="宋体" w:cs="宋体"/>
          <w:b/>
          <w:bCs/>
          <w:sz w:val="48"/>
          <w:szCs w:val="48"/>
        </w:rPr>
        <w:t>目  录</w:t>
      </w:r>
    </w:p>
    <w:p>
      <w:pPr>
        <w:spacing w:line="360" w:lineRule="auto"/>
        <w:rPr>
          <w:rFonts w:ascii="宋体" w:hAnsi="宋体" w:cs="宋体"/>
          <w:sz w:val="24"/>
          <w:szCs w:val="32"/>
        </w:rPr>
      </w:pPr>
    </w:p>
    <w:p>
      <w:pPr>
        <w:spacing w:line="360" w:lineRule="auto"/>
        <w:outlineLvl w:val="0"/>
        <w:rPr>
          <w:rFonts w:ascii="宋体" w:hAnsi="宋体" w:cs="宋体"/>
          <w:b/>
          <w:bCs/>
          <w:sz w:val="32"/>
          <w:szCs w:val="32"/>
        </w:rPr>
      </w:pPr>
      <w:r>
        <w:rPr>
          <w:rFonts w:hint="eastAsia" w:ascii="宋体" w:hAnsi="宋体" w:cs="宋体"/>
          <w:b/>
          <w:bCs/>
          <w:sz w:val="32"/>
          <w:szCs w:val="32"/>
        </w:rPr>
        <w:t>第一章 竞争性磋商公告</w:t>
      </w:r>
    </w:p>
    <w:p>
      <w:pPr>
        <w:spacing w:line="360" w:lineRule="auto"/>
        <w:outlineLvl w:val="0"/>
        <w:rPr>
          <w:rFonts w:ascii="宋体" w:hAnsi="宋体" w:cs="宋体"/>
          <w:b/>
          <w:bCs/>
          <w:sz w:val="32"/>
          <w:szCs w:val="32"/>
        </w:rPr>
      </w:pPr>
      <w:r>
        <w:rPr>
          <w:rFonts w:hint="eastAsia" w:ascii="宋体" w:hAnsi="宋体" w:cs="宋体"/>
          <w:b/>
          <w:bCs/>
          <w:sz w:val="32"/>
          <w:szCs w:val="32"/>
        </w:rPr>
        <w:t>第二章 供应商须知</w:t>
      </w:r>
    </w:p>
    <w:p>
      <w:pPr>
        <w:spacing w:line="360" w:lineRule="auto"/>
        <w:outlineLvl w:val="0"/>
        <w:rPr>
          <w:rFonts w:ascii="宋体" w:hAnsi="宋体" w:cs="宋体"/>
          <w:b/>
          <w:bCs/>
          <w:sz w:val="32"/>
          <w:szCs w:val="32"/>
        </w:rPr>
      </w:pPr>
      <w:r>
        <w:rPr>
          <w:rFonts w:hint="eastAsia" w:ascii="宋体" w:hAnsi="宋体" w:cs="宋体"/>
          <w:b/>
          <w:bCs/>
          <w:sz w:val="32"/>
          <w:szCs w:val="32"/>
        </w:rPr>
        <w:t>第三章 评审办法及评审标准</w:t>
      </w:r>
    </w:p>
    <w:p>
      <w:pPr>
        <w:spacing w:line="360" w:lineRule="auto"/>
        <w:outlineLvl w:val="0"/>
        <w:rPr>
          <w:rFonts w:ascii="宋体" w:hAnsi="宋体" w:cs="宋体"/>
          <w:b/>
          <w:bCs/>
          <w:sz w:val="32"/>
          <w:szCs w:val="32"/>
        </w:rPr>
      </w:pPr>
      <w:r>
        <w:rPr>
          <w:rFonts w:hint="eastAsia" w:ascii="宋体" w:hAnsi="宋体" w:cs="宋体"/>
          <w:b/>
          <w:bCs/>
          <w:sz w:val="32"/>
          <w:szCs w:val="32"/>
        </w:rPr>
        <w:t>第四章 项目需求</w:t>
      </w:r>
    </w:p>
    <w:p>
      <w:pPr>
        <w:spacing w:line="360" w:lineRule="auto"/>
        <w:outlineLvl w:val="0"/>
        <w:rPr>
          <w:rFonts w:ascii="宋体" w:hAnsi="宋体" w:cs="宋体"/>
          <w:b/>
          <w:bCs/>
          <w:sz w:val="32"/>
          <w:szCs w:val="32"/>
        </w:rPr>
      </w:pPr>
      <w:r>
        <w:rPr>
          <w:rFonts w:hint="eastAsia" w:ascii="宋体" w:hAnsi="宋体" w:cs="宋体"/>
          <w:b/>
          <w:bCs/>
          <w:sz w:val="32"/>
          <w:szCs w:val="32"/>
        </w:rPr>
        <w:t>第五章 合同主要条款</w:t>
      </w:r>
    </w:p>
    <w:p>
      <w:pPr>
        <w:spacing w:line="360" w:lineRule="auto"/>
        <w:outlineLvl w:val="0"/>
        <w:rPr>
          <w:rFonts w:ascii="宋体" w:hAnsi="宋体" w:cs="宋体"/>
          <w:b/>
          <w:bCs/>
          <w:sz w:val="32"/>
          <w:szCs w:val="32"/>
        </w:rPr>
      </w:pPr>
      <w:r>
        <w:rPr>
          <w:rFonts w:hint="eastAsia" w:ascii="宋体" w:hAnsi="宋体" w:cs="宋体"/>
          <w:b/>
          <w:bCs/>
          <w:sz w:val="32"/>
          <w:szCs w:val="32"/>
        </w:rPr>
        <w:t>第六章 响应文件格式附件</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pStyle w:val="76"/>
        <w:rPr>
          <w:rFonts w:ascii="宋体" w:hAnsi="宋体" w:cs="宋体"/>
        </w:rPr>
        <w:sectPr>
          <w:headerReference r:id="rId7" w:type="first"/>
          <w:headerReference r:id="rId6" w:type="default"/>
          <w:footerReference r:id="rId8" w:type="default"/>
          <w:pgSz w:w="11907" w:h="16840"/>
          <w:pgMar w:top="1418" w:right="1418" w:bottom="1418" w:left="1531" w:header="851" w:footer="992" w:gutter="0"/>
          <w:pgNumType w:start="1"/>
          <w:cols w:space="720" w:num="1"/>
          <w:docGrid w:type="lines" w:linePitch="312" w:charSpace="0"/>
        </w:sect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spacing w:line="360" w:lineRule="auto"/>
        <w:jc w:val="center"/>
        <w:outlineLvl w:val="0"/>
        <w:rPr>
          <w:rFonts w:hint="eastAsia" w:ascii="宋体" w:hAnsi="宋体" w:cs="宋体"/>
          <w:b/>
          <w:bCs/>
          <w:sz w:val="36"/>
          <w:szCs w:val="44"/>
        </w:rPr>
        <w:sectPr>
          <w:pgSz w:w="11906" w:h="16838"/>
          <w:pgMar w:top="1440" w:right="1800" w:bottom="1440" w:left="1800" w:header="851" w:footer="992" w:gutter="0"/>
          <w:cols w:space="720" w:num="1"/>
          <w:docGrid w:type="lines" w:linePitch="312" w:charSpace="0"/>
        </w:sectPr>
      </w:pPr>
    </w:p>
    <w:p>
      <w:pPr>
        <w:spacing w:line="360" w:lineRule="auto"/>
        <w:jc w:val="center"/>
        <w:outlineLvl w:val="0"/>
        <w:rPr>
          <w:rFonts w:ascii="宋体" w:hAnsi="宋体" w:cs="宋体"/>
          <w:b/>
          <w:bCs/>
          <w:sz w:val="36"/>
          <w:szCs w:val="44"/>
        </w:rPr>
      </w:pPr>
      <w:r>
        <w:rPr>
          <w:rFonts w:hint="eastAsia" w:ascii="宋体" w:hAnsi="宋体" w:cs="宋体"/>
          <w:b/>
          <w:bCs/>
          <w:sz w:val="36"/>
          <w:szCs w:val="44"/>
        </w:rPr>
        <w:t>第一章 竞争性磋商公告</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根据《中华人民共和国政府采购法》及财政部关于印发《政府采购竞争性磋商采购方式管理暂行办法》等有关规定, </w:t>
      </w:r>
      <w:r>
        <w:rPr>
          <w:rFonts w:hint="eastAsia" w:ascii="宋体" w:hAnsi="宋体" w:cs="宋体"/>
          <w:b/>
          <w:bCs/>
          <w:sz w:val="24"/>
          <w:szCs w:val="32"/>
        </w:rPr>
        <w:t>浙江洪大工程咨询有限公司</w:t>
      </w:r>
      <w:r>
        <w:rPr>
          <w:rFonts w:hint="eastAsia" w:ascii="宋体" w:hAnsi="宋体" w:cs="宋体"/>
          <w:sz w:val="24"/>
          <w:szCs w:val="32"/>
        </w:rPr>
        <w:t>受</w:t>
      </w:r>
      <w:r>
        <w:rPr>
          <w:rFonts w:hint="eastAsia" w:ascii="宋体" w:hAnsi="宋体" w:cs="宋体"/>
          <w:b/>
          <w:bCs/>
          <w:sz w:val="24"/>
          <w:szCs w:val="32"/>
        </w:rPr>
        <w:t>台州市椒江区应急管理局</w:t>
      </w:r>
      <w:r>
        <w:rPr>
          <w:rFonts w:hint="eastAsia" w:ascii="宋体" w:hAnsi="宋体" w:cs="宋体"/>
          <w:sz w:val="24"/>
          <w:szCs w:val="32"/>
        </w:rPr>
        <w:t>委托，现就其</w:t>
      </w:r>
      <w:r>
        <w:rPr>
          <w:rFonts w:hint="eastAsia" w:ascii="宋体" w:hAnsi="宋体" w:cs="宋体"/>
          <w:b/>
          <w:bCs/>
          <w:sz w:val="24"/>
          <w:szCs w:val="32"/>
        </w:rPr>
        <w:t>工矿企业购买第三方服务项目</w:t>
      </w:r>
      <w:r>
        <w:rPr>
          <w:rFonts w:hint="eastAsia" w:ascii="宋体" w:hAnsi="宋体" w:cs="宋体"/>
          <w:sz w:val="24"/>
          <w:szCs w:val="32"/>
        </w:rPr>
        <w:t>进行竞争性磋商采购，欢迎合格供应商前来磋商。</w:t>
      </w:r>
    </w:p>
    <w:p>
      <w:pPr>
        <w:spacing w:line="360" w:lineRule="auto"/>
        <w:ind w:firstLine="482" w:firstLineChars="200"/>
        <w:rPr>
          <w:rFonts w:ascii="宋体" w:hAnsi="宋体" w:cs="宋体"/>
          <w:sz w:val="24"/>
          <w:szCs w:val="32"/>
        </w:rPr>
      </w:pPr>
      <w:r>
        <w:rPr>
          <w:rFonts w:hint="eastAsia" w:ascii="宋体" w:hAnsi="宋体" w:cs="宋体"/>
          <w:b/>
          <w:bCs/>
          <w:sz w:val="24"/>
          <w:szCs w:val="32"/>
        </w:rPr>
        <w:t>一、项目编号：</w:t>
      </w:r>
      <w:r>
        <w:rPr>
          <w:rFonts w:hint="eastAsia" w:ascii="宋体" w:hAnsi="宋体" w:cs="宋体"/>
          <w:sz w:val="24"/>
          <w:szCs w:val="32"/>
        </w:rPr>
        <w:t>ZJHD-2024-0412</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二、磋商内容：</w:t>
      </w:r>
    </w:p>
    <w:tbl>
      <w:tblPr>
        <w:tblStyle w:val="33"/>
        <w:tblW w:w="925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29"/>
        <w:gridCol w:w="1025"/>
        <w:gridCol w:w="1175"/>
        <w:gridCol w:w="1791"/>
        <w:gridCol w:w="160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11"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标项</w:t>
            </w:r>
          </w:p>
        </w:tc>
        <w:tc>
          <w:tcPr>
            <w:tcW w:w="1729"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采购内容</w:t>
            </w:r>
          </w:p>
        </w:tc>
        <w:tc>
          <w:tcPr>
            <w:tcW w:w="1025"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单位</w:t>
            </w:r>
          </w:p>
        </w:tc>
        <w:tc>
          <w:tcPr>
            <w:tcW w:w="1175"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数量</w:t>
            </w:r>
          </w:p>
        </w:tc>
        <w:tc>
          <w:tcPr>
            <w:tcW w:w="1791" w:type="dxa"/>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b/>
                <w:sz w:val="24"/>
              </w:rPr>
              <w:t>预算</w:t>
            </w:r>
            <w:r>
              <w:rPr>
                <w:rFonts w:hint="eastAsia" w:ascii="宋体" w:hAnsi="宋体" w:cs="宋体"/>
                <w:b/>
                <w:bCs/>
                <w:sz w:val="24"/>
                <w:szCs w:val="32"/>
              </w:rPr>
              <w:t>价/</w:t>
            </w:r>
            <w:r>
              <w:rPr>
                <w:rFonts w:hint="eastAsia" w:ascii="宋体" w:hAnsi="宋体"/>
                <w:sz w:val="24"/>
              </w:rPr>
              <w:t>最高投标限价</w:t>
            </w:r>
          </w:p>
        </w:tc>
        <w:tc>
          <w:tcPr>
            <w:tcW w:w="1607"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Arial"/>
                <w:kern w:val="0"/>
                <w:sz w:val="24"/>
              </w:rPr>
              <w:t>服务期</w:t>
            </w:r>
          </w:p>
        </w:tc>
        <w:tc>
          <w:tcPr>
            <w:tcW w:w="1114" w:type="dxa"/>
            <w:vAlign w:val="center"/>
          </w:tcPr>
          <w:p>
            <w:pPr>
              <w:snapToGrid w:val="0"/>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11"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1</w:t>
            </w:r>
          </w:p>
        </w:tc>
        <w:tc>
          <w:tcPr>
            <w:tcW w:w="1729"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工矿企业购买第三方服务项目</w:t>
            </w:r>
          </w:p>
        </w:tc>
        <w:tc>
          <w:tcPr>
            <w:tcW w:w="1025"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项</w:t>
            </w:r>
          </w:p>
        </w:tc>
        <w:tc>
          <w:tcPr>
            <w:tcW w:w="1175" w:type="dxa"/>
            <w:vAlign w:val="center"/>
          </w:tcPr>
          <w:p>
            <w:pPr>
              <w:tabs>
                <w:tab w:val="left" w:pos="8280"/>
              </w:tabs>
              <w:autoSpaceDE w:val="0"/>
              <w:autoSpaceDN w:val="0"/>
              <w:adjustRightInd w:val="0"/>
              <w:spacing w:line="320" w:lineRule="exact"/>
              <w:ind w:right="23"/>
              <w:jc w:val="center"/>
              <w:rPr>
                <w:rFonts w:ascii="宋体" w:hAnsi="宋体" w:cs="宋体"/>
                <w:sz w:val="24"/>
              </w:rPr>
            </w:pPr>
            <w:r>
              <w:rPr>
                <w:rFonts w:hint="eastAsia" w:ascii="宋体" w:hAnsi="宋体" w:cs="宋体"/>
                <w:sz w:val="24"/>
              </w:rPr>
              <w:t>1</w:t>
            </w:r>
          </w:p>
        </w:tc>
        <w:tc>
          <w:tcPr>
            <w:tcW w:w="1791" w:type="dxa"/>
            <w:vAlign w:val="center"/>
          </w:tcPr>
          <w:p>
            <w:pPr>
              <w:spacing w:line="360" w:lineRule="auto"/>
              <w:jc w:val="center"/>
              <w:rPr>
                <w:rFonts w:ascii="宋体" w:hAnsi="宋体" w:cs="宋体"/>
                <w:sz w:val="24"/>
                <w:szCs w:val="32"/>
              </w:rPr>
            </w:pPr>
            <w:r>
              <w:rPr>
                <w:rFonts w:hint="eastAsia" w:ascii="宋体" w:hAnsi="宋体" w:cs="宋体"/>
                <w:sz w:val="24"/>
                <w:szCs w:val="32"/>
              </w:rPr>
              <w:t>50万元</w:t>
            </w:r>
          </w:p>
        </w:tc>
        <w:tc>
          <w:tcPr>
            <w:tcW w:w="1607" w:type="dxa"/>
            <w:vAlign w:val="center"/>
          </w:tcPr>
          <w:p>
            <w:pPr>
              <w:spacing w:line="360" w:lineRule="auto"/>
              <w:jc w:val="center"/>
              <w:rPr>
                <w:rFonts w:ascii="宋体" w:hAnsi="宋体" w:cs="宋体"/>
                <w:sz w:val="24"/>
                <w:szCs w:val="32"/>
              </w:rPr>
            </w:pPr>
            <w:r>
              <w:rPr>
                <w:rFonts w:hint="eastAsia" w:ascii="宋体" w:hAnsi="宋体" w:cs="Arial"/>
                <w:kern w:val="0"/>
                <w:sz w:val="24"/>
              </w:rPr>
              <w:t>自合同签订之日起1年内</w:t>
            </w:r>
          </w:p>
        </w:tc>
        <w:tc>
          <w:tcPr>
            <w:tcW w:w="1114" w:type="dxa"/>
            <w:vAlign w:val="center"/>
          </w:tcPr>
          <w:p>
            <w:pPr>
              <w:spacing w:line="360" w:lineRule="auto"/>
              <w:rPr>
                <w:rFonts w:ascii="宋体" w:hAnsi="宋体" w:cs="宋体"/>
                <w:sz w:val="24"/>
                <w:szCs w:val="32"/>
              </w:rPr>
            </w:pPr>
          </w:p>
        </w:tc>
      </w:tr>
    </w:tbl>
    <w:p>
      <w:pPr>
        <w:pStyle w:val="4"/>
        <w:spacing w:before="0" w:after="0" w:line="360" w:lineRule="auto"/>
        <w:ind w:right="210" w:firstLine="482" w:firstLineChars="200"/>
        <w:rPr>
          <w:rFonts w:ascii="宋体" w:hAnsi="宋体" w:cs="宋体"/>
          <w:kern w:val="2"/>
          <w:sz w:val="24"/>
        </w:rPr>
      </w:pPr>
      <w:r>
        <w:rPr>
          <w:rFonts w:hint="eastAsia" w:ascii="宋体" w:hAnsi="宋体" w:cs="宋体"/>
          <w:kern w:val="2"/>
          <w:sz w:val="24"/>
        </w:rPr>
        <w:t>三、合格投标人的资格条件：</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1、符合《中华人民共和国政府采购法》第二十二条规定的投标人资格条件；  </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2、未被“信用中国”（www.creditchina.gov.cn）、中国政府采购网（www.ccgp.gov.cn）列入失信被执行人、重大税收违法案件当事人名单、政府采购严重违法失信行为记录名单； </w:t>
      </w:r>
    </w:p>
    <w:p>
      <w:pPr>
        <w:spacing w:line="360" w:lineRule="auto"/>
        <w:ind w:firstLine="482" w:firstLineChars="200"/>
        <w:rPr>
          <w:rFonts w:ascii="宋体" w:hAnsi="宋体" w:cs="Arial"/>
          <w:color w:val="000000"/>
          <w:kern w:val="0"/>
          <w:sz w:val="24"/>
        </w:rPr>
      </w:pPr>
      <w:r>
        <w:rPr>
          <w:rFonts w:hint="eastAsia" w:ascii="宋体" w:hAnsi="宋体" w:cs="Arial"/>
          <w:b/>
          <w:bCs/>
          <w:kern w:val="0"/>
          <w:sz w:val="24"/>
        </w:rPr>
        <w:t>3、</w:t>
      </w:r>
      <w:r>
        <w:rPr>
          <w:rFonts w:hint="eastAsia" w:ascii="宋体" w:hAnsi="宋体" w:cs="Arial"/>
          <w:b/>
          <w:bCs/>
          <w:color w:val="000000"/>
          <w:kern w:val="0"/>
          <w:sz w:val="24"/>
        </w:rPr>
        <w:t>落实政府采购政策需满足的资格要求：本项目按照《政府采购促进中小企业发展管理办法》【财库（2020）46号】第七条规定：专门面向中小企业采购。</w:t>
      </w:r>
    </w:p>
    <w:p>
      <w:pPr>
        <w:spacing w:line="360" w:lineRule="auto"/>
        <w:ind w:left="719" w:leftChars="228" w:hanging="240" w:hangingChars="100"/>
        <w:rPr>
          <w:rFonts w:ascii="宋体" w:hAnsi="宋体" w:cs="Arial"/>
          <w:color w:val="000000"/>
          <w:kern w:val="0"/>
          <w:sz w:val="24"/>
        </w:rPr>
      </w:pPr>
      <w:r>
        <w:rPr>
          <w:rFonts w:hint="eastAsia" w:ascii="宋体" w:hAnsi="宋体" w:cs="Arial"/>
          <w:color w:val="000000"/>
          <w:kern w:val="0"/>
          <w:sz w:val="24"/>
        </w:rPr>
        <w:t>4、本项目不接受联合体投标。</w:t>
      </w:r>
    </w:p>
    <w:p>
      <w:pPr>
        <w:spacing w:line="360" w:lineRule="auto"/>
        <w:ind w:firstLine="482" w:firstLineChars="200"/>
        <w:rPr>
          <w:rFonts w:ascii="宋体" w:hAnsi="宋体" w:cs="宋体"/>
          <w:b/>
          <w:bCs/>
          <w:sz w:val="24"/>
        </w:rPr>
      </w:pPr>
      <w:r>
        <w:rPr>
          <w:rFonts w:hint="eastAsia" w:ascii="宋体" w:hAnsi="宋体" w:cs="宋体"/>
          <w:b/>
          <w:bCs/>
          <w:sz w:val="24"/>
        </w:rPr>
        <w:t>四、</w:t>
      </w:r>
      <w:r>
        <w:rPr>
          <w:rFonts w:hint="eastAsia" w:ascii="宋体" w:hAnsi="宋体" w:cs="宋体"/>
          <w:b/>
          <w:bCs/>
          <w:sz w:val="24"/>
          <w:szCs w:val="32"/>
        </w:rPr>
        <w:t>招标文件获取的时间、方式：</w:t>
      </w:r>
    </w:p>
    <w:p>
      <w:pPr>
        <w:spacing w:line="360" w:lineRule="auto"/>
        <w:ind w:firstLine="480" w:firstLineChars="200"/>
        <w:rPr>
          <w:rFonts w:ascii="宋体" w:hAnsi="宋体" w:cs="宋体"/>
          <w:sz w:val="24"/>
          <w:szCs w:val="32"/>
        </w:rPr>
      </w:pPr>
      <w:r>
        <w:rPr>
          <w:rFonts w:hint="eastAsia" w:ascii="宋体" w:hAnsi="宋体" w:cs="宋体"/>
          <w:sz w:val="24"/>
          <w:szCs w:val="32"/>
        </w:rPr>
        <w:t>1、本项目招标文件实行“政府采购云平台”在线获取，不提供招标文件纸质版。供应商获取招标文件前应先完成“政府采购云平台”的账号注册。</w:t>
      </w:r>
    </w:p>
    <w:p>
      <w:pPr>
        <w:spacing w:line="360" w:lineRule="auto"/>
        <w:ind w:firstLine="480" w:firstLineChars="200"/>
        <w:rPr>
          <w:rFonts w:ascii="宋体" w:hAnsi="宋体" w:cs="宋体"/>
          <w:sz w:val="24"/>
          <w:szCs w:val="32"/>
        </w:rPr>
      </w:pPr>
      <w:r>
        <w:rPr>
          <w:rFonts w:hint="eastAsia" w:ascii="宋体" w:hAnsi="宋体" w:cs="宋体"/>
          <w:sz w:val="24"/>
          <w:szCs w:val="32"/>
        </w:rPr>
        <w:t>2、获取时间：自本公告发布之日起至响应文件递交截止时间止（以供应商完成获取采购文件申请后下载采购文件的时间为准）。</w:t>
      </w:r>
    </w:p>
    <w:p>
      <w:pPr>
        <w:spacing w:line="360" w:lineRule="auto"/>
        <w:ind w:firstLine="480" w:firstLineChars="200"/>
        <w:rPr>
          <w:rFonts w:ascii="宋体" w:hAnsi="宋体" w:cs="宋体"/>
          <w:sz w:val="24"/>
          <w:szCs w:val="32"/>
        </w:rPr>
      </w:pPr>
      <w:r>
        <w:rPr>
          <w:rFonts w:hint="eastAsia" w:ascii="宋体" w:hAnsi="宋体" w:cs="宋体"/>
          <w:sz w:val="24"/>
          <w:szCs w:val="32"/>
        </w:rPr>
        <w:t>3、地点：</w:t>
      </w:r>
    </w:p>
    <w:p>
      <w:pPr>
        <w:tabs>
          <w:tab w:val="left" w:pos="7161"/>
        </w:tabs>
        <w:spacing w:line="360" w:lineRule="auto"/>
        <w:ind w:firstLine="480" w:firstLineChars="200"/>
        <w:rPr>
          <w:rFonts w:ascii="宋体" w:hAnsi="宋体" w:cs="宋体"/>
          <w:sz w:val="24"/>
          <w:szCs w:val="32"/>
        </w:rPr>
      </w:pPr>
      <w:r>
        <w:rPr>
          <w:rFonts w:hint="eastAsia" w:ascii="宋体" w:hAnsi="宋体" w:cs="宋体"/>
          <w:sz w:val="24"/>
          <w:szCs w:val="32"/>
        </w:rPr>
        <w:t>（1）政采云平台（</w:t>
      </w:r>
      <w:r>
        <w:fldChar w:fldCharType="begin"/>
      </w:r>
      <w:r>
        <w:instrText xml:space="preserve"> HYPERLINK "http://zfcg.czt.zj.gov.cn/" </w:instrText>
      </w:r>
      <w:r>
        <w:fldChar w:fldCharType="separate"/>
      </w:r>
      <w:r>
        <w:rPr>
          <w:rFonts w:hint="eastAsia" w:ascii="宋体" w:hAnsi="宋体" w:cs="宋体"/>
          <w:sz w:val="24"/>
          <w:szCs w:val="32"/>
        </w:rPr>
        <w:t>http：//zfcg.czt.zj.gov.cn</w:t>
      </w:r>
      <w:r>
        <w:rPr>
          <w:rFonts w:hint="eastAsia" w:ascii="宋体" w:hAnsi="宋体" w:cs="宋体"/>
          <w:sz w:val="24"/>
          <w:szCs w:val="32"/>
        </w:rPr>
        <w:fldChar w:fldCharType="end"/>
      </w:r>
      <w:r>
        <w:rPr>
          <w:rFonts w:hint="eastAsia" w:ascii="宋体" w:hAnsi="宋体" w:cs="宋体"/>
          <w:sz w:val="24"/>
          <w:szCs w:val="32"/>
        </w:rPr>
        <w:t>）；</w:t>
      </w:r>
      <w:r>
        <w:rPr>
          <w:rFonts w:hint="eastAsia" w:ascii="宋体" w:hAnsi="宋体" w:cs="宋体"/>
          <w:sz w:val="24"/>
          <w:szCs w:val="32"/>
        </w:rPr>
        <w:tab/>
      </w:r>
    </w:p>
    <w:p>
      <w:pPr>
        <w:spacing w:line="360" w:lineRule="auto"/>
        <w:ind w:firstLine="480" w:firstLineChars="200"/>
        <w:rPr>
          <w:rFonts w:ascii="宋体" w:hAnsi="宋体" w:cs="宋体"/>
          <w:sz w:val="24"/>
          <w:szCs w:val="32"/>
        </w:rPr>
      </w:pPr>
      <w:r>
        <w:rPr>
          <w:rFonts w:hint="eastAsia" w:ascii="宋体" w:hAnsi="宋体" w:cs="宋体"/>
          <w:sz w:val="24"/>
          <w:szCs w:val="32"/>
        </w:rPr>
        <w:t>（2）供应商网上报名操作指南：“浙江政府采购网-办事指南-省采中心-网上报名”（</w:t>
      </w:r>
      <w:r>
        <w:rPr>
          <w:rFonts w:hint="eastAsia" w:ascii="宋体" w:hAnsi="宋体" w:cs="宋体"/>
        </w:rPr>
        <w:t>http://zfcg.czt.zj.gov.cn/bs_other/2018-03-30/12002.html</w:t>
      </w: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ascii="宋体" w:hAnsi="宋体" w:cs="宋体"/>
          <w:sz w:val="24"/>
          <w:szCs w:val="32"/>
        </w:rPr>
      </w:pPr>
      <w:r>
        <w:rPr>
          <w:rFonts w:hint="eastAsia" w:ascii="宋体" w:hAnsi="宋体" w:cs="宋体"/>
          <w:sz w:val="24"/>
          <w:szCs w:val="3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五、投标说明：</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1、本项目通过“政府采购云平台（www.zcygov.cn）”实行在线投标响应（电子投标），供应商应先安装“政采云电子交易客户端”，并按照本招标文件和“政府采购云平台”的要求，通过“政采云电子交易客户端”编制并加密投标文件。</w:t>
      </w:r>
      <w:r>
        <w:rPr>
          <w:rFonts w:hint="eastAsia" w:ascii="宋体" w:hAnsi="宋体" w:cs="宋体"/>
          <w:b/>
          <w:sz w:val="24"/>
        </w:rPr>
        <w:t>▲</w:t>
      </w:r>
      <w:r>
        <w:rPr>
          <w:rFonts w:hint="eastAsia" w:ascii="宋体" w:hAnsi="宋体" w:cs="Calibri Light"/>
          <w:kern w:val="0"/>
          <w:sz w:val="24"/>
          <w:lang w:bidi="ar"/>
        </w:rPr>
        <w:t>供应商未按规定加密的投标文件，“政府采购云平台”将予以拒收。</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3、投标供应商应当在投标截止时间前，将生成的“电子加密投标文件”上传递交至“政府采购云平台”。</w:t>
      </w:r>
      <w:r>
        <w:rPr>
          <w:rFonts w:hint="eastAsia" w:ascii="宋体" w:hAnsi="宋体" w:cs="宋体"/>
          <w:b/>
          <w:sz w:val="24"/>
        </w:rPr>
        <w:t>▲</w:t>
      </w:r>
      <w:r>
        <w:rPr>
          <w:rFonts w:hint="eastAsia" w:ascii="宋体" w:hAnsi="宋体" w:cs="Calibri Light"/>
          <w:kern w:val="0"/>
          <w:sz w:val="24"/>
          <w:lang w:bidi="ar"/>
        </w:rPr>
        <w:t>投标截止时间以后上传递交的投标文件将被“政府采购云平台”拒收。</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4、投标供应商在“政府采购云平台”完成“电子加密投标文件”的上传递交后，还可以（建议采用EMS邮寄或顺丰邮寄形式）在投标截止时间前递交经政采云平台加密处理、以介质（U盘）存储的数据电文形式的“备份投标文件”，“备份投标文件”应当密封包装并在包装上标注投标项目名称、投标单位名称并加盖公章。</w:t>
      </w:r>
    </w:p>
    <w:p>
      <w:pPr>
        <w:snapToGrid w:val="0"/>
        <w:spacing w:line="360" w:lineRule="auto"/>
        <w:ind w:firstLine="480" w:firstLineChars="200"/>
        <w:rPr>
          <w:rFonts w:ascii="宋体" w:hAnsi="宋体" w:cs="Calibri Light"/>
          <w:kern w:val="0"/>
          <w:sz w:val="24"/>
          <w:lang w:bidi="ar"/>
        </w:rPr>
      </w:pPr>
      <w:r>
        <w:rPr>
          <w:rFonts w:hint="eastAsia" w:ascii="宋体" w:hAnsi="宋体" w:cs="Calibri Light"/>
          <w:kern w:val="0"/>
          <w:sz w:val="24"/>
          <w:lang w:bidi="ar"/>
        </w:rPr>
        <w:t>5、</w:t>
      </w:r>
      <w:r>
        <w:rPr>
          <w:rFonts w:hint="eastAsia" w:ascii="宋体" w:hAnsi="宋体" w:cs="宋体"/>
          <w:b/>
          <w:sz w:val="24"/>
        </w:rPr>
        <w:t>▲</w:t>
      </w:r>
      <w:r>
        <w:rPr>
          <w:rFonts w:hint="eastAsia" w:ascii="宋体" w:hAnsi="宋体" w:cs="Calibri Light"/>
          <w:kern w:val="0"/>
          <w:sz w:val="24"/>
          <w:lang w:bidi="ar"/>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w:t>
      </w:r>
      <w:r>
        <w:rPr>
          <w:rFonts w:hint="eastAsia" w:ascii="宋体" w:hAnsi="宋体" w:cs="宋体"/>
          <w:b/>
          <w:sz w:val="24"/>
        </w:rPr>
        <w:t>▲</w:t>
      </w:r>
      <w:r>
        <w:rPr>
          <w:rFonts w:hint="eastAsia" w:ascii="宋体" w:hAnsi="宋体" w:cs="Calibri Light"/>
          <w:kern w:val="0"/>
          <w:sz w:val="24"/>
          <w:lang w:bidi="ar"/>
        </w:rPr>
        <w:t>投标供应商仅递交备份投标文件的，投标无效。</w:t>
      </w:r>
    </w:p>
    <w:p>
      <w:pPr>
        <w:spacing w:line="360" w:lineRule="auto"/>
        <w:ind w:firstLine="482" w:firstLineChars="200"/>
        <w:rPr>
          <w:rFonts w:hint="default" w:ascii="宋体" w:hAnsi="宋体" w:eastAsia="宋体" w:cs="宋体"/>
          <w:sz w:val="24"/>
          <w:szCs w:val="32"/>
          <w:highlight w:val="yellow"/>
          <w:lang w:val="en-US" w:eastAsia="zh-CN"/>
        </w:rPr>
      </w:pPr>
      <w:r>
        <w:rPr>
          <w:rFonts w:hint="eastAsia" w:ascii="宋体" w:hAnsi="宋体" w:cs="宋体"/>
          <w:b/>
          <w:bCs/>
          <w:sz w:val="24"/>
          <w:szCs w:val="32"/>
        </w:rPr>
        <w:t>六、响应文件递交截止时间及磋商开始时间</w:t>
      </w:r>
      <w:r>
        <w:rPr>
          <w:rFonts w:hint="eastAsia" w:ascii="宋体" w:hAnsi="宋体" w:cs="宋体"/>
          <w:sz w:val="24"/>
        </w:rPr>
        <w:t>：</w:t>
      </w:r>
      <w:bookmarkStart w:id="5" w:name="_GoBack"/>
      <w:r>
        <w:rPr>
          <w:rFonts w:hint="eastAsia" w:ascii="宋体" w:hAnsi="宋体" w:cs="宋体"/>
          <w:sz w:val="24"/>
          <w:highlight w:val="none"/>
        </w:rPr>
        <w:t>2024年</w:t>
      </w:r>
      <w:bookmarkEnd w:id="5"/>
      <w:r>
        <w:rPr>
          <w:rFonts w:hint="eastAsia" w:ascii="宋体" w:hAnsi="宋体" w:eastAsia="宋体" w:cs="宋体"/>
          <w:sz w:val="24"/>
          <w:highlight w:val="none"/>
          <w:lang w:val="en-US" w:eastAsia="zh-CN"/>
        </w:rPr>
        <w:t>4</w:t>
      </w:r>
      <w:r>
        <w:rPr>
          <w:rFonts w:hint="eastAsia" w:ascii="宋体" w:hAnsi="宋体" w:cs="宋体"/>
          <w:sz w:val="24"/>
          <w:highlight w:val="none"/>
        </w:rPr>
        <w:t>月</w:t>
      </w:r>
      <w:del w:id="0" w:author="Administrator" w:date="2024-04-19T11:04:06Z">
        <w:r>
          <w:rPr>
            <w:rFonts w:hint="default" w:ascii="宋体" w:hAnsi="宋体" w:cs="宋体"/>
            <w:sz w:val="24"/>
            <w:highlight w:val="none"/>
            <w:lang w:val="en-US"/>
          </w:rPr>
          <w:delText xml:space="preserve">   </w:delText>
        </w:r>
      </w:del>
      <w:ins w:id="1" w:author="Administrator" w:date="2024-04-19T11:04:06Z">
        <w:r>
          <w:rPr>
            <w:rFonts w:hint="eastAsia" w:ascii="宋体" w:hAnsi="宋体" w:cs="宋体"/>
            <w:sz w:val="24"/>
            <w:highlight w:val="none"/>
            <w:lang w:val="en-US" w:eastAsia="zh-CN"/>
          </w:rPr>
          <w:t>30</w:t>
        </w:r>
      </w:ins>
      <w:r>
        <w:rPr>
          <w:rFonts w:hint="eastAsia" w:ascii="宋体" w:hAnsi="宋体" w:cs="宋体"/>
          <w:sz w:val="24"/>
          <w:highlight w:val="none"/>
        </w:rPr>
        <w:t xml:space="preserve">日 </w:t>
      </w:r>
      <w:del w:id="2" w:author="Administrator" w:date="2024-04-19T11:04:08Z">
        <w:r>
          <w:rPr>
            <w:rFonts w:hint="default" w:ascii="宋体" w:hAnsi="宋体" w:cs="宋体"/>
            <w:sz w:val="24"/>
            <w:highlight w:val="none"/>
            <w:lang w:val="en-US"/>
          </w:rPr>
          <w:delText>9</w:delText>
        </w:r>
      </w:del>
      <w:ins w:id="3" w:author="Administrator" w:date="2024-04-19T11:04:08Z">
        <w:r>
          <w:rPr>
            <w:rFonts w:hint="eastAsia" w:ascii="宋体" w:hAnsi="宋体" w:cs="宋体"/>
            <w:sz w:val="24"/>
            <w:highlight w:val="none"/>
            <w:lang w:val="en-US" w:eastAsia="zh-CN"/>
          </w:rPr>
          <w:t>14</w:t>
        </w:r>
      </w:ins>
      <w:r>
        <w:rPr>
          <w:rFonts w:hint="eastAsia" w:ascii="宋体" w:hAnsi="宋体" w:cs="宋体"/>
          <w:sz w:val="24"/>
          <w:highlight w:val="none"/>
        </w:rPr>
        <w:t>：</w:t>
      </w:r>
      <w:del w:id="4" w:author="Administrator" w:date="2024-04-19T11:04:10Z">
        <w:r>
          <w:rPr>
            <w:rFonts w:hint="default" w:ascii="宋体" w:hAnsi="宋体" w:cs="宋体"/>
            <w:sz w:val="24"/>
            <w:highlight w:val="none"/>
            <w:lang w:val="en-US"/>
          </w:rPr>
          <w:delText>30</w:delText>
        </w:r>
      </w:del>
      <w:ins w:id="5" w:author="Administrator" w:date="2024-04-19T11:04:11Z">
        <w:r>
          <w:rPr>
            <w:rFonts w:hint="eastAsia" w:ascii="宋体" w:hAnsi="宋体" w:cs="宋体"/>
            <w:sz w:val="24"/>
            <w:highlight w:val="none"/>
            <w:lang w:val="en-US" w:eastAsia="zh-CN"/>
          </w:rPr>
          <w:t>0</w:t>
        </w:r>
      </w:ins>
      <w:ins w:id="6" w:author="Administrator" w:date="2024-04-19T11:04:12Z">
        <w:r>
          <w:rPr>
            <w:rFonts w:hint="eastAsia" w:ascii="宋体" w:hAnsi="宋体" w:cs="宋体"/>
            <w:sz w:val="24"/>
            <w:highlight w:val="none"/>
            <w:lang w:val="en-US" w:eastAsia="zh-CN"/>
          </w:rPr>
          <w:t>0</w:t>
        </w:r>
      </w:ins>
    </w:p>
    <w:p>
      <w:pPr>
        <w:spacing w:line="360" w:lineRule="auto"/>
        <w:ind w:firstLine="482" w:firstLineChars="200"/>
        <w:rPr>
          <w:rFonts w:ascii="宋体" w:hAnsi="宋体" w:cs="宋体"/>
          <w:sz w:val="24"/>
          <w:szCs w:val="32"/>
        </w:rPr>
      </w:pPr>
      <w:r>
        <w:rPr>
          <w:rFonts w:hint="eastAsia" w:ascii="宋体" w:hAnsi="宋体" w:cs="宋体"/>
          <w:b/>
          <w:bCs/>
          <w:sz w:val="24"/>
          <w:szCs w:val="32"/>
        </w:rPr>
        <w:t>七、响应文件递交及磋商开始地址：</w:t>
      </w:r>
      <w:r>
        <w:rPr>
          <w:rFonts w:hint="eastAsia" w:ascii="宋体" w:hAnsi="宋体" w:cs="宋体"/>
          <w:sz w:val="24"/>
          <w:szCs w:val="32"/>
        </w:rPr>
        <w:t>通过“政府采购云平台（www.zcygov.cn）”实行在线投标响应。</w:t>
      </w:r>
    </w:p>
    <w:p>
      <w:pPr>
        <w:ind w:firstLine="482" w:firstLineChars="200"/>
        <w:outlineLvl w:val="0"/>
        <w:rPr>
          <w:rFonts w:ascii="宋体" w:hAnsi="宋体" w:cs="宋体"/>
          <w:b/>
          <w:bCs/>
          <w:sz w:val="24"/>
          <w:szCs w:val="32"/>
        </w:rPr>
      </w:pPr>
      <w:r>
        <w:rPr>
          <w:rFonts w:hint="eastAsia" w:ascii="宋体" w:hAnsi="宋体" w:cs="宋体"/>
          <w:b/>
          <w:bCs/>
          <w:sz w:val="24"/>
          <w:szCs w:val="32"/>
        </w:rPr>
        <w:t>八、公告期限</w:t>
      </w:r>
    </w:p>
    <w:p>
      <w:pPr>
        <w:spacing w:line="360" w:lineRule="auto"/>
        <w:ind w:firstLine="482" w:firstLineChars="200"/>
        <w:outlineLvl w:val="0"/>
        <w:rPr>
          <w:rFonts w:ascii="宋体" w:hAnsi="宋体" w:cs="宋体"/>
          <w:b/>
          <w:bCs/>
          <w:sz w:val="24"/>
          <w:szCs w:val="32"/>
        </w:rPr>
      </w:pPr>
      <w:r>
        <w:rPr>
          <w:rFonts w:hint="eastAsia" w:ascii="宋体" w:hAnsi="宋体" w:cs="宋体"/>
          <w:b/>
          <w:bCs/>
          <w:sz w:val="24"/>
          <w:szCs w:val="32"/>
        </w:rPr>
        <w:t>自本公告发布之日起3个工作日。</w:t>
      </w:r>
    </w:p>
    <w:p>
      <w:pPr>
        <w:numPr>
          <w:ilvl w:val="0"/>
          <w:numId w:val="4"/>
        </w:numPr>
        <w:spacing w:line="360" w:lineRule="auto"/>
        <w:ind w:firstLine="482" w:firstLineChars="200"/>
        <w:outlineLvl w:val="0"/>
        <w:rPr>
          <w:rFonts w:ascii="宋体" w:hAnsi="宋体" w:cs="宋体"/>
          <w:b/>
          <w:bCs/>
          <w:sz w:val="24"/>
          <w:szCs w:val="32"/>
        </w:rPr>
      </w:pPr>
      <w:r>
        <w:rPr>
          <w:rFonts w:hint="eastAsia" w:ascii="宋体" w:hAnsi="宋体" w:cs="宋体"/>
          <w:b/>
          <w:bCs/>
          <w:sz w:val="24"/>
          <w:szCs w:val="32"/>
        </w:rPr>
        <w:t>相关注意事项：</w:t>
      </w:r>
    </w:p>
    <w:p>
      <w:pPr>
        <w:spacing w:line="360" w:lineRule="auto"/>
        <w:ind w:firstLine="480" w:firstLineChars="200"/>
        <w:rPr>
          <w:rFonts w:ascii="宋体" w:hAnsi="宋体" w:cs="宋体"/>
          <w:sz w:val="24"/>
          <w:szCs w:val="32"/>
        </w:rPr>
      </w:pPr>
      <w:r>
        <w:rPr>
          <w:rFonts w:hint="eastAsia" w:ascii="宋体" w:hAnsi="宋体" w:cs="宋体"/>
          <w:sz w:val="24"/>
          <w:szCs w:val="3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szCs w:val="32"/>
        </w:rPr>
      </w:pPr>
      <w:r>
        <w:rPr>
          <w:rFonts w:hint="eastAsia" w:ascii="宋体" w:hAnsi="宋体" w:cs="宋体"/>
          <w:sz w:val="24"/>
          <w:szCs w:val="3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 3.供应商认为采购文件使自己的权益受到损害的，可以自获取采购文件之日或者采购公告期限届满之日起7个工作日内，一次性针对同一环节以书面形式向采购人和代理机构提出质疑，对其他内容（采购过程、采购结果）有质疑的，自在知道或者应知其权益受到损害之日起7个工作日内，一次性以书面形式针对同一环节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 4.其他事项：无</w:t>
      </w:r>
    </w:p>
    <w:p>
      <w:pPr>
        <w:spacing w:line="360" w:lineRule="auto"/>
        <w:ind w:firstLine="482" w:firstLineChars="200"/>
        <w:rPr>
          <w:rFonts w:ascii="宋体" w:hAnsi="宋体" w:cs="宋体"/>
          <w:b/>
          <w:bCs/>
          <w:sz w:val="24"/>
        </w:rPr>
      </w:pPr>
      <w:r>
        <w:rPr>
          <w:rFonts w:hint="eastAsia" w:ascii="宋体" w:hAnsi="宋体" w:cs="宋体"/>
          <w:b/>
          <w:bCs/>
          <w:sz w:val="24"/>
        </w:rPr>
        <w:t>十、联系方式：</w:t>
      </w:r>
    </w:p>
    <w:p>
      <w:pPr>
        <w:spacing w:line="360" w:lineRule="auto"/>
        <w:ind w:firstLine="482" w:firstLineChars="200"/>
        <w:outlineLvl w:val="1"/>
        <w:rPr>
          <w:rFonts w:ascii="宋体" w:hAnsi="宋体" w:cs="宋体"/>
          <w:sz w:val="24"/>
          <w:szCs w:val="32"/>
        </w:rPr>
      </w:pPr>
      <w:r>
        <w:rPr>
          <w:rFonts w:hint="eastAsia" w:ascii="宋体" w:hAnsi="宋体" w:cs="宋体"/>
          <w:b/>
          <w:bCs/>
          <w:sz w:val="24"/>
          <w:szCs w:val="32"/>
        </w:rPr>
        <w:t>1、采购代理机构：</w:t>
      </w:r>
      <w:r>
        <w:rPr>
          <w:rFonts w:hint="eastAsia" w:ascii="宋体" w:hAnsi="宋体" w:cs="宋体"/>
          <w:sz w:val="24"/>
          <w:szCs w:val="32"/>
        </w:rPr>
        <w:t>浙江洪大工程咨询有限公司；</w:t>
      </w:r>
    </w:p>
    <w:p>
      <w:pPr>
        <w:spacing w:line="360" w:lineRule="auto"/>
        <w:ind w:firstLine="480" w:firstLineChars="200"/>
        <w:rPr>
          <w:rFonts w:ascii="宋体" w:hAnsi="宋体" w:cs="宋体"/>
          <w:sz w:val="24"/>
          <w:szCs w:val="32"/>
        </w:rPr>
      </w:pPr>
      <w:r>
        <w:rPr>
          <w:rFonts w:hint="eastAsia" w:ascii="宋体" w:hAnsi="宋体" w:cs="宋体"/>
          <w:sz w:val="24"/>
          <w:szCs w:val="32"/>
        </w:rPr>
        <w:t>项目负责人：洪仙法；联系电话：0576-88011858；</w:t>
      </w:r>
    </w:p>
    <w:p>
      <w:pPr>
        <w:spacing w:line="360" w:lineRule="auto"/>
        <w:ind w:firstLine="480" w:firstLineChars="200"/>
        <w:rPr>
          <w:rFonts w:ascii="宋体" w:hAnsi="宋体" w:cs="宋体"/>
          <w:sz w:val="24"/>
          <w:szCs w:val="32"/>
        </w:rPr>
      </w:pPr>
      <w:r>
        <w:rPr>
          <w:rFonts w:hint="eastAsia" w:ascii="宋体" w:hAnsi="宋体" w:cs="宋体"/>
          <w:sz w:val="24"/>
          <w:szCs w:val="32"/>
        </w:rPr>
        <w:t>质疑接收人：朱炳旭；联系电话：0576-88217718；</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地址：椒江区解放南路30号一鼎公寓1号楼503； </w:t>
      </w:r>
    </w:p>
    <w:p>
      <w:pPr>
        <w:spacing w:line="360" w:lineRule="auto"/>
        <w:ind w:firstLine="482" w:firstLineChars="200"/>
        <w:outlineLvl w:val="1"/>
        <w:rPr>
          <w:rFonts w:ascii="宋体" w:hAnsi="宋体" w:cs="宋体"/>
          <w:sz w:val="24"/>
          <w:szCs w:val="32"/>
        </w:rPr>
      </w:pPr>
      <w:r>
        <w:rPr>
          <w:rFonts w:hint="eastAsia" w:ascii="宋体" w:hAnsi="宋体" w:cs="宋体"/>
          <w:b/>
          <w:bCs/>
          <w:sz w:val="24"/>
          <w:szCs w:val="32"/>
        </w:rPr>
        <w:t>2、采购人：</w:t>
      </w:r>
      <w:r>
        <w:rPr>
          <w:rFonts w:hint="eastAsia" w:ascii="宋体" w:hAnsi="宋体" w:cs="宋体"/>
          <w:sz w:val="24"/>
          <w:szCs w:val="32"/>
        </w:rPr>
        <w:t xml:space="preserve">台州市椒江区应急管理局  </w:t>
      </w:r>
    </w:p>
    <w:p>
      <w:pPr>
        <w:spacing w:line="360" w:lineRule="auto"/>
        <w:ind w:left="479" w:leftChars="228"/>
        <w:rPr>
          <w:rFonts w:ascii="宋体" w:hAnsi="宋体" w:cs="宋体"/>
          <w:sz w:val="24"/>
        </w:rPr>
      </w:pPr>
      <w:r>
        <w:rPr>
          <w:rFonts w:hint="eastAsia" w:ascii="宋体" w:hAnsi="宋体" w:cs="宋体"/>
          <w:spacing w:val="-4"/>
          <w:sz w:val="24"/>
        </w:rPr>
        <w:t>联系人：</w:t>
      </w:r>
      <w:r>
        <w:rPr>
          <w:rFonts w:hint="eastAsia" w:ascii="宋体" w:hAnsi="宋体" w:cs="宋体"/>
          <w:spacing w:val="-4"/>
          <w:sz w:val="24"/>
          <w:lang w:eastAsia="zh-Hans"/>
        </w:rPr>
        <w:t>崔</w:t>
      </w:r>
      <w:r>
        <w:rPr>
          <w:rFonts w:hint="eastAsia" w:ascii="宋体" w:hAnsi="宋体" w:cs="宋体"/>
          <w:spacing w:val="-4"/>
          <w:sz w:val="24"/>
        </w:rPr>
        <w:t>先生；</w:t>
      </w:r>
      <w:r>
        <w:rPr>
          <w:rFonts w:hint="eastAsia" w:ascii="宋体" w:hAnsi="宋体" w:cs="宋体"/>
          <w:sz w:val="24"/>
          <w:lang w:eastAsia="zh-Hans"/>
        </w:rPr>
        <w:t>联系方式</w:t>
      </w:r>
      <w:r>
        <w:rPr>
          <w:rFonts w:ascii="宋体" w:hAnsi="宋体" w:cs="宋体"/>
          <w:sz w:val="24"/>
          <w:lang w:eastAsia="zh-Hans"/>
        </w:rPr>
        <w:t>：0576-88300077</w:t>
      </w:r>
      <w:r>
        <w:rPr>
          <w:rFonts w:hint="eastAsia" w:ascii="宋体" w:hAnsi="宋体" w:cs="宋体"/>
          <w:sz w:val="24"/>
        </w:rPr>
        <w:t>；</w:t>
      </w:r>
    </w:p>
    <w:p>
      <w:pPr>
        <w:spacing w:line="360" w:lineRule="auto"/>
        <w:ind w:firstLine="480" w:firstLineChars="200"/>
        <w:rPr>
          <w:lang w:eastAsia="zh-Hans"/>
        </w:rPr>
      </w:pPr>
      <w:r>
        <w:rPr>
          <w:rFonts w:hint="eastAsia" w:ascii="宋体" w:hAnsi="宋体" w:cs="宋体"/>
          <w:sz w:val="24"/>
          <w:szCs w:val="32"/>
        </w:rPr>
        <w:t>质疑接受人：</w:t>
      </w:r>
      <w:r>
        <w:rPr>
          <w:rFonts w:hint="eastAsia" w:ascii="宋体" w:hAnsi="宋体" w:cs="宋体"/>
          <w:spacing w:val="-4"/>
          <w:sz w:val="24"/>
        </w:rPr>
        <w:t>陈先生；</w:t>
      </w:r>
      <w:r>
        <w:rPr>
          <w:rFonts w:hint="eastAsia" w:ascii="宋体" w:hAnsi="宋体" w:cs="宋体"/>
          <w:sz w:val="24"/>
          <w:lang w:eastAsia="zh-Hans"/>
        </w:rPr>
        <w:t>联系方式</w:t>
      </w:r>
      <w:r>
        <w:rPr>
          <w:rFonts w:ascii="宋体" w:hAnsi="宋体" w:cs="宋体"/>
          <w:sz w:val="24"/>
          <w:lang w:eastAsia="zh-Hans"/>
        </w:rPr>
        <w:t>：0576-88300077</w:t>
      </w:r>
      <w:r>
        <w:rPr>
          <w:rFonts w:hint="eastAsia" w:ascii="宋体" w:hAnsi="宋体" w:cs="宋体"/>
          <w:sz w:val="24"/>
          <w:szCs w:val="32"/>
        </w:rPr>
        <w:t>；</w:t>
      </w:r>
    </w:p>
    <w:p>
      <w:pPr>
        <w:pStyle w:val="32"/>
        <w:ind w:left="0" w:leftChars="0" w:firstLine="480" w:firstLineChars="200"/>
      </w:pPr>
      <w:r>
        <w:rPr>
          <w:rFonts w:hint="eastAsia" w:ascii="宋体" w:hAnsi="宋体" w:cs="宋体"/>
          <w:sz w:val="24"/>
          <w:szCs w:val="32"/>
        </w:rPr>
        <w:t>地址：</w:t>
      </w:r>
      <w:r>
        <w:rPr>
          <w:rFonts w:ascii="宋体" w:hAnsi="宋体" w:cs="宋体"/>
          <w:sz w:val="24"/>
          <w:lang w:eastAsia="zh-Hans"/>
        </w:rPr>
        <w:t>浙江省台州市椒江区</w:t>
      </w:r>
      <w:r>
        <w:rPr>
          <w:rFonts w:hint="eastAsia" w:ascii="宋体" w:hAnsi="宋体" w:cs="宋体"/>
          <w:sz w:val="24"/>
          <w:lang w:eastAsia="zh-Hans"/>
        </w:rPr>
        <w:t>建设路</w:t>
      </w:r>
      <w:r>
        <w:rPr>
          <w:rFonts w:ascii="宋体" w:hAnsi="宋体" w:cs="宋体"/>
          <w:sz w:val="24"/>
          <w:lang w:eastAsia="zh-Hans"/>
        </w:rPr>
        <w:t>16号</w:t>
      </w:r>
    </w:p>
    <w:p>
      <w:pPr>
        <w:spacing w:line="360" w:lineRule="auto"/>
        <w:ind w:firstLine="482" w:firstLineChars="200"/>
        <w:outlineLvl w:val="1"/>
        <w:rPr>
          <w:rFonts w:ascii="宋体" w:hAnsi="宋体" w:cs="宋体"/>
          <w:sz w:val="24"/>
        </w:rPr>
      </w:pPr>
      <w:r>
        <w:rPr>
          <w:rFonts w:hint="eastAsia" w:ascii="宋体" w:hAnsi="宋体" w:cs="宋体"/>
          <w:b/>
          <w:bCs/>
          <w:sz w:val="24"/>
          <w:szCs w:val="32"/>
        </w:rPr>
        <w:t>3、</w:t>
      </w:r>
      <w:r>
        <w:rPr>
          <w:rFonts w:hint="eastAsia" w:ascii="宋体" w:hAnsi="宋体" w:cs="宋体"/>
          <w:b/>
          <w:bCs/>
          <w:sz w:val="24"/>
        </w:rPr>
        <w:t>同级政府采购监管部门：</w:t>
      </w:r>
      <w:r>
        <w:rPr>
          <w:rFonts w:hint="eastAsia" w:ascii="宋体" w:hAnsi="宋体" w:cs="宋体"/>
          <w:color w:val="000000" w:themeColor="text1"/>
          <w:sz w:val="24"/>
          <w14:textFill>
            <w14:solidFill>
              <w14:schemeClr w14:val="tx1"/>
            </w14:solidFill>
          </w14:textFill>
        </w:rPr>
        <w:t>椒江区财政局政府采购监管科</w:t>
      </w:r>
      <w:r>
        <w:rPr>
          <w:rFonts w:hint="eastAsia" w:ascii="宋体" w:hAnsi="宋体" w:cs="宋体"/>
          <w:sz w:val="24"/>
          <w:szCs w:val="32"/>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联系人：李老师  </w:t>
      </w:r>
    </w:p>
    <w:p>
      <w:pPr>
        <w:spacing w:line="360" w:lineRule="auto"/>
        <w:ind w:firstLine="480" w:firstLineChars="200"/>
        <w:rPr>
          <w:rFonts w:ascii="宋体" w:hAnsi="宋体" w:cs="宋体"/>
          <w:sz w:val="24"/>
          <w:szCs w:val="32"/>
        </w:rPr>
      </w:pPr>
      <w:r>
        <w:rPr>
          <w:rFonts w:hint="eastAsia" w:ascii="宋体" w:hAnsi="宋体" w:cs="宋体"/>
          <w:sz w:val="24"/>
        </w:rPr>
        <w:t>联系电话：0576-88553889</w:t>
      </w:r>
      <w:r>
        <w:rPr>
          <w:rFonts w:hint="eastAsia" w:ascii="宋体" w:hAnsi="宋体" w:cs="宋体"/>
          <w:sz w:val="24"/>
          <w:szCs w:val="32"/>
        </w:rPr>
        <w:t xml:space="preserve"> </w:t>
      </w:r>
    </w:p>
    <w:p>
      <w:pPr>
        <w:pStyle w:val="32"/>
        <w:ind w:left="0" w:leftChars="0" w:firstLine="480" w:firstLineChars="200"/>
      </w:pPr>
      <w:r>
        <w:rPr>
          <w:rFonts w:hint="eastAsia" w:ascii="宋体" w:hAnsi="宋体" w:cs="宋体"/>
          <w:sz w:val="24"/>
          <w:szCs w:val="32"/>
        </w:rPr>
        <w:t>地址：台州市椒江区建设路6号</w:t>
      </w:r>
    </w:p>
    <w:p>
      <w:pPr>
        <w:spacing w:line="360" w:lineRule="auto"/>
        <w:ind w:firstLine="480" w:firstLineChars="200"/>
        <w:rPr>
          <w:rFonts w:ascii="宋体" w:hAnsi="宋体" w:cs="宋体"/>
          <w:sz w:val="24"/>
          <w:szCs w:val="32"/>
        </w:rPr>
      </w:pPr>
    </w:p>
    <w:p>
      <w:pPr>
        <w:spacing w:line="360" w:lineRule="auto"/>
        <w:jc w:val="right"/>
        <w:rPr>
          <w:rFonts w:ascii="宋体" w:hAnsi="宋体" w:cs="宋体"/>
          <w:sz w:val="24"/>
          <w:szCs w:val="32"/>
        </w:rPr>
      </w:pPr>
      <w:r>
        <w:rPr>
          <w:rFonts w:hint="eastAsia" w:ascii="宋体" w:hAnsi="宋体" w:cs="宋体"/>
          <w:sz w:val="24"/>
          <w:szCs w:val="32"/>
        </w:rPr>
        <w:t>浙江洪大工程咨询有限公司</w:t>
      </w:r>
    </w:p>
    <w:p>
      <w:pPr>
        <w:spacing w:line="360" w:lineRule="auto"/>
        <w:ind w:firstLine="6240" w:firstLineChars="2600"/>
        <w:jc w:val="right"/>
        <w:rPr>
          <w:rFonts w:ascii="宋体" w:hAnsi="宋体" w:cs="宋体"/>
          <w:sz w:val="24"/>
          <w:szCs w:val="32"/>
        </w:rPr>
      </w:pPr>
      <w:r>
        <w:rPr>
          <w:rFonts w:hint="eastAsia" w:ascii="宋体" w:hAnsi="宋体" w:cs="宋体"/>
          <w:sz w:val="24"/>
          <w:szCs w:val="32"/>
        </w:rPr>
        <w:t>2024年</w:t>
      </w:r>
      <w:r>
        <w:rPr>
          <w:rFonts w:hint="eastAsia" w:ascii="宋体" w:hAnsi="宋体" w:cs="宋体"/>
          <w:sz w:val="24"/>
          <w:szCs w:val="32"/>
          <w:lang w:val="en-US" w:eastAsia="zh-CN"/>
        </w:rPr>
        <w:t>4</w:t>
      </w:r>
      <w:r>
        <w:rPr>
          <w:rFonts w:hint="eastAsia" w:ascii="宋体" w:hAnsi="宋体" w:cs="宋体"/>
          <w:sz w:val="24"/>
          <w:szCs w:val="32"/>
        </w:rPr>
        <w:t>月</w:t>
      </w:r>
    </w:p>
    <w:p>
      <w:pPr>
        <w:spacing w:line="360" w:lineRule="auto"/>
        <w:rPr>
          <w:rFonts w:ascii="宋体" w:hAnsi="宋体" w:cs="宋体"/>
          <w:sz w:val="24"/>
          <w:szCs w:val="32"/>
        </w:rPr>
      </w:pPr>
    </w:p>
    <w:p>
      <w:pPr>
        <w:spacing w:line="360" w:lineRule="auto"/>
        <w:ind w:firstLine="480" w:firstLineChars="200"/>
        <w:outlineLvl w:val="1"/>
        <w:rPr>
          <w:rFonts w:ascii="宋体" w:hAnsi="宋体" w:cs="宋体"/>
          <w:sz w:val="24"/>
        </w:rPr>
      </w:pPr>
      <w:r>
        <w:rPr>
          <w:rFonts w:hint="eastAsia" w:ascii="宋体" w:hAnsi="宋体" w:cs="宋体"/>
          <w:sz w:val="24"/>
        </w:rPr>
        <w:t>4、银行（中标项目贷款咨询）</w:t>
      </w:r>
    </w:p>
    <w:p>
      <w:pPr>
        <w:pStyle w:val="45"/>
        <w:ind w:firstLine="480" w:firstLineChars="200"/>
      </w:pPr>
      <w:r>
        <w:rPr>
          <w:rFonts w:hint="eastAsia"/>
        </w:rPr>
        <w:t>中标人可根据项目情况及自身需求向以下银行申请企业贷款，利率从优。</w:t>
      </w:r>
    </w:p>
    <w:tbl>
      <w:tblPr>
        <w:tblStyle w:val="33"/>
        <w:tblW w:w="8930"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1753"/>
        <w:gridCol w:w="1534"/>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银行</w:t>
            </w:r>
          </w:p>
        </w:tc>
        <w:tc>
          <w:tcPr>
            <w:tcW w:w="1753" w:type="dxa"/>
            <w:vAlign w:val="center"/>
          </w:tcPr>
          <w:p>
            <w:pPr>
              <w:pStyle w:val="45"/>
            </w:pPr>
            <w:r>
              <w:rPr>
                <w:rFonts w:hint="eastAsia"/>
              </w:rPr>
              <w:t>贷款年利率</w:t>
            </w:r>
          </w:p>
        </w:tc>
        <w:tc>
          <w:tcPr>
            <w:tcW w:w="1534" w:type="dxa"/>
            <w:vAlign w:val="center"/>
          </w:tcPr>
          <w:p>
            <w:pPr>
              <w:pStyle w:val="45"/>
            </w:pPr>
            <w:r>
              <w:rPr>
                <w:rFonts w:hint="eastAsia"/>
              </w:rPr>
              <w:t>联系人</w:t>
            </w:r>
          </w:p>
        </w:tc>
        <w:tc>
          <w:tcPr>
            <w:tcW w:w="3399" w:type="dxa"/>
            <w:vAlign w:val="center"/>
          </w:tcPr>
          <w:p>
            <w:pPr>
              <w:pStyle w:val="45"/>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中国工商银行</w:t>
            </w:r>
          </w:p>
        </w:tc>
        <w:tc>
          <w:tcPr>
            <w:tcW w:w="1753" w:type="dxa"/>
            <w:vAlign w:val="center"/>
          </w:tcPr>
          <w:p>
            <w:pPr>
              <w:pStyle w:val="45"/>
            </w:pPr>
            <w:r>
              <w:rPr>
                <w:rFonts w:hint="eastAsia"/>
              </w:rPr>
              <w:t>3.8%起</w:t>
            </w:r>
          </w:p>
        </w:tc>
        <w:tc>
          <w:tcPr>
            <w:tcW w:w="1534" w:type="dxa"/>
            <w:vAlign w:val="center"/>
          </w:tcPr>
          <w:p>
            <w:pPr>
              <w:pStyle w:val="45"/>
            </w:pPr>
            <w:r>
              <w:rPr>
                <w:rFonts w:hint="eastAsia" w:cs="宋体"/>
                <w:color w:val="000000" w:themeColor="text1"/>
                <w:szCs w:val="21"/>
                <w14:textFill>
                  <w14:solidFill>
                    <w14:schemeClr w14:val="tx1"/>
                  </w14:solidFill>
                </w14:textFill>
              </w:rPr>
              <w:t>卢嘉诚</w:t>
            </w:r>
          </w:p>
        </w:tc>
        <w:tc>
          <w:tcPr>
            <w:tcW w:w="3399" w:type="dxa"/>
            <w:vAlign w:val="center"/>
          </w:tcPr>
          <w:p>
            <w:pPr>
              <w:pStyle w:val="45"/>
            </w:pPr>
            <w:r>
              <w:rPr>
                <w:rFonts w:hint="eastAsia"/>
              </w:rPr>
              <w:t>8858824</w:t>
            </w:r>
            <w:r>
              <w:rPr>
                <w:rFonts w:hint="eastAsia"/>
                <w:lang w:val="en-US"/>
              </w:rPr>
              <w:t>6</w:t>
            </w:r>
            <w:r>
              <w:rPr>
                <w:rFonts w:hint="eastAsia"/>
              </w:rPr>
              <w:t>、</w:t>
            </w:r>
            <w:r>
              <w:rPr>
                <w:rFonts w:hint="eastAsia" w:cs="宋体"/>
                <w:color w:val="000000" w:themeColor="text1"/>
                <w:szCs w:val="21"/>
                <w14:textFill>
                  <w14:solidFill>
                    <w14:schemeClr w14:val="tx1"/>
                  </w14:solidFill>
                </w14:textFill>
              </w:rPr>
              <w:t>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中国农业银行</w:t>
            </w:r>
          </w:p>
        </w:tc>
        <w:tc>
          <w:tcPr>
            <w:tcW w:w="1753" w:type="dxa"/>
            <w:vAlign w:val="center"/>
          </w:tcPr>
          <w:p>
            <w:pPr>
              <w:pStyle w:val="45"/>
            </w:pPr>
            <w:r>
              <w:rPr>
                <w:rFonts w:hint="eastAsia"/>
              </w:rPr>
              <w:t>3.8%起</w:t>
            </w:r>
          </w:p>
        </w:tc>
        <w:tc>
          <w:tcPr>
            <w:tcW w:w="1534" w:type="dxa"/>
            <w:vAlign w:val="center"/>
          </w:tcPr>
          <w:p>
            <w:pPr>
              <w:pStyle w:val="45"/>
            </w:pPr>
            <w:r>
              <w:rPr>
                <w:rFonts w:hint="eastAsia"/>
              </w:rPr>
              <w:t>龚盛</w:t>
            </w:r>
          </w:p>
        </w:tc>
        <w:tc>
          <w:tcPr>
            <w:tcW w:w="3399" w:type="dxa"/>
            <w:vAlign w:val="center"/>
          </w:tcPr>
          <w:p>
            <w:pPr>
              <w:pStyle w:val="45"/>
            </w:pPr>
            <w:r>
              <w:rPr>
                <w:rFonts w:hint="eastAsia"/>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中国建设银行</w:t>
            </w:r>
          </w:p>
        </w:tc>
        <w:tc>
          <w:tcPr>
            <w:tcW w:w="1753" w:type="dxa"/>
            <w:vAlign w:val="center"/>
          </w:tcPr>
          <w:p>
            <w:pPr>
              <w:pStyle w:val="45"/>
            </w:pPr>
            <w:r>
              <w:rPr>
                <w:rFonts w:hint="eastAsia"/>
              </w:rPr>
              <w:t>3.8%起</w:t>
            </w:r>
          </w:p>
        </w:tc>
        <w:tc>
          <w:tcPr>
            <w:tcW w:w="1534" w:type="dxa"/>
            <w:vAlign w:val="center"/>
          </w:tcPr>
          <w:p>
            <w:pPr>
              <w:pStyle w:val="45"/>
            </w:pPr>
            <w:r>
              <w:rPr>
                <w:rFonts w:hint="eastAsia"/>
              </w:rPr>
              <w:t>梅晶晶</w:t>
            </w:r>
          </w:p>
        </w:tc>
        <w:tc>
          <w:tcPr>
            <w:tcW w:w="3399" w:type="dxa"/>
            <w:vAlign w:val="center"/>
          </w:tcPr>
          <w:p>
            <w:pPr>
              <w:pStyle w:val="45"/>
            </w:pPr>
            <w:r>
              <w:rPr>
                <w:rFonts w:hint="eastAsia"/>
              </w:rPr>
              <w:t>8852533、13736585303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中国银行</w:t>
            </w:r>
          </w:p>
        </w:tc>
        <w:tc>
          <w:tcPr>
            <w:tcW w:w="1753" w:type="dxa"/>
            <w:vAlign w:val="center"/>
          </w:tcPr>
          <w:p>
            <w:pPr>
              <w:pStyle w:val="45"/>
            </w:pPr>
            <w:r>
              <w:rPr>
                <w:rFonts w:hint="eastAsia"/>
              </w:rPr>
              <w:t>3.75%起</w:t>
            </w:r>
          </w:p>
        </w:tc>
        <w:tc>
          <w:tcPr>
            <w:tcW w:w="1534" w:type="dxa"/>
            <w:vAlign w:val="center"/>
          </w:tcPr>
          <w:p>
            <w:pPr>
              <w:pStyle w:val="45"/>
            </w:pPr>
            <w:r>
              <w:rPr>
                <w:rFonts w:hint="eastAsia"/>
              </w:rPr>
              <w:t>任茜</w:t>
            </w:r>
          </w:p>
        </w:tc>
        <w:tc>
          <w:tcPr>
            <w:tcW w:w="3399" w:type="dxa"/>
            <w:vAlign w:val="center"/>
          </w:tcPr>
          <w:p>
            <w:pPr>
              <w:pStyle w:val="45"/>
            </w:pPr>
            <w:r>
              <w:rPr>
                <w:rFonts w:hint="eastAsia"/>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浦发银行台州分行</w:t>
            </w:r>
          </w:p>
        </w:tc>
        <w:tc>
          <w:tcPr>
            <w:tcW w:w="1753" w:type="dxa"/>
            <w:vAlign w:val="center"/>
          </w:tcPr>
          <w:p>
            <w:pPr>
              <w:pStyle w:val="45"/>
            </w:pPr>
            <w:r>
              <w:rPr>
                <w:rFonts w:hint="eastAsia"/>
              </w:rPr>
              <w:t>4.05%起</w:t>
            </w:r>
          </w:p>
        </w:tc>
        <w:tc>
          <w:tcPr>
            <w:tcW w:w="1534" w:type="dxa"/>
            <w:vAlign w:val="center"/>
          </w:tcPr>
          <w:p>
            <w:pPr>
              <w:pStyle w:val="45"/>
            </w:pPr>
            <w:r>
              <w:rPr>
                <w:rFonts w:hint="eastAsia"/>
              </w:rPr>
              <w:t>王渊</w:t>
            </w:r>
          </w:p>
        </w:tc>
        <w:tc>
          <w:tcPr>
            <w:tcW w:w="3399" w:type="dxa"/>
            <w:vAlign w:val="center"/>
          </w:tcPr>
          <w:p>
            <w:pPr>
              <w:pStyle w:val="45"/>
            </w:pPr>
            <w:r>
              <w:rPr>
                <w:rFonts w:hint="eastAsia"/>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浦发银行椒江分行</w:t>
            </w:r>
          </w:p>
        </w:tc>
        <w:tc>
          <w:tcPr>
            <w:tcW w:w="1753" w:type="dxa"/>
            <w:vAlign w:val="center"/>
          </w:tcPr>
          <w:p>
            <w:pPr>
              <w:pStyle w:val="45"/>
            </w:pPr>
            <w:r>
              <w:rPr>
                <w:rFonts w:hint="eastAsia"/>
              </w:rPr>
              <w:t>4.05%起</w:t>
            </w:r>
          </w:p>
        </w:tc>
        <w:tc>
          <w:tcPr>
            <w:tcW w:w="1534" w:type="dxa"/>
            <w:vAlign w:val="center"/>
          </w:tcPr>
          <w:p>
            <w:pPr>
              <w:pStyle w:val="45"/>
            </w:pPr>
            <w:r>
              <w:rPr>
                <w:rFonts w:hint="eastAsia"/>
              </w:rPr>
              <w:t>孙瑞华</w:t>
            </w:r>
          </w:p>
        </w:tc>
        <w:tc>
          <w:tcPr>
            <w:tcW w:w="3399" w:type="dxa"/>
            <w:vAlign w:val="center"/>
          </w:tcPr>
          <w:p>
            <w:pPr>
              <w:pStyle w:val="45"/>
            </w:pPr>
            <w:r>
              <w:rPr>
                <w:rFonts w:hint="eastAsia"/>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交通银行台州分行</w:t>
            </w:r>
          </w:p>
        </w:tc>
        <w:tc>
          <w:tcPr>
            <w:tcW w:w="1753" w:type="dxa"/>
            <w:vAlign w:val="center"/>
          </w:tcPr>
          <w:p>
            <w:pPr>
              <w:pStyle w:val="45"/>
            </w:pPr>
            <w:r>
              <w:rPr>
                <w:rFonts w:hint="eastAsia"/>
              </w:rPr>
              <w:t>3.75%起</w:t>
            </w:r>
          </w:p>
        </w:tc>
        <w:tc>
          <w:tcPr>
            <w:tcW w:w="1534" w:type="dxa"/>
            <w:vAlign w:val="center"/>
          </w:tcPr>
          <w:p>
            <w:pPr>
              <w:pStyle w:val="45"/>
            </w:pPr>
            <w:r>
              <w:rPr>
                <w:rFonts w:hint="eastAsia"/>
              </w:rPr>
              <w:t>周翔宇</w:t>
            </w:r>
          </w:p>
        </w:tc>
        <w:tc>
          <w:tcPr>
            <w:tcW w:w="3399" w:type="dxa"/>
            <w:vAlign w:val="center"/>
          </w:tcPr>
          <w:p>
            <w:pPr>
              <w:pStyle w:val="45"/>
            </w:pPr>
            <w:r>
              <w:rPr>
                <w:rFonts w:hint="eastAsia"/>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招商银行台州分行</w:t>
            </w:r>
          </w:p>
        </w:tc>
        <w:tc>
          <w:tcPr>
            <w:tcW w:w="1753" w:type="dxa"/>
            <w:vAlign w:val="center"/>
          </w:tcPr>
          <w:p>
            <w:pPr>
              <w:pStyle w:val="45"/>
            </w:pPr>
            <w:r>
              <w:rPr>
                <w:rFonts w:hint="eastAsia"/>
              </w:rPr>
              <w:t>4.32%起</w:t>
            </w:r>
          </w:p>
        </w:tc>
        <w:tc>
          <w:tcPr>
            <w:tcW w:w="1534" w:type="dxa"/>
            <w:vAlign w:val="center"/>
          </w:tcPr>
          <w:p>
            <w:pPr>
              <w:pStyle w:val="45"/>
            </w:pPr>
            <w:r>
              <w:rPr>
                <w:rFonts w:hint="eastAsia"/>
              </w:rPr>
              <w:t>王海玲</w:t>
            </w:r>
          </w:p>
        </w:tc>
        <w:tc>
          <w:tcPr>
            <w:tcW w:w="3399" w:type="dxa"/>
            <w:vAlign w:val="center"/>
          </w:tcPr>
          <w:p>
            <w:pPr>
              <w:pStyle w:val="45"/>
            </w:pPr>
            <w:r>
              <w:rPr>
                <w:rFonts w:hint="eastAsia"/>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浙商银行台州分行</w:t>
            </w:r>
          </w:p>
        </w:tc>
        <w:tc>
          <w:tcPr>
            <w:tcW w:w="1753" w:type="dxa"/>
            <w:vAlign w:val="center"/>
          </w:tcPr>
          <w:p>
            <w:pPr>
              <w:pStyle w:val="45"/>
            </w:pPr>
            <w:r>
              <w:rPr>
                <w:rFonts w:hint="eastAsia"/>
              </w:rPr>
              <w:t>5.01%起</w:t>
            </w:r>
          </w:p>
        </w:tc>
        <w:tc>
          <w:tcPr>
            <w:tcW w:w="1534" w:type="dxa"/>
            <w:vAlign w:val="center"/>
          </w:tcPr>
          <w:p>
            <w:pPr>
              <w:pStyle w:val="45"/>
            </w:pPr>
            <w:r>
              <w:rPr>
                <w:rFonts w:hint="eastAsia"/>
              </w:rPr>
              <w:t>章涉漪</w:t>
            </w:r>
          </w:p>
        </w:tc>
        <w:tc>
          <w:tcPr>
            <w:tcW w:w="3399" w:type="dxa"/>
            <w:vAlign w:val="center"/>
          </w:tcPr>
          <w:p>
            <w:pPr>
              <w:pStyle w:val="45"/>
            </w:pPr>
            <w:r>
              <w:rPr>
                <w:rFonts w:hint="eastAsia"/>
              </w:rPr>
              <w:t>8188018、13606681262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2244" w:type="dxa"/>
            <w:vAlign w:val="center"/>
          </w:tcPr>
          <w:p>
            <w:pPr>
              <w:pStyle w:val="45"/>
            </w:pPr>
            <w:r>
              <w:rPr>
                <w:rFonts w:hint="eastAsia"/>
              </w:rPr>
              <w:t>中信银行台州分行</w:t>
            </w:r>
          </w:p>
        </w:tc>
        <w:tc>
          <w:tcPr>
            <w:tcW w:w="1753" w:type="dxa"/>
            <w:vAlign w:val="center"/>
          </w:tcPr>
          <w:p>
            <w:pPr>
              <w:pStyle w:val="45"/>
            </w:pPr>
            <w:r>
              <w:rPr>
                <w:rFonts w:hint="eastAsia"/>
              </w:rPr>
              <w:t>4.15%起</w:t>
            </w:r>
          </w:p>
        </w:tc>
        <w:tc>
          <w:tcPr>
            <w:tcW w:w="1534" w:type="dxa"/>
            <w:vAlign w:val="center"/>
          </w:tcPr>
          <w:p>
            <w:pPr>
              <w:pStyle w:val="45"/>
            </w:pPr>
            <w:r>
              <w:rPr>
                <w:rFonts w:hint="eastAsia"/>
              </w:rPr>
              <w:t>陈金园</w:t>
            </w:r>
          </w:p>
        </w:tc>
        <w:tc>
          <w:tcPr>
            <w:tcW w:w="3399" w:type="dxa"/>
            <w:vAlign w:val="center"/>
          </w:tcPr>
          <w:p>
            <w:pPr>
              <w:pStyle w:val="45"/>
            </w:pPr>
            <w:r>
              <w:rPr>
                <w:rFonts w:hint="eastAsia"/>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华夏银行台州分行</w:t>
            </w:r>
          </w:p>
        </w:tc>
        <w:tc>
          <w:tcPr>
            <w:tcW w:w="1753" w:type="dxa"/>
            <w:vAlign w:val="center"/>
          </w:tcPr>
          <w:p>
            <w:pPr>
              <w:pStyle w:val="45"/>
            </w:pPr>
            <w:r>
              <w:rPr>
                <w:rFonts w:hint="eastAsia"/>
              </w:rPr>
              <w:t>4.5%起</w:t>
            </w:r>
          </w:p>
        </w:tc>
        <w:tc>
          <w:tcPr>
            <w:tcW w:w="1534" w:type="dxa"/>
            <w:vAlign w:val="center"/>
          </w:tcPr>
          <w:p>
            <w:pPr>
              <w:pStyle w:val="45"/>
            </w:pPr>
            <w:r>
              <w:rPr>
                <w:rFonts w:hint="eastAsia"/>
              </w:rPr>
              <w:t>邱明达</w:t>
            </w:r>
          </w:p>
        </w:tc>
        <w:tc>
          <w:tcPr>
            <w:tcW w:w="3399" w:type="dxa"/>
            <w:vAlign w:val="center"/>
          </w:tcPr>
          <w:p>
            <w:pPr>
              <w:pStyle w:val="45"/>
            </w:pPr>
            <w:r>
              <w:rPr>
                <w:rFonts w:hint="eastAsia"/>
              </w:rPr>
              <w:t>8187151、13736252233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泰隆银行开发区支行</w:t>
            </w:r>
          </w:p>
        </w:tc>
        <w:tc>
          <w:tcPr>
            <w:tcW w:w="1753" w:type="dxa"/>
            <w:vAlign w:val="center"/>
          </w:tcPr>
          <w:p>
            <w:pPr>
              <w:pStyle w:val="45"/>
            </w:pPr>
            <w:r>
              <w:rPr>
                <w:rFonts w:hint="eastAsia"/>
              </w:rPr>
              <w:t>5.6%起</w:t>
            </w:r>
          </w:p>
        </w:tc>
        <w:tc>
          <w:tcPr>
            <w:tcW w:w="1534" w:type="dxa"/>
            <w:vAlign w:val="center"/>
          </w:tcPr>
          <w:p>
            <w:pPr>
              <w:pStyle w:val="45"/>
            </w:pPr>
            <w:r>
              <w:rPr>
                <w:rFonts w:hint="eastAsia"/>
              </w:rPr>
              <w:t>梁宛莉</w:t>
            </w:r>
          </w:p>
        </w:tc>
        <w:tc>
          <w:tcPr>
            <w:tcW w:w="3399" w:type="dxa"/>
            <w:vAlign w:val="center"/>
          </w:tcPr>
          <w:p>
            <w:pPr>
              <w:pStyle w:val="45"/>
            </w:pPr>
            <w:r>
              <w:rPr>
                <w:rFonts w:hint="eastAsia"/>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民泰银行椒江支行</w:t>
            </w:r>
          </w:p>
        </w:tc>
        <w:tc>
          <w:tcPr>
            <w:tcW w:w="1753" w:type="dxa"/>
            <w:vAlign w:val="center"/>
          </w:tcPr>
          <w:p>
            <w:pPr>
              <w:pStyle w:val="45"/>
            </w:pPr>
            <w:r>
              <w:rPr>
                <w:rFonts w:hint="eastAsia"/>
              </w:rPr>
              <w:t>5.8%起</w:t>
            </w:r>
          </w:p>
        </w:tc>
        <w:tc>
          <w:tcPr>
            <w:tcW w:w="1534" w:type="dxa"/>
            <w:vAlign w:val="center"/>
          </w:tcPr>
          <w:p>
            <w:pPr>
              <w:pStyle w:val="45"/>
            </w:pPr>
            <w:r>
              <w:rPr>
                <w:rFonts w:hint="eastAsia"/>
              </w:rPr>
              <w:t>陈慧珠</w:t>
            </w:r>
          </w:p>
        </w:tc>
        <w:tc>
          <w:tcPr>
            <w:tcW w:w="3399" w:type="dxa"/>
            <w:vAlign w:val="center"/>
          </w:tcPr>
          <w:p>
            <w:pPr>
              <w:pStyle w:val="45"/>
            </w:pPr>
            <w:r>
              <w:rPr>
                <w:rFonts w:hint="eastAsia"/>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绍兴银行台州分行</w:t>
            </w:r>
          </w:p>
        </w:tc>
        <w:tc>
          <w:tcPr>
            <w:tcW w:w="1753" w:type="dxa"/>
            <w:vAlign w:val="center"/>
          </w:tcPr>
          <w:p>
            <w:pPr>
              <w:pStyle w:val="45"/>
            </w:pPr>
            <w:r>
              <w:rPr>
                <w:rFonts w:hint="eastAsia"/>
              </w:rPr>
              <w:t>5.1%起</w:t>
            </w:r>
          </w:p>
        </w:tc>
        <w:tc>
          <w:tcPr>
            <w:tcW w:w="1534" w:type="dxa"/>
            <w:vAlign w:val="center"/>
          </w:tcPr>
          <w:p>
            <w:pPr>
              <w:pStyle w:val="45"/>
            </w:pPr>
            <w:r>
              <w:rPr>
                <w:rFonts w:hint="eastAsia"/>
              </w:rPr>
              <w:t>郭庭斌</w:t>
            </w:r>
          </w:p>
        </w:tc>
        <w:tc>
          <w:tcPr>
            <w:tcW w:w="3399" w:type="dxa"/>
            <w:vAlign w:val="center"/>
          </w:tcPr>
          <w:p>
            <w:pPr>
              <w:pStyle w:val="45"/>
            </w:pPr>
            <w:r>
              <w:rPr>
                <w:rFonts w:hint="eastAsia"/>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温州银行台州分行</w:t>
            </w:r>
          </w:p>
        </w:tc>
        <w:tc>
          <w:tcPr>
            <w:tcW w:w="1753" w:type="dxa"/>
            <w:vAlign w:val="center"/>
          </w:tcPr>
          <w:p>
            <w:pPr>
              <w:pStyle w:val="45"/>
            </w:pPr>
            <w:r>
              <w:rPr>
                <w:rFonts w:hint="eastAsia"/>
              </w:rPr>
              <w:t>4.55%起</w:t>
            </w:r>
          </w:p>
        </w:tc>
        <w:tc>
          <w:tcPr>
            <w:tcW w:w="1534" w:type="dxa"/>
            <w:vAlign w:val="center"/>
          </w:tcPr>
          <w:p>
            <w:pPr>
              <w:pStyle w:val="45"/>
            </w:pPr>
            <w:r>
              <w:rPr>
                <w:rFonts w:hint="eastAsia"/>
              </w:rPr>
              <w:t>王晓波</w:t>
            </w:r>
          </w:p>
        </w:tc>
        <w:tc>
          <w:tcPr>
            <w:tcW w:w="3399" w:type="dxa"/>
            <w:vAlign w:val="center"/>
          </w:tcPr>
          <w:p>
            <w:pPr>
              <w:pStyle w:val="45"/>
            </w:pPr>
            <w:r>
              <w:rPr>
                <w:rFonts w:hint="eastAsia"/>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平安银行台州分行</w:t>
            </w:r>
          </w:p>
        </w:tc>
        <w:tc>
          <w:tcPr>
            <w:tcW w:w="1753" w:type="dxa"/>
            <w:vAlign w:val="center"/>
          </w:tcPr>
          <w:p>
            <w:pPr>
              <w:pStyle w:val="45"/>
            </w:pPr>
            <w:r>
              <w:rPr>
                <w:rFonts w:hint="eastAsia"/>
              </w:rPr>
              <w:t>6.53%起</w:t>
            </w:r>
          </w:p>
        </w:tc>
        <w:tc>
          <w:tcPr>
            <w:tcW w:w="1534" w:type="dxa"/>
            <w:vAlign w:val="center"/>
          </w:tcPr>
          <w:p>
            <w:pPr>
              <w:pStyle w:val="45"/>
            </w:pPr>
            <w:r>
              <w:rPr>
                <w:rFonts w:hint="eastAsia"/>
              </w:rPr>
              <w:t>李俊丽</w:t>
            </w:r>
          </w:p>
        </w:tc>
        <w:tc>
          <w:tcPr>
            <w:tcW w:w="3399" w:type="dxa"/>
            <w:vAlign w:val="center"/>
          </w:tcPr>
          <w:p>
            <w:pPr>
              <w:pStyle w:val="45"/>
            </w:pPr>
            <w:r>
              <w:rPr>
                <w:rFonts w:hint="eastAsia"/>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宁波银行台州分行</w:t>
            </w:r>
          </w:p>
        </w:tc>
        <w:tc>
          <w:tcPr>
            <w:tcW w:w="1753" w:type="dxa"/>
            <w:vAlign w:val="center"/>
          </w:tcPr>
          <w:p>
            <w:pPr>
              <w:pStyle w:val="45"/>
            </w:pPr>
            <w:r>
              <w:rPr>
                <w:rFonts w:hint="eastAsia"/>
              </w:rPr>
              <w:t>4.35%起</w:t>
            </w:r>
          </w:p>
        </w:tc>
        <w:tc>
          <w:tcPr>
            <w:tcW w:w="1534" w:type="dxa"/>
            <w:vAlign w:val="center"/>
          </w:tcPr>
          <w:p>
            <w:pPr>
              <w:pStyle w:val="45"/>
            </w:pPr>
            <w:r>
              <w:rPr>
                <w:rFonts w:hint="eastAsia"/>
              </w:rPr>
              <w:t>戴莉丽</w:t>
            </w:r>
          </w:p>
        </w:tc>
        <w:tc>
          <w:tcPr>
            <w:tcW w:w="3399" w:type="dxa"/>
            <w:vAlign w:val="center"/>
          </w:tcPr>
          <w:p>
            <w:pPr>
              <w:pStyle w:val="45"/>
            </w:pPr>
            <w:r>
              <w:rPr>
                <w:rFonts w:hint="eastAsia"/>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金华银行台州分行</w:t>
            </w:r>
          </w:p>
        </w:tc>
        <w:tc>
          <w:tcPr>
            <w:tcW w:w="1753" w:type="dxa"/>
            <w:vAlign w:val="center"/>
          </w:tcPr>
          <w:p>
            <w:pPr>
              <w:pStyle w:val="45"/>
            </w:pPr>
            <w:r>
              <w:rPr>
                <w:rFonts w:hint="eastAsia"/>
              </w:rPr>
              <w:t>4.05%起</w:t>
            </w:r>
          </w:p>
        </w:tc>
        <w:tc>
          <w:tcPr>
            <w:tcW w:w="1534" w:type="dxa"/>
            <w:vAlign w:val="center"/>
          </w:tcPr>
          <w:p>
            <w:pPr>
              <w:pStyle w:val="45"/>
            </w:pPr>
            <w:r>
              <w:rPr>
                <w:rFonts w:hint="eastAsia"/>
              </w:rPr>
              <w:t>金雪婷</w:t>
            </w:r>
          </w:p>
        </w:tc>
        <w:tc>
          <w:tcPr>
            <w:tcW w:w="3399" w:type="dxa"/>
            <w:vAlign w:val="center"/>
          </w:tcPr>
          <w:p>
            <w:pPr>
              <w:pStyle w:val="45"/>
            </w:pPr>
            <w:r>
              <w:rPr>
                <w:rFonts w:hint="eastAsia"/>
              </w:rPr>
              <w:t>8188667、15968661569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台州银行</w:t>
            </w:r>
          </w:p>
        </w:tc>
        <w:tc>
          <w:tcPr>
            <w:tcW w:w="1753" w:type="dxa"/>
            <w:vAlign w:val="center"/>
          </w:tcPr>
          <w:p>
            <w:pPr>
              <w:pStyle w:val="45"/>
            </w:pPr>
            <w:r>
              <w:rPr>
                <w:rFonts w:hint="eastAsia"/>
              </w:rPr>
              <w:t>5.6%起</w:t>
            </w:r>
          </w:p>
        </w:tc>
        <w:tc>
          <w:tcPr>
            <w:tcW w:w="1534" w:type="dxa"/>
            <w:vAlign w:val="center"/>
          </w:tcPr>
          <w:p>
            <w:pPr>
              <w:pStyle w:val="45"/>
            </w:pPr>
            <w:r>
              <w:rPr>
                <w:rFonts w:hint="eastAsia"/>
              </w:rPr>
              <w:t>洪婷</w:t>
            </w:r>
          </w:p>
        </w:tc>
        <w:tc>
          <w:tcPr>
            <w:tcW w:w="3399" w:type="dxa"/>
            <w:vAlign w:val="center"/>
          </w:tcPr>
          <w:p>
            <w:pPr>
              <w:pStyle w:val="45"/>
            </w:pPr>
            <w:r>
              <w:rPr>
                <w:rFonts w:hint="eastAsia"/>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44" w:type="dxa"/>
            <w:vAlign w:val="center"/>
          </w:tcPr>
          <w:p>
            <w:pPr>
              <w:pStyle w:val="45"/>
            </w:pPr>
            <w:r>
              <w:rPr>
                <w:rFonts w:hint="eastAsia"/>
              </w:rPr>
              <w:t>邮储银行台州分行</w:t>
            </w:r>
          </w:p>
        </w:tc>
        <w:tc>
          <w:tcPr>
            <w:tcW w:w="1753" w:type="dxa"/>
            <w:vAlign w:val="center"/>
          </w:tcPr>
          <w:p>
            <w:pPr>
              <w:pStyle w:val="45"/>
            </w:pPr>
            <w:r>
              <w:rPr>
                <w:rFonts w:hint="eastAsia"/>
              </w:rPr>
              <w:t>3.85%起</w:t>
            </w:r>
          </w:p>
        </w:tc>
        <w:tc>
          <w:tcPr>
            <w:tcW w:w="1534" w:type="dxa"/>
            <w:vAlign w:val="center"/>
          </w:tcPr>
          <w:p>
            <w:pPr>
              <w:pStyle w:val="45"/>
            </w:pPr>
            <w:r>
              <w:rPr>
                <w:rFonts w:hint="eastAsia"/>
              </w:rPr>
              <w:t>董庆</w:t>
            </w:r>
          </w:p>
        </w:tc>
        <w:tc>
          <w:tcPr>
            <w:tcW w:w="3399" w:type="dxa"/>
            <w:vAlign w:val="center"/>
          </w:tcPr>
          <w:p>
            <w:pPr>
              <w:pStyle w:val="45"/>
            </w:pPr>
            <w:r>
              <w:rPr>
                <w:rFonts w:hint="eastAsia"/>
              </w:rPr>
              <w:t>8188898、18957683735</w:t>
            </w:r>
          </w:p>
        </w:tc>
      </w:tr>
    </w:tbl>
    <w:p>
      <w:pPr>
        <w:spacing w:line="360" w:lineRule="auto"/>
        <w:rPr>
          <w:rFonts w:ascii="宋体" w:hAnsi="宋体" w:cs="宋体"/>
          <w:sz w:val="24"/>
          <w:szCs w:val="32"/>
        </w:rPr>
      </w:pPr>
    </w:p>
    <w:p>
      <w:pPr>
        <w:pStyle w:val="45"/>
        <w:ind w:firstLine="480" w:firstLineChars="200"/>
      </w:pPr>
      <w:r>
        <w:rPr>
          <w:rFonts w:hint="eastAsia"/>
        </w:rPr>
        <w:t>合同履约保函联系方式</w:t>
      </w:r>
    </w:p>
    <w:tbl>
      <w:tblPr>
        <w:tblStyle w:val="33"/>
        <w:tblW w:w="8893"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43"/>
        <w:gridCol w:w="1976"/>
        <w:gridCol w:w="974"/>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保险公司名称</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保费率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联系人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中国人寿财产保险股份有限公司台州中心支公司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年费率1%，最低保费500元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徐凌</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永诚财产保险股份有限公司台州分公司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年费率1%，最低保费1000元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尹刚强</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华泰财产保险有限公司台州中心支公司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年费率0.5%，最低保费1000元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王灵芳</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中国大地财产保险股份有限公司台州中心支公司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年费率1.5%，最低保费1000元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徐小明</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阳光保险台州中心支公司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年费率1%，最低保费500元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林高明</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中华联合财产保险股份有限公司台州中心支公司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年费率2%，最低保费500元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王仙高</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中国人民财产保险股份有限公司台州中心支公司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年费率0.3%，最低保费1000元</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王仙春</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43"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永安财产保险股份有限公司台州中心支公司</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年费率0.3%，最低保费1000</w:t>
            </w:r>
          </w:p>
        </w:tc>
        <w:tc>
          <w:tcPr>
            <w:tcW w:w="974"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王春宇</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13676675331</w:t>
            </w:r>
          </w:p>
        </w:tc>
      </w:tr>
    </w:tbl>
    <w:p>
      <w:pPr>
        <w:pStyle w:val="45"/>
        <w:ind w:firstLine="480" w:firstLineChars="200"/>
      </w:pPr>
    </w:p>
    <w:p>
      <w:pPr>
        <w:pStyle w:val="45"/>
        <w:ind w:firstLine="480" w:firstLineChars="200"/>
      </w:pPr>
      <w:r>
        <w:rPr>
          <w:rFonts w:hint="eastAsia"/>
        </w:rPr>
        <w:t>预付款保函联系方式</w:t>
      </w:r>
    </w:p>
    <w:tbl>
      <w:tblPr>
        <w:tblStyle w:val="33"/>
        <w:tblW w:w="8862" w:type="dxa"/>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25"/>
        <w:gridCol w:w="2200"/>
        <w:gridCol w:w="1612"/>
        <w:gridCol w:w="2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保险公司名称</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jc w:val="center"/>
            </w:pPr>
            <w:r>
              <w:rPr>
                <w:rFonts w:hint="eastAsia"/>
              </w:rPr>
              <w:t>保费率</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jc w:val="center"/>
            </w:pPr>
            <w:r>
              <w:rPr>
                <w:rFonts w:hint="eastAsia"/>
              </w:rPr>
              <w:t>联系人</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中国人寿财产保险股份有限公司台州中心支公司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年费率3%，最低保费500元</w:t>
            </w:r>
          </w:p>
        </w:tc>
        <w:tc>
          <w:tcPr>
            <w:tcW w:w="1612"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徐凌</w:t>
            </w:r>
          </w:p>
        </w:tc>
        <w:tc>
          <w:tcPr>
            <w:tcW w:w="2125"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阳光保险台州中心支公司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年费率1%，最低保费500元</w:t>
            </w:r>
          </w:p>
        </w:tc>
        <w:tc>
          <w:tcPr>
            <w:tcW w:w="1612"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林高明</w:t>
            </w:r>
          </w:p>
        </w:tc>
        <w:tc>
          <w:tcPr>
            <w:tcW w:w="2125"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天安财产保险股份有限公司台州中心支公司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年费率1%-2%，最低保费500元</w:t>
            </w:r>
          </w:p>
        </w:tc>
        <w:tc>
          <w:tcPr>
            <w:tcW w:w="1612"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罗赛</w:t>
            </w:r>
          </w:p>
        </w:tc>
        <w:tc>
          <w:tcPr>
            <w:tcW w:w="2125" w:type="dxa"/>
            <w:tcBorders>
              <w:top w:val="single" w:color="000000" w:sz="4" w:space="0"/>
              <w:left w:val="single" w:color="000000" w:sz="4" w:space="0"/>
              <w:bottom w:val="single" w:color="000000" w:sz="4" w:space="0"/>
              <w:right w:val="single" w:color="000000" w:sz="4" w:space="0"/>
            </w:tcBorders>
            <w:shd w:val="clear" w:color="auto" w:fill="auto"/>
          </w:tcPr>
          <w:p>
            <w:pPr>
              <w:pStyle w:val="45"/>
            </w:pPr>
            <w:r>
              <w:rPr>
                <w:rFonts w:hint="eastAsia"/>
              </w:rPr>
              <w:t>13736605643</w:t>
            </w:r>
          </w:p>
        </w:tc>
      </w:tr>
    </w:tbl>
    <w:p>
      <w:pPr>
        <w:spacing w:line="360" w:lineRule="auto"/>
        <w:rPr>
          <w:rFonts w:ascii="宋体" w:hAnsi="宋体" w:cs="宋体"/>
          <w:sz w:val="24"/>
          <w:szCs w:val="32"/>
        </w:rPr>
      </w:pPr>
    </w:p>
    <w:p>
      <w:pPr>
        <w:jc w:val="center"/>
        <w:rPr>
          <w:rFonts w:hint="eastAsia" w:ascii="宋体" w:hAnsi="宋体" w:cs="宋体"/>
          <w:b/>
          <w:bCs/>
          <w:sz w:val="36"/>
          <w:szCs w:val="44"/>
        </w:rPr>
      </w:pPr>
      <w:r>
        <w:rPr>
          <w:rFonts w:hint="eastAsia" w:ascii="宋体" w:hAnsi="宋体" w:cs="宋体"/>
          <w:b/>
          <w:bCs/>
          <w:sz w:val="36"/>
          <w:szCs w:val="44"/>
        </w:rPr>
        <w:br w:type="textWrapping"/>
      </w:r>
    </w:p>
    <w:p>
      <w:pPr>
        <w:jc w:val="center"/>
        <w:rPr>
          <w:rFonts w:ascii="宋体" w:hAnsi="宋体" w:cs="宋体"/>
          <w:b/>
          <w:bCs/>
          <w:szCs w:val="32"/>
        </w:rPr>
      </w:pPr>
      <w:r>
        <w:rPr>
          <w:rFonts w:hint="eastAsia" w:ascii="宋体" w:hAnsi="宋体" w:cs="宋体"/>
          <w:b/>
          <w:bCs/>
          <w:sz w:val="36"/>
          <w:szCs w:val="44"/>
        </w:rPr>
        <w:t>第二章 供应商须知</w:t>
      </w:r>
    </w:p>
    <w:p>
      <w:pPr>
        <w:spacing w:line="360" w:lineRule="auto"/>
        <w:ind w:firstLine="482" w:firstLineChars="200"/>
        <w:jc w:val="center"/>
        <w:outlineLvl w:val="1"/>
        <w:rPr>
          <w:rFonts w:ascii="宋体" w:hAnsi="宋体" w:cs="宋体"/>
          <w:b/>
          <w:bCs/>
          <w:sz w:val="24"/>
          <w:szCs w:val="32"/>
        </w:rPr>
      </w:pPr>
      <w:r>
        <w:rPr>
          <w:rFonts w:hint="eastAsia" w:ascii="宋体" w:hAnsi="宋体" w:cs="宋体"/>
          <w:b/>
          <w:bCs/>
          <w:sz w:val="24"/>
          <w:szCs w:val="32"/>
        </w:rPr>
        <w:t>前附表</w:t>
      </w:r>
    </w:p>
    <w:p>
      <w:pPr>
        <w:pStyle w:val="13"/>
        <w:rPr>
          <w:rFonts w:ascii="宋体" w:hAnsi="宋体" w:cs="宋体"/>
          <w:b/>
          <w:bCs/>
          <w:szCs w:val="32"/>
        </w:rPr>
      </w:pPr>
    </w:p>
    <w:tbl>
      <w:tblPr>
        <w:tblStyle w:val="33"/>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01"/>
        <w:gridCol w:w="6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序号</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项    目</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1</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供应商特定资格要求</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Calibri Light"/>
                <w:sz w:val="24"/>
              </w:rPr>
              <w:t>符合竞争性磋商公告资格要求的供应商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2</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kern w:val="0"/>
                <w:sz w:val="24"/>
              </w:rPr>
              <w:t>答疑会或</w:t>
            </w:r>
            <w:r>
              <w:rPr>
                <w:rFonts w:hint="eastAsia" w:ascii="宋体" w:hAnsi="宋体" w:cs="Calibri Light"/>
                <w:sz w:val="24"/>
              </w:rPr>
              <w:t>现场踏勘</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仿宋"/>
                <w:sz w:val="24"/>
              </w:rPr>
              <w:t>本次采购招标不组织现场勘察。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3</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磋商响应文件（即投标文件）的编制</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Calibri Light"/>
                <w:sz w:val="24"/>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4</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宋体"/>
                <w:sz w:val="24"/>
              </w:rPr>
              <w:t>投标文件的签章</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宋体"/>
                <w:sz w:val="24"/>
              </w:rPr>
              <w:t>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5</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宋体"/>
                <w:sz w:val="24"/>
              </w:rPr>
              <w:t>投标文件的形式</w:t>
            </w:r>
          </w:p>
        </w:tc>
        <w:tc>
          <w:tcPr>
            <w:tcW w:w="627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sz w:val="24"/>
              </w:rPr>
              <w:sym w:font="Wingdings 2" w:char="0052"/>
            </w:r>
            <w:r>
              <w:rPr>
                <w:rFonts w:hint="eastAsia"/>
                <w:sz w:val="24"/>
              </w:rPr>
              <w:t>电子投标文件（包括“电子加密投标文件”和“备份投标文件”，在投标文件编制完成后同时生成）；</w:t>
            </w:r>
          </w:p>
          <w:p>
            <w:pPr>
              <w:spacing w:line="360" w:lineRule="auto"/>
              <w:rPr>
                <w:sz w:val="24"/>
              </w:rPr>
            </w:pPr>
            <w:r>
              <w:rPr>
                <w:rFonts w:hint="eastAsia"/>
                <w:sz w:val="24"/>
              </w:rPr>
              <w:t>（1）“电子加密投标文件”是指通过“政采云电子交易客户端”完成投标文件编制后生成并加密的数据电文形式的投标文件。</w:t>
            </w:r>
          </w:p>
          <w:p>
            <w:pPr>
              <w:spacing w:line="360" w:lineRule="auto"/>
              <w:rPr>
                <w:sz w:val="24"/>
              </w:rPr>
            </w:pPr>
            <w:r>
              <w:rPr>
                <w:rFonts w:hint="eastAsia"/>
                <w:sz w:val="24"/>
              </w:rPr>
              <w:t>（2）“备份投标文件”是指与“电子加密投标文件”同时生成的数据电文形式的电子文件（备份标书），其他方式编制的备份投标文件视为无效备份投标文件。</w:t>
            </w:r>
          </w:p>
          <w:p>
            <w:pPr>
              <w:spacing w:line="360" w:lineRule="auto"/>
              <w:rPr>
                <w:sz w:val="24"/>
              </w:rPr>
            </w:pPr>
            <w:r>
              <w:rPr>
                <w:rFonts w:hint="eastAsia"/>
                <w:sz w:val="24"/>
              </w:rPr>
              <w:t>（3）中标供应商中标后需提供纸质投标文件给招标代理机构作为备案存档，纸质投标文件系电子投标文件纸质版，两者内容应一致；数量为：</w:t>
            </w:r>
            <w:r>
              <w:rPr>
                <w:sz w:val="24"/>
              </w:rPr>
              <w:t>2</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Theme="majorEastAsia" w:hAnsiTheme="majorEastAsia" w:eastAsiaTheme="majorEastAsia" w:cstheme="majorEastAsia"/>
                <w:sz w:val="24"/>
              </w:rPr>
              <w:t>6</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宋体"/>
                <w:sz w:val="24"/>
              </w:rPr>
              <w:t>投标文件份数</w:t>
            </w:r>
          </w:p>
        </w:tc>
        <w:tc>
          <w:tcPr>
            <w:tcW w:w="62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（1）“电子加密投标文件”：在线上传递交、一份。</w:t>
            </w:r>
          </w:p>
          <w:p>
            <w:pPr>
              <w:spacing w:line="360" w:lineRule="auto"/>
              <w:rPr>
                <w:rFonts w:ascii="宋体" w:hAnsi="宋体" w:cs="宋体"/>
                <w:sz w:val="24"/>
              </w:rPr>
            </w:pPr>
            <w:r>
              <w:rPr>
                <w:rFonts w:hint="eastAsia" w:ascii="宋体" w:hAnsi="宋体" w:cs="宋体"/>
                <w:sz w:val="24"/>
              </w:rPr>
              <w:t>（2）“备份投标文件”：密封包装后于投标截止时间前邮寄至招标代理处、一份。</w:t>
            </w:r>
            <w:r>
              <w:rPr>
                <w:rFonts w:hint="eastAsia" w:ascii="宋体" w:hAnsi="宋体" w:cs="宋体"/>
                <w:b/>
                <w:bCs/>
                <w:sz w:val="24"/>
              </w:rPr>
              <w:t>“备份投标文件”自愿提供，非实质性要求，因无法读取的后果由投标人自行承担。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7</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宋体"/>
                <w:sz w:val="24"/>
              </w:rPr>
              <w:t>投标文件的上传和递交</w:t>
            </w:r>
          </w:p>
        </w:tc>
        <w:tc>
          <w:tcPr>
            <w:tcW w:w="62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（1）“电子加密投标文件”的上传、递交：</w:t>
            </w:r>
          </w:p>
          <w:p>
            <w:pPr>
              <w:spacing w:line="360" w:lineRule="auto"/>
              <w:rPr>
                <w:rFonts w:ascii="宋体" w:hAnsi="宋体" w:cs="宋体"/>
                <w:sz w:val="24"/>
              </w:rPr>
            </w:pPr>
            <w:r>
              <w:rPr>
                <w:rFonts w:hint="eastAsia" w:ascii="宋体" w:hAnsi="宋体" w:cs="宋体"/>
                <w:sz w:val="24"/>
              </w:rPr>
              <w:t>▲a.投标供应商应在投标截止时间前将“电子加密投标文件”成功上传递交至“政府采购云平台”，否则投标无效。</w:t>
            </w:r>
          </w:p>
          <w:p>
            <w:pPr>
              <w:spacing w:line="360" w:lineRule="auto"/>
              <w:rPr>
                <w:rFonts w:ascii="宋体" w:hAnsi="宋体" w:cs="宋体"/>
                <w:sz w:val="24"/>
              </w:rPr>
            </w:pPr>
            <w:r>
              <w:rPr>
                <w:rFonts w:hint="eastAsia" w:ascii="宋体" w:hAnsi="宋体" w:cs="宋体"/>
                <w:sz w:val="24"/>
              </w:rPr>
              <w:t>b.“电子加密投标文件”成功上传递交后，供应商可自行打印投标文件接收回执。</w:t>
            </w:r>
          </w:p>
          <w:p>
            <w:pPr>
              <w:spacing w:line="360" w:lineRule="auto"/>
              <w:rPr>
                <w:rFonts w:ascii="宋体" w:hAnsi="宋体" w:cs="宋体"/>
                <w:sz w:val="24"/>
              </w:rPr>
            </w:pPr>
            <w:r>
              <w:rPr>
                <w:rFonts w:hint="eastAsia" w:ascii="宋体" w:hAnsi="宋体" w:cs="宋体"/>
                <w:sz w:val="24"/>
              </w:rPr>
              <w:t>（2） “备份投标文件”的密封包装、递交：</w:t>
            </w:r>
          </w:p>
          <w:p>
            <w:pPr>
              <w:spacing w:line="360" w:lineRule="auto"/>
              <w:rPr>
                <w:rFonts w:ascii="宋体" w:hAnsi="宋体" w:cs="宋体"/>
                <w:sz w:val="24"/>
              </w:rPr>
            </w:pPr>
            <w:r>
              <w:rPr>
                <w:rFonts w:hint="eastAsia" w:ascii="宋体" w:hAnsi="宋体" w:cs="宋体"/>
                <w:sz w:val="24"/>
              </w:rPr>
              <w:t>a.“备份投标文件”以U盘的形式存储，并密封包装，在包装上标注投标项目名称、投标单位名称并加盖公章。没有密封包装或者（以收到邮件时间为准）逾期送达的将不予接收；</w:t>
            </w:r>
          </w:p>
          <w:p>
            <w:pPr>
              <w:spacing w:line="400" w:lineRule="exact"/>
              <w:rPr>
                <w:rFonts w:ascii="宋体" w:hAnsi="宋体" w:cs="宋体"/>
                <w:sz w:val="24"/>
              </w:rPr>
            </w:pPr>
            <w:r>
              <w:rPr>
                <w:rFonts w:hint="eastAsia" w:ascii="宋体" w:hAnsi="宋体" w:cs="宋体"/>
                <w:b/>
                <w:sz w:val="24"/>
              </w:rPr>
              <w:t>▲</w:t>
            </w:r>
            <w:r>
              <w:rPr>
                <w:rFonts w:ascii="宋体" w:hAnsi="宋体" w:cs="宋体"/>
                <w:sz w:val="24"/>
              </w:rPr>
              <w:t>b</w:t>
            </w:r>
            <w:r>
              <w:rPr>
                <w:rFonts w:hint="eastAsia" w:ascii="宋体" w:hAnsi="宋体" w:cs="宋体"/>
                <w:sz w:val="24"/>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400" w:lineRule="exact"/>
              <w:rPr>
                <w:rFonts w:ascii="宋体" w:hAnsi="宋体" w:cs="Calibri Light"/>
                <w:b/>
                <w:bCs/>
                <w:sz w:val="24"/>
              </w:rPr>
            </w:pPr>
            <w:r>
              <w:rPr>
                <w:rFonts w:hint="eastAsia" w:ascii="宋体" w:hAnsi="宋体" w:cs="Calibri Light"/>
                <w:b/>
                <w:bCs/>
                <w:sz w:val="24"/>
              </w:rPr>
              <w:t>邮寄地址：椒江区解放南路30号一鼎公寓1号楼503（建议</w:t>
            </w:r>
            <w:r>
              <w:rPr>
                <w:rFonts w:ascii="宋体" w:hAnsi="宋体" w:cs="Calibri Light"/>
                <w:b/>
                <w:bCs/>
                <w:sz w:val="24"/>
              </w:rPr>
              <w:t>提前一天寄到或送达</w:t>
            </w:r>
            <w:r>
              <w:rPr>
                <w:rFonts w:hint="eastAsia" w:ascii="宋体" w:hAnsi="宋体" w:cs="Calibri Light"/>
                <w:b/>
                <w:bCs/>
                <w:sz w:val="24"/>
              </w:rPr>
              <w:t>）</w:t>
            </w:r>
          </w:p>
          <w:p>
            <w:pPr>
              <w:spacing w:line="400" w:lineRule="exact"/>
              <w:rPr>
                <w:rFonts w:ascii="宋体" w:hAnsi="宋体" w:cs="Calibri Light"/>
                <w:b/>
                <w:bCs/>
                <w:sz w:val="24"/>
              </w:rPr>
            </w:pPr>
            <w:r>
              <w:rPr>
                <w:rFonts w:hint="eastAsia" w:ascii="宋体" w:hAnsi="宋体" w:cs="Calibri Light"/>
                <w:b/>
                <w:bCs/>
                <w:sz w:val="24"/>
              </w:rPr>
              <w:t>收件人：王洁 ，洪先生</w:t>
            </w:r>
          </w:p>
          <w:p>
            <w:pPr>
              <w:spacing w:line="360" w:lineRule="auto"/>
              <w:rPr>
                <w:rFonts w:ascii="宋体" w:hAnsi="宋体" w:cs="Calibri Light"/>
                <w:sz w:val="24"/>
              </w:rPr>
            </w:pPr>
            <w:r>
              <w:rPr>
                <w:rFonts w:hint="eastAsia" w:ascii="宋体" w:hAnsi="宋体" w:cs="Calibri Light"/>
                <w:b/>
                <w:bCs/>
                <w:sz w:val="24"/>
              </w:rPr>
              <w:t>联系电话：0576-88011858/13616680909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8</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电子加密投标文件的解密和异常情况处理</w:t>
            </w:r>
          </w:p>
          <w:p>
            <w:pPr>
              <w:spacing w:line="400" w:lineRule="exact"/>
              <w:jc w:val="center"/>
              <w:rPr>
                <w:rFonts w:ascii="宋体" w:hAnsi="宋体" w:cs="Calibri Light"/>
                <w:sz w:val="24"/>
              </w:rPr>
            </w:pPr>
          </w:p>
        </w:tc>
        <w:tc>
          <w:tcPr>
            <w:tcW w:w="62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开标后，采购组织机构将向各投标供应商发出“电子加密投标文件”的解密通知，各投标供应商代表应当在接到解密通知后30分钟内自行完成“电子加密投标文件”的在线解密，投标人未按时解密或解密失败的，其上传的电子投标文件自动失效。电脑及CA解密设备自备。</w:t>
            </w:r>
          </w:p>
          <w:p>
            <w:pPr>
              <w:spacing w:line="360" w:lineRule="auto"/>
              <w:rPr>
                <w:rFonts w:ascii="宋体" w:hAnsi="宋体" w:cs="宋体"/>
                <w:sz w:val="24"/>
              </w:rPr>
            </w:pPr>
            <w:r>
              <w:rPr>
                <w:rFonts w:hint="eastAsia" w:ascii="宋体" w:hAnsi="宋体" w:cs="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00" w:lineRule="exact"/>
              <w:rPr>
                <w:rFonts w:ascii="宋体" w:hAnsi="宋体" w:cs="宋体"/>
                <w:sz w:val="24"/>
              </w:rPr>
            </w:pPr>
            <w:r>
              <w:rPr>
                <w:rFonts w:hint="eastAsia" w:ascii="宋体" w:hAnsi="宋体" w:cs="宋体"/>
                <w:sz w:val="24"/>
              </w:rPr>
              <w:t>▲（3）投标截止时间前，投标供应商仅递交了“备份投标文件”而未将电子加密投标文件上传至“政府采购云平台”的，投标无效。</w:t>
            </w:r>
          </w:p>
          <w:p>
            <w:pPr>
              <w:spacing w:line="400" w:lineRule="exact"/>
              <w:rPr>
                <w:rFonts w:ascii="宋体" w:hAnsi="宋体" w:cs="Calibri Light"/>
                <w:sz w:val="24"/>
              </w:rPr>
            </w:pPr>
            <w:r>
              <w:rPr>
                <w:rFonts w:hint="eastAsia" w:ascii="宋体" w:hAnsi="宋体" w:cs="Calibri Light"/>
                <w:b/>
                <w:bCs/>
                <w:sz w:val="24"/>
              </w:rPr>
              <w:t>注：供应商在使用系统进行投标的过程中遇到涉及平台使用的任何问题，可致电政采云平台技术支持热线咨询，联系方式：400-881-7190。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9</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磋商响应文件有效期</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cs="宋体"/>
                <w:b/>
                <w:sz w:val="24"/>
              </w:rPr>
              <w:t>▲</w:t>
            </w:r>
            <w:r>
              <w:rPr>
                <w:rFonts w:hint="eastAsia" w:ascii="宋体" w:hAnsi="宋体" w:cs="Calibri Light"/>
                <w:sz w:val="24"/>
              </w:rPr>
              <w:t>磋商响应有效期为磋商后90天，磋商响应</w:t>
            </w:r>
            <w:r>
              <w:rPr>
                <w:rFonts w:hint="eastAsia" w:ascii="宋体" w:hAnsi="宋体" w:cs="Calibri Light"/>
                <w:kern w:val="0"/>
                <w:sz w:val="24"/>
              </w:rPr>
              <w:t>有效期从提交</w:t>
            </w:r>
            <w:r>
              <w:rPr>
                <w:rFonts w:hint="eastAsia" w:ascii="宋体" w:hAnsi="宋体" w:cs="Calibri Light"/>
                <w:sz w:val="24"/>
              </w:rPr>
              <w:t>磋商响应</w:t>
            </w:r>
            <w:r>
              <w:rPr>
                <w:rFonts w:hint="eastAsia" w:ascii="宋体" w:hAnsi="宋体" w:cs="Calibri Light"/>
                <w:kern w:val="0"/>
                <w:sz w:val="24"/>
              </w:rPr>
              <w:t>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10</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磋商响应文件递交截止时间及地点</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宋体"/>
                <w:sz w:val="24"/>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11</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磋商时间及地点</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宋体"/>
                <w:sz w:val="24"/>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12</w:t>
            </w:r>
          </w:p>
        </w:tc>
        <w:tc>
          <w:tcPr>
            <w:tcW w:w="1901" w:type="dxa"/>
            <w:tcBorders>
              <w:top w:val="single" w:color="auto" w:sz="4" w:space="0"/>
              <w:left w:val="single" w:color="auto" w:sz="4" w:space="0"/>
              <w:bottom w:val="single" w:color="auto" w:sz="4" w:space="0"/>
              <w:right w:val="single" w:color="auto" w:sz="4" w:space="0"/>
            </w:tcBorders>
            <w:vAlign w:val="center"/>
          </w:tcPr>
          <w:p>
            <w:pPr>
              <w:pStyle w:val="91"/>
              <w:spacing w:line="360" w:lineRule="auto"/>
              <w:ind w:right="146"/>
              <w:rPr>
                <w:rFonts w:asciiTheme="minorEastAsia" w:hAnsiTheme="minorEastAsia" w:eastAsiaTheme="minorEastAsia"/>
                <w:sz w:val="24"/>
              </w:rPr>
            </w:pPr>
            <w:r>
              <w:rPr>
                <w:rFonts w:hint="eastAsia" w:asciiTheme="minorEastAsia" w:hAnsiTheme="minorEastAsia" w:eastAsiaTheme="minorEastAsia"/>
                <w:sz w:val="24"/>
              </w:rPr>
              <w:t>信用记录</w:t>
            </w:r>
          </w:p>
        </w:tc>
        <w:tc>
          <w:tcPr>
            <w:tcW w:w="6273" w:type="dxa"/>
            <w:tcBorders>
              <w:top w:val="single" w:color="auto" w:sz="4" w:space="0"/>
              <w:left w:val="single" w:color="auto" w:sz="4" w:space="0"/>
              <w:bottom w:val="single" w:color="auto" w:sz="4" w:space="0"/>
              <w:right w:val="single" w:color="auto" w:sz="4" w:space="0"/>
            </w:tcBorders>
            <w:vAlign w:val="center"/>
          </w:tcPr>
          <w:p>
            <w:pPr>
              <w:pStyle w:val="91"/>
              <w:spacing w:line="360" w:lineRule="auto"/>
              <w:ind w:right="146"/>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截止时点：</w:t>
            </w:r>
            <w:r>
              <w:rPr>
                <w:rFonts w:hint="eastAsia" w:asciiTheme="minorEastAsia" w:hAnsiTheme="minorEastAsia" w:eastAsiaTheme="minorEastAsia"/>
                <w:sz w:val="24"/>
              </w:rPr>
              <w:t>开标后评标前</w:t>
            </w:r>
            <w:r>
              <w:rPr>
                <w:rFonts w:asciiTheme="minorEastAsia" w:hAnsiTheme="minorEastAsia" w:eastAsiaTheme="minorEastAsia"/>
                <w:sz w:val="24"/>
              </w:rPr>
              <w:t>。</w:t>
            </w:r>
          </w:p>
          <w:p>
            <w:pPr>
              <w:pStyle w:val="91"/>
              <w:spacing w:line="360" w:lineRule="auto"/>
              <w:ind w:right="146"/>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使用规则</w:t>
            </w:r>
            <w:r>
              <w:rPr>
                <w:rFonts w:hint="eastAsia" w:asciiTheme="minorEastAsia" w:hAnsiTheme="minorEastAsia" w:eastAsiaTheme="minorEastAsia"/>
                <w:sz w:val="24"/>
              </w:rPr>
              <w:t>：投标人</w:t>
            </w:r>
            <w:r>
              <w:rPr>
                <w:rFonts w:asciiTheme="minorEastAsia" w:hAnsiTheme="minorEastAsia" w:eastAsiaTheme="minorEastAsia"/>
                <w:sz w:val="24"/>
              </w:rPr>
              <w:t>未被列入“信用中国”失信被执行人或重大税收违法案件当事人名单；</w:t>
            </w:r>
            <w:r>
              <w:rPr>
                <w:rFonts w:hint="eastAsia" w:asciiTheme="minorEastAsia" w:hAnsiTheme="minorEastAsia" w:eastAsiaTheme="minorEastAsia"/>
                <w:sz w:val="24"/>
              </w:rPr>
              <w:t>未</w:t>
            </w:r>
            <w:r>
              <w:rPr>
                <w:rFonts w:asciiTheme="minorEastAsia" w:hAnsiTheme="minorEastAsia" w:eastAsiaTheme="minorEastAsia"/>
                <w:sz w:val="24"/>
              </w:rPr>
              <w:t>处于“中国政府采购网”政府采购严重违法失信行为信息记录中的禁止参加政府采购活动期间。（以联合体形式投标时，联合体各方均须满足该条款）</w:t>
            </w:r>
          </w:p>
          <w:p>
            <w:pPr>
              <w:pStyle w:val="91"/>
              <w:spacing w:line="360" w:lineRule="auto"/>
              <w:ind w:right="146"/>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查询渠道：</w:t>
            </w:r>
            <w:r>
              <w:rPr>
                <w:rFonts w:hint="eastAsia"/>
                <w:kern w:val="0"/>
                <w:sz w:val="24"/>
              </w:rPr>
              <w:t>“信用中国”（www.creditchina.gov.cn）、中国政府采购网（www.ccgp.gov.cn）、浙江政府采购网（</w:t>
            </w:r>
            <w:r>
              <w:fldChar w:fldCharType="begin"/>
            </w:r>
            <w:r>
              <w:instrText xml:space="preserve"> HYPERLINK "https://zfcg.czt.zj.gov.cn" </w:instrText>
            </w:r>
            <w:r>
              <w:fldChar w:fldCharType="separate"/>
            </w:r>
            <w:r>
              <w:rPr>
                <w:rFonts w:hint="eastAsia" w:asciiTheme="minorEastAsia" w:hAnsiTheme="minorEastAsia" w:eastAsiaTheme="minorEastAsia"/>
                <w:sz w:val="24"/>
              </w:rPr>
              <w:t>https://zfcg.czt.zj.gov.cn</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w:t>
            </w:r>
          </w:p>
          <w:p>
            <w:pPr>
              <w:pStyle w:val="91"/>
              <w:spacing w:line="360" w:lineRule="auto"/>
              <w:ind w:right="146"/>
              <w:rPr>
                <w:kern w:val="0"/>
                <w:sz w:val="24"/>
              </w:rPr>
            </w:pPr>
            <w:r>
              <w:rPr>
                <w:rFonts w:hint="eastAsia" w:asciiTheme="minorEastAsia" w:hAnsiTheme="minorEastAsia" w:eastAsiaTheme="minorEastAsia"/>
                <w:sz w:val="24"/>
              </w:rPr>
              <w:t>4.不良信用记录指：被列入失信被执行人、重大税收违法案件当事人名单、政府采购严重违法失信行为记录名单或浙江政府采购网曝光台中尚在行政处罚期内的。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13</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磋商保证金</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Calibri Light"/>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14</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hint="eastAsia" w:ascii="宋体" w:hAnsi="宋体" w:cs="Calibri Light"/>
                <w:sz w:val="24"/>
              </w:rPr>
              <w:t>履约保证金</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rPr>
            </w:pPr>
            <w:r>
              <w:rPr>
                <w:rFonts w:hint="eastAsia" w:ascii="宋体" w:hAnsi="宋体" w:cs="Calibri Light"/>
                <w:sz w:val="24"/>
              </w:rPr>
              <w:t>成交人须提交合同总价1%的履约担保，履约保证金可以用银行独立保函、保险机构保证保险保单等形式。采用保函保单的，应保证其有效期不短于合同履行期届满之日起【3</w:t>
            </w:r>
            <w:r>
              <w:rPr>
                <w:rFonts w:ascii="宋体" w:hAnsi="宋体" w:cs="Calibri Light"/>
                <w:sz w:val="24"/>
              </w:rPr>
              <w:t>0</w:t>
            </w:r>
            <w:r>
              <w:rPr>
                <w:rFonts w:hint="eastAsia" w:ascii="宋体" w:hAnsi="宋体" w:cs="Calibri Light"/>
                <w:sz w:val="24"/>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sz w:val="24"/>
              </w:rPr>
            </w:pPr>
            <w:r>
              <w:rPr>
                <w:rFonts w:ascii="宋体" w:hAnsi="宋体" w:cs="Calibri Light"/>
                <w:sz w:val="24"/>
              </w:rPr>
              <w:t>15</w:t>
            </w: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Calibri Light"/>
                <w:sz w:val="24"/>
                <w:lang w:val="zh-CN"/>
              </w:rPr>
            </w:pPr>
            <w:r>
              <w:rPr>
                <w:rFonts w:hint="eastAsia" w:ascii="宋体" w:hAnsi="宋体" w:cs="Calibri Light"/>
                <w:sz w:val="24"/>
                <w:lang w:val="zh-CN"/>
              </w:rPr>
              <w:t>实质性条款</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sz w:val="24"/>
                <w:lang w:val="zh-CN"/>
              </w:rPr>
            </w:pPr>
            <w:r>
              <w:rPr>
                <w:rFonts w:hint="eastAsia" w:ascii="宋体" w:hAnsi="宋体" w:cs="Calibri Light"/>
                <w:sz w:val="24"/>
                <w:lang w:val="zh-CN"/>
              </w:rPr>
              <w:t>带“</w:t>
            </w:r>
            <w:r>
              <w:rPr>
                <w:rFonts w:hint="eastAsia" w:ascii="宋体" w:hAnsi="宋体" w:cs="Calibri Light"/>
                <w:sz w:val="24"/>
              </w:rPr>
              <w:t>▲”的条款是实质性条款，磋商响应文件须作出实质性响应，否则终止磋商。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r>
              <w:rPr>
                <w:rFonts w:ascii="宋体" w:hAnsi="宋体" w:cs="宋体"/>
                <w:sz w:val="24"/>
              </w:rPr>
              <w:t>6</w:t>
            </w:r>
          </w:p>
        </w:tc>
        <w:tc>
          <w:tcPr>
            <w:tcW w:w="19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本项目所属行业</w:t>
            </w:r>
          </w:p>
        </w:tc>
        <w:tc>
          <w:tcPr>
            <w:tcW w:w="62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ascii="宋体" w:hAnsi="宋体" w:cs="宋体"/>
                <w:sz w:val="24"/>
              </w:rPr>
            </w:pPr>
            <w:r>
              <w:rPr>
                <w:rFonts w:hint="eastAsia" w:ascii="宋体" w:hAnsi="宋体" w:cs="宋体"/>
                <w:sz w:val="24"/>
              </w:rPr>
              <w:t>项目类别：</w:t>
            </w:r>
            <w:r>
              <w:rPr>
                <w:rFonts w:hint="eastAsia" w:ascii="宋体" w:hAnsi="宋体"/>
                <w:kern w:val="28"/>
                <w:sz w:val="24"/>
              </w:rPr>
              <w:t>其他未列明行业。</w:t>
            </w:r>
          </w:p>
          <w:p>
            <w:pPr>
              <w:rPr>
                <w:rFonts w:ascii="宋体" w:hAnsi="宋体" w:cs="宋体"/>
                <w:sz w:val="24"/>
              </w:rPr>
            </w:pPr>
            <w:r>
              <w:rPr>
                <w:rFonts w:hint="eastAsia" w:ascii="宋体" w:hAnsi="宋体" w:cs="宋体"/>
                <w:sz w:val="24"/>
              </w:rPr>
              <w:t>采购标的所属行业：根据《工业和信息化部、国家统计局、国家发展和改革委员会、财政部关于印发中小企业划型标准规定的通知》（工信部联企业[2011]300号）规定，本项目采购标的对应的中小企业划分标准所属行业为（十六）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r>
              <w:rPr>
                <w:rFonts w:ascii="宋体" w:hAnsi="宋体" w:cs="宋体"/>
                <w:sz w:val="24"/>
              </w:rPr>
              <w:t>7</w:t>
            </w: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招标代理费</w:t>
            </w:r>
          </w:p>
        </w:tc>
        <w:tc>
          <w:tcPr>
            <w:tcW w:w="6273" w:type="dxa"/>
            <w:tcBorders>
              <w:top w:val="single" w:color="auto" w:sz="4" w:space="0"/>
              <w:left w:val="single" w:color="auto" w:sz="4" w:space="0"/>
              <w:bottom w:val="single" w:color="auto" w:sz="4" w:space="0"/>
              <w:right w:val="single" w:color="auto" w:sz="4" w:space="0"/>
            </w:tcBorders>
            <w:vAlign w:val="center"/>
          </w:tcPr>
          <w:p>
            <w:pPr>
              <w:pStyle w:val="117"/>
              <w:rPr>
                <w:rStyle w:val="38"/>
                <w:rFonts w:ascii="Calibri" w:hAnsi="Calibri" w:eastAsia="宋体"/>
              </w:rPr>
            </w:pPr>
            <w:r>
              <w:rPr>
                <w:rFonts w:hint="eastAsia" w:ascii="宋体" w:hAnsi="宋体" w:eastAsia="宋体"/>
                <w:sz w:val="24"/>
              </w:rPr>
              <w:t>参照国家计委印发的《招标代理服务收费管理暂行办法》计价格[2002]1980号和发改办价格[2003]857号文件（服务招标）计取，不足7000元的按7000元计取。由中标人在领取中标通知书时一次性支付给招标代理机构。</w:t>
            </w:r>
          </w:p>
          <w:p>
            <w:pPr>
              <w:snapToGrid w:val="0"/>
              <w:spacing w:line="440" w:lineRule="exact"/>
              <w:ind w:firstLine="0" w:firstLineChars="0"/>
              <w:rPr>
                <w:rFonts w:hint="eastAsia" w:ascii="宋体" w:hAnsi="宋体" w:eastAsia="宋体" w:cs="Times New Roman"/>
                <w:sz w:val="24"/>
              </w:rPr>
            </w:pPr>
            <w:r>
              <w:rPr>
                <w:rFonts w:hint="eastAsia" w:ascii="宋体" w:hAnsi="宋体" w:eastAsia="宋体" w:cs="Times New Roman"/>
                <w:sz w:val="24"/>
                <w:lang w:val="en-US" w:eastAsia="zh-CN"/>
              </w:rPr>
              <w:t>收款</w:t>
            </w:r>
            <w:r>
              <w:rPr>
                <w:rFonts w:hint="eastAsia" w:ascii="宋体" w:hAnsi="宋体" w:eastAsia="宋体" w:cs="Times New Roman"/>
                <w:sz w:val="24"/>
              </w:rPr>
              <w:t>单位名称：浙江洪大工程咨询有限公司</w:t>
            </w:r>
          </w:p>
          <w:p>
            <w:pPr>
              <w:snapToGrid w:val="0"/>
              <w:spacing w:line="440" w:lineRule="exact"/>
              <w:ind w:firstLine="0" w:firstLineChars="0"/>
              <w:rPr>
                <w:rFonts w:hint="eastAsia" w:ascii="宋体" w:hAnsi="宋体" w:eastAsia="宋体" w:cs="Times New Roman"/>
                <w:sz w:val="24"/>
              </w:rPr>
            </w:pPr>
            <w:r>
              <w:rPr>
                <w:rFonts w:hint="eastAsia" w:ascii="宋体" w:hAnsi="宋体" w:eastAsia="宋体" w:cs="Times New Roman"/>
                <w:sz w:val="24"/>
                <w:lang w:val="en-US" w:eastAsia="zh-CN"/>
              </w:rPr>
              <w:t>收款</w:t>
            </w:r>
            <w:r>
              <w:rPr>
                <w:rFonts w:hint="eastAsia" w:ascii="宋体" w:hAnsi="宋体" w:eastAsia="宋体" w:cs="Times New Roman"/>
                <w:sz w:val="24"/>
              </w:rPr>
              <w:t xml:space="preserve">账号：550142054800015   </w:t>
            </w:r>
          </w:p>
          <w:p>
            <w:pPr>
              <w:snapToGrid w:val="0"/>
              <w:spacing w:line="440" w:lineRule="exact"/>
              <w:ind w:firstLine="0" w:firstLineChars="0"/>
              <w:rPr>
                <w:rFonts w:hint="eastAsia" w:ascii="宋体" w:hAnsi="宋体" w:eastAsia="宋体" w:cs="Times New Roman"/>
                <w:sz w:val="24"/>
              </w:rPr>
            </w:pPr>
            <w:r>
              <w:rPr>
                <w:rFonts w:hint="eastAsia" w:ascii="宋体" w:hAnsi="宋体" w:eastAsia="宋体" w:cs="Times New Roman"/>
                <w:sz w:val="24"/>
              </w:rPr>
              <w:t>开户银行：台州银行椒江支行</w:t>
            </w:r>
          </w:p>
          <w:p>
            <w:pPr>
              <w:pStyle w:val="117"/>
              <w:rPr>
                <w:rStyle w:val="38"/>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18</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解释权</w:t>
            </w:r>
          </w:p>
        </w:tc>
        <w:tc>
          <w:tcPr>
            <w:tcW w:w="62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本磋商文件解释权属于采购人和浙江洪大工程咨询有限公司。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w:t>
            </w:r>
          </w:p>
        </w:tc>
        <w:tc>
          <w:tcPr>
            <w:tcW w:w="81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1.投标人通过政采云平台电子投标工具制作投标文件，电子投标工具请供应商自行前往浙江政府采购网下载并安装（下载网址：http://zfcg.czt.zj.gov.cn/bidClientTemplate/2019-05-27/12946.html）。</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2.投标人应在开标前完成CA数字证书办理。（办理流程详见</w:t>
            </w:r>
            <w:r>
              <w:fldChar w:fldCharType="begin"/>
            </w:r>
            <w:r>
              <w:instrText xml:space="preserve"> HYPERLINK "http://www.zjzfcg.gov.cn/bidClientTemplate/2019-05-27/12945.html" </w:instrText>
            </w:r>
            <w:r>
              <w:fldChar w:fldCharType="separate"/>
            </w:r>
            <w:r>
              <w:rPr>
                <w:rFonts w:hint="eastAsia" w:ascii="宋体" w:hAnsi="宋体" w:cs="宋体"/>
                <w:kern w:val="0"/>
                <w:sz w:val="24"/>
                <w:u w:val="single"/>
              </w:rPr>
              <w:t>http://zfcg.czt.zj.gov.cn/bidClientTemplate/2019-05-27/12945.html</w:t>
            </w:r>
            <w:r>
              <w:rPr>
                <w:rFonts w:hint="eastAsia" w:ascii="宋体" w:hAnsi="宋体" w:cs="宋体"/>
                <w:kern w:val="0"/>
                <w:sz w:val="24"/>
                <w:u w:val="single"/>
              </w:rPr>
              <w:fldChar w:fldCharType="end"/>
            </w:r>
            <w:r>
              <w:rPr>
                <w:rFonts w:hint="eastAsia" w:ascii="宋体" w:hAnsi="宋体" w:cs="宋体"/>
                <w:kern w:val="0"/>
                <w:sz w:val="24"/>
                <w:u w:val="single"/>
              </w:rPr>
              <w:t>，完成CA数字证书办理预计一周左右，请各投标人自行把握时间）</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3.商务技术文件开启后30分钟内，供应商通过邮件形式将经授权代表签署的《政府采购活动确认声明书》扫描件发至代理机构邮箱（邮箱地址：78799970@qq.com）；不填写或未按规定发出邮件的，视同默认不存在确认声明书中的相关违规情形。</w:t>
            </w:r>
          </w:p>
          <w:p>
            <w:pPr>
              <w:rPr>
                <w:rFonts w:ascii="宋体" w:hAnsi="宋体" w:cs="宋体"/>
                <w:sz w:val="24"/>
              </w:rPr>
            </w:pPr>
          </w:p>
        </w:tc>
      </w:tr>
    </w:tbl>
    <w:p>
      <w:pPr>
        <w:pStyle w:val="14"/>
        <w:rPr>
          <w:rFonts w:ascii="宋体" w:hAnsi="宋体" w:cs="宋体"/>
          <w:b/>
          <w:bCs/>
          <w:sz w:val="24"/>
          <w:szCs w:val="32"/>
        </w:rPr>
      </w:pPr>
    </w:p>
    <w:p>
      <w:pPr>
        <w:snapToGrid w:val="0"/>
        <w:spacing w:line="360" w:lineRule="auto"/>
        <w:jc w:val="left"/>
        <w:rPr>
          <w:rFonts w:ascii="宋体" w:hAnsi="宋体"/>
          <w:b/>
          <w:color w:val="000000"/>
          <w:sz w:val="24"/>
        </w:rPr>
      </w:pPr>
      <w:r>
        <w:rPr>
          <w:rFonts w:hint="eastAsia" w:ascii="宋体" w:hAnsi="宋体"/>
          <w:b/>
          <w:color w:val="000000"/>
          <w:sz w:val="24"/>
        </w:rPr>
        <w:t>备注：前附表内容与正文内容不一致的，应以前附表的规定为准。</w:t>
      </w:r>
    </w:p>
    <w:p>
      <w:pPr>
        <w:spacing w:line="360" w:lineRule="auto"/>
        <w:outlineLvl w:val="1"/>
        <w:rPr>
          <w:rFonts w:ascii="宋体" w:hAnsi="宋体" w:cs="宋体"/>
          <w:b/>
          <w:bCs/>
          <w:sz w:val="24"/>
          <w:szCs w:val="32"/>
        </w:rPr>
      </w:pPr>
      <w:r>
        <w:rPr>
          <w:rFonts w:hint="eastAsia" w:ascii="宋体" w:hAnsi="宋体" w:cs="宋体"/>
          <w:b/>
          <w:bCs/>
          <w:sz w:val="24"/>
          <w:szCs w:val="32"/>
        </w:rPr>
        <w:br w:type="page"/>
      </w:r>
      <w:r>
        <w:rPr>
          <w:rFonts w:hint="eastAsia" w:ascii="宋体" w:hAnsi="宋体" w:cs="宋体"/>
          <w:b/>
          <w:bCs/>
          <w:sz w:val="24"/>
          <w:szCs w:val="32"/>
        </w:rPr>
        <w:t>一 、总  则</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（一） 适用范围</w:t>
      </w:r>
    </w:p>
    <w:p>
      <w:pPr>
        <w:spacing w:line="360" w:lineRule="auto"/>
        <w:ind w:firstLine="480" w:firstLineChars="200"/>
        <w:rPr>
          <w:rFonts w:ascii="宋体" w:hAnsi="宋体" w:cs="宋体"/>
          <w:sz w:val="24"/>
          <w:szCs w:val="32"/>
        </w:rPr>
      </w:pPr>
      <w:r>
        <w:rPr>
          <w:rFonts w:hint="eastAsia" w:ascii="宋体" w:hAnsi="宋体" w:cs="宋体"/>
          <w:sz w:val="24"/>
          <w:szCs w:val="32"/>
        </w:rPr>
        <w:t>本磋商文件适用于本次项目的磋商、评审、确定成交供应商、验收、合同履约、付款等行为（法律、法规另有规定的，从其规定）。</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（二）定义</w:t>
      </w:r>
    </w:p>
    <w:p>
      <w:pPr>
        <w:spacing w:line="360" w:lineRule="auto"/>
        <w:ind w:firstLine="480" w:firstLineChars="200"/>
        <w:rPr>
          <w:rFonts w:ascii="宋体" w:hAnsi="宋体" w:cs="宋体"/>
          <w:sz w:val="24"/>
          <w:szCs w:val="32"/>
        </w:rPr>
      </w:pPr>
      <w:r>
        <w:rPr>
          <w:rFonts w:hint="eastAsia" w:ascii="宋体" w:hAnsi="宋体" w:cs="宋体"/>
          <w:sz w:val="24"/>
          <w:szCs w:val="32"/>
        </w:rPr>
        <w:t>1、</w:t>
      </w:r>
      <w:r>
        <w:rPr>
          <w:rFonts w:hint="eastAsia" w:ascii="宋体" w:hAnsi="宋体" w:cs="宋体"/>
          <w:sz w:val="24"/>
          <w:szCs w:val="32"/>
          <w:lang w:val="zh-CN"/>
        </w:rPr>
        <w:t>采购组织机构：指采购人委托组织磋商的采购代理机构。</w:t>
      </w:r>
    </w:p>
    <w:p>
      <w:pPr>
        <w:spacing w:line="360" w:lineRule="auto"/>
        <w:ind w:firstLine="480" w:firstLineChars="200"/>
        <w:rPr>
          <w:rFonts w:ascii="宋体" w:hAnsi="宋体" w:cs="宋体"/>
          <w:sz w:val="24"/>
          <w:szCs w:val="32"/>
        </w:rPr>
      </w:pPr>
      <w:r>
        <w:rPr>
          <w:rFonts w:hint="eastAsia" w:ascii="宋体" w:hAnsi="宋体" w:cs="宋体"/>
          <w:sz w:val="24"/>
          <w:szCs w:val="32"/>
        </w:rPr>
        <w:t>2、采购人：是指委托采购代理机构采购本次项目的国家机关、事业单位和团体组织。</w:t>
      </w:r>
    </w:p>
    <w:p>
      <w:pPr>
        <w:spacing w:line="360" w:lineRule="auto"/>
        <w:ind w:firstLine="480" w:firstLineChars="200"/>
        <w:rPr>
          <w:rFonts w:ascii="宋体" w:hAnsi="宋体" w:cs="宋体"/>
          <w:sz w:val="24"/>
          <w:szCs w:val="32"/>
        </w:rPr>
      </w:pPr>
      <w:r>
        <w:rPr>
          <w:rFonts w:hint="eastAsia" w:ascii="宋体" w:hAnsi="宋体" w:cs="宋体"/>
          <w:sz w:val="24"/>
          <w:szCs w:val="32"/>
        </w:rPr>
        <w:t>3、磋商供应商：是指向采购</w:t>
      </w:r>
      <w:r>
        <w:rPr>
          <w:rFonts w:hint="eastAsia" w:ascii="宋体" w:hAnsi="宋体" w:cs="宋体"/>
          <w:sz w:val="24"/>
          <w:szCs w:val="32"/>
          <w:lang w:val="zh-CN"/>
        </w:rPr>
        <w:t>组织</w:t>
      </w:r>
      <w:r>
        <w:rPr>
          <w:rFonts w:hint="eastAsia" w:ascii="宋体" w:hAnsi="宋体" w:cs="宋体"/>
          <w:sz w:val="24"/>
          <w:szCs w:val="32"/>
        </w:rPr>
        <w:t>机构提交磋商响应文件的单位或个人。</w:t>
      </w:r>
    </w:p>
    <w:p>
      <w:pPr>
        <w:spacing w:line="360" w:lineRule="auto"/>
        <w:ind w:firstLine="480" w:firstLineChars="200"/>
        <w:rPr>
          <w:rFonts w:ascii="宋体" w:hAnsi="宋体" w:cs="宋体"/>
          <w:sz w:val="24"/>
          <w:szCs w:val="32"/>
        </w:rPr>
      </w:pPr>
      <w:r>
        <w:rPr>
          <w:rFonts w:hint="eastAsia" w:ascii="宋体" w:hAnsi="宋体" w:cs="宋体"/>
          <w:sz w:val="24"/>
          <w:szCs w:val="32"/>
        </w:rPr>
        <w:t>4、货物：是指各种形态和种类的物品，包括原材料、燃料、设备、产品等。</w:t>
      </w:r>
    </w:p>
    <w:p>
      <w:pPr>
        <w:spacing w:line="360" w:lineRule="auto"/>
        <w:ind w:firstLine="480" w:firstLineChars="200"/>
        <w:rPr>
          <w:rFonts w:ascii="宋体" w:hAnsi="宋体" w:cs="宋体"/>
          <w:sz w:val="24"/>
          <w:szCs w:val="32"/>
        </w:rPr>
      </w:pPr>
      <w:r>
        <w:rPr>
          <w:rFonts w:hint="eastAsia" w:ascii="宋体" w:hAnsi="宋体" w:cs="宋体"/>
          <w:sz w:val="24"/>
          <w:szCs w:val="32"/>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sz w:val="24"/>
          <w:szCs w:val="32"/>
        </w:rPr>
      </w:pPr>
      <w:r>
        <w:rPr>
          <w:rFonts w:hint="eastAsia" w:ascii="宋体" w:hAnsi="宋体" w:cs="宋体"/>
          <w:sz w:val="24"/>
          <w:szCs w:val="32"/>
        </w:rPr>
        <w:t>6、“书面形式”包括信函、传真等。</w:t>
      </w:r>
    </w:p>
    <w:p>
      <w:pPr>
        <w:spacing w:line="360" w:lineRule="auto"/>
        <w:ind w:firstLine="480" w:firstLineChars="200"/>
        <w:rPr>
          <w:rFonts w:ascii="宋体" w:hAnsi="宋体" w:cs="宋体"/>
          <w:sz w:val="24"/>
          <w:szCs w:val="32"/>
        </w:rPr>
      </w:pPr>
      <w:r>
        <w:rPr>
          <w:rFonts w:hint="eastAsia" w:ascii="宋体" w:hAnsi="宋体" w:cs="宋体"/>
          <w:sz w:val="24"/>
          <w:szCs w:val="32"/>
        </w:rPr>
        <w:t>7、“▲”系指实质性要求条款。</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（三）磋商费用</w:t>
      </w:r>
    </w:p>
    <w:p>
      <w:pPr>
        <w:spacing w:line="360" w:lineRule="auto"/>
        <w:ind w:firstLine="480" w:firstLineChars="200"/>
        <w:rPr>
          <w:rFonts w:ascii="宋体" w:hAnsi="宋体" w:cs="宋体"/>
          <w:sz w:val="24"/>
          <w:szCs w:val="32"/>
        </w:rPr>
      </w:pPr>
      <w:r>
        <w:rPr>
          <w:rFonts w:hint="eastAsia" w:ascii="宋体" w:hAnsi="宋体" w:cs="宋体"/>
          <w:sz w:val="24"/>
          <w:szCs w:val="32"/>
        </w:rPr>
        <w:t>不论磋商结果如何，磋商供应商均应自行承担所有与磋商有关的全部费用（磋商文件有相关规定除外）。</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（四）特别说明</w:t>
      </w:r>
    </w:p>
    <w:p>
      <w:pPr>
        <w:pStyle w:val="17"/>
        <w:snapToGrid w:val="0"/>
        <w:spacing w:line="360" w:lineRule="auto"/>
        <w:ind w:left="2" w:leftChars="1" w:firstLine="480" w:firstLineChars="200"/>
        <w:rPr>
          <w:rFonts w:hAnsi="宋体"/>
          <w:sz w:val="24"/>
        </w:rPr>
      </w:pPr>
      <w:r>
        <w:rPr>
          <w:rFonts w:hint="eastAsia" w:hAnsi="宋体"/>
          <w:sz w:val="24"/>
        </w:rPr>
        <w:t>1、供应商</w:t>
      </w:r>
      <w:r>
        <w:rPr>
          <w:rFonts w:hAnsi="宋体"/>
          <w:sz w:val="24"/>
        </w:rPr>
        <w:t>磋商所使用的资格、信誉、荣誉、业绩与企业认证必须为本法人所拥有。</w:t>
      </w:r>
      <w:r>
        <w:rPr>
          <w:rFonts w:hint="eastAsia" w:hAnsi="宋体"/>
          <w:sz w:val="24"/>
        </w:rPr>
        <w:t>供应商</w:t>
      </w:r>
      <w:r>
        <w:rPr>
          <w:rFonts w:hAnsi="宋体"/>
          <w:sz w:val="24"/>
        </w:rPr>
        <w:t>磋商所使用的采购项目实施人员必须为本法人员工。</w:t>
      </w:r>
      <w:r>
        <w:rPr>
          <w:rFonts w:hint="eastAsia" w:hAnsi="宋体"/>
          <w:sz w:val="24"/>
        </w:rPr>
        <w:t>▲其中涉及资格条件的如非本法人所拥有，则投标无效。</w:t>
      </w:r>
    </w:p>
    <w:p>
      <w:pPr>
        <w:spacing w:line="360" w:lineRule="auto"/>
        <w:ind w:firstLine="480" w:firstLineChars="200"/>
        <w:rPr>
          <w:rFonts w:ascii="宋体" w:hAnsi="宋体"/>
          <w:sz w:val="24"/>
        </w:rPr>
      </w:pPr>
      <w:r>
        <w:rPr>
          <w:rFonts w:hint="eastAsia" w:ascii="宋体" w:hAnsi="宋体"/>
          <w:sz w:val="24"/>
        </w:rPr>
        <w:t>2、供应商所标产品除</w:t>
      </w:r>
      <w:r>
        <w:rPr>
          <w:rFonts w:hint="eastAsia" w:ascii="宋体" w:hAnsi="宋体"/>
          <w:bCs/>
          <w:sz w:val="24"/>
        </w:rPr>
        <w:t>磋商文件</w:t>
      </w:r>
      <w:r>
        <w:rPr>
          <w:rFonts w:hint="eastAsia" w:ascii="宋体" w:hAnsi="宋体"/>
          <w:sz w:val="24"/>
        </w:rPr>
        <w:t>中明确规定要求“提供官网截图或相应检测报告的证明材料”以外，所有技术参数描述均以磋商响应文件为准。</w:t>
      </w:r>
      <w:r>
        <w:rPr>
          <w:rFonts w:hint="eastAsia" w:ascii="宋体" w:hAnsi="宋体"/>
          <w:b/>
          <w:sz w:val="24"/>
        </w:rPr>
        <w:t>磋商供应商对所标产品技术参数的真实性承担法律责任。</w:t>
      </w:r>
      <w:r>
        <w:rPr>
          <w:rFonts w:hint="eastAsia" w:ascii="宋体" w:hAnsi="宋体"/>
          <w:sz w:val="24"/>
        </w:rPr>
        <w:t>项目</w:t>
      </w:r>
      <w:r>
        <w:rPr>
          <w:rFonts w:hint="eastAsia" w:ascii="宋体" w:hAnsi="宋体"/>
          <w:bCs/>
          <w:sz w:val="24"/>
        </w:rPr>
        <w:t>磋商</w:t>
      </w:r>
      <w:r>
        <w:rPr>
          <w:rFonts w:hint="eastAsia" w:ascii="宋体" w:hAnsi="宋体"/>
          <w:sz w:val="24"/>
        </w:rPr>
        <w:t>结束后、质疑期限内，如有质疑供应商认为成交供应商所标产品、磋商响应文件技术参数与采购需求存在重大偏离、错误、甚至造假的情况，应提供具体有效的证明材料。</w:t>
      </w:r>
      <w:r>
        <w:rPr>
          <w:rFonts w:hint="eastAsia" w:ascii="宋体" w:hAnsi="宋体"/>
          <w:sz w:val="24"/>
        </w:rPr>
        <w:tab/>
      </w:r>
    </w:p>
    <w:p>
      <w:pPr>
        <w:pStyle w:val="87"/>
        <w:snapToGrid w:val="0"/>
        <w:spacing w:line="360" w:lineRule="auto"/>
        <w:ind w:firstLineChars="0"/>
        <w:rPr>
          <w:rFonts w:ascii="宋体" w:hAnsi="宋体"/>
          <w:sz w:val="24"/>
          <w:szCs w:val="24"/>
        </w:rPr>
      </w:pPr>
      <w:r>
        <w:rPr>
          <w:rFonts w:hint="eastAsia" w:ascii="宋体" w:hAnsi="宋体"/>
          <w:sz w:val="24"/>
          <w:szCs w:val="24"/>
        </w:rPr>
        <w:t>▲3、供应商</w:t>
      </w:r>
      <w:r>
        <w:rPr>
          <w:rFonts w:ascii="宋体" w:hAnsi="宋体"/>
          <w:sz w:val="24"/>
          <w:szCs w:val="24"/>
        </w:rPr>
        <w:t>在</w:t>
      </w:r>
      <w:r>
        <w:rPr>
          <w:rFonts w:hint="eastAsia" w:ascii="宋体" w:hAnsi="宋体"/>
          <w:bCs/>
          <w:sz w:val="24"/>
          <w:szCs w:val="24"/>
        </w:rPr>
        <w:t>磋商</w:t>
      </w:r>
      <w:r>
        <w:rPr>
          <w:rFonts w:ascii="宋体" w:hAnsi="宋体"/>
          <w:sz w:val="24"/>
          <w:szCs w:val="24"/>
        </w:rPr>
        <w:t>活动中提供任何虚假材料</w:t>
      </w:r>
      <w:r>
        <w:rPr>
          <w:rFonts w:hint="eastAsia" w:ascii="宋体" w:hAnsi="宋体"/>
          <w:sz w:val="24"/>
          <w:szCs w:val="24"/>
        </w:rPr>
        <w:t>,</w:t>
      </w:r>
      <w:r>
        <w:rPr>
          <w:rFonts w:ascii="宋体" w:hAnsi="宋体"/>
          <w:sz w:val="24"/>
          <w:szCs w:val="24"/>
        </w:rPr>
        <w:t>其</w:t>
      </w:r>
      <w:r>
        <w:rPr>
          <w:rFonts w:hint="eastAsia" w:ascii="宋体" w:hAnsi="宋体"/>
          <w:sz w:val="24"/>
          <w:szCs w:val="24"/>
        </w:rPr>
        <w:t>响应</w:t>
      </w:r>
      <w:r>
        <w:rPr>
          <w:rFonts w:ascii="宋体" w:hAnsi="宋体"/>
          <w:sz w:val="24"/>
          <w:szCs w:val="24"/>
        </w:rPr>
        <w:t>无效，并报监管部门查处；</w:t>
      </w:r>
      <w:r>
        <w:rPr>
          <w:rFonts w:hint="eastAsia" w:ascii="宋体" w:hAnsi="宋体"/>
          <w:sz w:val="24"/>
          <w:szCs w:val="24"/>
        </w:rPr>
        <w:t>成交</w:t>
      </w:r>
      <w:r>
        <w:rPr>
          <w:rFonts w:ascii="宋体" w:hAnsi="宋体"/>
          <w:sz w:val="24"/>
          <w:szCs w:val="24"/>
        </w:rPr>
        <w:t>后发现的,成交人须依照根据《中华人民共和国政府采购法》第七十七条第一款第一项之规定</w:t>
      </w:r>
      <w:r>
        <w:rPr>
          <w:rFonts w:hint="eastAsia" w:ascii="宋体" w:hAnsi="宋体"/>
          <w:sz w:val="24"/>
          <w:szCs w:val="24"/>
        </w:rPr>
        <w:t>，</w:t>
      </w:r>
      <w:r>
        <w:rPr>
          <w:rFonts w:ascii="宋体" w:hAnsi="宋体"/>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sz w:val="24"/>
          <w:szCs w:val="24"/>
        </w:rPr>
        <w:t>。</w:t>
      </w:r>
    </w:p>
    <w:p>
      <w:pPr>
        <w:pStyle w:val="87"/>
        <w:snapToGrid w:val="0"/>
        <w:spacing w:line="360" w:lineRule="auto"/>
        <w:ind w:firstLineChars="0"/>
        <w:rPr>
          <w:rFonts w:ascii="宋体" w:hAnsi="宋体"/>
          <w:sz w:val="24"/>
          <w:szCs w:val="24"/>
        </w:rPr>
      </w:pPr>
      <w:r>
        <w:rPr>
          <w:rFonts w:hint="eastAsia" w:ascii="宋体" w:hAnsi="宋体"/>
          <w:sz w:val="24"/>
          <w:szCs w:val="24"/>
        </w:rPr>
        <w:t>▲4、供应商不得相互串通磋商报价，不得妨碍其他供应商的公平竞争，不得损害采购人或其他供应商的合法权益，供应商不得以向采购人、磋商小组成员行贿或者采取其他不正当手段谋取成交。</w:t>
      </w:r>
    </w:p>
    <w:p>
      <w:pPr>
        <w:pStyle w:val="87"/>
        <w:snapToGrid w:val="0"/>
        <w:spacing w:line="360" w:lineRule="auto"/>
        <w:ind w:firstLineChars="0"/>
        <w:rPr>
          <w:rFonts w:ascii="宋体" w:hAnsi="宋体"/>
          <w:sz w:val="24"/>
          <w:szCs w:val="24"/>
        </w:rPr>
      </w:pPr>
      <w:r>
        <w:rPr>
          <w:rFonts w:hint="eastAsia" w:ascii="宋体" w:hAnsi="宋体"/>
          <w:sz w:val="24"/>
          <w:szCs w:val="24"/>
        </w:rPr>
        <w:t>▲5、为采购项目提供整体设计、规范编制或者项目管理、监理、检测等服务的供应商，不得再参加该采购项目的其他采购活动。</w:t>
      </w:r>
    </w:p>
    <w:p>
      <w:pPr>
        <w:pStyle w:val="87"/>
        <w:snapToGrid w:val="0"/>
        <w:spacing w:line="360" w:lineRule="auto"/>
        <w:ind w:firstLineChars="0"/>
        <w:rPr>
          <w:rFonts w:ascii="宋体" w:hAnsi="宋体"/>
          <w:sz w:val="24"/>
          <w:szCs w:val="24"/>
        </w:rPr>
      </w:pPr>
      <w:r>
        <w:rPr>
          <w:rFonts w:hint="eastAsia" w:ascii="宋体" w:hAnsi="宋体"/>
          <w:sz w:val="24"/>
          <w:szCs w:val="24"/>
        </w:rPr>
        <w:t>6、磋商响应文件格式中的表格式样可以根据项目差别做适当调整,但应当保持表格样式基本形态不变。</w:t>
      </w:r>
    </w:p>
    <w:p>
      <w:pPr>
        <w:pStyle w:val="87"/>
        <w:snapToGrid w:val="0"/>
        <w:spacing w:line="360" w:lineRule="auto"/>
        <w:ind w:firstLine="480"/>
        <w:rPr>
          <w:rFonts w:ascii="宋体" w:hAnsi="宋体" w:cs="宋体"/>
          <w:sz w:val="24"/>
          <w:szCs w:val="24"/>
        </w:rPr>
      </w:pPr>
      <w:r>
        <w:rPr>
          <w:rFonts w:hint="eastAsia" w:ascii="宋体" w:hAnsi="宋体"/>
          <w:sz w:val="24"/>
          <w:szCs w:val="24"/>
        </w:rPr>
        <w:t>▲7、单位负责人为同一人或者存在直接控股、管理关系的不同供应商，不得参加同一合同项下的政府采购活动。</w:t>
      </w:r>
      <w:r>
        <w:rPr>
          <w:rFonts w:hint="eastAsia" w:ascii="宋体" w:hAnsi="宋体" w:cs="宋体"/>
          <w:sz w:val="24"/>
          <w:szCs w:val="24"/>
        </w:rPr>
        <w:t>电子交易平台运营机构，以及与该机构有直接控股或者管理关系可能影响采购公正性的任何单位和个人，不得在该平台进行的政府采购项目电子交易中投标、响应和代理政府采购项目。</w:t>
      </w:r>
    </w:p>
    <w:p>
      <w:pPr>
        <w:pStyle w:val="5"/>
        <w:tabs>
          <w:tab w:val="left" w:pos="851"/>
        </w:tabs>
        <w:autoSpaceDE w:val="0"/>
        <w:autoSpaceDN w:val="0"/>
        <w:adjustRightInd w:val="0"/>
        <w:snapToGrid w:val="0"/>
        <w:spacing w:before="0" w:after="0"/>
        <w:ind w:firstLine="480"/>
        <w:rPr>
          <w:rFonts w:ascii="宋体" w:hAnsi="宋体"/>
          <w:b w:val="0"/>
          <w:bCs w:val="0"/>
          <w:sz w:val="24"/>
          <w:szCs w:val="24"/>
        </w:rPr>
      </w:pPr>
      <w:r>
        <w:rPr>
          <w:rFonts w:hint="eastAsia" w:ascii="宋体" w:hAnsi="宋体"/>
          <w:sz w:val="24"/>
          <w:szCs w:val="24"/>
        </w:rPr>
        <w:t>▲</w:t>
      </w:r>
      <w:r>
        <w:rPr>
          <w:rFonts w:ascii="宋体" w:hAnsi="宋体" w:cs="宋体"/>
          <w:b w:val="0"/>
          <w:bCs w:val="0"/>
          <w:sz w:val="24"/>
          <w:szCs w:val="24"/>
        </w:rPr>
        <w:t>8</w:t>
      </w:r>
      <w:r>
        <w:rPr>
          <w:rFonts w:hint="eastAsia" w:ascii="宋体" w:hAnsi="宋体" w:cs="宋体"/>
          <w:b w:val="0"/>
          <w:bCs w:val="0"/>
          <w:sz w:val="24"/>
          <w:szCs w:val="24"/>
        </w:rPr>
        <w:t>、投标人在参与政府采购活动中所签署的一切文件，包括但不限于签到表、《政府采购活动现场确认声明书》等文件，特别是有关利害关系应如实填写、如实披露，投标人授权参与政府采购的人员视为应当知道与招标人、其他投标人之间的利害关系。如未如实披露，则视为提供虚假材料，由投标人承担不利后果.</w:t>
      </w:r>
    </w:p>
    <w:p>
      <w:pPr>
        <w:pStyle w:val="5"/>
        <w:tabs>
          <w:tab w:val="left" w:pos="851"/>
        </w:tabs>
        <w:autoSpaceDE w:val="0"/>
        <w:autoSpaceDN w:val="0"/>
        <w:adjustRightInd w:val="0"/>
        <w:snapToGrid w:val="0"/>
        <w:spacing w:before="0" w:after="0"/>
        <w:ind w:firstLine="480"/>
      </w:pPr>
      <w:r>
        <w:rPr>
          <w:rFonts w:hint="eastAsia" w:ascii="宋体" w:hAnsi="宋体"/>
          <w:sz w:val="24"/>
          <w:szCs w:val="24"/>
        </w:rPr>
        <w:t>▲</w:t>
      </w:r>
      <w:r>
        <w:rPr>
          <w:rFonts w:ascii="宋体" w:hAnsi="宋体"/>
          <w:b w:val="0"/>
          <w:bCs w:val="0"/>
          <w:sz w:val="24"/>
          <w:szCs w:val="24"/>
        </w:rPr>
        <w:t>9</w:t>
      </w:r>
      <w:r>
        <w:rPr>
          <w:rFonts w:hint="eastAsia" w:ascii="宋体" w:hAnsi="宋体"/>
          <w:b w:val="0"/>
          <w:bCs w:val="0"/>
          <w:sz w:val="24"/>
          <w:szCs w:val="24"/>
        </w:rPr>
        <w:t>、本项目不允许转包，分包。</w:t>
      </w:r>
    </w:p>
    <w:p>
      <w:pPr>
        <w:spacing w:line="360" w:lineRule="auto"/>
        <w:outlineLvl w:val="1"/>
        <w:rPr>
          <w:rFonts w:ascii="宋体" w:hAnsi="宋体" w:cs="宋体"/>
          <w:b/>
          <w:bCs/>
          <w:sz w:val="24"/>
          <w:szCs w:val="32"/>
        </w:rPr>
      </w:pPr>
      <w:r>
        <w:rPr>
          <w:rFonts w:hint="eastAsia" w:ascii="宋体" w:hAnsi="宋体" w:cs="宋体"/>
          <w:b/>
          <w:bCs/>
          <w:sz w:val="24"/>
          <w:szCs w:val="32"/>
        </w:rPr>
        <w:t>二、磋商响应文件</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lang w:val="zh-CN"/>
        </w:rPr>
        <w:t>（一）</w:t>
      </w:r>
      <w:r>
        <w:rPr>
          <w:rFonts w:hint="eastAsia" w:ascii="宋体" w:hAnsi="宋体" w:cs="宋体"/>
          <w:b/>
          <w:bCs/>
          <w:sz w:val="24"/>
          <w:szCs w:val="32"/>
        </w:rPr>
        <w:t>磋商响应文件的组成</w:t>
      </w:r>
    </w:p>
    <w:p>
      <w:pPr>
        <w:spacing w:line="360" w:lineRule="auto"/>
        <w:ind w:firstLine="480" w:firstLineChars="200"/>
        <w:rPr>
          <w:rFonts w:ascii="宋体" w:hAnsi="宋体" w:cs="宋体"/>
          <w:sz w:val="24"/>
          <w:szCs w:val="32"/>
          <w:lang w:val="zh-CN"/>
        </w:rPr>
      </w:pPr>
      <w:r>
        <w:rPr>
          <w:rFonts w:hint="eastAsia" w:ascii="宋体" w:hAnsi="宋体" w:cs="宋体"/>
          <w:sz w:val="24"/>
        </w:rPr>
        <w:t>磋商供应商接到磋商文件后，按照采购组织机构的要求提供，详细编制磋商响应文件。</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w:t>
      </w:r>
      <w:r>
        <w:rPr>
          <w:rFonts w:hint="eastAsia" w:ascii="宋体" w:hAnsi="宋体" w:cs="宋体"/>
          <w:kern w:val="0"/>
          <w:sz w:val="24"/>
          <w:lang w:bidi="ar"/>
        </w:rPr>
        <w:t>▲</w:t>
      </w:r>
      <w:r>
        <w:rPr>
          <w:rFonts w:hint="eastAsia" w:ascii="宋体" w:hAnsi="宋体" w:cs="宋体"/>
          <w:b/>
          <w:bCs/>
          <w:sz w:val="24"/>
          <w:szCs w:val="32"/>
        </w:rPr>
        <w:t>资格证明内容的组成：</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w:t>
      </w:r>
      <w:r>
        <w:rPr>
          <w:rFonts w:hint="eastAsia" w:ascii="宋体" w:hAnsi="宋体" w:cs="宋体"/>
          <w:sz w:val="24"/>
          <w:szCs w:val="32"/>
        </w:rPr>
        <w:t>1</w:t>
      </w:r>
      <w:r>
        <w:rPr>
          <w:rFonts w:hint="eastAsia" w:ascii="宋体" w:hAnsi="宋体" w:cs="宋体"/>
          <w:sz w:val="24"/>
          <w:szCs w:val="32"/>
          <w:lang w:val="zh-CN"/>
        </w:rPr>
        <w:t>）磋商声明书；</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w:t>
      </w:r>
      <w:r>
        <w:rPr>
          <w:rFonts w:hint="eastAsia" w:ascii="宋体" w:hAnsi="宋体" w:cs="宋体"/>
          <w:sz w:val="24"/>
          <w:szCs w:val="32"/>
        </w:rPr>
        <w:t>2</w:t>
      </w:r>
      <w:r>
        <w:rPr>
          <w:rFonts w:hint="eastAsia" w:ascii="宋体" w:hAnsi="宋体" w:cs="宋体"/>
          <w:sz w:val="24"/>
          <w:szCs w:val="32"/>
          <w:lang w:val="zh-CN"/>
        </w:rPr>
        <w:t>）授权委托书（法定代表人亲自办理磋商事宜的，则无需提交）；</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w:t>
      </w:r>
      <w:r>
        <w:rPr>
          <w:rFonts w:hint="eastAsia" w:ascii="宋体" w:hAnsi="宋体" w:cs="宋体"/>
          <w:sz w:val="24"/>
          <w:szCs w:val="32"/>
        </w:rPr>
        <w:t>3</w:t>
      </w:r>
      <w:r>
        <w:rPr>
          <w:rFonts w:hint="eastAsia" w:ascii="宋体" w:hAnsi="宋体" w:cs="宋体"/>
          <w:sz w:val="24"/>
          <w:szCs w:val="32"/>
          <w:lang w:val="zh-CN"/>
        </w:rPr>
        <w:t>）法人或者其他组织的营业执照等证明文件，自然人的身份证明；</w:t>
      </w:r>
    </w:p>
    <w:p>
      <w:pPr>
        <w:spacing w:line="360" w:lineRule="auto"/>
        <w:ind w:firstLine="480" w:firstLineChars="200"/>
        <w:rPr>
          <w:rFonts w:ascii="宋体" w:hAnsi="宋体" w:cs="宋体"/>
          <w:sz w:val="24"/>
          <w:lang w:bidi="ar"/>
        </w:rPr>
      </w:pPr>
      <w:r>
        <w:rPr>
          <w:rFonts w:hint="eastAsia" w:ascii="宋体" w:hAnsi="宋体" w:cs="宋体"/>
          <w:sz w:val="24"/>
        </w:rPr>
        <w:t>（4）</w:t>
      </w:r>
      <w:r>
        <w:rPr>
          <w:rFonts w:hint="eastAsia" w:ascii="宋体" w:hAnsi="宋体" w:cs="Arial"/>
          <w:sz w:val="24"/>
        </w:rPr>
        <w:t>符合参与政府采购活动的资格条件、具备良好的商业信誉和健全的财务会计制度并且没有税收缴纳、社会保障等方面的失信记录的承诺函</w:t>
      </w:r>
      <w:r>
        <w:rPr>
          <w:rFonts w:hint="eastAsia" w:ascii="宋体" w:hAnsi="宋体" w:cs="宋体"/>
          <w:sz w:val="24"/>
          <w:lang w:bidi="ar"/>
        </w:rPr>
        <w:t>；具备履行合同所必需的设备和专业技术能力的承诺函</w:t>
      </w:r>
      <w:r>
        <w:rPr>
          <w:rFonts w:hint="eastAsia" w:ascii="宋体" w:hAnsi="宋体" w:cs="宋体"/>
          <w:sz w:val="24"/>
        </w:rPr>
        <w:t>；</w:t>
      </w:r>
    </w:p>
    <w:p>
      <w:pPr>
        <w:spacing w:line="360" w:lineRule="auto"/>
        <w:ind w:firstLine="480" w:firstLineChars="200"/>
        <w:rPr>
          <w:rFonts w:ascii="宋体" w:hAnsi="宋体" w:cs="宋体"/>
          <w:sz w:val="24"/>
          <w:szCs w:val="32"/>
        </w:rPr>
      </w:pPr>
      <w:r>
        <w:rPr>
          <w:rFonts w:hint="eastAsia" w:ascii="宋体" w:hAnsi="宋体" w:cs="宋体"/>
          <w:sz w:val="24"/>
          <w:lang w:bidi="ar"/>
        </w:rPr>
        <w:t>（5）</w:t>
      </w:r>
      <w:r>
        <w:rPr>
          <w:rFonts w:hint="eastAsia" w:ascii="宋体" w:hAnsi="宋体" w:cs="宋体"/>
          <w:sz w:val="24"/>
          <w:szCs w:val="32"/>
        </w:rPr>
        <w:t>中小企业声明函等优惠政策适用证明材料；</w:t>
      </w:r>
    </w:p>
    <w:p>
      <w:pPr>
        <w:spacing w:line="360" w:lineRule="auto"/>
        <w:ind w:firstLine="480" w:firstLineChars="200"/>
      </w:pPr>
      <w:r>
        <w:rPr>
          <w:rFonts w:hint="eastAsia" w:ascii="宋体" w:hAnsi="宋体" w:cs="宋体"/>
          <w:sz w:val="24"/>
          <w:szCs w:val="32"/>
        </w:rPr>
        <w:t>（6）其他需要说明的其他资料（如有）。</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2、商务与技术内容的组成：</w:t>
      </w:r>
    </w:p>
    <w:p>
      <w:pPr>
        <w:pStyle w:val="15"/>
        <w:rPr>
          <w:rFonts w:ascii="宋体" w:hAnsi="宋体" w:cs="宋体"/>
        </w:rPr>
      </w:pPr>
      <w:r>
        <w:rPr>
          <w:rFonts w:hint="eastAsia" w:ascii="宋体" w:hAnsi="宋体" w:cs="宋体"/>
        </w:rPr>
        <w:t>（1）评标索引</w:t>
      </w:r>
      <w:r>
        <w:rPr>
          <w:rFonts w:hint="eastAsia" w:ascii="宋体" w:hAnsi="宋体" w:cs="宋体"/>
          <w:lang w:val="zh-CN"/>
        </w:rPr>
        <w:t>；</w:t>
      </w:r>
    </w:p>
    <w:p>
      <w:pPr>
        <w:pStyle w:val="15"/>
        <w:rPr>
          <w:rFonts w:ascii="宋体" w:hAnsi="宋体" w:cs="宋体"/>
          <w:lang w:val="zh-CN"/>
        </w:rPr>
      </w:pPr>
      <w:r>
        <w:rPr>
          <w:rFonts w:hint="eastAsia" w:ascii="宋体" w:hAnsi="宋体" w:cs="宋体"/>
        </w:rPr>
        <w:t>（2）</w:t>
      </w:r>
      <w:r>
        <w:rPr>
          <w:rFonts w:hint="eastAsia" w:ascii="宋体" w:hAnsi="宋体" w:cs="宋体"/>
          <w:lang w:val="zh-CN"/>
        </w:rPr>
        <w:t>供应商基本情况表；</w:t>
      </w:r>
    </w:p>
    <w:p>
      <w:pPr>
        <w:pStyle w:val="15"/>
        <w:rPr>
          <w:rFonts w:ascii="宋体" w:hAnsi="宋体" w:cs="宋体"/>
          <w:lang w:val="zh-CN"/>
        </w:rPr>
      </w:pPr>
      <w:r>
        <w:rPr>
          <w:rFonts w:hint="eastAsia" w:ascii="宋体" w:hAnsi="宋体" w:cs="宋体"/>
        </w:rPr>
        <w:t>（3）</w:t>
      </w:r>
      <w:r>
        <w:rPr>
          <w:rFonts w:hint="eastAsia" w:ascii="宋体" w:hAnsi="宋体" w:cs="宋体"/>
          <w:lang w:val="zh-CN"/>
        </w:rPr>
        <w:t>项目实施人员一览表；</w:t>
      </w:r>
    </w:p>
    <w:p>
      <w:pPr>
        <w:pStyle w:val="15"/>
        <w:rPr>
          <w:rFonts w:ascii="宋体" w:hAnsi="宋体" w:cs="宋体"/>
          <w:lang w:val="zh-CN"/>
        </w:rPr>
      </w:pPr>
      <w:r>
        <w:rPr>
          <w:rFonts w:hint="eastAsia" w:ascii="宋体" w:hAnsi="宋体" w:cs="宋体"/>
        </w:rPr>
        <w:t>（4）</w:t>
      </w:r>
      <w:r>
        <w:rPr>
          <w:rFonts w:hint="eastAsia" w:ascii="宋体" w:hAnsi="宋体" w:cs="宋体"/>
          <w:lang w:val="zh-CN"/>
        </w:rPr>
        <w:t>项目负责人资格情况表；</w:t>
      </w:r>
    </w:p>
    <w:p>
      <w:pPr>
        <w:pStyle w:val="15"/>
        <w:rPr>
          <w:rFonts w:ascii="宋体" w:hAnsi="宋体" w:cs="宋体"/>
        </w:rPr>
      </w:pPr>
      <w:r>
        <w:rPr>
          <w:rFonts w:hint="eastAsia" w:ascii="宋体" w:hAnsi="宋体" w:cs="宋体"/>
        </w:rPr>
        <w:t>（5）</w:t>
      </w:r>
      <w:r>
        <w:rPr>
          <w:rFonts w:hint="eastAsia" w:ascii="宋体" w:hAnsi="宋体" w:cs="宋体"/>
          <w:lang w:val="zh-CN"/>
        </w:rPr>
        <w:t>类似项目实施情况一览表</w:t>
      </w:r>
    </w:p>
    <w:p>
      <w:pPr>
        <w:pStyle w:val="15"/>
        <w:rPr>
          <w:rFonts w:ascii="宋体" w:hAnsi="宋体" w:cs="宋体"/>
          <w:lang w:val="zh-CN"/>
        </w:rPr>
      </w:pPr>
      <w:r>
        <w:rPr>
          <w:rFonts w:hint="eastAsia" w:ascii="宋体" w:hAnsi="宋体" w:cs="宋体"/>
        </w:rPr>
        <w:t xml:space="preserve">(6) </w:t>
      </w:r>
      <w:r>
        <w:rPr>
          <w:rFonts w:hint="eastAsia" w:ascii="宋体" w:hAnsi="宋体" w:cs="宋体"/>
          <w:lang w:val="zh-CN"/>
        </w:rPr>
        <w:t>商务及技术需求响应表；</w:t>
      </w:r>
    </w:p>
    <w:p>
      <w:pPr>
        <w:pStyle w:val="15"/>
        <w:rPr>
          <w:rFonts w:ascii="宋体" w:hAnsi="宋体" w:cs="宋体"/>
          <w:szCs w:val="32"/>
          <w:lang w:val="zh-CN"/>
        </w:rPr>
      </w:pPr>
      <w:r>
        <w:rPr>
          <w:rFonts w:hint="eastAsia" w:ascii="宋体" w:hAnsi="宋体" w:cs="宋体"/>
          <w:lang w:val="zh-CN"/>
        </w:rPr>
        <w:t>（</w:t>
      </w:r>
      <w:r>
        <w:rPr>
          <w:rFonts w:hint="eastAsia" w:ascii="宋体" w:hAnsi="宋体" w:cs="宋体"/>
        </w:rPr>
        <w:t>7</w:t>
      </w:r>
      <w:r>
        <w:rPr>
          <w:rFonts w:hint="eastAsia" w:ascii="宋体" w:hAnsi="宋体" w:cs="宋体"/>
          <w:lang w:val="zh-CN"/>
        </w:rPr>
        <w:t>）</w:t>
      </w:r>
      <w:r>
        <w:rPr>
          <w:rFonts w:hint="eastAsia" w:ascii="宋体" w:hAnsi="宋体" w:cs="宋体"/>
          <w:szCs w:val="32"/>
          <w:lang w:val="zh-CN"/>
        </w:rPr>
        <w:t>对应评标办法中的评分内容应提供的材料；</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w:t>
      </w:r>
      <w:r>
        <w:rPr>
          <w:rFonts w:hint="eastAsia" w:ascii="宋体" w:hAnsi="宋体" w:cs="宋体"/>
          <w:sz w:val="24"/>
          <w:szCs w:val="32"/>
        </w:rPr>
        <w:t>8</w:t>
      </w:r>
      <w:r>
        <w:rPr>
          <w:rFonts w:hint="eastAsia" w:ascii="宋体" w:hAnsi="宋体" w:cs="宋体"/>
          <w:sz w:val="24"/>
          <w:szCs w:val="32"/>
          <w:lang w:val="zh-CN"/>
        </w:rPr>
        <w:t>）磋商供应商认为需要提供的其他资料（包括可能影响磋商供应商各项评分的各类证明材料）。</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3、报价内容的组成</w:t>
      </w:r>
    </w:p>
    <w:p>
      <w:pPr>
        <w:spacing w:line="360" w:lineRule="auto"/>
        <w:ind w:firstLine="480" w:firstLineChars="200"/>
        <w:rPr>
          <w:rFonts w:ascii="宋体" w:hAnsi="宋体" w:cs="宋体"/>
          <w:sz w:val="24"/>
          <w:szCs w:val="32"/>
        </w:rPr>
      </w:pPr>
      <w:r>
        <w:rPr>
          <w:rFonts w:hint="eastAsia" w:ascii="宋体" w:hAnsi="宋体" w:cs="宋体"/>
          <w:sz w:val="24"/>
          <w:szCs w:val="32"/>
        </w:rPr>
        <w:t>（1）报价内容由开标一览表、报价明细表，以及磋商供应商认为其他需要说明的内容组成。</w:t>
      </w:r>
    </w:p>
    <w:p>
      <w:pPr>
        <w:spacing w:line="360" w:lineRule="auto"/>
        <w:ind w:firstLine="480" w:firstLineChars="200"/>
        <w:rPr>
          <w:rFonts w:ascii="宋体" w:hAnsi="宋体" w:cs="宋体"/>
          <w:sz w:val="24"/>
          <w:szCs w:val="32"/>
        </w:rPr>
      </w:pPr>
      <w:r>
        <w:rPr>
          <w:rFonts w:hint="eastAsia" w:ascii="宋体" w:hAnsi="宋体" w:cs="Arial"/>
          <w:sz w:val="24"/>
        </w:rPr>
        <w:t>▲</w:t>
      </w:r>
      <w:r>
        <w:rPr>
          <w:rFonts w:hint="eastAsia" w:ascii="宋体" w:hAnsi="宋体" w:cs="宋体"/>
          <w:sz w:val="24"/>
          <w:szCs w:val="32"/>
        </w:rPr>
        <w:t>（2）此报价为磋商供应商针对本项目报出的唯一的首次报价，包含其它一切所要涉及到的费用，有选择的报价将被拒绝。</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w:t>
      </w:r>
      <w:r>
        <w:rPr>
          <w:rFonts w:hint="eastAsia" w:ascii="宋体" w:hAnsi="宋体" w:cs="宋体"/>
          <w:sz w:val="24"/>
          <w:szCs w:val="32"/>
        </w:rPr>
        <w:t>3</w:t>
      </w:r>
      <w:r>
        <w:rPr>
          <w:rFonts w:hint="eastAsia" w:ascii="宋体" w:hAnsi="宋体" w:cs="宋体"/>
          <w:sz w:val="24"/>
          <w:szCs w:val="32"/>
          <w:lang w:val="zh-CN"/>
        </w:rPr>
        <w:t>）投标报价为完成本项目的所有费用，项目报告的各项费用及成果鉴定验收会议发生的费用等一切费用均包括在内。投标人应考虑企业自身实力、经验及项目实施过程中的各种因素，在投标报价中应充分考虑所有可能发生的费用，否则采购人将视投标总价中已包括所有费用。</w:t>
      </w:r>
    </w:p>
    <w:p>
      <w:pPr>
        <w:spacing w:line="360" w:lineRule="auto"/>
        <w:ind w:firstLine="480" w:firstLineChars="200"/>
        <w:rPr>
          <w:rFonts w:ascii="宋体" w:hAnsi="宋体" w:cs="宋体"/>
          <w:sz w:val="24"/>
          <w:szCs w:val="32"/>
        </w:rPr>
      </w:pPr>
      <w:r>
        <w:rPr>
          <w:rFonts w:hint="eastAsia" w:ascii="宋体" w:hAnsi="宋体" w:cs="Arial"/>
          <w:sz w:val="24"/>
        </w:rPr>
        <w:t>▲</w:t>
      </w:r>
      <w:r>
        <w:rPr>
          <w:rFonts w:hint="eastAsia" w:ascii="宋体" w:hAnsi="宋体" w:cs="宋体"/>
          <w:sz w:val="24"/>
          <w:szCs w:val="32"/>
          <w:lang w:val="zh-CN"/>
        </w:rPr>
        <w:t>（</w:t>
      </w:r>
      <w:r>
        <w:rPr>
          <w:rFonts w:hint="eastAsia" w:ascii="宋体" w:hAnsi="宋体" w:cs="宋体"/>
          <w:sz w:val="24"/>
          <w:szCs w:val="32"/>
        </w:rPr>
        <w:t>4</w:t>
      </w:r>
      <w:r>
        <w:rPr>
          <w:rFonts w:hint="eastAsia" w:ascii="宋体" w:hAnsi="宋体" w:cs="宋体"/>
          <w:sz w:val="24"/>
          <w:szCs w:val="32"/>
          <w:lang w:val="zh-CN"/>
        </w:rPr>
        <w:t>）</w:t>
      </w:r>
      <w:r>
        <w:rPr>
          <w:rFonts w:hint="eastAsia" w:ascii="宋体" w:hAnsi="宋体" w:cs="宋体"/>
          <w:sz w:val="24"/>
          <w:szCs w:val="32"/>
        </w:rPr>
        <w:t>相关报价单需打印或用不褪色的墨水填写，磋商响应报价表不得涂改和增删，如有错漏必须修改，修改处须由同一签署人签字或盖章</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若修改处未签字或盖章，该修改无效</w:t>
      </w:r>
      <w:r>
        <w:rPr>
          <w:rFonts w:hint="eastAsia" w:ascii="宋体" w:hAnsi="宋体" w:cs="宋体"/>
          <w:sz w:val="24"/>
          <w:szCs w:val="32"/>
        </w:rPr>
        <w:t>。由于字迹模糊或表达不清引起的后果由磋商供应商负责。</w:t>
      </w:r>
    </w:p>
    <w:p>
      <w:pPr>
        <w:spacing w:line="360" w:lineRule="auto"/>
        <w:ind w:firstLine="480" w:firstLineChars="200"/>
        <w:rPr>
          <w:rFonts w:ascii="宋体" w:hAnsi="宋体" w:cs="宋体"/>
          <w:sz w:val="24"/>
          <w:szCs w:val="32"/>
        </w:rPr>
      </w:pPr>
      <w:r>
        <w:rPr>
          <w:rFonts w:hint="eastAsia" w:ascii="宋体" w:hAnsi="宋体" w:cs="宋体"/>
          <w:sz w:val="24"/>
          <w:szCs w:val="32"/>
        </w:rPr>
        <w:t>（5）报价有关表格应按磋商文件中相关附表格式填写。</w:t>
      </w:r>
    </w:p>
    <w:p>
      <w:pPr>
        <w:pStyle w:val="14"/>
        <w:ind w:firstLine="210"/>
        <w:rPr>
          <w:sz w:val="24"/>
          <w:lang w:val="zh-CN"/>
        </w:rPr>
      </w:pPr>
      <w:r>
        <w:rPr>
          <w:rFonts w:hint="eastAsia"/>
        </w:rPr>
        <w:t>▲</w:t>
      </w:r>
      <w:r>
        <w:rPr>
          <w:rFonts w:hint="eastAsia" w:ascii="宋体" w:hAnsi="宋体" w:cs="宋体"/>
          <w:b/>
          <w:bCs/>
          <w:kern w:val="2"/>
          <w:sz w:val="24"/>
          <w:szCs w:val="32"/>
        </w:rPr>
        <w:t>4</w:t>
      </w:r>
      <w:r>
        <w:rPr>
          <w:rFonts w:hint="eastAsia" w:ascii="宋体" w:hAnsi="宋体" w:cs="宋体"/>
          <w:b/>
          <w:bCs/>
          <w:kern w:val="2"/>
          <w:sz w:val="24"/>
          <w:szCs w:val="32"/>
          <w:lang w:val="zh-CN"/>
        </w:rPr>
        <w:t>、</w:t>
      </w:r>
      <w:r>
        <w:rPr>
          <w:rFonts w:hint="eastAsia" w:ascii="宋体" w:hAnsi="宋体" w:cs="宋体"/>
          <w:b/>
          <w:bCs/>
          <w:kern w:val="2"/>
          <w:sz w:val="24"/>
          <w:lang w:val="zh-CN"/>
        </w:rPr>
        <w:t>报</w:t>
      </w:r>
      <w:r>
        <w:rPr>
          <w:rFonts w:hint="eastAsia"/>
          <w:b/>
          <w:bCs/>
          <w:sz w:val="24"/>
          <w:lang w:val="zh-CN"/>
        </w:rPr>
        <w:t>价要求</w:t>
      </w:r>
    </w:p>
    <w:p>
      <w:pPr>
        <w:spacing w:line="460" w:lineRule="exact"/>
        <w:ind w:firstLine="482" w:firstLineChars="200"/>
        <w:rPr>
          <w:rFonts w:ascii="宋体" w:hAnsi="宋体"/>
          <w:b/>
          <w:bCs/>
          <w:sz w:val="24"/>
          <w:lang w:val="zh-CN"/>
        </w:rPr>
      </w:pPr>
      <w:r>
        <w:rPr>
          <w:rFonts w:hint="eastAsia" w:ascii="宋体" w:hAnsi="宋体"/>
          <w:b/>
          <w:bCs/>
          <w:sz w:val="24"/>
          <w:lang w:val="zh-CN"/>
        </w:rPr>
        <w:t>①本项目设有最高限价，如投标人的投标总报价超过最高限价，其投标文件作无效标处理。</w:t>
      </w:r>
    </w:p>
    <w:p>
      <w:pPr>
        <w:spacing w:line="460" w:lineRule="exact"/>
        <w:ind w:firstLine="482" w:firstLineChars="200"/>
        <w:rPr>
          <w:rFonts w:ascii="宋体"/>
          <w:b/>
          <w:bCs/>
          <w:sz w:val="24"/>
          <w:lang w:val="zh-CN"/>
        </w:rPr>
      </w:pPr>
      <w:r>
        <w:rPr>
          <w:rFonts w:hint="eastAsia" w:ascii="宋体" w:hAnsi="宋体"/>
          <w:b/>
          <w:bCs/>
          <w:sz w:val="24"/>
        </w:rPr>
        <w:t>②首次报价在本项目磋商响应文件递交截止时间前按磋商文件要求自主报价；最终报价在本顶目磋商结束后由所有有效的磋商供应商在规定的</w:t>
      </w:r>
      <w:r>
        <w:rPr>
          <w:rFonts w:hint="eastAsia" w:ascii="宋体" w:hAnsi="宋体" w:eastAsiaTheme="minorEastAsia"/>
          <w:b/>
          <w:bCs/>
          <w:sz w:val="24"/>
        </w:rPr>
        <w:t>30分钟内</w:t>
      </w:r>
      <w:r>
        <w:rPr>
          <w:rFonts w:hint="eastAsia" w:ascii="宋体" w:hAnsi="宋体"/>
          <w:b/>
          <w:bCs/>
          <w:sz w:val="24"/>
        </w:rPr>
        <w:t>在平台上进行最终报价</w:t>
      </w:r>
      <w:r>
        <w:fldChar w:fldCharType="begin"/>
      </w:r>
      <w:r>
        <w:instrText xml:space="preserve"> HYPERLINK "mailto:675642008@qq.com），最后报价不得高于首次报价（谈判文件的采购需求发生实质性变动的情况除外）。" </w:instrText>
      </w:r>
      <w:r>
        <w:fldChar w:fldCharType="separate"/>
      </w:r>
      <w:r>
        <w:rPr>
          <w:rFonts w:hint="eastAsia" w:ascii="宋体" w:hAnsi="宋体"/>
          <w:b/>
          <w:bCs/>
          <w:sz w:val="24"/>
        </w:rPr>
        <w:t>，</w:t>
      </w:r>
      <w:r>
        <w:rPr>
          <w:rFonts w:hint="eastAsia" w:ascii="宋体" w:hAnsi="宋体"/>
          <w:b/>
          <w:bCs/>
          <w:sz w:val="24"/>
          <w:lang w:val="zh-CN"/>
        </w:rPr>
        <w:t>最终报价不得高于初次报价，否则将导致无效标。（磋商文件的采购需求发生实质性变动的情况除外）。</w:t>
      </w:r>
      <w:r>
        <w:rPr>
          <w:rFonts w:hint="eastAsia" w:ascii="宋体" w:hAnsi="宋体"/>
          <w:b/>
          <w:bCs/>
          <w:sz w:val="24"/>
          <w:lang w:val="zh-CN"/>
        </w:rPr>
        <w:fldChar w:fldCharType="end"/>
      </w:r>
    </w:p>
    <w:p>
      <w:pPr>
        <w:spacing w:line="460" w:lineRule="exact"/>
        <w:ind w:firstLine="482" w:firstLineChars="200"/>
        <w:rPr>
          <w:rFonts w:ascii="宋体" w:hAnsi="宋体"/>
          <w:b/>
          <w:bCs/>
          <w:sz w:val="24"/>
          <w:u w:val="single"/>
        </w:rPr>
      </w:pPr>
      <w:r>
        <w:rPr>
          <w:rFonts w:hint="eastAsia" w:ascii="宋体" w:hAnsi="宋体"/>
          <w:b/>
          <w:bCs/>
          <w:sz w:val="24"/>
        </w:rPr>
        <w:fldChar w:fldCharType="begin"/>
      </w:r>
      <w:r>
        <w:rPr>
          <w:rFonts w:hint="eastAsia" w:ascii="宋体" w:hAnsi="宋体"/>
          <w:b/>
          <w:bCs/>
          <w:sz w:val="24"/>
        </w:rPr>
        <w:instrText xml:space="preserve"> = 3 \* GB3 \* MERGEFORMAT </w:instrText>
      </w:r>
      <w:r>
        <w:rPr>
          <w:rFonts w:hint="eastAsia" w:ascii="宋体" w:hAnsi="宋体"/>
          <w:b/>
          <w:bCs/>
          <w:sz w:val="24"/>
        </w:rPr>
        <w:fldChar w:fldCharType="separate"/>
      </w:r>
      <w:r>
        <w:rPr>
          <w:rFonts w:hint="eastAsia" w:ascii="宋体" w:hAnsi="宋体"/>
          <w:b/>
          <w:bCs/>
          <w:sz w:val="24"/>
        </w:rPr>
        <w:t>③</w:t>
      </w:r>
      <w:r>
        <w:rPr>
          <w:rFonts w:hint="eastAsia" w:ascii="宋体" w:hAnsi="宋体"/>
          <w:b/>
          <w:bCs/>
          <w:sz w:val="24"/>
        </w:rPr>
        <w:fldChar w:fldCharType="end"/>
      </w:r>
      <w:r>
        <w:rPr>
          <w:rFonts w:hint="eastAsia" w:ascii="宋体" w:hAnsi="宋体"/>
          <w:b/>
          <w:bCs/>
          <w:sz w:val="24"/>
          <w:u w:val="single"/>
        </w:rPr>
        <w:t>各供应商针对本项目最终报价工作应当事先作好充分准备，以避免在规定时间内未能完成最终报价，在规定时间内未能提完成最终报价的作无效标处理。</w:t>
      </w:r>
    </w:p>
    <w:p>
      <w:pPr>
        <w:spacing w:line="460" w:lineRule="exact"/>
        <w:ind w:firstLine="482" w:firstLineChars="200"/>
        <w:rPr>
          <w:lang w:val="zh-CN"/>
        </w:rPr>
      </w:pPr>
      <w:r>
        <w:rPr>
          <w:rFonts w:hint="eastAsia" w:ascii="宋体" w:hAnsi="宋体"/>
          <w:b/>
          <w:bCs/>
          <w:sz w:val="24"/>
          <w:u w:val="single"/>
        </w:rPr>
        <w:t>④报价明细表中的最终单价根据初次总报价和最后总报价之间的下浮率作相应的下浮。</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（二）磋商响应文件的制作及递交要求</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1、磋商响应文件的制作要求</w:t>
      </w:r>
    </w:p>
    <w:p>
      <w:pPr>
        <w:spacing w:line="360" w:lineRule="auto"/>
        <w:ind w:firstLine="480" w:firstLineChars="200"/>
        <w:rPr>
          <w:rFonts w:ascii="宋体" w:hAnsi="宋体" w:cs="宋体"/>
          <w:sz w:val="24"/>
          <w:szCs w:val="32"/>
        </w:rPr>
      </w:pPr>
      <w:r>
        <w:rPr>
          <w:rFonts w:hint="eastAsia" w:ascii="宋体" w:hAnsi="宋体" w:cs="宋体"/>
          <w:sz w:val="24"/>
          <w:szCs w:val="32"/>
        </w:rPr>
        <w:t>（1）本项目通过“政府采购云平台（www.zcygov.cn）”实行在线投标响应（电子投标）。供应商应通过“政采云电子交易客户端”，并按照本招标文件和“政府采购云平台”的要求编制并加密投标文件。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80" w:firstLineChars="200"/>
        <w:rPr>
          <w:rFonts w:ascii="宋体" w:hAnsi="宋体" w:cs="宋体"/>
          <w:sz w:val="24"/>
          <w:szCs w:val="32"/>
        </w:rPr>
      </w:pPr>
      <w:r>
        <w:rPr>
          <w:rFonts w:hint="eastAsia" w:ascii="宋体" w:hAnsi="宋体" w:cs="宋体"/>
          <w:sz w:val="24"/>
          <w:szCs w:val="32"/>
        </w:rPr>
        <w:t>（2）投标供应商应当按照本章节 “投标文件组成”规定的内容及顺序在“政采云电子交易客户端”编制投标文件。</w:t>
      </w:r>
    </w:p>
    <w:p>
      <w:pPr>
        <w:spacing w:line="360" w:lineRule="auto"/>
        <w:ind w:firstLine="480" w:firstLineChars="200"/>
        <w:rPr>
          <w:rFonts w:ascii="宋体" w:hAnsi="宋体" w:cs="宋体"/>
          <w:sz w:val="24"/>
          <w:szCs w:val="32"/>
        </w:rPr>
      </w:pPr>
      <w:r>
        <w:rPr>
          <w:rFonts w:hint="eastAsia" w:ascii="宋体" w:hAnsi="宋体" w:cs="宋体"/>
          <w:sz w:val="24"/>
          <w:szCs w:val="32"/>
        </w:rPr>
        <w:t>（3）本文件中有提供格式的，投标供应商须参照格式进行编制（格式中要求提供相关证明材料的还需后附相关证明材料），并按格式要求在指定位置根据要求进行电子签章，否则视为未提供；</w:t>
      </w:r>
      <w:r>
        <w:rPr>
          <w:rFonts w:hint="eastAsia" w:ascii="宋体" w:cs="宋体"/>
          <w:b/>
          <w:sz w:val="24"/>
        </w:rPr>
        <w:t>▲如该文件未提供将影响投标有效性的，则视为投标无效；</w:t>
      </w:r>
      <w:r>
        <w:rPr>
          <w:rFonts w:hint="eastAsia" w:ascii="宋体" w:hAnsi="宋体" w:cs="宋体"/>
          <w:sz w:val="24"/>
          <w:szCs w:val="32"/>
        </w:rPr>
        <w:t>本文件中未提供格式的，请各投标单位自行拟定格式。</w:t>
      </w:r>
    </w:p>
    <w:p>
      <w:pPr>
        <w:spacing w:line="360" w:lineRule="auto"/>
        <w:ind w:firstLine="480" w:firstLineChars="200"/>
        <w:rPr>
          <w:rFonts w:ascii="宋体" w:hAnsi="宋体" w:cs="宋体"/>
          <w:sz w:val="24"/>
          <w:szCs w:val="32"/>
          <w:lang w:val="zh-CN"/>
        </w:rPr>
      </w:pPr>
      <w:r>
        <w:rPr>
          <w:rFonts w:hint="eastAsia" w:ascii="宋体" w:hAnsi="宋体" w:cs="宋体"/>
          <w:sz w:val="24"/>
          <w:szCs w:val="32"/>
        </w:rPr>
        <w:t>（4）供应商应对所提供的全部资料的真实性承担法律责任。</w:t>
      </w:r>
    </w:p>
    <w:p>
      <w:pPr>
        <w:spacing w:line="360" w:lineRule="auto"/>
        <w:ind w:firstLine="480" w:firstLineChars="200"/>
        <w:rPr>
          <w:rFonts w:ascii="宋体" w:hAnsi="宋体" w:cs="宋体"/>
          <w:sz w:val="24"/>
          <w:szCs w:val="32"/>
        </w:rPr>
      </w:pPr>
      <w:r>
        <w:rPr>
          <w:rFonts w:hint="eastAsia" w:ascii="宋体" w:hAnsi="宋体" w:cs="宋体"/>
          <w:sz w:val="24"/>
          <w:szCs w:val="32"/>
          <w:lang w:val="zh-CN"/>
        </w:rPr>
        <w:t>（</w:t>
      </w:r>
      <w:r>
        <w:rPr>
          <w:rFonts w:hint="eastAsia" w:ascii="宋体" w:hAnsi="宋体" w:cs="宋体"/>
          <w:sz w:val="24"/>
          <w:szCs w:val="32"/>
        </w:rPr>
        <w:t>5</w:t>
      </w:r>
      <w:r>
        <w:rPr>
          <w:rFonts w:hint="eastAsia" w:ascii="宋体" w:hAnsi="宋体" w:cs="宋体"/>
          <w:sz w:val="24"/>
          <w:szCs w:val="32"/>
          <w:lang w:val="zh-CN"/>
        </w:rPr>
        <w:t>）</w:t>
      </w:r>
      <w:r>
        <w:rPr>
          <w:rFonts w:hint="eastAsia" w:ascii="宋体" w:hAnsi="宋体" w:cs="宋体"/>
          <w:sz w:val="24"/>
          <w:szCs w:val="32"/>
        </w:rPr>
        <w:t>磋商响应文件以及磋商供应商与采购组织机构就有关磋商事宜的所有来往函电，均应以中文汉语书写。</w:t>
      </w:r>
      <w:r>
        <w:rPr>
          <w:rFonts w:hint="eastAsia" w:ascii="宋体" w:hAnsi="宋体" w:cs="Arial"/>
          <w:sz w:val="24"/>
        </w:rPr>
        <w:t>▲</w:t>
      </w:r>
      <w:r>
        <w:rPr>
          <w:rFonts w:hint="eastAsia" w:ascii="宋体" w:hAnsi="宋体" w:cs="宋体"/>
          <w:sz w:val="24"/>
          <w:szCs w:val="32"/>
        </w:rPr>
        <w:t>除签字、盖章、专用名称等特殊情形外，以中文汉语以外的文字表述的磋商响应文件视同未提供</w:t>
      </w:r>
      <w:r>
        <w:rPr>
          <w:rFonts w:ascii="宋体"/>
          <w:sz w:val="24"/>
        </w:rPr>
        <w:t>，如该文件未提供将影响投标有效性的，则视为投标无效</w:t>
      </w: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（6）</w:t>
      </w:r>
      <w:r>
        <w:rPr>
          <w:rFonts w:hint="eastAsia" w:ascii="宋体" w:hAnsi="宋体" w:cs="Arial"/>
          <w:sz w:val="24"/>
        </w:rPr>
        <w:t>▲</w:t>
      </w:r>
      <w:r>
        <w:rPr>
          <w:rFonts w:hint="eastAsia" w:ascii="宋体" w:hAnsi="宋体" w:cs="宋体"/>
          <w:sz w:val="24"/>
          <w:szCs w:val="32"/>
        </w:rPr>
        <w:t>磋商计量单位，磋商采购文件已有明确规定的，使用磋商采购文件规定的计量单位；磋商采购文件没有规定的，应采用中华人民共和国法定计量单位（货币单位：人民币元），否则视同未响应。</w:t>
      </w:r>
    </w:p>
    <w:p>
      <w:pPr>
        <w:spacing w:line="360" w:lineRule="auto"/>
        <w:ind w:firstLine="480" w:firstLineChars="200"/>
        <w:rPr>
          <w:rFonts w:ascii="宋体" w:hAnsi="宋体" w:cs="宋体"/>
          <w:sz w:val="24"/>
          <w:szCs w:val="32"/>
        </w:rPr>
      </w:pPr>
      <w:r>
        <w:rPr>
          <w:rFonts w:hint="eastAsia" w:ascii="宋体" w:hAnsi="宋体" w:cs="宋体"/>
          <w:sz w:val="24"/>
          <w:szCs w:val="32"/>
        </w:rPr>
        <w:t>（7）若磋商供应商不按采购文件的要求提供资格审查材料，其风险由磋商供应商自行承担。</w:t>
      </w:r>
    </w:p>
    <w:p>
      <w:pPr>
        <w:spacing w:line="360" w:lineRule="auto"/>
        <w:ind w:firstLine="480" w:firstLineChars="200"/>
        <w:rPr>
          <w:rFonts w:ascii="宋体" w:hAnsi="宋体" w:cs="宋体"/>
          <w:b/>
          <w:bCs/>
          <w:sz w:val="24"/>
          <w:szCs w:val="32"/>
        </w:rPr>
      </w:pPr>
      <w:r>
        <w:rPr>
          <w:rFonts w:hint="eastAsia" w:ascii="宋体" w:hAnsi="宋体" w:cs="宋体"/>
          <w:sz w:val="24"/>
          <w:szCs w:val="32"/>
        </w:rPr>
        <w:t>（8）与本次磋商无关的内容请不要制作在内，确保磋商响应文件有针对性、简洁明了。</w:t>
      </w:r>
    </w:p>
    <w:p>
      <w:pPr>
        <w:spacing w:line="360" w:lineRule="auto"/>
        <w:ind w:firstLine="480" w:firstLineChars="200"/>
        <w:rPr>
          <w:rFonts w:ascii="宋体" w:hAnsi="宋体" w:cs="宋体"/>
          <w:sz w:val="24"/>
          <w:szCs w:val="32"/>
        </w:rPr>
      </w:pPr>
      <w:r>
        <w:rPr>
          <w:rFonts w:hint="eastAsia" w:ascii="宋体" w:hAnsi="宋体" w:cs="宋体"/>
          <w:sz w:val="24"/>
          <w:szCs w:val="32"/>
        </w:rPr>
        <w:t>（9）电子磋商响应文件如内容不完整、编排混乱导致磋商响应文件被误读、漏读，或者在按磋商文件规定的部位查找不到相关内容的，由磋商供应商自行承担。</w:t>
      </w:r>
    </w:p>
    <w:p>
      <w:pPr>
        <w:spacing w:line="360" w:lineRule="auto"/>
        <w:ind w:firstLine="480" w:firstLineChars="200"/>
        <w:rPr>
          <w:rFonts w:ascii="宋体" w:hAnsi="宋体" w:cs="宋体"/>
          <w:sz w:val="24"/>
          <w:szCs w:val="32"/>
        </w:rPr>
      </w:pPr>
      <w:r>
        <w:rPr>
          <w:rFonts w:hint="eastAsia" w:ascii="宋体" w:hAnsi="宋体" w:cs="宋体"/>
          <w:sz w:val="24"/>
          <w:szCs w:val="32"/>
        </w:rPr>
        <w:t>（10）磋商供应商根据“政采云供应商项目采购-电子招投标操作指南”及本磋商文件规定的格式和顺序编制电子磋商响应文件,建议关联定位，以便磋商小组在评审时，点击评分项可直接定位到该评分项内容。如对磋商文件的某项要求，磋商供应商的电子磋商响应文件未能关联定位提供相应的内容与其对应，则磋商小组在评审时如做出对磋商供应商不利的评审由磋商供应商自行承担。</w:t>
      </w:r>
    </w:p>
    <w:p>
      <w:pPr>
        <w:autoSpaceDE w:val="0"/>
        <w:autoSpaceDN w:val="0"/>
        <w:adjustRightInd w:val="0"/>
        <w:spacing w:line="360" w:lineRule="auto"/>
        <w:ind w:firstLine="480"/>
        <w:rPr>
          <w:rFonts w:ascii="宋体" w:hAnsi="宋体"/>
          <w:sz w:val="24"/>
        </w:rPr>
      </w:pPr>
      <w:r>
        <w:rPr>
          <w:rFonts w:hint="eastAsia" w:ascii="宋体" w:hAnsi="宋体"/>
          <w:b/>
          <w:bCs/>
          <w:sz w:val="24"/>
        </w:rPr>
        <w:t>2、投标文件的签章</w:t>
      </w:r>
    </w:p>
    <w:p>
      <w:pPr>
        <w:spacing w:line="360" w:lineRule="auto"/>
        <w:ind w:firstLine="460" w:firstLineChars="192"/>
        <w:rPr>
          <w:rFonts w:ascii="宋体" w:hAnsi="宋体" w:cs="Arial"/>
          <w:bCs/>
          <w:kern w:val="0"/>
          <w:sz w:val="24"/>
        </w:rPr>
      </w:pPr>
      <w:r>
        <w:rPr>
          <w:rFonts w:hint="eastAsia" w:ascii="宋体" w:hAnsi="宋体" w:cs="Arial"/>
          <w:bCs/>
          <w:kern w:val="0"/>
          <w:sz w:val="24"/>
        </w:rPr>
        <w:t>（1）《</w:t>
      </w:r>
      <w:r>
        <w:rPr>
          <w:rFonts w:ascii="宋体" w:hAnsi="宋体" w:cs="Arial"/>
          <w:bCs/>
          <w:kern w:val="0"/>
          <w:sz w:val="24"/>
        </w:rPr>
        <w:t>投标文件</w:t>
      </w:r>
      <w:r>
        <w:rPr>
          <w:rFonts w:hint="eastAsia" w:ascii="宋体" w:hAnsi="宋体" w:cs="Arial"/>
          <w:bCs/>
          <w:kern w:val="0"/>
          <w:sz w:val="24"/>
        </w:rPr>
        <w:t>》的签章：</w:t>
      </w:r>
      <w:r>
        <w:rPr>
          <w:rFonts w:hint="eastAsia" w:ascii="宋体" w:hAnsi="宋体"/>
          <w:bCs/>
          <w:sz w:val="24"/>
        </w:rPr>
        <w:t>见《前附表》；</w:t>
      </w:r>
    </w:p>
    <w:p>
      <w:pPr>
        <w:spacing w:line="360" w:lineRule="auto"/>
        <w:ind w:firstLine="460" w:firstLineChars="192"/>
        <w:rPr>
          <w:rFonts w:ascii="宋体" w:hAnsi="宋体" w:cs="Arial"/>
          <w:bCs/>
          <w:kern w:val="0"/>
          <w:sz w:val="24"/>
        </w:rPr>
      </w:pPr>
      <w:r>
        <w:rPr>
          <w:rFonts w:hint="eastAsia" w:ascii="宋体" w:hAnsi="宋体" w:cs="Arial"/>
          <w:bCs/>
          <w:kern w:val="0"/>
          <w:sz w:val="24"/>
        </w:rPr>
        <w:t>（2）《</w:t>
      </w:r>
      <w:r>
        <w:rPr>
          <w:rFonts w:ascii="宋体" w:hAnsi="宋体" w:cs="Arial"/>
          <w:bCs/>
          <w:kern w:val="0"/>
          <w:sz w:val="24"/>
        </w:rPr>
        <w:t>投标文件</w:t>
      </w:r>
      <w:r>
        <w:rPr>
          <w:rFonts w:hint="eastAsia" w:ascii="宋体" w:hAnsi="宋体" w:cs="Arial"/>
          <w:bCs/>
          <w:kern w:val="0"/>
          <w:sz w:val="24"/>
        </w:rPr>
        <w:t>》应由投标供应商法定代表人或其授权代表签字（或签章），并加盖投标供应商公章。</w:t>
      </w:r>
    </w:p>
    <w:p>
      <w:pPr>
        <w:autoSpaceDE w:val="0"/>
        <w:autoSpaceDN w:val="0"/>
        <w:adjustRightInd w:val="0"/>
        <w:spacing w:line="360" w:lineRule="auto"/>
        <w:ind w:firstLine="480"/>
        <w:rPr>
          <w:rFonts w:ascii="宋体" w:hAnsi="宋体" w:cs="Arial"/>
          <w:bCs/>
          <w:sz w:val="24"/>
        </w:rPr>
      </w:pPr>
      <w:r>
        <w:rPr>
          <w:rFonts w:hint="eastAsia" w:ascii="宋体" w:hAnsi="宋体" w:cs="Arial"/>
          <w:bCs/>
          <w:kern w:val="0"/>
          <w:sz w:val="24"/>
        </w:rPr>
        <w:t>（</w:t>
      </w:r>
      <w:r>
        <w:rPr>
          <w:rFonts w:ascii="宋体" w:hAnsi="宋体" w:cs="Arial"/>
          <w:bCs/>
          <w:kern w:val="0"/>
          <w:sz w:val="24"/>
        </w:rPr>
        <w:t>3</w:t>
      </w:r>
      <w:r>
        <w:rPr>
          <w:rFonts w:hint="eastAsia" w:ascii="宋体" w:hAnsi="宋体" w:cs="Arial"/>
          <w:bCs/>
          <w:kern w:val="0"/>
          <w:sz w:val="24"/>
        </w:rPr>
        <w:t>）电子签章操作指南详见</w:t>
      </w:r>
      <w:r>
        <w:rPr>
          <w:rFonts w:hint="eastAsia" w:ascii="宋体" w:hAnsi="宋体" w:cs="Arial"/>
          <w:bCs/>
          <w:sz w:val="24"/>
        </w:rPr>
        <w:t>《供应商项目采购-电子招投标操作指南》。</w:t>
      </w:r>
    </w:p>
    <w:p>
      <w:pPr>
        <w:spacing w:line="360" w:lineRule="auto"/>
        <w:ind w:firstLine="480" w:firstLineChars="200"/>
        <w:rPr>
          <w:rFonts w:ascii="宋体" w:hAnsi="宋体" w:cs="宋体"/>
          <w:sz w:val="24"/>
          <w:szCs w:val="32"/>
        </w:rPr>
      </w:pPr>
      <w:r>
        <w:rPr>
          <w:rFonts w:hint="eastAsia" w:ascii="宋体" w:hAnsi="宋体" w:cs="宋体"/>
          <w:sz w:val="24"/>
          <w:szCs w:val="32"/>
        </w:rPr>
        <w:t>（4）CA签章上目前没有法人或授权代表签字信息，需要磋商供应商联系</w:t>
      </w:r>
      <w:r>
        <w:rPr>
          <w:rFonts w:hint="eastAsia" w:ascii="宋体" w:hAnsi="宋体" w:cs="宋体"/>
          <w:b/>
          <w:bCs/>
          <w:sz w:val="24"/>
          <w:szCs w:val="32"/>
        </w:rPr>
        <w:t>浙江杭州汇信科技有限公司（400-8884636）</w:t>
      </w:r>
      <w:r>
        <w:rPr>
          <w:rFonts w:hint="eastAsia" w:ascii="宋体" w:hAnsi="宋体" w:cs="宋体"/>
          <w:sz w:val="24"/>
          <w:szCs w:val="32"/>
        </w:rPr>
        <w:t>等相应公司进行办理，或在磋商响应文件中涉及到签字的位置线下签好字然后扫描或者拍照做成PDF的格式亦可。</w:t>
      </w:r>
    </w:p>
    <w:p>
      <w:pPr>
        <w:autoSpaceDE w:val="0"/>
        <w:autoSpaceDN w:val="0"/>
        <w:adjustRightInd w:val="0"/>
        <w:spacing w:line="360" w:lineRule="auto"/>
        <w:ind w:firstLine="480"/>
        <w:rPr>
          <w:rFonts w:ascii="宋体" w:hAnsi="宋体"/>
          <w:b/>
          <w:kern w:val="0"/>
          <w:sz w:val="24"/>
        </w:rPr>
      </w:pPr>
      <w:r>
        <w:rPr>
          <w:rFonts w:hint="eastAsia" w:ascii="宋体" w:hAnsi="宋体"/>
          <w:b/>
          <w:kern w:val="0"/>
          <w:sz w:val="24"/>
        </w:rPr>
        <w:t>3、投标文件的形式</w:t>
      </w:r>
    </w:p>
    <w:p>
      <w:pPr>
        <w:spacing w:line="360" w:lineRule="auto"/>
        <w:ind w:firstLine="422" w:firstLineChars="176"/>
        <w:rPr>
          <w:rFonts w:ascii="宋体" w:hAnsi="宋体" w:cs="Arial"/>
          <w:bCs/>
          <w:sz w:val="24"/>
        </w:rPr>
      </w:pPr>
      <w:r>
        <w:rPr>
          <w:rFonts w:hint="eastAsia" w:ascii="宋体" w:hAnsi="宋体" w:cs="Arial"/>
          <w:bCs/>
          <w:sz w:val="24"/>
        </w:rPr>
        <w:t>（1）投标文件的形式：</w:t>
      </w:r>
      <w:r>
        <w:rPr>
          <w:rFonts w:hint="eastAsia" w:ascii="宋体" w:hAnsi="宋体"/>
          <w:bCs/>
          <w:sz w:val="24"/>
        </w:rPr>
        <w:t>见《前附表》；</w:t>
      </w:r>
    </w:p>
    <w:p>
      <w:pPr>
        <w:spacing w:line="360" w:lineRule="auto"/>
        <w:ind w:firstLine="422" w:firstLineChars="176"/>
        <w:rPr>
          <w:rFonts w:ascii="宋体" w:hAnsi="宋体" w:cs="Arial"/>
          <w:bCs/>
          <w:sz w:val="24"/>
        </w:rPr>
      </w:pPr>
      <w:r>
        <w:rPr>
          <w:rFonts w:hint="eastAsia" w:ascii="宋体" w:hAnsi="宋体" w:cs="Arial"/>
          <w:bCs/>
          <w:sz w:val="24"/>
        </w:rPr>
        <w:t>（2）“电子加密投标文件”：“电子加密投标文件”是指通过“政采云电子交易客户端”完成投标文件编制后生成并加密的数据电文形式的投标文件。</w:t>
      </w:r>
    </w:p>
    <w:p>
      <w:pPr>
        <w:autoSpaceDE w:val="0"/>
        <w:autoSpaceDN w:val="0"/>
        <w:adjustRightInd w:val="0"/>
        <w:spacing w:line="360" w:lineRule="auto"/>
        <w:ind w:firstLine="480"/>
        <w:rPr>
          <w:rFonts w:ascii="宋体" w:hAnsi="宋体" w:cs="Arial"/>
          <w:bCs/>
          <w:sz w:val="24"/>
        </w:rPr>
      </w:pPr>
      <w:r>
        <w:rPr>
          <w:rFonts w:hint="eastAsia" w:ascii="宋体" w:hAnsi="宋体" w:cs="Arial"/>
          <w:bCs/>
          <w:sz w:val="24"/>
        </w:rPr>
        <w:t>（3）“备份投标文件”：“备份投标文件”是指与“电子加密投标文件”同时生成的数据电文形式的电子文件（备份标书），其他方式编制的“备份投标文件”视为无效的“备份投标文件”。</w:t>
      </w:r>
    </w:p>
    <w:p>
      <w:pPr>
        <w:autoSpaceDE w:val="0"/>
        <w:autoSpaceDN w:val="0"/>
        <w:adjustRightInd w:val="0"/>
        <w:spacing w:line="360" w:lineRule="auto"/>
        <w:ind w:firstLine="480"/>
        <w:rPr>
          <w:rFonts w:ascii="宋体" w:hAnsi="宋体"/>
          <w:b/>
          <w:kern w:val="0"/>
          <w:sz w:val="24"/>
        </w:rPr>
      </w:pPr>
      <w:r>
        <w:rPr>
          <w:rFonts w:hint="eastAsia" w:ascii="宋体" w:hAnsi="宋体"/>
          <w:b/>
          <w:kern w:val="0"/>
          <w:sz w:val="24"/>
        </w:rPr>
        <w:t>4、投标文件的份数</w:t>
      </w:r>
    </w:p>
    <w:p>
      <w:pPr>
        <w:autoSpaceDE w:val="0"/>
        <w:autoSpaceDN w:val="0"/>
        <w:adjustRightInd w:val="0"/>
        <w:spacing w:line="360" w:lineRule="auto"/>
        <w:ind w:firstLine="480"/>
        <w:rPr>
          <w:rFonts w:ascii="宋体" w:hAnsi="宋体"/>
          <w:bCs/>
          <w:kern w:val="0"/>
          <w:sz w:val="24"/>
        </w:rPr>
      </w:pPr>
      <w:r>
        <w:rPr>
          <w:rFonts w:hint="eastAsia" w:ascii="宋体" w:hAnsi="宋体"/>
          <w:bCs/>
          <w:kern w:val="0"/>
          <w:sz w:val="24"/>
        </w:rPr>
        <w:t>（1）投标文件的份数：见《前附表》。</w:t>
      </w:r>
    </w:p>
    <w:p>
      <w:pPr>
        <w:tabs>
          <w:tab w:val="left" w:pos="1898"/>
        </w:tabs>
        <w:autoSpaceDE w:val="0"/>
        <w:autoSpaceDN w:val="0"/>
        <w:adjustRightInd w:val="0"/>
        <w:spacing w:line="360" w:lineRule="auto"/>
        <w:ind w:firstLine="482" w:firstLineChars="200"/>
        <w:rPr>
          <w:rFonts w:ascii="宋体" w:hAnsi="宋体"/>
          <w:b/>
          <w:kern w:val="0"/>
          <w:sz w:val="24"/>
        </w:rPr>
      </w:pPr>
      <w:r>
        <w:rPr>
          <w:rFonts w:ascii="宋体" w:hAnsi="宋体"/>
          <w:b/>
          <w:kern w:val="0"/>
          <w:sz w:val="24"/>
        </w:rPr>
        <w:t>5</w:t>
      </w:r>
      <w:r>
        <w:rPr>
          <w:rFonts w:hint="eastAsia" w:ascii="宋体" w:hAnsi="宋体"/>
          <w:b/>
          <w:kern w:val="0"/>
          <w:sz w:val="24"/>
        </w:rPr>
        <w:t>、磋商响应文件的补充、修改和撤回。</w:t>
      </w:r>
    </w:p>
    <w:p>
      <w:pPr>
        <w:tabs>
          <w:tab w:val="left" w:pos="960"/>
          <w:tab w:val="left" w:pos="1418"/>
        </w:tabs>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w:t>
      </w:r>
      <w:r>
        <w:rPr>
          <w:rFonts w:hint="eastAsia" w:ascii="宋体" w:hAnsi="宋体" w:cs="Arial"/>
          <w:sz w:val="24"/>
        </w:rPr>
        <w:t>▲</w:t>
      </w:r>
      <w:r>
        <w:rPr>
          <w:rFonts w:hint="eastAsia" w:ascii="宋体" w:hAnsi="宋体"/>
          <w:kern w:val="0"/>
          <w:sz w:val="24"/>
        </w:rPr>
        <w:t>投标截止时间后递交的投标文件，“政府采购云平台”将予以拒收。</w:t>
      </w:r>
    </w:p>
    <w:p>
      <w:pPr>
        <w:numPr>
          <w:ilvl w:val="0"/>
          <w:numId w:val="5"/>
        </w:numPr>
        <w:tabs>
          <w:tab w:val="left" w:pos="1418"/>
        </w:tabs>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投标截止时间后，投标供应商不得撤回、修改《投标文件》。</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（三）磋商响应文件的有效期</w:t>
      </w:r>
    </w:p>
    <w:p>
      <w:pPr>
        <w:spacing w:line="360" w:lineRule="auto"/>
        <w:ind w:firstLine="480" w:firstLineChars="200"/>
        <w:rPr>
          <w:rFonts w:ascii="宋体" w:hAnsi="宋体" w:cs="宋体"/>
          <w:sz w:val="24"/>
          <w:szCs w:val="32"/>
          <w:lang w:val="en-GB"/>
        </w:rPr>
      </w:pPr>
      <w:r>
        <w:rPr>
          <w:rFonts w:hint="eastAsia" w:ascii="宋体" w:hAnsi="宋体" w:cs="宋体"/>
          <w:sz w:val="24"/>
          <w:szCs w:val="32"/>
        </w:rPr>
        <w:t>1.</w:t>
      </w:r>
      <w:r>
        <w:rPr>
          <w:rFonts w:hint="eastAsia" w:ascii="宋体" w:hAnsi="宋体" w:cs="Arial"/>
          <w:sz w:val="24"/>
        </w:rPr>
        <w:t>▲</w:t>
      </w:r>
      <w:r>
        <w:rPr>
          <w:rFonts w:hint="eastAsia" w:ascii="宋体" w:hAnsi="宋体" w:cs="宋体"/>
          <w:sz w:val="24"/>
          <w:szCs w:val="32"/>
          <w:lang w:val="en-GB"/>
        </w:rPr>
        <w:t>自响应文件递交截止日起90天磋商响应文件应保持有效。</w:t>
      </w:r>
    </w:p>
    <w:p>
      <w:pPr>
        <w:spacing w:line="360" w:lineRule="auto"/>
        <w:ind w:firstLine="480" w:firstLineChars="200"/>
        <w:rPr>
          <w:rFonts w:ascii="宋体" w:hAnsi="宋体" w:cs="宋体"/>
          <w:sz w:val="24"/>
          <w:szCs w:val="32"/>
          <w:lang w:val="en-GB"/>
        </w:rPr>
      </w:pPr>
      <w:r>
        <w:rPr>
          <w:rFonts w:hint="eastAsia" w:ascii="宋体" w:hAnsi="宋体" w:cs="宋体"/>
          <w:sz w:val="24"/>
          <w:szCs w:val="32"/>
          <w:lang w:val="en-GB"/>
        </w:rPr>
        <w:t>2.在特殊情况下，采购人可与磋商供应商协商延长磋商响应文件的有效期，这种要求和答复均以书面形式进行。</w:t>
      </w:r>
    </w:p>
    <w:p>
      <w:pPr>
        <w:spacing w:line="360" w:lineRule="auto"/>
        <w:ind w:firstLine="480" w:firstLineChars="200"/>
        <w:rPr>
          <w:rFonts w:ascii="宋体" w:hAnsi="宋体" w:cs="宋体"/>
          <w:sz w:val="24"/>
          <w:szCs w:val="32"/>
          <w:lang w:val="en-GB"/>
        </w:rPr>
      </w:pPr>
      <w:r>
        <w:rPr>
          <w:rFonts w:hint="eastAsia" w:ascii="宋体" w:hAnsi="宋体" w:cs="宋体"/>
          <w:sz w:val="24"/>
          <w:szCs w:val="32"/>
          <w:lang w:val="en-GB"/>
        </w:rPr>
        <w:t>3.磋商供应商可拒绝接受延期要求。同意延长有效期的磋商供应商不能修改磋商响应文件。</w:t>
      </w:r>
    </w:p>
    <w:p>
      <w:pPr>
        <w:spacing w:line="360" w:lineRule="auto"/>
        <w:ind w:firstLine="480" w:firstLineChars="200"/>
        <w:rPr>
          <w:rFonts w:ascii="宋体" w:hAnsi="宋体" w:cs="宋体"/>
          <w:sz w:val="24"/>
          <w:szCs w:val="32"/>
          <w:lang w:val="en-GB"/>
        </w:rPr>
      </w:pPr>
      <w:r>
        <w:rPr>
          <w:rFonts w:hint="eastAsia" w:ascii="宋体" w:hAnsi="宋体" w:cs="宋体"/>
          <w:sz w:val="24"/>
          <w:szCs w:val="32"/>
        </w:rPr>
        <w:t>4</w:t>
      </w:r>
      <w:r>
        <w:rPr>
          <w:rFonts w:hint="eastAsia" w:ascii="宋体" w:hAnsi="宋体" w:cs="宋体"/>
          <w:sz w:val="24"/>
          <w:szCs w:val="32"/>
          <w:lang w:val="en-GB"/>
        </w:rPr>
        <w:t>.</w:t>
      </w:r>
      <w:r>
        <w:rPr>
          <w:rFonts w:hint="eastAsia" w:ascii="宋体" w:hAnsi="宋体" w:cs="Arial"/>
          <w:sz w:val="24"/>
        </w:rPr>
        <w:t>▲</w:t>
      </w:r>
      <w:r>
        <w:rPr>
          <w:rFonts w:hint="eastAsia" w:ascii="宋体" w:hAnsi="宋体" w:cs="宋体"/>
          <w:sz w:val="24"/>
          <w:szCs w:val="32"/>
          <w:lang w:val="en-GB"/>
        </w:rPr>
        <w:t>成交供应商的磋商响应文件自磋商之日起至合同履行完毕均应保持有效。</w:t>
      </w:r>
    </w:p>
    <w:p>
      <w:pPr>
        <w:spacing w:line="360" w:lineRule="auto"/>
        <w:ind w:firstLine="482" w:firstLineChars="200"/>
        <w:outlineLvl w:val="2"/>
        <w:rPr>
          <w:rFonts w:ascii="宋体" w:hAnsi="宋体" w:cs="宋体"/>
          <w:b/>
          <w:bCs/>
          <w:sz w:val="24"/>
          <w:szCs w:val="32"/>
          <w:lang w:val="en-GB"/>
        </w:rPr>
      </w:pPr>
      <w:r>
        <w:rPr>
          <w:rFonts w:hint="eastAsia" w:ascii="宋体" w:hAnsi="宋体" w:cs="宋体"/>
          <w:b/>
          <w:bCs/>
          <w:sz w:val="24"/>
          <w:szCs w:val="32"/>
          <w:lang w:val="en-GB"/>
        </w:rPr>
        <w:t>（四）投标文件的备选方案</w:t>
      </w:r>
    </w:p>
    <w:p>
      <w:pPr>
        <w:spacing w:line="360" w:lineRule="auto"/>
        <w:ind w:firstLine="480" w:firstLineChars="200"/>
        <w:rPr>
          <w:rFonts w:ascii="宋体" w:hAnsi="宋体" w:cs="宋体"/>
          <w:sz w:val="24"/>
          <w:szCs w:val="32"/>
          <w:lang w:val="en-GB"/>
        </w:rPr>
      </w:pPr>
      <w:r>
        <w:rPr>
          <w:rFonts w:hint="eastAsia" w:ascii="宋体" w:hAnsi="宋体" w:cs="Arial"/>
          <w:sz w:val="24"/>
        </w:rPr>
        <w:t>▲</w:t>
      </w:r>
      <w:r>
        <w:rPr>
          <w:rFonts w:hint="eastAsia" w:ascii="宋体" w:hAnsi="宋体" w:cs="宋体"/>
          <w:sz w:val="24"/>
          <w:szCs w:val="32"/>
          <w:lang w:val="en-GB"/>
        </w:rPr>
        <w:t>1、投标供应商不得递交任何的投标备选（替代）方案，否则其投标文件将作无效标处理。与“电子加密投标文件”同时生成的“备份投标文件”不是投标备选（替代）方案。</w:t>
      </w:r>
    </w:p>
    <w:p>
      <w:pPr>
        <w:spacing w:line="360" w:lineRule="auto"/>
        <w:ind w:firstLine="482" w:firstLineChars="200"/>
        <w:outlineLvl w:val="2"/>
        <w:rPr>
          <w:rFonts w:ascii="宋体" w:hAnsi="宋体" w:cs="宋体"/>
          <w:b/>
          <w:bCs/>
          <w:sz w:val="24"/>
          <w:szCs w:val="32"/>
          <w:lang w:val="en-GB"/>
        </w:rPr>
      </w:pPr>
      <w:r>
        <w:rPr>
          <w:rFonts w:hint="eastAsia" w:ascii="宋体" w:hAnsi="宋体" w:cs="宋体"/>
          <w:b/>
          <w:bCs/>
          <w:sz w:val="24"/>
          <w:szCs w:val="32"/>
          <w:lang w:val="en-GB"/>
        </w:rPr>
        <w:t>（</w:t>
      </w:r>
      <w:r>
        <w:rPr>
          <w:rFonts w:hint="eastAsia" w:ascii="宋体" w:hAnsi="宋体" w:cs="宋体"/>
          <w:b/>
          <w:bCs/>
          <w:sz w:val="24"/>
          <w:szCs w:val="32"/>
        </w:rPr>
        <w:t>五</w:t>
      </w:r>
      <w:r>
        <w:rPr>
          <w:rFonts w:hint="eastAsia" w:ascii="宋体" w:hAnsi="宋体" w:cs="宋体"/>
          <w:b/>
          <w:bCs/>
          <w:sz w:val="24"/>
          <w:szCs w:val="32"/>
          <w:lang w:val="en-GB"/>
        </w:rPr>
        <w:t>）演示</w:t>
      </w:r>
    </w:p>
    <w:p>
      <w:pPr>
        <w:pStyle w:val="13"/>
        <w:ind w:firstLine="480" w:firstLineChars="200"/>
        <w:rPr>
          <w:lang w:val="en-GB"/>
        </w:rPr>
      </w:pPr>
      <w:r>
        <w:rPr>
          <w:rFonts w:hint="eastAsia" w:asciiTheme="minorEastAsia" w:hAnsiTheme="minorEastAsia" w:eastAsiaTheme="minorEastAsia"/>
          <w:bCs/>
        </w:rPr>
        <w:t>若需要演示的，供应商应提前做好演示准备（包括演示设备）。</w:t>
      </w:r>
    </w:p>
    <w:p>
      <w:pPr>
        <w:spacing w:line="360" w:lineRule="auto"/>
        <w:outlineLvl w:val="1"/>
        <w:rPr>
          <w:rFonts w:ascii="宋体" w:hAnsi="宋体" w:cs="宋体"/>
          <w:sz w:val="24"/>
          <w:szCs w:val="32"/>
        </w:rPr>
      </w:pPr>
      <w:r>
        <w:rPr>
          <w:rFonts w:hint="eastAsia" w:ascii="宋体" w:hAnsi="宋体" w:cs="宋体"/>
          <w:b/>
          <w:kern w:val="0"/>
          <w:sz w:val="24"/>
        </w:rPr>
        <w:t>三、</w:t>
      </w:r>
      <w:r>
        <w:rPr>
          <w:rFonts w:hint="eastAsia" w:ascii="宋体" w:hAnsi="宋体" w:cs="宋体"/>
          <w:b/>
          <w:bCs/>
          <w:sz w:val="24"/>
          <w:szCs w:val="32"/>
        </w:rPr>
        <w:t>磋商</w:t>
      </w:r>
    </w:p>
    <w:p>
      <w:pPr>
        <w:spacing w:line="360" w:lineRule="auto"/>
        <w:ind w:firstLine="480" w:firstLineChars="200"/>
        <w:outlineLvl w:val="2"/>
        <w:rPr>
          <w:rFonts w:ascii="宋体" w:hAnsi="宋体" w:cs="宋体"/>
          <w:sz w:val="24"/>
          <w:szCs w:val="32"/>
        </w:rPr>
      </w:pPr>
      <w:r>
        <w:rPr>
          <w:rFonts w:hint="eastAsia" w:ascii="宋体" w:hAnsi="宋体" w:cs="宋体"/>
          <w:sz w:val="24"/>
          <w:szCs w:val="32"/>
        </w:rPr>
        <w:t>（一）磋商说明</w:t>
      </w:r>
    </w:p>
    <w:p>
      <w:pPr>
        <w:autoSpaceDE w:val="0"/>
        <w:autoSpaceDN w:val="0"/>
        <w:adjustRightInd w:val="0"/>
        <w:spacing w:line="360" w:lineRule="auto"/>
        <w:ind w:firstLine="475" w:firstLineChars="198"/>
        <w:rPr>
          <w:rFonts w:ascii="宋体" w:hAnsi="宋体"/>
          <w:sz w:val="24"/>
        </w:rPr>
      </w:pPr>
      <w:r>
        <w:rPr>
          <w:rFonts w:hint="eastAsia" w:ascii="宋体" w:hAnsi="宋体"/>
          <w:sz w:val="24"/>
        </w:rPr>
        <w:t>采购组织机构将按照招标文件规定的时间通过“政府采购云平台”组织开标、开启投标文件，所有供应商均应当准时在线参加。并且磋商代表应在截止时间前到达指定的磋商地点。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80" w:firstLineChars="200"/>
        <w:rPr>
          <w:rFonts w:ascii="宋体" w:hAnsi="宋体" w:cs="宋体"/>
          <w:sz w:val="24"/>
          <w:szCs w:val="32"/>
        </w:rPr>
      </w:pPr>
      <w:r>
        <w:rPr>
          <w:rFonts w:hint="eastAsia" w:ascii="宋体" w:hAnsi="宋体" w:cs="宋体"/>
          <w:sz w:val="24"/>
          <w:szCs w:val="32"/>
        </w:rPr>
        <w:t>磋商过程中出现以下情形，导致电子交易平台无法正常运行，或者无法保证电子交易的公平、公正和安全时，采购组织机构可中止电子交易活动：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（1）电子交易平台发生故障而无法登录访问的； </w:t>
      </w:r>
    </w:p>
    <w:p>
      <w:pPr>
        <w:spacing w:line="360" w:lineRule="auto"/>
        <w:ind w:firstLine="480" w:firstLineChars="200"/>
        <w:rPr>
          <w:rFonts w:ascii="宋体" w:hAnsi="宋体" w:cs="宋体"/>
          <w:sz w:val="24"/>
          <w:szCs w:val="32"/>
        </w:rPr>
      </w:pPr>
      <w:r>
        <w:rPr>
          <w:rFonts w:hint="eastAsia" w:ascii="宋体" w:hAnsi="宋体" w:cs="宋体"/>
          <w:sz w:val="24"/>
          <w:szCs w:val="32"/>
        </w:rPr>
        <w:t>（2）电子交易平台应用或数据库出现错误，不能进行正常操作的；</w:t>
      </w:r>
    </w:p>
    <w:p>
      <w:pPr>
        <w:spacing w:line="360" w:lineRule="auto"/>
        <w:ind w:firstLine="480" w:firstLineChars="200"/>
        <w:rPr>
          <w:rFonts w:ascii="宋体" w:hAnsi="宋体" w:cs="宋体"/>
          <w:sz w:val="24"/>
          <w:szCs w:val="32"/>
        </w:rPr>
      </w:pPr>
      <w:r>
        <w:rPr>
          <w:rFonts w:hint="eastAsia" w:ascii="宋体" w:hAnsi="宋体" w:cs="宋体"/>
          <w:sz w:val="24"/>
          <w:szCs w:val="32"/>
        </w:rPr>
        <w:t>（3）电子交易平台发现严重安全漏洞，有潜在泄密危险的；</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（4）病毒导致不能进行正常操作的； </w:t>
      </w:r>
    </w:p>
    <w:p>
      <w:pPr>
        <w:spacing w:line="360" w:lineRule="auto"/>
        <w:ind w:firstLine="480" w:firstLineChars="200"/>
        <w:rPr>
          <w:rFonts w:ascii="宋体" w:hAnsi="宋体" w:cs="宋体"/>
          <w:sz w:val="24"/>
          <w:szCs w:val="32"/>
        </w:rPr>
      </w:pPr>
      <w:r>
        <w:rPr>
          <w:rFonts w:hint="eastAsia" w:ascii="宋体" w:hAnsi="宋体" w:cs="宋体"/>
          <w:sz w:val="24"/>
          <w:szCs w:val="32"/>
        </w:rPr>
        <w:t>（5）其他无法保证电子交易的公平、公正和安全的情况。</w:t>
      </w:r>
    </w:p>
    <w:p>
      <w:pPr>
        <w:spacing w:line="360" w:lineRule="auto"/>
        <w:ind w:firstLine="480" w:firstLineChars="200"/>
        <w:rPr>
          <w:rFonts w:ascii="宋体" w:hAnsi="宋体" w:cs="宋体"/>
          <w:sz w:val="24"/>
          <w:szCs w:val="32"/>
        </w:rPr>
      </w:pPr>
      <w:r>
        <w:rPr>
          <w:rFonts w:hint="eastAsia" w:ascii="宋体" w:hAnsi="宋体" w:cs="宋体"/>
          <w:sz w:val="24"/>
          <w:szCs w:val="32"/>
        </w:rPr>
        <w:t>出现前款规定情形，不影响采购公平、公正性的，采购组织机构可以待上述情形消除后继续组织电子交易活动；影响或可能影响采购公平、公正性的，应当重新采购。</w:t>
      </w:r>
    </w:p>
    <w:p>
      <w:pPr>
        <w:spacing w:line="360" w:lineRule="auto"/>
        <w:ind w:firstLine="480" w:firstLineChars="200"/>
        <w:outlineLvl w:val="2"/>
        <w:rPr>
          <w:rFonts w:ascii="宋体" w:hAnsi="宋体" w:cs="宋体"/>
          <w:sz w:val="24"/>
          <w:szCs w:val="32"/>
        </w:rPr>
      </w:pPr>
      <w:r>
        <w:rPr>
          <w:rFonts w:hint="eastAsia" w:ascii="宋体" w:hAnsi="宋体" w:cs="宋体"/>
          <w:sz w:val="24"/>
          <w:szCs w:val="32"/>
        </w:rPr>
        <w:t>（二）磋商程序：</w:t>
      </w:r>
    </w:p>
    <w:p>
      <w:pPr>
        <w:spacing w:line="360" w:lineRule="auto"/>
        <w:ind w:firstLine="480" w:firstLineChars="200"/>
        <w:rPr>
          <w:rFonts w:ascii="宋体" w:hAnsi="宋体" w:cs="宋体"/>
          <w:sz w:val="24"/>
          <w:szCs w:val="32"/>
        </w:rPr>
      </w:pPr>
      <w:r>
        <w:rPr>
          <w:rFonts w:hint="eastAsia" w:ascii="宋体" w:hAnsi="宋体" w:cs="宋体"/>
          <w:sz w:val="24"/>
          <w:szCs w:val="32"/>
        </w:rPr>
        <w:t>1、</w:t>
      </w:r>
      <w:r>
        <w:rPr>
          <w:rFonts w:hint="eastAsia" w:ascii="宋体" w:hAnsi="宋体" w:cs="宋体"/>
          <w:sz w:val="24"/>
        </w:rPr>
        <w:t>磋商采购会议</w:t>
      </w:r>
      <w:r>
        <w:rPr>
          <w:rFonts w:hint="eastAsia" w:ascii="宋体" w:hAnsi="宋体" w:cs="宋体"/>
          <w:sz w:val="24"/>
          <w:szCs w:val="32"/>
        </w:rPr>
        <w:t>由磋商项目负责人主持，主持人宣布</w:t>
      </w:r>
      <w:r>
        <w:rPr>
          <w:rFonts w:hint="eastAsia" w:ascii="宋体" w:hAnsi="宋体" w:cs="宋体"/>
          <w:sz w:val="24"/>
        </w:rPr>
        <w:t>磋商采购会议</w:t>
      </w:r>
      <w:r>
        <w:rPr>
          <w:rFonts w:hint="eastAsia" w:ascii="宋体" w:hAnsi="宋体" w:cs="宋体"/>
          <w:sz w:val="24"/>
          <w:szCs w:val="32"/>
        </w:rPr>
        <w:t>开始；</w:t>
      </w:r>
    </w:p>
    <w:p>
      <w:pPr>
        <w:spacing w:line="360" w:lineRule="auto"/>
        <w:ind w:firstLine="480" w:firstLineChars="200"/>
        <w:rPr>
          <w:rFonts w:ascii="宋体" w:hAnsi="宋体" w:cs="宋体"/>
          <w:sz w:val="24"/>
          <w:szCs w:val="32"/>
        </w:rPr>
      </w:pPr>
      <w:r>
        <w:rPr>
          <w:rFonts w:hint="eastAsia" w:ascii="宋体" w:hAnsi="宋体" w:cs="宋体"/>
          <w:sz w:val="24"/>
          <w:szCs w:val="32"/>
        </w:rPr>
        <w:t>2、主持人介绍参加</w:t>
      </w:r>
      <w:r>
        <w:rPr>
          <w:rFonts w:hint="eastAsia" w:ascii="宋体" w:hAnsi="宋体" w:cs="宋体"/>
          <w:sz w:val="24"/>
        </w:rPr>
        <w:t>磋商采购会议</w:t>
      </w:r>
      <w:r>
        <w:rPr>
          <w:rFonts w:hint="eastAsia" w:ascii="宋体" w:hAnsi="宋体" w:cs="宋体"/>
          <w:sz w:val="24"/>
          <w:szCs w:val="32"/>
        </w:rPr>
        <w:t xml:space="preserve">的人员名单； </w:t>
      </w:r>
    </w:p>
    <w:p>
      <w:pPr>
        <w:spacing w:line="360" w:lineRule="auto"/>
        <w:ind w:firstLine="480" w:firstLineChars="200"/>
        <w:rPr>
          <w:rFonts w:ascii="宋体" w:hAnsi="宋体" w:cs="宋体"/>
          <w:sz w:val="24"/>
          <w:szCs w:val="32"/>
        </w:rPr>
      </w:pPr>
      <w:r>
        <w:rPr>
          <w:rFonts w:hint="eastAsia" w:ascii="宋体" w:hAnsi="宋体" w:cs="宋体"/>
          <w:sz w:val="24"/>
          <w:szCs w:val="32"/>
        </w:rPr>
        <w:t>3、主持人宣布磋商采购会议期间的有关事项，告知应当回避的情形,提请有关人员回避；对磋商供应商进行签到验证。</w:t>
      </w:r>
    </w:p>
    <w:p>
      <w:pPr>
        <w:spacing w:line="360" w:lineRule="auto"/>
        <w:ind w:firstLine="424" w:firstLineChars="177"/>
        <w:jc w:val="left"/>
        <w:rPr>
          <w:rFonts w:ascii="宋体" w:hAnsi="宋体" w:cs="Arial"/>
          <w:kern w:val="0"/>
          <w:sz w:val="24"/>
        </w:rPr>
      </w:pPr>
      <w:r>
        <w:rPr>
          <w:rFonts w:hint="eastAsia" w:ascii="宋体" w:hAnsi="宋体" w:cs="宋体"/>
          <w:sz w:val="24"/>
          <w:szCs w:val="32"/>
        </w:rPr>
        <w:t>4、向各磋商供应商发出电子加密磋商响应文件【开始解密】通知，由磋商供应商按磋商文件规定的时间内自行进行磋商响应文件解密。磋商响应文件的制作和解密应使用同一个数字证书，否则将可能解密失败。</w:t>
      </w:r>
      <w:r>
        <w:rPr>
          <w:rFonts w:hint="eastAsia" w:ascii="宋体" w:hAnsi="宋体" w:cs="Arial"/>
          <w:kern w:val="0"/>
          <w:sz w:val="24"/>
        </w:rPr>
        <w:t>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80" w:firstLineChars="200"/>
        <w:rPr>
          <w:rFonts w:ascii="宋体" w:hAnsi="宋体" w:cs="Arial"/>
          <w:kern w:val="0"/>
          <w:sz w:val="24"/>
        </w:rPr>
      </w:pPr>
      <w:r>
        <w:rPr>
          <w:rFonts w:hint="eastAsia" w:ascii="宋体" w:hAnsi="宋体" w:cs="Arial"/>
          <w:kern w:val="0"/>
          <w:sz w:val="24"/>
        </w:rPr>
        <w:t>响应文件结束解密后30分钟内，供应商通过邮件形式将经授权代表签署的《政府采购活动确认声明书》（格式见附件）扫描件发至代理机构邮箱；不填写或未按规定发出邮件的，视同默认不存在确认声明书中的相关违规情形。</w:t>
      </w:r>
    </w:p>
    <w:p>
      <w:pPr>
        <w:spacing w:line="360" w:lineRule="auto"/>
        <w:ind w:firstLine="480" w:firstLineChars="200"/>
        <w:rPr>
          <w:rFonts w:ascii="宋体" w:hAnsi="宋体" w:cs="宋体"/>
          <w:sz w:val="24"/>
          <w:szCs w:val="32"/>
        </w:rPr>
      </w:pPr>
      <w:r>
        <w:rPr>
          <w:rFonts w:hint="eastAsia" w:ascii="宋体" w:hAnsi="宋体" w:cs="宋体"/>
          <w:sz w:val="24"/>
          <w:szCs w:val="32"/>
        </w:rPr>
        <w:t>5、采购组织机构点击【开启标书信息】，开启标书成功后进入磋商流程。</w:t>
      </w:r>
    </w:p>
    <w:p>
      <w:pPr>
        <w:spacing w:line="360" w:lineRule="auto"/>
        <w:ind w:firstLine="480" w:firstLineChars="200"/>
        <w:rPr>
          <w:rFonts w:ascii="宋体" w:hAnsi="宋体" w:cs="宋体"/>
          <w:sz w:val="24"/>
          <w:szCs w:val="32"/>
        </w:rPr>
      </w:pPr>
      <w:r>
        <w:rPr>
          <w:rFonts w:hint="eastAsia" w:ascii="宋体" w:hAnsi="宋体" w:cs="宋体"/>
          <w:sz w:val="24"/>
          <w:szCs w:val="32"/>
        </w:rPr>
        <w:t>6、本项目原则上采用电子评审方法。</w:t>
      </w:r>
      <w:r>
        <w:rPr>
          <w:rFonts w:hint="eastAsia" w:ascii="宋体" w:hAnsi="宋体" w:cs="宋体"/>
          <w:b/>
          <w:bCs/>
          <w:sz w:val="24"/>
          <w:szCs w:val="32"/>
        </w:rPr>
        <w:t>开启报价响应文件，代理机构在线公布开标一览表有关内容，供应商应在10分钟内在线签字确认（不予确认或超时确认的应说明原因，否则视为无异议）。</w:t>
      </w:r>
    </w:p>
    <w:p>
      <w:pPr>
        <w:spacing w:line="360" w:lineRule="auto"/>
        <w:ind w:firstLine="480" w:firstLineChars="200"/>
        <w:rPr>
          <w:rFonts w:ascii="宋体" w:hAnsi="宋体" w:cs="宋体"/>
          <w:sz w:val="24"/>
          <w:szCs w:val="32"/>
        </w:rPr>
      </w:pPr>
      <w:r>
        <w:rPr>
          <w:rFonts w:hint="eastAsia" w:ascii="宋体" w:hAnsi="宋体" w:cs="宋体"/>
          <w:sz w:val="24"/>
          <w:szCs w:val="32"/>
        </w:rPr>
        <w:t>7、磋商小组必须按照客观、公正、审慎的原则，根据磋商文件规定的评审程序、评审方法和评审标准进行独立评审。未实质性响应磋商文件的响应文件按无效响应处理，磋商小组应当告知提交响应文件的磋商供应商。</w:t>
      </w:r>
    </w:p>
    <w:p>
      <w:pPr>
        <w:spacing w:line="360" w:lineRule="auto"/>
        <w:ind w:firstLine="480" w:firstLineChars="200"/>
        <w:rPr>
          <w:rFonts w:ascii="宋体" w:hAnsi="宋体" w:cs="宋体"/>
          <w:sz w:val="24"/>
          <w:szCs w:val="32"/>
        </w:rPr>
      </w:pPr>
      <w:r>
        <w:rPr>
          <w:rFonts w:hint="eastAsia" w:ascii="宋体" w:hAnsi="宋体" w:cs="宋体"/>
          <w:sz w:val="24"/>
          <w:szCs w:val="32"/>
        </w:rPr>
        <w:t>8、磋商小组所有成员集中与单一磋商供应商分别进行磋商，并给予所有参加磋商的供应商平等的磋商机会。</w:t>
      </w:r>
    </w:p>
    <w:p>
      <w:pPr>
        <w:spacing w:line="360" w:lineRule="auto"/>
        <w:ind w:firstLine="480" w:firstLineChars="200"/>
        <w:rPr>
          <w:rFonts w:ascii="宋体" w:hAnsi="宋体" w:cs="宋体"/>
          <w:sz w:val="24"/>
          <w:szCs w:val="32"/>
        </w:rPr>
      </w:pPr>
      <w:r>
        <w:rPr>
          <w:rFonts w:hint="eastAsia" w:ascii="宋体" w:hAnsi="宋体" w:cs="宋体"/>
          <w:sz w:val="24"/>
          <w:szCs w:val="32"/>
        </w:rPr>
        <w:t>9、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当及时以书面形式同时通知所有参加磋商的供应商。磋商供应商应当按照磋商文件的变动情况和磋商小组的要求重新提交响应文件，并由其法定代表人（单位负责人）或授权委托代理人签字或者加盖公章。</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10、磋商文件能够详细列明采购标的技术、服务要求的，磋商结束后，磋商小组将要求所有实质性响应的磋商供应商在规定时间内提交最终报价，最终报价是磋商供应商响应文件的有效组成部分。 </w:t>
      </w:r>
    </w:p>
    <w:p>
      <w:pPr>
        <w:spacing w:line="360" w:lineRule="auto"/>
        <w:ind w:firstLine="480" w:firstLineChars="200"/>
        <w:rPr>
          <w:rFonts w:ascii="宋体" w:hAnsi="宋体" w:cs="宋体"/>
          <w:sz w:val="24"/>
          <w:szCs w:val="32"/>
        </w:rPr>
      </w:pPr>
      <w:r>
        <w:rPr>
          <w:rFonts w:hint="eastAsia" w:ascii="宋体" w:hAnsi="宋体" w:cs="宋体"/>
          <w:sz w:val="24"/>
          <w:szCs w:val="32"/>
        </w:rPr>
        <w:t>11、经磋商确定最终采购需求和提交最终报价的磋商供应商后，由磋商小组采用综合评分法对提交最终报价的磋商供应商的响应文件和最终报价进行综合评分。</w:t>
      </w:r>
    </w:p>
    <w:p>
      <w:pPr>
        <w:spacing w:line="360" w:lineRule="auto"/>
        <w:ind w:firstLine="480" w:firstLineChars="200"/>
        <w:rPr>
          <w:rFonts w:ascii="宋体" w:hAnsi="宋体" w:cs="宋体"/>
          <w:sz w:val="24"/>
          <w:szCs w:val="32"/>
        </w:rPr>
      </w:pPr>
      <w:r>
        <w:rPr>
          <w:rFonts w:hint="eastAsia" w:ascii="宋体" w:hAnsi="宋体" w:cs="宋体"/>
          <w:sz w:val="24"/>
          <w:szCs w:val="32"/>
        </w:rPr>
        <w:t>12、磋商小组根据综合评分情况，按照评审得分由高到低顺序确定预成交供应商，编写评审报告。</w:t>
      </w:r>
    </w:p>
    <w:p>
      <w:pPr>
        <w:spacing w:line="360" w:lineRule="auto"/>
        <w:ind w:firstLine="480" w:firstLineChars="200"/>
        <w:rPr>
          <w:rFonts w:ascii="宋体" w:hAnsi="宋体" w:cs="宋体"/>
          <w:sz w:val="24"/>
          <w:szCs w:val="32"/>
        </w:rPr>
      </w:pPr>
      <w:r>
        <w:rPr>
          <w:rFonts w:hint="eastAsia" w:ascii="宋体" w:hAnsi="宋体" w:cs="宋体"/>
          <w:sz w:val="24"/>
          <w:szCs w:val="32"/>
        </w:rPr>
        <w:t>13、采购组织机构对磋商小组专家成员进行评价；</w:t>
      </w:r>
    </w:p>
    <w:p>
      <w:pPr>
        <w:spacing w:line="360" w:lineRule="auto"/>
        <w:ind w:firstLine="480" w:firstLineChars="200"/>
        <w:rPr>
          <w:rFonts w:ascii="宋体" w:hAnsi="宋体" w:cs="宋体"/>
          <w:sz w:val="24"/>
          <w:szCs w:val="32"/>
        </w:rPr>
      </w:pPr>
      <w:r>
        <w:rPr>
          <w:rFonts w:hint="eastAsia" w:ascii="宋体" w:hAnsi="宋体" w:cs="宋体"/>
          <w:sz w:val="24"/>
          <w:szCs w:val="32"/>
        </w:rPr>
        <w:t>14、主持人到磋商采购会现场宣布磋商结果（含技术得分、最终报价、报价得分及总得分），磋商采购会议结束。</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（三）澄清问题的形式</w:t>
      </w:r>
    </w:p>
    <w:p>
      <w:pPr>
        <w:spacing w:line="360" w:lineRule="auto"/>
        <w:ind w:firstLine="480" w:firstLineChars="200"/>
        <w:rPr>
          <w:rFonts w:ascii="宋体" w:hAnsi="宋体" w:cs="宋体"/>
          <w:sz w:val="24"/>
          <w:szCs w:val="32"/>
        </w:rPr>
      </w:pPr>
      <w:r>
        <w:rPr>
          <w:rFonts w:hint="eastAsia" w:ascii="宋体" w:hAnsi="宋体" w:cs="宋体"/>
          <w:sz w:val="24"/>
          <w:szCs w:val="32"/>
        </w:rPr>
        <w:t>磋商供应商的澄清、说明或者补正应当采用书面形式，并加盖公章，或者由法定代理人或其授权委托代理人签字，并不得超出磋商响应文件的范围或者改变磋商响应文件的实质性内容。</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（四）错误修正</w:t>
      </w:r>
    </w:p>
    <w:p>
      <w:pPr>
        <w:spacing w:line="360" w:lineRule="auto"/>
        <w:ind w:firstLine="480" w:firstLineChars="200"/>
        <w:rPr>
          <w:rFonts w:ascii="宋体" w:hAnsi="宋体" w:cs="宋体"/>
          <w:sz w:val="24"/>
          <w:szCs w:val="32"/>
        </w:rPr>
      </w:pPr>
      <w:r>
        <w:rPr>
          <w:rFonts w:hint="eastAsia" w:ascii="宋体" w:hAnsi="宋体" w:cs="宋体"/>
          <w:sz w:val="24"/>
          <w:szCs w:val="32"/>
        </w:rPr>
        <w:t>磋商响应文件报价出现前后不一致的，除磋商文件另有规定外，按照下列规定修正：</w:t>
      </w:r>
    </w:p>
    <w:p>
      <w:pPr>
        <w:spacing w:line="360" w:lineRule="auto"/>
        <w:ind w:firstLine="480" w:firstLineChars="200"/>
        <w:rPr>
          <w:rFonts w:ascii="宋体" w:hAnsi="宋体" w:cs="宋体"/>
          <w:sz w:val="24"/>
          <w:szCs w:val="32"/>
        </w:rPr>
      </w:pPr>
      <w:bookmarkStart w:id="0" w:name="_Hlk78209380"/>
      <w:bookmarkEnd w:id="0"/>
      <w:r>
        <w:rPr>
          <w:rFonts w:hint="eastAsia" w:ascii="宋体" w:hAnsi="宋体" w:cs="宋体"/>
          <w:sz w:val="24"/>
          <w:szCs w:val="32"/>
        </w:rPr>
        <w:t>1、磋商响应文件中首次报价一览表内容与磋商响应文件中相应内容不一致的，以首次报价一览表为准；</w:t>
      </w:r>
      <w:r>
        <w:rPr>
          <w:rFonts w:hint="eastAsia" w:ascii="宋体" w:hAnsi="宋体"/>
          <w:b/>
          <w:bCs/>
          <w:sz w:val="24"/>
          <w:u w:val="single"/>
          <w:shd w:val="pct10" w:color="auto" w:fill="FFFFFF"/>
        </w:rPr>
        <w:t>政采云平台客户端里开标一览表录入的投标报价信息与扫描上传的报价响应文件中报价一览表的报价信息不一致的，以扫描上传的报价响应文件中报价一览表的报价信息为准，修正政采云平台上的报价信息。</w:t>
      </w:r>
    </w:p>
    <w:p>
      <w:pPr>
        <w:spacing w:line="360" w:lineRule="auto"/>
        <w:ind w:firstLine="480" w:firstLineChars="200"/>
        <w:rPr>
          <w:rFonts w:ascii="宋体" w:hAnsi="宋体" w:cs="宋体"/>
          <w:sz w:val="24"/>
          <w:szCs w:val="32"/>
        </w:rPr>
      </w:pPr>
      <w:r>
        <w:rPr>
          <w:rFonts w:hint="eastAsia" w:ascii="宋体" w:hAnsi="宋体" w:cs="宋体"/>
          <w:sz w:val="24"/>
          <w:szCs w:val="32"/>
        </w:rPr>
        <w:t>2、大写金额和小写金额不一致的，以大写金额为准；</w:t>
      </w:r>
    </w:p>
    <w:p>
      <w:pPr>
        <w:spacing w:line="360" w:lineRule="auto"/>
        <w:ind w:firstLine="480" w:firstLineChars="200"/>
        <w:rPr>
          <w:rFonts w:ascii="宋体" w:hAnsi="宋体" w:cs="宋体"/>
          <w:sz w:val="24"/>
          <w:szCs w:val="32"/>
        </w:rPr>
      </w:pPr>
      <w:r>
        <w:rPr>
          <w:rFonts w:hint="eastAsia" w:ascii="宋体" w:hAnsi="宋体" w:cs="宋体"/>
          <w:sz w:val="24"/>
          <w:szCs w:val="32"/>
        </w:rPr>
        <w:t>3、单价金额小数点或者百分比有明显错位的，以首次报价一览表的总价为准，并修改单价；</w:t>
      </w:r>
    </w:p>
    <w:p>
      <w:pPr>
        <w:spacing w:line="360" w:lineRule="auto"/>
        <w:ind w:firstLine="480" w:firstLineChars="200"/>
        <w:rPr>
          <w:rFonts w:ascii="宋体" w:hAnsi="宋体" w:cs="宋体"/>
          <w:sz w:val="24"/>
          <w:szCs w:val="32"/>
        </w:rPr>
      </w:pPr>
      <w:r>
        <w:rPr>
          <w:rFonts w:hint="eastAsia" w:ascii="宋体" w:hAnsi="宋体" w:cs="宋体"/>
          <w:sz w:val="24"/>
          <w:szCs w:val="32"/>
        </w:rPr>
        <w:t>4、总价金额与按单价汇总金额不一致的，以单价金额计算结果为准。</w:t>
      </w:r>
    </w:p>
    <w:p>
      <w:pPr>
        <w:pStyle w:val="29"/>
        <w:spacing w:before="0" w:beforeAutospacing="0" w:after="0" w:afterAutospacing="0" w:line="360" w:lineRule="auto"/>
        <w:ind w:firstLine="480"/>
        <w:jc w:val="both"/>
      </w:pPr>
      <w:r>
        <w:t>5、电子投标客户端的开标一览表中填报的报价与报价要求响应文件中的投标函报价不一致的，以投标函为准，修正网上报价。</w:t>
      </w:r>
    </w:p>
    <w:p>
      <w:pPr>
        <w:spacing w:line="360" w:lineRule="auto"/>
        <w:ind w:firstLine="480" w:firstLineChars="200"/>
        <w:rPr>
          <w:rFonts w:ascii="宋体" w:hAnsi="宋体" w:cs="宋体"/>
          <w:sz w:val="24"/>
          <w:szCs w:val="32"/>
        </w:rPr>
      </w:pPr>
      <w:r>
        <w:rPr>
          <w:rFonts w:hint="eastAsia" w:ascii="宋体" w:hAnsi="宋体" w:cs="宋体"/>
          <w:sz w:val="24"/>
          <w:szCs w:val="32"/>
        </w:rPr>
        <w:t>同时出现两种以上不一致的，按照前款规定的顺序修正。修正应当采用书面形式，并加盖公章，或者由法定代表人或其授权的代表签字。</w:t>
      </w:r>
      <w:r>
        <w:rPr>
          <w:rFonts w:hint="eastAsia" w:ascii="宋体" w:hAnsi="宋体" w:cs="Arial"/>
          <w:sz w:val="24"/>
        </w:rPr>
        <w:t>▲</w:t>
      </w:r>
      <w:r>
        <w:rPr>
          <w:rFonts w:hint="eastAsia" w:ascii="宋体" w:hAnsi="宋体" w:cs="宋体"/>
          <w:sz w:val="24"/>
          <w:szCs w:val="32"/>
        </w:rPr>
        <w:t>修正后的报价经磋商供应商确认后产生约束力，磋商供应商不确认的或在规定时间内未按要求进行有效澄清，将终止磋商。</w:t>
      </w:r>
    </w:p>
    <w:p>
      <w:pPr>
        <w:spacing w:line="360" w:lineRule="auto"/>
        <w:ind w:firstLine="422" w:firstLineChars="200"/>
        <w:outlineLvl w:val="2"/>
        <w:rPr>
          <w:rFonts w:ascii="宋体" w:hAnsi="宋体" w:cs="宋体"/>
          <w:b/>
          <w:bCs/>
          <w:sz w:val="24"/>
          <w:szCs w:val="32"/>
        </w:rPr>
      </w:pPr>
      <w:r>
        <w:rPr>
          <w:rFonts w:hint="eastAsia"/>
          <w:b/>
        </w:rPr>
        <w:t>▲</w:t>
      </w:r>
      <w:r>
        <w:rPr>
          <w:rFonts w:hint="eastAsia" w:ascii="宋体" w:hAnsi="宋体" w:cs="宋体"/>
          <w:b/>
          <w:bCs/>
          <w:sz w:val="24"/>
          <w:szCs w:val="32"/>
        </w:rPr>
        <w:t>（五）磋商供应商存在下列情况之一的，响应无效，终止磋商：</w:t>
      </w:r>
    </w:p>
    <w:p>
      <w:pPr>
        <w:spacing w:line="360" w:lineRule="auto"/>
        <w:ind w:firstLine="480" w:firstLineChars="200"/>
        <w:rPr>
          <w:rFonts w:ascii="宋体" w:hAnsi="宋体" w:cs="宋体"/>
          <w:sz w:val="24"/>
          <w:szCs w:val="32"/>
        </w:rPr>
      </w:pPr>
      <w:r>
        <w:rPr>
          <w:rFonts w:hint="eastAsia" w:ascii="宋体" w:hAnsi="宋体" w:cs="宋体"/>
          <w:sz w:val="24"/>
          <w:szCs w:val="32"/>
        </w:rPr>
        <w:t>1、电子磋商响应文件在指定页面无法定代表人盖章或签字、未在指定页面盖公章、在指定页面无被授权人签字、未提供法定代表人授权委托书、未提供磋商声明书或者磋商声明书格式不符合磋商文件要求或填写项目不齐全的。</w:t>
      </w:r>
    </w:p>
    <w:p>
      <w:pPr>
        <w:spacing w:line="360" w:lineRule="auto"/>
        <w:ind w:firstLine="480" w:firstLineChars="200"/>
        <w:rPr>
          <w:rFonts w:ascii="宋体" w:hAnsi="宋体" w:cs="宋体"/>
          <w:sz w:val="24"/>
          <w:szCs w:val="32"/>
        </w:rPr>
      </w:pPr>
      <w:r>
        <w:rPr>
          <w:rFonts w:hint="eastAsia" w:ascii="宋体" w:hAnsi="宋体" w:cs="宋体"/>
          <w:sz w:val="24"/>
          <w:szCs w:val="32"/>
        </w:rPr>
        <w:t>2、</w:t>
      </w:r>
      <w:r>
        <w:rPr>
          <w:rFonts w:hint="eastAsia" w:ascii="宋体" w:hAnsi="宋体" w:cs="宋体"/>
          <w:sz w:val="24"/>
          <w:szCs w:val="32"/>
          <w:lang w:val="zh-CN"/>
        </w:rPr>
        <w:t>磋商响应文件中的商务与技术内容中的供应货物出现重大偏差的</w:t>
      </w: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3、不具备磋商文件中规定的资格要求的；未按照磋商响应文件要求编制的。</w:t>
      </w:r>
      <w:r>
        <w:rPr>
          <w:rFonts w:hint="eastAsia" w:ascii="宋体" w:hAnsi="宋体" w:cs="宋体"/>
          <w:sz w:val="24"/>
          <w:szCs w:val="32"/>
        </w:rPr>
        <w:tab/>
      </w:r>
      <w:r>
        <w:rPr>
          <w:rFonts w:hint="eastAsia" w:ascii="宋体" w:hAnsi="宋体" w:cs="宋体"/>
          <w:sz w:val="24"/>
          <w:szCs w:val="32"/>
        </w:rPr>
        <w:t>4、磋商响应文件含有采购人不能接受的附加条件的。</w:t>
      </w:r>
    </w:p>
    <w:p>
      <w:pPr>
        <w:spacing w:line="360" w:lineRule="auto"/>
        <w:ind w:firstLine="480" w:firstLineChars="200"/>
        <w:rPr>
          <w:rFonts w:ascii="宋体" w:hAnsi="宋体" w:cs="宋体"/>
          <w:sz w:val="24"/>
          <w:szCs w:val="32"/>
        </w:rPr>
      </w:pPr>
      <w:r>
        <w:rPr>
          <w:rFonts w:hint="eastAsia" w:ascii="宋体" w:hAnsi="宋体" w:cs="宋体"/>
          <w:sz w:val="24"/>
          <w:szCs w:val="32"/>
        </w:rPr>
        <w:t>5、授权委托代理人未能出具身份证明或与法定代表人授权委托人身份不符的。</w:t>
      </w:r>
    </w:p>
    <w:p>
      <w:pPr>
        <w:spacing w:line="360" w:lineRule="auto"/>
        <w:ind w:firstLine="480" w:firstLineChars="200"/>
        <w:rPr>
          <w:rFonts w:ascii="宋体" w:hAnsi="宋体" w:cs="宋体"/>
          <w:sz w:val="24"/>
          <w:szCs w:val="32"/>
        </w:rPr>
      </w:pPr>
      <w:r>
        <w:rPr>
          <w:rFonts w:hint="eastAsia" w:ascii="宋体" w:hAnsi="宋体" w:cs="宋体"/>
          <w:sz w:val="24"/>
          <w:szCs w:val="32"/>
        </w:rPr>
        <w:t>6、磋商小组认为磋商供应商的报价明显低于其他通过符合性审查磋商供应商的报价，有可能影响产品质量或者不能诚信履约的，应当要求其在合理的时间内提供书面说明，必要时提交相关证明材料；磋商供应商不能证明其报价合理性的，磋商小组应当将其作为无效响应处理。</w:t>
      </w:r>
    </w:p>
    <w:p>
      <w:pPr>
        <w:spacing w:line="360" w:lineRule="auto"/>
        <w:ind w:firstLine="480" w:firstLineChars="200"/>
        <w:rPr>
          <w:rFonts w:ascii="宋体" w:hAnsi="宋体" w:cs="宋体"/>
          <w:sz w:val="24"/>
          <w:szCs w:val="32"/>
        </w:rPr>
      </w:pPr>
      <w:r>
        <w:rPr>
          <w:rFonts w:hint="eastAsia" w:ascii="宋体" w:hAnsi="宋体" w:cs="宋体"/>
          <w:sz w:val="24"/>
          <w:szCs w:val="32"/>
        </w:rPr>
        <w:t>7、报价超过磋商文件中规定的预算金额/最高限（单）价以及分项的最高限价。</w:t>
      </w:r>
    </w:p>
    <w:p>
      <w:pPr>
        <w:spacing w:line="360" w:lineRule="auto"/>
        <w:ind w:firstLine="480" w:firstLineChars="200"/>
        <w:rPr>
          <w:rFonts w:ascii="宋体" w:hAnsi="宋体" w:cs="宋体"/>
          <w:sz w:val="24"/>
          <w:szCs w:val="32"/>
        </w:rPr>
      </w:pPr>
      <w:r>
        <w:rPr>
          <w:rFonts w:hint="eastAsia" w:ascii="宋体" w:hAnsi="宋体" w:cs="宋体"/>
          <w:sz w:val="24"/>
          <w:szCs w:val="32"/>
        </w:rPr>
        <w:t>8、磋商参数未如实填写，完全复制粘贴招标参数的。</w:t>
      </w:r>
    </w:p>
    <w:p>
      <w:pPr>
        <w:spacing w:line="360" w:lineRule="auto"/>
        <w:ind w:firstLine="480" w:firstLineChars="200"/>
        <w:rPr>
          <w:rFonts w:ascii="宋体" w:hAnsi="宋体" w:cs="宋体"/>
          <w:sz w:val="24"/>
          <w:szCs w:val="32"/>
        </w:rPr>
      </w:pPr>
      <w:r>
        <w:rPr>
          <w:rFonts w:hint="eastAsia" w:ascii="宋体" w:hAnsi="宋体" w:cs="宋体"/>
          <w:sz w:val="24"/>
          <w:szCs w:val="32"/>
        </w:rPr>
        <w:t>9、磋商响应文件提供虚假材料的。</w:t>
      </w:r>
    </w:p>
    <w:p>
      <w:pPr>
        <w:spacing w:line="360" w:lineRule="auto"/>
        <w:ind w:firstLine="480" w:firstLineChars="200"/>
        <w:rPr>
          <w:rFonts w:ascii="宋体" w:hAnsi="宋体" w:cs="宋体"/>
          <w:sz w:val="24"/>
          <w:szCs w:val="32"/>
        </w:rPr>
      </w:pPr>
      <w:r>
        <w:rPr>
          <w:rFonts w:hint="eastAsia" w:ascii="宋体" w:hAnsi="宋体" w:cs="宋体"/>
          <w:sz w:val="24"/>
          <w:szCs w:val="32"/>
        </w:rPr>
        <w:t>10、磋商供应商的电子磋商响应文件无法按时解密的，且未达到备份文件启用条件。</w:t>
      </w:r>
    </w:p>
    <w:p>
      <w:pPr>
        <w:spacing w:line="360" w:lineRule="auto"/>
        <w:ind w:firstLine="480" w:firstLineChars="200"/>
        <w:rPr>
          <w:rFonts w:ascii="宋体" w:hAnsi="宋体" w:cs="宋体"/>
          <w:sz w:val="24"/>
          <w:szCs w:val="32"/>
        </w:rPr>
      </w:pPr>
      <w:r>
        <w:rPr>
          <w:rFonts w:hint="eastAsia" w:ascii="宋体" w:hAnsi="宋体" w:cs="宋体"/>
          <w:sz w:val="24"/>
          <w:szCs w:val="32"/>
        </w:rPr>
        <w:t>11、不同磋商供应商的磋商响应文件由同一单位或者个人编制；不同磋商供应商的磋商响应文件,由同一台电脑编制；</w:t>
      </w:r>
    </w:p>
    <w:p>
      <w:pPr>
        <w:spacing w:line="360" w:lineRule="auto"/>
        <w:ind w:firstLine="480" w:firstLineChars="200"/>
        <w:rPr>
          <w:rFonts w:ascii="宋体" w:hAnsi="宋体" w:cs="宋体"/>
          <w:sz w:val="24"/>
          <w:szCs w:val="32"/>
        </w:rPr>
      </w:pPr>
      <w:r>
        <w:rPr>
          <w:rFonts w:hint="eastAsia" w:ascii="宋体" w:hAnsi="宋体" w:cs="宋体"/>
          <w:sz w:val="24"/>
          <w:szCs w:val="32"/>
        </w:rPr>
        <w:t>12、不同磋商供应商委托同一单位或者个人办理磋商事宜；</w:t>
      </w:r>
    </w:p>
    <w:p>
      <w:pPr>
        <w:spacing w:line="360" w:lineRule="auto"/>
        <w:ind w:firstLine="480" w:firstLineChars="200"/>
        <w:rPr>
          <w:rFonts w:ascii="宋体" w:hAnsi="宋体" w:cs="宋体"/>
          <w:sz w:val="24"/>
          <w:szCs w:val="32"/>
        </w:rPr>
      </w:pPr>
      <w:r>
        <w:rPr>
          <w:rFonts w:hint="eastAsia" w:ascii="宋体" w:hAnsi="宋体" w:cs="宋体"/>
          <w:sz w:val="24"/>
          <w:szCs w:val="32"/>
        </w:rPr>
        <w:t>13、不同磋商供应商的磋商响应文件载明的项目管理成员或者联系人员为同一人；</w:t>
      </w:r>
    </w:p>
    <w:p>
      <w:pPr>
        <w:spacing w:line="360" w:lineRule="auto"/>
        <w:ind w:firstLine="480" w:firstLineChars="200"/>
        <w:rPr>
          <w:rFonts w:ascii="宋体" w:hAnsi="宋体" w:cs="宋体"/>
          <w:sz w:val="24"/>
          <w:szCs w:val="32"/>
        </w:rPr>
      </w:pPr>
      <w:r>
        <w:rPr>
          <w:rFonts w:hint="eastAsia" w:ascii="宋体" w:hAnsi="宋体" w:cs="宋体"/>
          <w:sz w:val="24"/>
          <w:szCs w:val="32"/>
        </w:rPr>
        <w:t>14、不同磋商供应商的磋商响应文件异常一致或者磋商报价呈规律性差异；</w:t>
      </w:r>
    </w:p>
    <w:p>
      <w:pPr>
        <w:spacing w:line="360" w:lineRule="auto"/>
        <w:ind w:firstLine="480" w:firstLineChars="200"/>
        <w:rPr>
          <w:rFonts w:ascii="宋体" w:hAnsi="宋体" w:cs="宋体"/>
          <w:sz w:val="24"/>
          <w:szCs w:val="32"/>
        </w:rPr>
      </w:pPr>
      <w:r>
        <w:rPr>
          <w:rFonts w:hint="eastAsia" w:ascii="宋体" w:hAnsi="宋体" w:cs="宋体"/>
          <w:sz w:val="24"/>
          <w:szCs w:val="32"/>
        </w:rPr>
        <w:t>15、不同磋商供应商的磋商响应文件相互混装。</w:t>
      </w:r>
    </w:p>
    <w:p>
      <w:pPr>
        <w:spacing w:line="360" w:lineRule="auto"/>
        <w:ind w:firstLine="480" w:firstLineChars="200"/>
        <w:rPr>
          <w:rFonts w:ascii="宋体" w:hAnsi="宋体" w:cs="宋体"/>
          <w:sz w:val="24"/>
          <w:szCs w:val="32"/>
        </w:rPr>
      </w:pPr>
      <w:r>
        <w:rPr>
          <w:rFonts w:hint="eastAsia" w:ascii="宋体" w:hAnsi="宋体" w:cs="宋体"/>
          <w:sz w:val="24"/>
          <w:szCs w:val="32"/>
        </w:rPr>
        <w:t>16、不符合法律、法规和磋商文件中规定的其他实质性要求的（磋商文件中打“▲”内容及被拒绝的条款）。</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17、仅提交“备份投标文件”或电子磋商响应文件未按时完成解密，又未提供备份电子磋商响应文件的；</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18、未在规定时间内提交最终报价的。</w:t>
      </w:r>
    </w:p>
    <w:p>
      <w:pPr>
        <w:spacing w:line="360" w:lineRule="auto"/>
        <w:ind w:firstLine="422" w:firstLineChars="200"/>
        <w:outlineLvl w:val="2"/>
        <w:rPr>
          <w:rFonts w:ascii="宋体" w:hAnsi="宋体" w:cs="宋体"/>
          <w:b/>
          <w:bCs/>
          <w:sz w:val="24"/>
          <w:szCs w:val="32"/>
        </w:rPr>
      </w:pPr>
      <w:r>
        <w:rPr>
          <w:rFonts w:hint="eastAsia"/>
          <w:b/>
        </w:rPr>
        <w:t>▲</w:t>
      </w:r>
      <w:r>
        <w:rPr>
          <w:rFonts w:hint="eastAsia" w:ascii="宋体" w:hAnsi="宋体" w:cs="宋体"/>
          <w:b/>
          <w:bCs/>
          <w:sz w:val="24"/>
          <w:szCs w:val="32"/>
        </w:rPr>
        <w:t>（六）有下列情况之一的，本次磋商终止：</w:t>
      </w:r>
    </w:p>
    <w:p>
      <w:pPr>
        <w:spacing w:line="360" w:lineRule="auto"/>
        <w:ind w:firstLine="480" w:firstLineChars="200"/>
        <w:rPr>
          <w:rFonts w:ascii="宋体" w:hAnsi="宋体" w:cs="宋体"/>
          <w:sz w:val="24"/>
          <w:szCs w:val="32"/>
        </w:rPr>
      </w:pPr>
      <w:r>
        <w:rPr>
          <w:rFonts w:hint="eastAsia" w:ascii="宋体" w:hAnsi="宋体" w:cs="宋体"/>
          <w:sz w:val="24"/>
          <w:szCs w:val="32"/>
        </w:rPr>
        <w:t>1、出现影响采购公正的违法、违规行为的；</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2、磋商小组发现磋商文件存在歧义、重大缺陷导致评审工作无法进行，或者磋商文件内容违反国家有关强制性规定的； </w:t>
      </w:r>
    </w:p>
    <w:p>
      <w:pPr>
        <w:spacing w:line="360" w:lineRule="auto"/>
        <w:ind w:firstLine="480" w:firstLineChars="200"/>
        <w:rPr>
          <w:rFonts w:ascii="宋体" w:hAnsi="宋体" w:cs="宋体"/>
          <w:sz w:val="24"/>
          <w:szCs w:val="32"/>
        </w:rPr>
      </w:pPr>
      <w:r>
        <w:rPr>
          <w:rFonts w:hint="eastAsia" w:ascii="宋体" w:hAnsi="宋体" w:cs="宋体"/>
          <w:sz w:val="24"/>
          <w:szCs w:val="32"/>
        </w:rPr>
        <w:t>3、因重大变故，采购任务取消的；</w:t>
      </w:r>
    </w:p>
    <w:p>
      <w:pPr>
        <w:spacing w:line="360" w:lineRule="auto"/>
        <w:ind w:firstLine="480" w:firstLineChars="200"/>
        <w:rPr>
          <w:rFonts w:ascii="宋体" w:hAnsi="宋体" w:cs="宋体"/>
          <w:sz w:val="24"/>
          <w:szCs w:val="32"/>
        </w:rPr>
      </w:pPr>
      <w:r>
        <w:rPr>
          <w:rFonts w:hint="eastAsia" w:ascii="宋体" w:hAnsi="宋体" w:cs="宋体"/>
          <w:sz w:val="24"/>
          <w:szCs w:val="32"/>
        </w:rPr>
        <w:t>4、法律、法规和磋商文件规定的其他导致评审结果无效的。</w:t>
      </w:r>
    </w:p>
    <w:p>
      <w:pPr>
        <w:spacing w:line="360" w:lineRule="auto"/>
        <w:ind w:firstLine="480" w:firstLineChars="200"/>
        <w:rPr>
          <w:rFonts w:ascii="宋体" w:hAnsi="宋体" w:cs="宋体"/>
          <w:sz w:val="24"/>
          <w:szCs w:val="32"/>
        </w:rPr>
      </w:pPr>
      <w:r>
        <w:rPr>
          <w:rFonts w:hint="eastAsia" w:ascii="宋体" w:hAnsi="宋体" w:cs="宋体"/>
          <w:sz w:val="24"/>
          <w:szCs w:val="32"/>
        </w:rPr>
        <w:t>5、因电子交易平台故障无法登录、无法正常操作等导致平台无法正常运行，或者无法保证电子交易的公平、公正和安全时，采购组织机构可中止电子交易活动。</w:t>
      </w:r>
    </w:p>
    <w:p>
      <w:pPr>
        <w:spacing w:line="360" w:lineRule="auto"/>
        <w:ind w:firstLine="480" w:firstLineChars="200"/>
        <w:outlineLvl w:val="2"/>
        <w:rPr>
          <w:rFonts w:ascii="宋体" w:hAnsi="宋体" w:cs="宋体"/>
          <w:sz w:val="24"/>
          <w:szCs w:val="32"/>
        </w:rPr>
      </w:pPr>
      <w:r>
        <w:rPr>
          <w:rFonts w:hint="eastAsia" w:ascii="宋体" w:hAnsi="宋体" w:cs="宋体"/>
          <w:sz w:val="24"/>
          <w:szCs w:val="32"/>
        </w:rPr>
        <w:t>（七）磋商原则和评审办法</w:t>
      </w:r>
    </w:p>
    <w:p>
      <w:pPr>
        <w:spacing w:line="360" w:lineRule="auto"/>
        <w:ind w:firstLine="480" w:firstLineChars="200"/>
        <w:rPr>
          <w:rFonts w:ascii="宋体" w:hAnsi="宋体" w:cs="宋体"/>
          <w:sz w:val="24"/>
          <w:szCs w:val="32"/>
        </w:rPr>
      </w:pPr>
      <w:r>
        <w:rPr>
          <w:rFonts w:hint="eastAsia" w:ascii="宋体" w:hAnsi="宋体" w:cs="宋体"/>
          <w:sz w:val="24"/>
          <w:szCs w:val="32"/>
        </w:rPr>
        <w:t>1、磋商原则。磋商小组必须公平、公正、客观，不带任何倾向性和启发性；不得向外界透露任何与评审有关的内容；任何单位和个人不得干扰、影响评审的正常进行；磋商小组及有关工作人员不得私下与磋商供应商接触。</w:t>
      </w:r>
    </w:p>
    <w:p>
      <w:pPr>
        <w:spacing w:line="360" w:lineRule="auto"/>
        <w:ind w:firstLine="480" w:firstLineChars="200"/>
        <w:rPr>
          <w:rFonts w:ascii="宋体" w:hAnsi="宋体" w:cs="宋体"/>
          <w:sz w:val="24"/>
          <w:szCs w:val="32"/>
        </w:rPr>
      </w:pPr>
      <w:r>
        <w:rPr>
          <w:rFonts w:hint="eastAsia" w:ascii="宋体" w:hAnsi="宋体" w:cs="宋体"/>
          <w:sz w:val="24"/>
          <w:szCs w:val="32"/>
        </w:rPr>
        <w:t>2、评审办法。具体评审内容及评审标准等详见《第三章 评审办法及评审标准》。</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（八）评审过程的监控</w:t>
      </w:r>
    </w:p>
    <w:p>
      <w:pPr>
        <w:spacing w:line="360" w:lineRule="auto"/>
        <w:ind w:firstLine="480" w:firstLineChars="200"/>
        <w:rPr>
          <w:rFonts w:ascii="宋体" w:hAnsi="宋体" w:cs="宋体"/>
          <w:sz w:val="24"/>
          <w:szCs w:val="32"/>
        </w:rPr>
      </w:pPr>
      <w:r>
        <w:rPr>
          <w:rFonts w:hint="eastAsia" w:ascii="宋体" w:hAnsi="宋体" w:cs="宋体"/>
          <w:sz w:val="24"/>
          <w:szCs w:val="32"/>
        </w:rPr>
        <w:t>本项目评审过程实行全程录音、录像监控，政府采购监管部门视情进行现场监督，磋商供应商在评审过程中所进行的试图影响评审结果的不公正活动，可能导致其响应被拒绝。</w:t>
      </w:r>
    </w:p>
    <w:p>
      <w:pPr>
        <w:spacing w:line="360" w:lineRule="auto"/>
        <w:outlineLvl w:val="1"/>
        <w:rPr>
          <w:rFonts w:ascii="宋体" w:hAnsi="宋体" w:cs="宋体"/>
          <w:b/>
          <w:bCs/>
          <w:sz w:val="24"/>
          <w:szCs w:val="32"/>
        </w:rPr>
      </w:pPr>
      <w:r>
        <w:rPr>
          <w:rFonts w:hint="eastAsia" w:ascii="宋体" w:hAnsi="宋体" w:cs="宋体"/>
          <w:b/>
          <w:bCs/>
          <w:sz w:val="24"/>
          <w:szCs w:val="32"/>
        </w:rPr>
        <w:t>四、磋商结果确定</w:t>
      </w:r>
    </w:p>
    <w:p>
      <w:pPr>
        <w:spacing w:line="360" w:lineRule="auto"/>
        <w:ind w:firstLine="480" w:firstLineChars="200"/>
        <w:rPr>
          <w:rFonts w:ascii="宋体" w:hAnsi="宋体" w:cs="宋体"/>
          <w:sz w:val="24"/>
          <w:szCs w:val="32"/>
        </w:rPr>
      </w:pPr>
      <w:r>
        <w:rPr>
          <w:rFonts w:hint="eastAsia" w:ascii="宋体" w:hAnsi="宋体" w:cs="宋体"/>
          <w:sz w:val="24"/>
          <w:szCs w:val="32"/>
        </w:rPr>
        <w:t>1、确定成交供应商。磋商小组根据采购单位的《授权意见确认书》，推荐成交候选供应商或直接确定成交供应商。其中推荐成交候选供应商的，采购组织机构在评审结束后2个工作日内将评审报告送采购人，采购人自收到评审报告之日起5个工作日内在评审报告推荐的成交候选供应商中按顺序确定成交供应商。</w:t>
      </w:r>
    </w:p>
    <w:p>
      <w:pPr>
        <w:spacing w:line="360" w:lineRule="auto"/>
        <w:ind w:firstLine="480" w:firstLineChars="200"/>
        <w:rPr>
          <w:rFonts w:ascii="宋体" w:hAnsi="宋体" w:cs="宋体"/>
          <w:sz w:val="24"/>
          <w:szCs w:val="32"/>
        </w:rPr>
      </w:pPr>
      <w:r>
        <w:rPr>
          <w:rFonts w:hint="eastAsia" w:ascii="宋体" w:hAnsi="宋体" w:cs="宋体"/>
          <w:sz w:val="24"/>
          <w:szCs w:val="32"/>
        </w:rPr>
        <w:t>2、发布成交结果公告。采购组织机构应当自成交供应商确定之日起2个工作日内，在省级以上财政部门指定的媒体及相关网站上公告成交结果，并将磋商文件随同公告。如发现成交供应商资格无效或其放弃成交资格，则按本次评审供应商得分排序结果依次替补或重新组织。</w:t>
      </w:r>
    </w:p>
    <w:p>
      <w:pPr>
        <w:spacing w:line="360" w:lineRule="auto"/>
        <w:ind w:firstLine="480" w:firstLineChars="200"/>
        <w:rPr>
          <w:rFonts w:ascii="宋体" w:hAnsi="宋体" w:cs="宋体"/>
          <w:sz w:val="24"/>
          <w:szCs w:val="32"/>
        </w:rPr>
      </w:pPr>
      <w:r>
        <w:rPr>
          <w:rFonts w:hint="eastAsia" w:ascii="宋体" w:hAnsi="宋体" w:cs="宋体"/>
          <w:sz w:val="24"/>
          <w:szCs w:val="32"/>
        </w:rPr>
        <w:t>3、发出成交通知书。采购组织机构在发布成交结果的同时，向成交供应商发出成交通知书。</w:t>
      </w:r>
    </w:p>
    <w:p>
      <w:pPr>
        <w:spacing w:line="360" w:lineRule="auto"/>
        <w:outlineLvl w:val="1"/>
        <w:rPr>
          <w:rFonts w:ascii="宋体" w:hAnsi="宋体" w:cs="宋体"/>
          <w:b/>
          <w:bCs/>
          <w:sz w:val="24"/>
          <w:szCs w:val="32"/>
        </w:rPr>
      </w:pPr>
      <w:r>
        <w:rPr>
          <w:rFonts w:hint="eastAsia" w:ascii="宋体" w:hAnsi="宋体" w:cs="宋体"/>
          <w:b/>
          <w:bCs/>
          <w:sz w:val="24"/>
          <w:szCs w:val="32"/>
        </w:rPr>
        <w:t>五、合同签订及公告</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（一）签订合同</w:t>
      </w:r>
    </w:p>
    <w:p>
      <w:pPr>
        <w:spacing w:line="360" w:lineRule="auto"/>
        <w:ind w:firstLine="480" w:firstLineChars="200"/>
        <w:rPr>
          <w:rFonts w:ascii="宋体" w:hAnsi="宋体" w:cs="宋体"/>
          <w:sz w:val="24"/>
          <w:szCs w:val="32"/>
        </w:rPr>
      </w:pPr>
      <w:r>
        <w:rPr>
          <w:rFonts w:hint="eastAsia" w:ascii="宋体" w:hAnsi="宋体" w:cs="宋体"/>
          <w:sz w:val="24"/>
          <w:szCs w:val="32"/>
        </w:rPr>
        <w:t>1、采购人应当自成交通知书发出之日起30日内，按照磋商文件和成交供应商磋商响应文件的规定，根据磋商文件确定的合同文本以及采购标的、采购金额、采购数量和服务要求等事项签订政府采购合同。所签订的合同不得对磋商文件确定的事项和成交供应商的磋商响应文件作实质性修改。</w:t>
      </w:r>
    </w:p>
    <w:p>
      <w:pPr>
        <w:spacing w:line="360" w:lineRule="auto"/>
        <w:ind w:firstLine="480" w:firstLineChars="200"/>
        <w:rPr>
          <w:rFonts w:ascii="宋体" w:hAnsi="宋体" w:cs="宋体"/>
          <w:sz w:val="24"/>
          <w:szCs w:val="32"/>
        </w:rPr>
      </w:pPr>
      <w:r>
        <w:rPr>
          <w:rFonts w:hint="eastAsia" w:ascii="宋体" w:hAnsi="宋体" w:cs="宋体"/>
          <w:sz w:val="24"/>
          <w:szCs w:val="32"/>
        </w:rPr>
        <w:t>2、采购人不得向成交供应商提出任何不合理的要求作为签订合同的条件。</w:t>
      </w:r>
    </w:p>
    <w:p>
      <w:pPr>
        <w:spacing w:line="360" w:lineRule="auto"/>
        <w:ind w:firstLine="480" w:firstLineChars="200"/>
        <w:rPr>
          <w:rFonts w:ascii="宋体" w:hAnsi="宋体" w:cs="宋体"/>
          <w:sz w:val="24"/>
        </w:rPr>
      </w:pPr>
      <w:r>
        <w:rPr>
          <w:rFonts w:hint="eastAsia" w:ascii="宋体" w:hAnsi="宋体" w:cs="宋体"/>
          <w:sz w:val="24"/>
        </w:rPr>
        <w:t>3、成交供应商无故拖延、拒签合同的,取消成交资格。</w:t>
      </w:r>
    </w:p>
    <w:p>
      <w:pPr>
        <w:spacing w:line="360" w:lineRule="auto"/>
        <w:ind w:firstLine="480" w:firstLineChars="200"/>
        <w:rPr>
          <w:rFonts w:ascii="宋体" w:hAnsi="宋体" w:cs="宋体"/>
          <w:sz w:val="24"/>
          <w:szCs w:val="32"/>
        </w:rPr>
      </w:pPr>
      <w:r>
        <w:rPr>
          <w:rFonts w:hint="eastAsia" w:ascii="宋体" w:hAnsi="宋体" w:cs="宋体"/>
          <w:sz w:val="24"/>
          <w:szCs w:val="32"/>
        </w:rP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pPr>
        <w:spacing w:line="360" w:lineRule="auto"/>
        <w:ind w:firstLine="480" w:firstLineChars="200"/>
        <w:rPr>
          <w:rFonts w:ascii="宋体" w:hAnsi="宋体" w:cs="宋体"/>
          <w:sz w:val="24"/>
          <w:szCs w:val="32"/>
        </w:rPr>
      </w:pPr>
      <w:r>
        <w:rPr>
          <w:rFonts w:hint="eastAsia" w:ascii="宋体" w:hAnsi="宋体" w:cs="宋体"/>
          <w:sz w:val="24"/>
          <w:szCs w:val="32"/>
        </w:rPr>
        <w:t>5、询问或者质疑事项可能影响成交结果的，采购人应当暂停签订合同，已经签订合同的，应当中止履行合同（成交结果的质疑期为成交结果公告期限届满之日起七个工作日）。</w:t>
      </w:r>
    </w:p>
    <w:p>
      <w:pPr>
        <w:spacing w:line="360" w:lineRule="auto"/>
        <w:ind w:firstLine="482" w:firstLineChars="200"/>
        <w:outlineLvl w:val="2"/>
        <w:rPr>
          <w:rFonts w:ascii="宋体" w:hAnsi="宋体" w:cs="宋体"/>
          <w:b/>
          <w:bCs/>
          <w:sz w:val="24"/>
          <w:szCs w:val="32"/>
        </w:rPr>
      </w:pPr>
      <w:r>
        <w:rPr>
          <w:rFonts w:hint="eastAsia" w:ascii="宋体" w:hAnsi="宋体" w:cs="宋体"/>
          <w:b/>
          <w:bCs/>
          <w:sz w:val="24"/>
          <w:szCs w:val="32"/>
        </w:rPr>
        <w:t>（二）合同公告及备案</w:t>
      </w:r>
    </w:p>
    <w:p>
      <w:pPr>
        <w:spacing w:line="360" w:lineRule="auto"/>
        <w:ind w:firstLine="480" w:firstLineChars="200"/>
        <w:rPr>
          <w:rFonts w:ascii="宋体" w:hAnsi="宋体" w:cs="宋体"/>
          <w:sz w:val="24"/>
          <w:szCs w:val="32"/>
        </w:rPr>
      </w:pPr>
      <w:r>
        <w:rPr>
          <w:rFonts w:hint="eastAsia" w:ascii="宋体" w:hAnsi="宋体" w:cs="宋体"/>
          <w:sz w:val="24"/>
          <w:szCs w:val="32"/>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sz w:val="24"/>
          <w:szCs w:val="32"/>
        </w:rPr>
      </w:pPr>
      <w:r>
        <w:rPr>
          <w:rFonts w:hint="eastAsia" w:ascii="宋体" w:hAnsi="宋体" w:cs="宋体"/>
          <w:sz w:val="24"/>
          <w:szCs w:val="32"/>
        </w:rPr>
        <w:t>2、采购人应当自政府采购合同签订之日起7个工作日内，将政府采购合同副本报同级人民政府财政部门备案以及采购组织机构存档。</w:t>
      </w:r>
    </w:p>
    <w:p>
      <w:pPr>
        <w:spacing w:line="360" w:lineRule="auto"/>
        <w:ind w:firstLine="480" w:firstLineChars="200"/>
        <w:rPr>
          <w:rFonts w:ascii="宋体" w:hAnsi="宋体" w:cs="宋体"/>
          <w:sz w:val="24"/>
          <w:szCs w:val="32"/>
        </w:rPr>
      </w:pPr>
    </w:p>
    <w:p>
      <w:pPr>
        <w:spacing w:line="360" w:lineRule="auto"/>
        <w:rPr>
          <w:rFonts w:ascii="宋体" w:hAnsi="宋体" w:cs="宋体"/>
          <w:sz w:val="24"/>
          <w:szCs w:val="32"/>
        </w:rPr>
      </w:pPr>
    </w:p>
    <w:p>
      <w:pPr>
        <w:pStyle w:val="76"/>
        <w:rPr>
          <w:rFonts w:ascii="宋体" w:hAnsi="宋体" w:cs="宋体"/>
        </w:rPr>
      </w:pPr>
      <w:r>
        <w:rPr>
          <w:rFonts w:hint="eastAsia" w:ascii="宋体" w:hAnsi="宋体" w:cs="宋体"/>
        </w:rPr>
        <w:br w:type="page"/>
      </w:r>
    </w:p>
    <w:p>
      <w:pPr>
        <w:spacing w:line="360" w:lineRule="auto"/>
        <w:jc w:val="center"/>
        <w:outlineLvl w:val="0"/>
        <w:rPr>
          <w:rFonts w:ascii="宋体" w:hAnsi="宋体" w:cs="宋体"/>
          <w:b/>
          <w:bCs/>
          <w:sz w:val="36"/>
          <w:szCs w:val="44"/>
        </w:rPr>
      </w:pPr>
      <w:r>
        <w:rPr>
          <w:rFonts w:hint="eastAsia" w:ascii="宋体" w:hAnsi="宋体" w:cs="宋体"/>
          <w:b/>
          <w:bCs/>
          <w:sz w:val="36"/>
          <w:szCs w:val="44"/>
        </w:rPr>
        <w:t>第三章 评审办法及评审标准</w:t>
      </w:r>
    </w:p>
    <w:p>
      <w:pPr>
        <w:spacing w:line="360" w:lineRule="auto"/>
        <w:ind w:firstLine="480" w:firstLineChars="200"/>
        <w:rPr>
          <w:rFonts w:ascii="宋体" w:hAnsi="宋体" w:cs="宋体"/>
          <w:sz w:val="24"/>
        </w:rPr>
      </w:pPr>
      <w:r>
        <w:rPr>
          <w:rFonts w:hint="eastAsia" w:ascii="宋体" w:hAnsi="宋体" w:cs="宋体"/>
          <w:sz w:val="24"/>
        </w:rPr>
        <w:t>一、采购组织机构将组织磋商小组，对磋商供应商提供的磋商响应文件进行综合评审。</w:t>
      </w:r>
    </w:p>
    <w:p>
      <w:pPr>
        <w:spacing w:line="360" w:lineRule="auto"/>
        <w:ind w:firstLine="480" w:firstLineChars="200"/>
        <w:rPr>
          <w:rFonts w:ascii="宋体" w:hAnsi="宋体" w:cs="宋体"/>
          <w:sz w:val="24"/>
          <w:szCs w:val="32"/>
        </w:rPr>
      </w:pPr>
      <w:r>
        <w:rPr>
          <w:rFonts w:hint="eastAsia" w:ascii="宋体" w:hAnsi="宋体" w:cs="宋体"/>
          <w:sz w:val="24"/>
          <w:szCs w:val="32"/>
        </w:rPr>
        <w:t>二、本次磋商的评审方法为综合评分法，总计100分。</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（一）</w:t>
      </w:r>
      <w:r>
        <w:rPr>
          <w:rFonts w:hint="eastAsia" w:ascii="宋体" w:hAnsi="宋体" w:cs="宋体"/>
          <w:sz w:val="24"/>
          <w:lang w:val="zh-CN"/>
        </w:rPr>
        <w:t>商务与技术文件中的客观分应由评审小组成员独立评审，</w:t>
      </w:r>
      <w:r>
        <w:rPr>
          <w:rFonts w:hint="eastAsia" w:ascii="宋体" w:hAnsi="宋体" w:cs="宋体"/>
          <w:sz w:val="24"/>
        </w:rPr>
        <w:t>但客观分打分应一致，客观分不一致时，由评审委员会复核或书面说明理由</w:t>
      </w:r>
      <w:r>
        <w:rPr>
          <w:rFonts w:hint="eastAsia" w:ascii="宋体" w:hAnsi="宋体" w:cs="宋体"/>
          <w:sz w:val="24"/>
          <w:lang w:val="zh-CN"/>
        </w:rPr>
        <w:t>；其余在规定的分值内单独评定打分。</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（二）各磋商供应商商务与技术文件得分按照磋商小组成员的独立评分结果汇总后的算术平均分计算，计算公式为：</w:t>
      </w:r>
    </w:p>
    <w:p>
      <w:pPr>
        <w:spacing w:line="360" w:lineRule="auto"/>
        <w:ind w:firstLine="480" w:firstLineChars="200"/>
        <w:rPr>
          <w:rFonts w:ascii="宋体" w:hAnsi="宋体" w:cs="宋体"/>
          <w:sz w:val="24"/>
          <w:szCs w:val="32"/>
          <w:lang w:val="zh-CN"/>
        </w:rPr>
      </w:pPr>
      <w:r>
        <w:rPr>
          <w:rFonts w:hint="eastAsia" w:ascii="宋体" w:hAnsi="宋体" w:cs="宋体"/>
          <w:sz w:val="24"/>
          <w:szCs w:val="32"/>
        </w:rPr>
        <w:t>商务与技术文件得分</w:t>
      </w:r>
      <w:r>
        <w:rPr>
          <w:rFonts w:hint="eastAsia" w:ascii="宋体" w:hAnsi="宋体" w:cs="宋体"/>
          <w:sz w:val="24"/>
          <w:szCs w:val="32"/>
          <w:lang w:val="zh-CN"/>
        </w:rPr>
        <w:t>=磋商小组所有成员评分合计数/磋商小组组成人员数。</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（三）磋商报价得分采用低价优先法计算，即满足磋商文件要求且最终报价最低的磋商供应商的价格作为磋商基准价，其报价得满分。其他磋商供应商的价格分统一按照下列公式计算：</w:t>
      </w:r>
    </w:p>
    <w:p>
      <w:pPr>
        <w:spacing w:line="360" w:lineRule="auto"/>
        <w:ind w:firstLine="480" w:firstLineChars="200"/>
        <w:rPr>
          <w:rFonts w:ascii="宋体" w:hAnsi="宋体" w:cs="宋体"/>
          <w:sz w:val="24"/>
          <w:szCs w:val="32"/>
          <w:u w:val="single"/>
          <w:lang w:val="zh-CN"/>
        </w:rPr>
      </w:pPr>
      <w:r>
        <w:rPr>
          <w:rFonts w:hint="eastAsia" w:ascii="宋体" w:hAnsi="宋体" w:cs="宋体"/>
          <w:sz w:val="24"/>
          <w:szCs w:val="32"/>
          <w:u w:val="single"/>
          <w:lang w:val="zh-CN"/>
        </w:rPr>
        <w:t>磋商报价得分=(磋商基准价／最后磋商报价)×</w:t>
      </w:r>
      <w:r>
        <w:rPr>
          <w:rFonts w:hint="eastAsia" w:ascii="宋体" w:hAnsi="宋体" w:cs="宋体"/>
          <w:sz w:val="24"/>
          <w:szCs w:val="32"/>
          <w:u w:val="single"/>
        </w:rPr>
        <w:t>10%</w:t>
      </w:r>
      <w:r>
        <w:rPr>
          <w:rFonts w:hint="eastAsia" w:ascii="宋体" w:hAnsi="宋体" w:cs="宋体"/>
          <w:sz w:val="24"/>
          <w:szCs w:val="32"/>
          <w:u w:val="single"/>
          <w:lang w:val="zh-CN"/>
        </w:rPr>
        <w:t>×100。</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（四）磋商供应商综合得分＝</w:t>
      </w:r>
      <w:r>
        <w:rPr>
          <w:rFonts w:hint="eastAsia" w:ascii="宋体" w:hAnsi="宋体" w:cs="宋体"/>
          <w:sz w:val="24"/>
          <w:szCs w:val="32"/>
        </w:rPr>
        <w:t>商务与技术文件得分</w:t>
      </w:r>
      <w:r>
        <w:rPr>
          <w:rFonts w:hint="eastAsia" w:ascii="宋体" w:hAnsi="宋体" w:cs="宋体"/>
          <w:sz w:val="24"/>
          <w:szCs w:val="32"/>
          <w:lang w:val="zh-CN"/>
        </w:rPr>
        <w:t>＋磋商报价得分。</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得分以系统计算为准，保留2位小数。</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三、在最大限度地满足磋商文件实质性要求前提下，磋商小组按照磋商文件中规定的各项因素进行综合评审后，以评标总得分最高的磋商供应商为第一中标候选人，以评标总得分次高的磋商供应商为第二中标候选人。</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四、如综合得分相同，最后报价低者为先；如综合得分且最后报价相同的，抽签确定。</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五、提供相同品牌产品的不同磋商供应商参加同一合同项下磋商的，按一家供应商认定：</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（1）采用最低评标价法的采购项目，以其中通过资格审查、符合性审查且报价最低的参加</w:t>
      </w:r>
      <w:r>
        <w:rPr>
          <w:rFonts w:hint="eastAsia" w:ascii="宋体" w:hAnsi="宋体" w:cs="宋体"/>
          <w:sz w:val="24"/>
          <w:szCs w:val="32"/>
        </w:rPr>
        <w:t>磋商</w:t>
      </w:r>
      <w:r>
        <w:rPr>
          <w:rFonts w:hint="eastAsia" w:ascii="宋体" w:hAnsi="宋体" w:cs="宋体"/>
          <w:sz w:val="24"/>
          <w:szCs w:val="32"/>
          <w:lang w:val="zh-CN"/>
        </w:rPr>
        <w:t>；报价相同的，由磋商小组集体确定一个磋商供应商参加磋商，其他</w:t>
      </w:r>
      <w:r>
        <w:rPr>
          <w:rFonts w:hint="eastAsia" w:ascii="宋体" w:hAnsi="宋体" w:cs="宋体"/>
          <w:sz w:val="24"/>
          <w:lang w:val="zh-CN"/>
        </w:rPr>
        <w:t>供应商不再参加</w:t>
      </w:r>
      <w:r>
        <w:rPr>
          <w:rFonts w:hint="eastAsia" w:ascii="宋体" w:hAnsi="宋体" w:cs="宋体"/>
          <w:sz w:val="24"/>
          <w:szCs w:val="32"/>
          <w:lang w:val="zh-CN"/>
        </w:rPr>
        <w:t>。</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（2）使用综合评分法的采购项目，评审后得分最高的同品牌磋商供应商获得</w:t>
      </w:r>
      <w:r>
        <w:rPr>
          <w:rFonts w:hint="eastAsia" w:ascii="宋体" w:hAnsi="宋体" w:cs="宋体"/>
          <w:sz w:val="24"/>
          <w:lang w:val="zh-CN"/>
        </w:rPr>
        <w:t>成交推荐资格</w:t>
      </w:r>
      <w:r>
        <w:rPr>
          <w:rFonts w:hint="eastAsia" w:ascii="宋体" w:hAnsi="宋体" w:cs="宋体"/>
          <w:sz w:val="24"/>
          <w:szCs w:val="32"/>
          <w:lang w:val="zh-CN"/>
        </w:rPr>
        <w:t>；评审得分相同的，由磋商小组集体推荐一个磋商供应商作为成交候选供应商，其他同品牌磋商供应商不作为成交候选供应商。</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六、本次评分具体分值细化条款如下表：</w:t>
      </w:r>
    </w:p>
    <w:p>
      <w:pPr>
        <w:outlineLvl w:val="1"/>
        <w:rPr>
          <w:rFonts w:ascii="宋体" w:hAnsi="宋体" w:cs="宋体"/>
          <w:sz w:val="24"/>
          <w:lang w:val="zh-CN"/>
        </w:rPr>
      </w:pPr>
      <w:r>
        <w:rPr>
          <w:rFonts w:hint="eastAsia" w:ascii="宋体" w:hAnsi="宋体" w:cs="宋体"/>
          <w:sz w:val="24"/>
          <w:szCs w:val="32"/>
          <w:lang w:val="zh-CN"/>
        </w:rPr>
        <w:t>（1）商务与技术文件</w:t>
      </w:r>
      <w:r>
        <w:rPr>
          <w:rFonts w:hint="eastAsia" w:ascii="宋体" w:hAnsi="宋体" w:cs="宋体"/>
          <w:sz w:val="24"/>
          <w:szCs w:val="32"/>
        </w:rPr>
        <w:t>评分细则</w:t>
      </w:r>
      <w:r>
        <w:rPr>
          <w:rFonts w:hint="eastAsia" w:ascii="宋体" w:hAnsi="宋体" w:cs="宋体"/>
          <w:sz w:val="24"/>
          <w:lang w:val="zh-CN"/>
        </w:rPr>
        <w:t>（</w:t>
      </w:r>
      <w:r>
        <w:rPr>
          <w:rFonts w:hint="eastAsia" w:ascii="宋体" w:hAnsi="宋体" w:cs="宋体"/>
          <w:sz w:val="24"/>
        </w:rPr>
        <w:t>90</w:t>
      </w:r>
      <w:r>
        <w:rPr>
          <w:rFonts w:hint="eastAsia" w:ascii="宋体" w:hAnsi="宋体" w:cs="宋体"/>
          <w:sz w:val="24"/>
          <w:lang w:val="zh-CN"/>
        </w:rPr>
        <w:t>分）</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
        <w:gridCol w:w="556"/>
        <w:gridCol w:w="6676"/>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4" w:type="dxa"/>
            <w:tcMar>
              <w:top w:w="0" w:type="dxa"/>
              <w:left w:w="57" w:type="dxa"/>
              <w:bottom w:w="0" w:type="dxa"/>
              <w:right w:w="57" w:type="dxa"/>
            </w:tcMar>
            <w:vAlign w:val="center"/>
          </w:tcPr>
          <w:p>
            <w:pPr>
              <w:snapToGrid w:val="0"/>
              <w:jc w:val="center"/>
              <w:rPr>
                <w:rFonts w:ascii="宋体" w:hAnsi="宋体" w:cs="宋体"/>
                <w:sz w:val="24"/>
              </w:rPr>
            </w:pPr>
            <w:r>
              <w:rPr>
                <w:rFonts w:hint="eastAsia" w:ascii="宋体" w:hAnsi="宋体" w:cs="宋体"/>
                <w:sz w:val="24"/>
              </w:rPr>
              <w:t>序号</w:t>
            </w:r>
          </w:p>
        </w:tc>
        <w:tc>
          <w:tcPr>
            <w:tcW w:w="556" w:type="dxa"/>
            <w:tcMar>
              <w:top w:w="0" w:type="dxa"/>
              <w:left w:w="57" w:type="dxa"/>
              <w:bottom w:w="0" w:type="dxa"/>
              <w:right w:w="57" w:type="dxa"/>
            </w:tcMar>
            <w:vAlign w:val="center"/>
          </w:tcPr>
          <w:p>
            <w:pPr>
              <w:snapToGrid w:val="0"/>
              <w:jc w:val="center"/>
              <w:rPr>
                <w:rFonts w:ascii="宋体" w:hAnsi="宋体" w:cs="宋体"/>
                <w:sz w:val="24"/>
              </w:rPr>
            </w:pPr>
            <w:r>
              <w:rPr>
                <w:rFonts w:hint="eastAsia" w:ascii="宋体" w:hAnsi="宋体" w:cs="宋体"/>
                <w:sz w:val="24"/>
              </w:rPr>
              <w:t>评分因素</w:t>
            </w:r>
          </w:p>
        </w:tc>
        <w:tc>
          <w:tcPr>
            <w:tcW w:w="6676" w:type="dxa"/>
            <w:tcMar>
              <w:top w:w="0" w:type="dxa"/>
              <w:left w:w="57" w:type="dxa"/>
              <w:bottom w:w="0" w:type="dxa"/>
              <w:right w:w="57" w:type="dxa"/>
            </w:tcMar>
            <w:vAlign w:val="center"/>
          </w:tcPr>
          <w:p>
            <w:pPr>
              <w:snapToGrid w:val="0"/>
              <w:jc w:val="center"/>
              <w:rPr>
                <w:rFonts w:ascii="宋体" w:hAnsi="宋体" w:cs="宋体"/>
                <w:sz w:val="24"/>
              </w:rPr>
            </w:pPr>
            <w:r>
              <w:rPr>
                <w:rFonts w:hint="eastAsia" w:ascii="宋体" w:hAnsi="宋体" w:cs="宋体"/>
                <w:sz w:val="24"/>
              </w:rPr>
              <w:t>评分细则</w:t>
            </w:r>
          </w:p>
        </w:tc>
        <w:tc>
          <w:tcPr>
            <w:tcW w:w="834" w:type="dxa"/>
            <w:tcMar>
              <w:top w:w="0" w:type="dxa"/>
              <w:left w:w="57" w:type="dxa"/>
              <w:bottom w:w="0" w:type="dxa"/>
              <w:right w:w="57" w:type="dxa"/>
            </w:tcMar>
            <w:vAlign w:val="center"/>
          </w:tcPr>
          <w:p>
            <w:pPr>
              <w:snapToGrid w:val="0"/>
              <w:jc w:val="center"/>
              <w:rPr>
                <w:rFonts w:ascii="宋体" w:hAnsi="宋体" w:cs="宋体"/>
                <w:sz w:val="24"/>
              </w:rPr>
            </w:pPr>
            <w:r>
              <w:rPr>
                <w:rFonts w:hint="eastAsia" w:ascii="宋体" w:hAnsi="宋体" w:cs="宋体"/>
                <w:sz w:val="24"/>
              </w:rPr>
              <w:t>分值</w:t>
            </w:r>
          </w:p>
          <w:p>
            <w:pPr>
              <w:snapToGrid w:val="0"/>
              <w:jc w:val="center"/>
              <w:rPr>
                <w:rFonts w:ascii="宋体" w:hAnsi="宋体" w:cs="宋体"/>
                <w:sz w:val="24"/>
              </w:rPr>
            </w:pP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354" w:type="dxa"/>
            <w:tcMar>
              <w:top w:w="0" w:type="dxa"/>
              <w:left w:w="57" w:type="dxa"/>
              <w:bottom w:w="0" w:type="dxa"/>
              <w:right w:w="57" w:type="dxa"/>
            </w:tcMar>
            <w:vAlign w:val="center"/>
          </w:tcPr>
          <w:p>
            <w:pPr>
              <w:numPr>
                <w:ilvl w:val="0"/>
                <w:numId w:val="6"/>
              </w:numPr>
              <w:snapToGrid w:val="0"/>
              <w:ind w:firstLine="0"/>
              <w:jc w:val="center"/>
              <w:rPr>
                <w:rFonts w:ascii="宋体" w:hAnsi="宋体" w:cs="宋体"/>
                <w:sz w:val="24"/>
              </w:rPr>
            </w:pPr>
          </w:p>
        </w:tc>
        <w:tc>
          <w:tcPr>
            <w:tcW w:w="556" w:type="dxa"/>
            <w:tcMar>
              <w:top w:w="0" w:type="dxa"/>
              <w:left w:w="57" w:type="dxa"/>
              <w:bottom w:w="0" w:type="dxa"/>
              <w:right w:w="57" w:type="dxa"/>
            </w:tcMar>
            <w:vAlign w:val="center"/>
          </w:tcPr>
          <w:p>
            <w:pPr>
              <w:spacing w:line="320" w:lineRule="exact"/>
              <w:jc w:val="center"/>
              <w:rPr>
                <w:rFonts w:ascii="宋体" w:hAnsi="宋体" w:cs="仿宋"/>
                <w:szCs w:val="21"/>
              </w:rPr>
            </w:pPr>
            <w:r>
              <w:rPr>
                <w:rFonts w:hint="eastAsia" w:ascii="宋体" w:hAnsi="宋体" w:cs="宋体"/>
                <w:szCs w:val="21"/>
              </w:rPr>
              <w:t>项目业绩</w:t>
            </w:r>
          </w:p>
        </w:tc>
        <w:tc>
          <w:tcPr>
            <w:tcW w:w="6676" w:type="dxa"/>
            <w:tcMar>
              <w:top w:w="0" w:type="dxa"/>
              <w:left w:w="57" w:type="dxa"/>
              <w:bottom w:w="0" w:type="dxa"/>
              <w:right w:w="57" w:type="dxa"/>
            </w:tcMar>
          </w:tcPr>
          <w:p>
            <w:pPr>
              <w:autoSpaceDE w:val="0"/>
              <w:autoSpaceDN w:val="0"/>
              <w:adjustRightInd w:val="0"/>
              <w:spacing w:line="360" w:lineRule="auto"/>
              <w:ind w:right="85"/>
              <w:rPr>
                <w:rFonts w:ascii="宋体" w:hAnsi="宋体" w:cs="宋体"/>
                <w:sz w:val="22"/>
                <w:szCs w:val="22"/>
              </w:rPr>
            </w:pPr>
            <w:r>
              <w:rPr>
                <w:rFonts w:hint="eastAsia" w:ascii="宋体" w:hAnsi="宋体"/>
                <w:szCs w:val="21"/>
                <w:lang w:val="zh-CN"/>
              </w:rPr>
              <w:t>供应商</w:t>
            </w:r>
            <w:r>
              <w:rPr>
                <w:rFonts w:hint="eastAsia" w:ascii="宋体" w:hAnsi="宋体" w:cs="宋体"/>
                <w:sz w:val="22"/>
                <w:szCs w:val="22"/>
              </w:rPr>
              <w:t>2020年1月1日以来（以合同签订时间为准）承担过类似第三方企业服务项目业绩得1分。</w:t>
            </w:r>
          </w:p>
          <w:p>
            <w:pPr>
              <w:autoSpaceDE w:val="0"/>
              <w:autoSpaceDN w:val="0"/>
              <w:adjustRightInd w:val="0"/>
              <w:spacing w:line="360" w:lineRule="auto"/>
              <w:ind w:right="85"/>
              <w:rPr>
                <w:rFonts w:ascii="宋体" w:hAnsi="宋体" w:cs="仿宋"/>
                <w:szCs w:val="21"/>
              </w:rPr>
            </w:pPr>
            <w:r>
              <w:rPr>
                <w:rFonts w:hint="eastAsia" w:ascii="宋体" w:hAnsi="宋体" w:cs="宋体"/>
                <w:b/>
                <w:bCs/>
                <w:sz w:val="22"/>
                <w:szCs w:val="22"/>
              </w:rPr>
              <w:t>注：提供合同复印件并加盖公章，未提供不得分</w:t>
            </w:r>
          </w:p>
        </w:tc>
        <w:tc>
          <w:tcPr>
            <w:tcW w:w="834" w:type="dxa"/>
            <w:tcMar>
              <w:top w:w="0" w:type="dxa"/>
              <w:left w:w="57" w:type="dxa"/>
              <w:bottom w:w="0" w:type="dxa"/>
              <w:right w:w="57" w:type="dxa"/>
            </w:tcMar>
            <w:vAlign w:val="center"/>
          </w:tcPr>
          <w:p>
            <w:pPr>
              <w:spacing w:line="320" w:lineRule="exact"/>
              <w:jc w:val="center"/>
              <w:rPr>
                <w:rFonts w:ascii="宋体" w:hAnsi="宋体" w:cs="仿宋"/>
                <w:kern w:val="0"/>
                <w:szCs w:val="21"/>
              </w:rPr>
            </w:pPr>
            <w:r>
              <w:rPr>
                <w:rFonts w:ascii="宋体" w:hAnsi="宋体"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354" w:type="dxa"/>
            <w:vMerge w:val="restart"/>
            <w:tcMar>
              <w:top w:w="0" w:type="dxa"/>
              <w:left w:w="57" w:type="dxa"/>
              <w:bottom w:w="0" w:type="dxa"/>
              <w:right w:w="57" w:type="dxa"/>
            </w:tcMar>
            <w:vAlign w:val="center"/>
          </w:tcPr>
          <w:p>
            <w:pPr>
              <w:numPr>
                <w:ilvl w:val="0"/>
                <w:numId w:val="6"/>
              </w:numPr>
              <w:snapToGrid w:val="0"/>
              <w:ind w:firstLine="0"/>
              <w:jc w:val="center"/>
              <w:rPr>
                <w:rFonts w:ascii="宋体" w:hAnsi="宋体" w:cs="宋体"/>
                <w:sz w:val="24"/>
              </w:rPr>
            </w:pPr>
          </w:p>
        </w:tc>
        <w:tc>
          <w:tcPr>
            <w:tcW w:w="556" w:type="dxa"/>
            <w:vMerge w:val="restart"/>
            <w:tcMar>
              <w:top w:w="0" w:type="dxa"/>
              <w:left w:w="57" w:type="dxa"/>
              <w:bottom w:w="0" w:type="dxa"/>
              <w:right w:w="57" w:type="dxa"/>
            </w:tcMar>
            <w:vAlign w:val="center"/>
          </w:tcPr>
          <w:p>
            <w:pPr>
              <w:spacing w:line="320" w:lineRule="exact"/>
              <w:jc w:val="center"/>
              <w:rPr>
                <w:rFonts w:ascii="宋体" w:hAnsi="宋体" w:cs="宋体"/>
                <w:szCs w:val="21"/>
              </w:rPr>
            </w:pPr>
            <w:r>
              <w:rPr>
                <w:rFonts w:hint="eastAsia" w:hAnsi="宋体" w:cs="宋体"/>
                <w:b/>
                <w:bCs/>
                <w:sz w:val="22"/>
                <w:szCs w:val="22"/>
              </w:rPr>
              <w:t>企业综合实力</w:t>
            </w:r>
          </w:p>
        </w:tc>
        <w:tc>
          <w:tcPr>
            <w:tcW w:w="6676" w:type="dxa"/>
            <w:tcMar>
              <w:top w:w="0" w:type="dxa"/>
              <w:left w:w="57" w:type="dxa"/>
              <w:bottom w:w="0" w:type="dxa"/>
              <w:right w:w="57" w:type="dxa"/>
            </w:tcMar>
          </w:tcPr>
          <w:p>
            <w:pPr>
              <w:spacing w:line="360" w:lineRule="exact"/>
              <w:jc w:val="left"/>
              <w:rPr>
                <w:rFonts w:ascii="宋体" w:hAnsi="宋体" w:cs="宋体"/>
                <w:bCs/>
                <w:spacing w:val="-6"/>
                <w:sz w:val="22"/>
                <w:szCs w:val="22"/>
              </w:rPr>
            </w:pPr>
            <w:r>
              <w:rPr>
                <w:rFonts w:hint="eastAsia" w:ascii="宋体" w:hAnsi="宋体" w:cs="宋体"/>
                <w:bCs/>
                <w:spacing w:val="-6"/>
                <w:sz w:val="22"/>
                <w:szCs w:val="22"/>
              </w:rPr>
              <w:t>通过省市级及以上应急管理局登记备案的社会服务化机构得2分。</w:t>
            </w:r>
          </w:p>
          <w:p>
            <w:pPr>
              <w:spacing w:line="320" w:lineRule="exact"/>
              <w:rPr>
                <w:rFonts w:ascii="宋体" w:hAnsi="宋体" w:cs="宋体"/>
                <w:szCs w:val="21"/>
              </w:rPr>
            </w:pPr>
            <w:r>
              <w:rPr>
                <w:rFonts w:hint="eastAsia" w:ascii="宋体" w:hAnsi="宋体"/>
                <w:b/>
                <w:sz w:val="22"/>
                <w:szCs w:val="22"/>
              </w:rPr>
              <w:t>注：提供官网网站备案截图加盖公章，否则不得分</w:t>
            </w:r>
          </w:p>
        </w:tc>
        <w:tc>
          <w:tcPr>
            <w:tcW w:w="834" w:type="dxa"/>
            <w:tcMar>
              <w:top w:w="0" w:type="dxa"/>
              <w:left w:w="57" w:type="dxa"/>
              <w:bottom w:w="0" w:type="dxa"/>
              <w:right w:w="57" w:type="dxa"/>
            </w:tcMar>
            <w:vAlign w:val="center"/>
          </w:tcPr>
          <w:p>
            <w:pPr>
              <w:spacing w:line="320" w:lineRule="exact"/>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354" w:type="dxa"/>
            <w:vMerge w:val="continue"/>
            <w:tcMar>
              <w:top w:w="0" w:type="dxa"/>
              <w:left w:w="57" w:type="dxa"/>
              <w:bottom w:w="0" w:type="dxa"/>
              <w:right w:w="57" w:type="dxa"/>
            </w:tcMar>
            <w:vAlign w:val="center"/>
          </w:tcPr>
          <w:p>
            <w:pPr>
              <w:snapToGrid w:val="0"/>
              <w:rPr>
                <w:rFonts w:ascii="宋体" w:hAnsi="宋体" w:cs="宋体"/>
                <w:sz w:val="24"/>
              </w:rPr>
            </w:pPr>
          </w:p>
        </w:tc>
        <w:tc>
          <w:tcPr>
            <w:tcW w:w="556" w:type="dxa"/>
            <w:vMerge w:val="continue"/>
            <w:tcMar>
              <w:top w:w="0" w:type="dxa"/>
              <w:left w:w="57" w:type="dxa"/>
              <w:bottom w:w="0" w:type="dxa"/>
              <w:right w:w="57" w:type="dxa"/>
            </w:tcMar>
            <w:vAlign w:val="center"/>
          </w:tcPr>
          <w:p>
            <w:pPr>
              <w:spacing w:line="320" w:lineRule="exact"/>
              <w:jc w:val="center"/>
              <w:rPr>
                <w:rFonts w:hAnsi="宋体" w:cs="宋体"/>
                <w:b/>
                <w:bCs/>
                <w:sz w:val="22"/>
                <w:szCs w:val="22"/>
              </w:rPr>
            </w:pPr>
          </w:p>
        </w:tc>
        <w:tc>
          <w:tcPr>
            <w:tcW w:w="6676" w:type="dxa"/>
            <w:tcMar>
              <w:top w:w="0" w:type="dxa"/>
              <w:left w:w="57" w:type="dxa"/>
              <w:bottom w:w="0" w:type="dxa"/>
              <w:right w:w="57" w:type="dxa"/>
            </w:tcMar>
          </w:tcPr>
          <w:p>
            <w:pPr>
              <w:spacing w:line="320" w:lineRule="exact"/>
            </w:pPr>
            <w:r>
              <w:rPr>
                <w:rFonts w:hint="eastAsia" w:ascii="宋体" w:hAnsi="宋体" w:cs="宋体"/>
                <w:sz w:val="22"/>
                <w:szCs w:val="22"/>
              </w:rPr>
              <w:t>入选省级应急管理专家库成员的一个得3分，入选市级应急管理专家库成员的一个得2分，最高得5分。</w:t>
            </w:r>
          </w:p>
          <w:p>
            <w:pPr>
              <w:spacing w:line="320" w:lineRule="exact"/>
              <w:rPr>
                <w:rFonts w:ascii="宋体" w:hAnsi="宋体" w:cs="宋体"/>
                <w:b/>
                <w:spacing w:val="-6"/>
                <w:sz w:val="22"/>
                <w:szCs w:val="22"/>
              </w:rPr>
            </w:pPr>
            <w:r>
              <w:rPr>
                <w:rFonts w:hint="eastAsia" w:ascii="宋体" w:hAnsi="宋体" w:cs="宋体"/>
                <w:bCs/>
                <w:spacing w:val="-6"/>
                <w:sz w:val="22"/>
                <w:szCs w:val="22"/>
              </w:rPr>
              <w:t>注：</w:t>
            </w:r>
            <w:r>
              <w:rPr>
                <w:rFonts w:hint="eastAsia" w:ascii="宋体" w:hAnsi="宋体"/>
                <w:b/>
                <w:sz w:val="22"/>
                <w:szCs w:val="22"/>
              </w:rPr>
              <w:t>提供相关</w:t>
            </w:r>
            <w:r>
              <w:rPr>
                <w:rFonts w:hint="eastAsia" w:ascii="宋体" w:hAnsi="宋体" w:cs="宋体"/>
                <w:b/>
                <w:spacing w:val="-6"/>
                <w:sz w:val="22"/>
                <w:szCs w:val="22"/>
              </w:rPr>
              <w:t>证明材料复印件</w:t>
            </w:r>
            <w:r>
              <w:rPr>
                <w:rFonts w:hint="eastAsia" w:ascii="宋体" w:hAnsi="宋体"/>
                <w:b/>
                <w:sz w:val="22"/>
                <w:szCs w:val="22"/>
              </w:rPr>
              <w:t>加盖公章</w:t>
            </w:r>
          </w:p>
        </w:tc>
        <w:tc>
          <w:tcPr>
            <w:tcW w:w="834" w:type="dxa"/>
            <w:tcMar>
              <w:top w:w="0" w:type="dxa"/>
              <w:left w:w="57" w:type="dxa"/>
              <w:bottom w:w="0" w:type="dxa"/>
              <w:right w:w="57" w:type="dxa"/>
            </w:tcMar>
            <w:vAlign w:val="center"/>
          </w:tcPr>
          <w:p>
            <w:pPr>
              <w:spacing w:line="320" w:lineRule="exact"/>
              <w:jc w:val="center"/>
              <w:rPr>
                <w:rFonts w:ascii="宋体" w:hAnsi="宋体" w:cs="宋体"/>
                <w:szCs w:val="21"/>
              </w:rPr>
            </w:pPr>
            <w:r>
              <w:rPr>
                <w:rFonts w:hint="eastAsia" w:ascii="宋体" w:hAnsi="宋体" w:cs="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354" w:type="dxa"/>
            <w:tcMar>
              <w:top w:w="0" w:type="dxa"/>
              <w:left w:w="57" w:type="dxa"/>
              <w:bottom w:w="0" w:type="dxa"/>
              <w:right w:w="57" w:type="dxa"/>
            </w:tcMar>
            <w:vAlign w:val="center"/>
          </w:tcPr>
          <w:p>
            <w:pPr>
              <w:numPr>
                <w:ilvl w:val="0"/>
                <w:numId w:val="6"/>
              </w:numPr>
              <w:snapToGrid w:val="0"/>
              <w:ind w:firstLine="0"/>
              <w:jc w:val="center"/>
              <w:rPr>
                <w:rFonts w:ascii="宋体" w:hAnsi="宋体" w:cs="宋体"/>
                <w:sz w:val="24"/>
              </w:rPr>
            </w:pPr>
          </w:p>
        </w:tc>
        <w:tc>
          <w:tcPr>
            <w:tcW w:w="556" w:type="dxa"/>
            <w:tcMar>
              <w:top w:w="0" w:type="dxa"/>
              <w:left w:w="57" w:type="dxa"/>
              <w:bottom w:w="0" w:type="dxa"/>
              <w:right w:w="57" w:type="dxa"/>
            </w:tcMar>
            <w:vAlign w:val="center"/>
          </w:tcPr>
          <w:p>
            <w:pPr>
              <w:spacing w:line="320" w:lineRule="exact"/>
              <w:jc w:val="center"/>
              <w:rPr>
                <w:rFonts w:ascii="宋体" w:hAnsi="宋体" w:cs="宋体"/>
                <w:szCs w:val="21"/>
              </w:rPr>
            </w:pPr>
            <w:r>
              <w:rPr>
                <w:rFonts w:hint="eastAsia" w:hAnsi="宋体" w:cs="宋体"/>
                <w:b/>
                <w:bCs/>
                <w:sz w:val="22"/>
                <w:szCs w:val="22"/>
              </w:rPr>
              <w:t>项目负责人</w:t>
            </w:r>
          </w:p>
        </w:tc>
        <w:tc>
          <w:tcPr>
            <w:tcW w:w="6676" w:type="dxa"/>
            <w:tcMar>
              <w:top w:w="0" w:type="dxa"/>
              <w:left w:w="57" w:type="dxa"/>
              <w:bottom w:w="0" w:type="dxa"/>
              <w:right w:w="57" w:type="dxa"/>
            </w:tcMar>
          </w:tcPr>
          <w:p>
            <w:pPr>
              <w:spacing w:line="360" w:lineRule="exact"/>
              <w:jc w:val="left"/>
              <w:rPr>
                <w:rFonts w:ascii="宋体" w:hAnsi="宋体" w:cs="宋体"/>
                <w:b/>
                <w:bCs/>
                <w:sz w:val="22"/>
                <w:szCs w:val="22"/>
              </w:rPr>
            </w:pPr>
            <w:r>
              <w:rPr>
                <w:rFonts w:hint="eastAsia" w:ascii="宋体" w:hAnsi="宋体" w:cs="宋体"/>
                <w:sz w:val="22"/>
                <w:szCs w:val="22"/>
              </w:rPr>
              <w:t>拟派本项目的项目负责人</w:t>
            </w:r>
            <w:r>
              <w:rPr>
                <w:rFonts w:hint="eastAsia" w:ascii="宋体" w:hAnsi="宋体" w:cs="宋体"/>
                <w:b/>
                <w:bCs/>
                <w:sz w:val="22"/>
                <w:szCs w:val="22"/>
              </w:rPr>
              <w:t>：</w:t>
            </w:r>
          </w:p>
          <w:p>
            <w:pPr>
              <w:spacing w:line="360" w:lineRule="exact"/>
              <w:jc w:val="left"/>
              <w:rPr>
                <w:rFonts w:ascii="宋体" w:hAnsi="宋体" w:cs="宋体"/>
                <w:sz w:val="22"/>
                <w:szCs w:val="22"/>
              </w:rPr>
            </w:pPr>
            <w:r>
              <w:rPr>
                <w:rFonts w:hint="eastAsia" w:ascii="宋体" w:hAnsi="宋体" w:cs="宋体"/>
                <w:sz w:val="22"/>
                <w:szCs w:val="22"/>
              </w:rPr>
              <w:t>具有注册安全工程师或具有安全工程专业高级及以上职称的得3分；</w:t>
            </w:r>
          </w:p>
          <w:p>
            <w:pPr>
              <w:spacing w:line="320" w:lineRule="exact"/>
              <w:rPr>
                <w:rFonts w:ascii="宋体" w:hAnsi="宋体" w:cs="宋体"/>
                <w:szCs w:val="21"/>
              </w:rPr>
            </w:pPr>
            <w:r>
              <w:rPr>
                <w:rFonts w:hint="eastAsia" w:ascii="宋体" w:hAnsi="宋体" w:cs="宋体"/>
                <w:b/>
                <w:bCs/>
                <w:sz w:val="22"/>
                <w:szCs w:val="22"/>
              </w:rPr>
              <w:t>注：需提供</w:t>
            </w:r>
            <w:r>
              <w:rPr>
                <w:rFonts w:hint="eastAsia" w:ascii="宋体" w:hAnsi="宋体" w:cs="宋体"/>
                <w:b/>
                <w:bCs/>
                <w:sz w:val="22"/>
                <w:szCs w:val="22"/>
                <w:lang w:eastAsia="zh-Hans"/>
              </w:rPr>
              <w:t>有效期内的</w:t>
            </w:r>
            <w:r>
              <w:rPr>
                <w:rFonts w:hint="eastAsia" w:ascii="宋体" w:hAnsi="宋体" w:cs="宋体"/>
                <w:b/>
                <w:bCs/>
                <w:sz w:val="22"/>
                <w:szCs w:val="22"/>
              </w:rPr>
              <w:t>相关证书及连续三个月社保缴纳证明材料复印件加盖公章，否则不得分。</w:t>
            </w:r>
          </w:p>
        </w:tc>
        <w:tc>
          <w:tcPr>
            <w:tcW w:w="834" w:type="dxa"/>
            <w:tcMar>
              <w:top w:w="0" w:type="dxa"/>
              <w:left w:w="57" w:type="dxa"/>
              <w:bottom w:w="0" w:type="dxa"/>
              <w:right w:w="57" w:type="dxa"/>
            </w:tcMar>
            <w:vAlign w:val="center"/>
          </w:tcPr>
          <w:p>
            <w:pPr>
              <w:spacing w:line="320" w:lineRule="exact"/>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354" w:type="dxa"/>
            <w:tcMar>
              <w:top w:w="0" w:type="dxa"/>
              <w:left w:w="57" w:type="dxa"/>
              <w:bottom w:w="0" w:type="dxa"/>
              <w:right w:w="57" w:type="dxa"/>
            </w:tcMar>
            <w:vAlign w:val="center"/>
          </w:tcPr>
          <w:p>
            <w:pPr>
              <w:numPr>
                <w:ilvl w:val="0"/>
                <w:numId w:val="6"/>
              </w:numPr>
              <w:snapToGrid w:val="0"/>
              <w:ind w:firstLine="0"/>
              <w:jc w:val="center"/>
              <w:rPr>
                <w:rFonts w:ascii="宋体" w:hAnsi="宋体" w:cs="宋体"/>
                <w:sz w:val="24"/>
              </w:rPr>
            </w:pPr>
          </w:p>
        </w:tc>
        <w:tc>
          <w:tcPr>
            <w:tcW w:w="556" w:type="dxa"/>
            <w:tcMar>
              <w:top w:w="0" w:type="dxa"/>
              <w:left w:w="57" w:type="dxa"/>
              <w:bottom w:w="0" w:type="dxa"/>
              <w:right w:w="57" w:type="dxa"/>
            </w:tcMar>
            <w:vAlign w:val="center"/>
          </w:tcPr>
          <w:p>
            <w:pPr>
              <w:spacing w:line="320" w:lineRule="exact"/>
              <w:jc w:val="center"/>
              <w:rPr>
                <w:rFonts w:ascii="宋体" w:hAnsi="宋体" w:cs="仿宋"/>
                <w:szCs w:val="21"/>
              </w:rPr>
            </w:pPr>
            <w:r>
              <w:rPr>
                <w:rFonts w:hint="eastAsia" w:ascii="宋体" w:hAnsi="宋体" w:cs="宋体"/>
                <w:b/>
                <w:bCs/>
                <w:sz w:val="22"/>
                <w:szCs w:val="22"/>
              </w:rPr>
              <w:t>人员配置</w:t>
            </w:r>
          </w:p>
        </w:tc>
        <w:tc>
          <w:tcPr>
            <w:tcW w:w="6676" w:type="dxa"/>
            <w:tcMar>
              <w:top w:w="0" w:type="dxa"/>
              <w:left w:w="57" w:type="dxa"/>
              <w:bottom w:w="0" w:type="dxa"/>
              <w:right w:w="57" w:type="dxa"/>
            </w:tcMar>
          </w:tcPr>
          <w:p>
            <w:pPr>
              <w:spacing w:line="360" w:lineRule="exact"/>
              <w:jc w:val="left"/>
              <w:rPr>
                <w:rFonts w:ascii="宋体" w:hAnsi="宋体" w:cs="宋体"/>
                <w:sz w:val="22"/>
                <w:szCs w:val="22"/>
              </w:rPr>
            </w:pPr>
            <w:r>
              <w:rPr>
                <w:rFonts w:hint="eastAsia" w:ascii="宋体" w:hAnsi="宋体" w:cs="宋体"/>
                <w:sz w:val="22"/>
                <w:szCs w:val="22"/>
              </w:rPr>
              <w:t>拟派本项目人员中:</w:t>
            </w:r>
          </w:p>
          <w:p>
            <w:pPr>
              <w:spacing w:line="360" w:lineRule="exact"/>
              <w:jc w:val="left"/>
              <w:rPr>
                <w:rFonts w:ascii="Times New Roman" w:hAnsi="Times New Roman"/>
                <w:b/>
                <w:bCs/>
                <w:sz w:val="22"/>
                <w:szCs w:val="22"/>
              </w:rPr>
            </w:pPr>
            <w:r>
              <w:rPr>
                <w:rFonts w:hint="eastAsia" w:ascii="宋体" w:hAnsi="宋体" w:cs="宋体"/>
                <w:sz w:val="22"/>
                <w:szCs w:val="22"/>
              </w:rPr>
              <w:t>承诺拟投入本项目的人员达到2名及以上（项目负责人除外），</w:t>
            </w:r>
            <w:r>
              <w:rPr>
                <w:rFonts w:hint="eastAsia" w:ascii="宋体" w:hAnsi="宋体" w:cs="宋体"/>
                <w:sz w:val="22"/>
                <w:szCs w:val="22"/>
                <w:lang w:eastAsia="zh-Hans"/>
              </w:rPr>
              <w:t>人员</w:t>
            </w:r>
            <w:r>
              <w:rPr>
                <w:rFonts w:hint="eastAsia" w:ascii="宋体" w:hAnsi="宋体" w:cs="宋体"/>
                <w:sz w:val="22"/>
                <w:szCs w:val="22"/>
              </w:rPr>
              <w:t>具有安全、消防、化工、机械等相关专业的高级工程师职称的每个得3分，中级工程师职称的每个得2分，初级工程师职称的每个得1分，2名以上每增加1人加1分，此项最高可得6分。</w:t>
            </w:r>
            <w:r>
              <w:rPr>
                <w:rFonts w:hint="eastAsia" w:ascii="Times New Roman" w:hAnsi="Times New Roman"/>
                <w:b/>
                <w:bCs/>
                <w:sz w:val="22"/>
                <w:szCs w:val="22"/>
              </w:rPr>
              <w:t>（以上人员同一人不重复计分，按最高项计）</w:t>
            </w:r>
          </w:p>
          <w:p>
            <w:pPr>
              <w:spacing w:line="320" w:lineRule="exact"/>
              <w:rPr>
                <w:rFonts w:ascii="宋体" w:hAnsi="宋体" w:cs="仿宋"/>
                <w:szCs w:val="21"/>
              </w:rPr>
            </w:pPr>
            <w:r>
              <w:rPr>
                <w:rFonts w:hint="eastAsia" w:ascii="宋体" w:hAnsi="宋体" w:cs="宋体"/>
                <w:b/>
                <w:bCs/>
                <w:sz w:val="22"/>
                <w:szCs w:val="22"/>
              </w:rPr>
              <w:t>注：需提供相关证书及连续三个月社保缴纳证明材料复印件加盖公章，</w:t>
            </w:r>
            <w:r>
              <w:rPr>
                <w:rFonts w:hint="eastAsia"/>
                <w:b/>
                <w:bCs/>
                <w:sz w:val="22"/>
                <w:szCs w:val="22"/>
              </w:rPr>
              <w:t>否则该项不得分。</w:t>
            </w:r>
          </w:p>
        </w:tc>
        <w:tc>
          <w:tcPr>
            <w:tcW w:w="834" w:type="dxa"/>
            <w:tcMar>
              <w:top w:w="0" w:type="dxa"/>
              <w:left w:w="57" w:type="dxa"/>
              <w:bottom w:w="0" w:type="dxa"/>
              <w:right w:w="57" w:type="dxa"/>
            </w:tcMar>
            <w:vAlign w:val="center"/>
          </w:tcPr>
          <w:p>
            <w:pPr>
              <w:spacing w:line="320" w:lineRule="exact"/>
              <w:jc w:val="center"/>
              <w:rPr>
                <w:rFonts w:ascii="宋体" w:hAnsi="宋体" w:cs="仿宋"/>
                <w:kern w:val="0"/>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354" w:type="dxa"/>
            <w:vMerge w:val="restart"/>
            <w:tcMar>
              <w:top w:w="0" w:type="dxa"/>
              <w:left w:w="57" w:type="dxa"/>
              <w:bottom w:w="0" w:type="dxa"/>
              <w:right w:w="57" w:type="dxa"/>
            </w:tcMar>
            <w:vAlign w:val="center"/>
          </w:tcPr>
          <w:p>
            <w:pPr>
              <w:numPr>
                <w:ilvl w:val="0"/>
                <w:numId w:val="6"/>
              </w:numPr>
              <w:snapToGrid w:val="0"/>
              <w:ind w:firstLine="0"/>
              <w:jc w:val="center"/>
              <w:rPr>
                <w:rFonts w:ascii="宋体" w:hAnsi="宋体" w:cs="宋体"/>
                <w:sz w:val="24"/>
              </w:rPr>
            </w:pPr>
          </w:p>
        </w:tc>
        <w:tc>
          <w:tcPr>
            <w:tcW w:w="556" w:type="dxa"/>
            <w:vMerge w:val="restart"/>
            <w:tcMar>
              <w:top w:w="0" w:type="dxa"/>
              <w:left w:w="57" w:type="dxa"/>
              <w:bottom w:w="0" w:type="dxa"/>
              <w:right w:w="57" w:type="dxa"/>
            </w:tcMar>
            <w:vAlign w:val="center"/>
          </w:tcPr>
          <w:p>
            <w:pPr>
              <w:spacing w:line="320" w:lineRule="exact"/>
              <w:jc w:val="center"/>
              <w:rPr>
                <w:rFonts w:ascii="宋体" w:hAnsi="宋体" w:cs="宋体"/>
                <w:b/>
                <w:bCs/>
                <w:szCs w:val="21"/>
              </w:rPr>
            </w:pPr>
            <w:r>
              <w:rPr>
                <w:rFonts w:hint="eastAsia" w:ascii="宋体" w:hAnsi="宋体" w:cs="宋体"/>
                <w:b/>
                <w:bCs/>
                <w:sz w:val="22"/>
                <w:szCs w:val="22"/>
              </w:rPr>
              <w:t>车辆、设备仪器配置</w:t>
            </w:r>
          </w:p>
        </w:tc>
        <w:tc>
          <w:tcPr>
            <w:tcW w:w="6676" w:type="dxa"/>
            <w:tcMar>
              <w:top w:w="0" w:type="dxa"/>
              <w:left w:w="57" w:type="dxa"/>
              <w:bottom w:w="0" w:type="dxa"/>
              <w:right w:w="57" w:type="dxa"/>
            </w:tcMar>
            <w:vAlign w:val="center"/>
          </w:tcPr>
          <w:p>
            <w:pPr>
              <w:spacing w:line="360" w:lineRule="exact"/>
              <w:jc w:val="left"/>
              <w:rPr>
                <w:rFonts w:ascii="宋体" w:hAnsi="宋体" w:cs="宋体"/>
                <w:sz w:val="22"/>
                <w:szCs w:val="22"/>
              </w:rPr>
            </w:pPr>
            <w:r>
              <w:rPr>
                <w:rFonts w:hint="eastAsia" w:ascii="宋体" w:hAnsi="宋体" w:cs="宋体"/>
                <w:sz w:val="22"/>
                <w:szCs w:val="22"/>
              </w:rPr>
              <w:t>根据投标人拟投入本项目的车辆：</w:t>
            </w:r>
          </w:p>
          <w:p>
            <w:pPr>
              <w:spacing w:line="360" w:lineRule="exact"/>
              <w:jc w:val="left"/>
              <w:rPr>
                <w:rFonts w:ascii="宋体" w:hAnsi="宋体" w:cs="宋体"/>
                <w:sz w:val="22"/>
                <w:szCs w:val="22"/>
              </w:rPr>
            </w:pPr>
            <w:r>
              <w:rPr>
                <w:rFonts w:hint="eastAsia" w:ascii="宋体" w:hAnsi="宋体" w:cs="宋体"/>
                <w:sz w:val="22"/>
                <w:szCs w:val="22"/>
              </w:rPr>
              <w:t>(1)投标人提供的仅供给本项目使用的专用应急车辆（必须是公司自有产权车辆）达到1辆,且车龄</w:t>
            </w:r>
            <w:r>
              <w:rPr>
                <w:rFonts w:ascii="Arial" w:hAnsi="Arial" w:cs="Arial"/>
                <w:sz w:val="22"/>
                <w:szCs w:val="22"/>
              </w:rPr>
              <w:t>≤</w:t>
            </w:r>
            <w:r>
              <w:rPr>
                <w:rFonts w:hint="eastAsia" w:ascii="Arial" w:hAnsi="Arial" w:cs="Arial"/>
                <w:sz w:val="22"/>
                <w:szCs w:val="22"/>
              </w:rPr>
              <w:t>5</w:t>
            </w:r>
            <w:r>
              <w:rPr>
                <w:rFonts w:hint="eastAsia" w:ascii="宋体" w:hAnsi="宋体" w:cs="宋体"/>
                <w:sz w:val="22"/>
                <w:szCs w:val="22"/>
              </w:rPr>
              <w:t>年，得3分。</w:t>
            </w:r>
          </w:p>
          <w:p>
            <w:pPr>
              <w:spacing w:line="360" w:lineRule="exact"/>
              <w:jc w:val="left"/>
              <w:rPr>
                <w:rFonts w:ascii="宋体" w:hAnsi="宋体" w:cs="宋体"/>
                <w:sz w:val="22"/>
                <w:szCs w:val="22"/>
              </w:rPr>
            </w:pPr>
            <w:r>
              <w:rPr>
                <w:rFonts w:hint="eastAsia" w:ascii="宋体" w:hAnsi="宋体" w:cs="宋体"/>
                <w:b/>
                <w:bCs/>
                <w:sz w:val="22"/>
                <w:szCs w:val="22"/>
              </w:rPr>
              <w:t>(提供车辆公司产权证明材料、车辆（内外）彩照以及机动车行驶证，加盖公章）</w:t>
            </w:r>
          </w:p>
        </w:tc>
        <w:tc>
          <w:tcPr>
            <w:tcW w:w="834" w:type="dxa"/>
            <w:tcMar>
              <w:top w:w="0" w:type="dxa"/>
              <w:left w:w="57" w:type="dxa"/>
              <w:bottom w:w="0" w:type="dxa"/>
              <w:right w:w="57" w:type="dxa"/>
            </w:tcMar>
            <w:vAlign w:val="center"/>
          </w:tcPr>
          <w:p>
            <w:pPr>
              <w:spacing w:line="360" w:lineRule="exact"/>
              <w:jc w:val="center"/>
              <w:rPr>
                <w:rFonts w:ascii="宋体" w:hAnsi="宋体" w:cs="宋体"/>
                <w:sz w:val="22"/>
                <w:szCs w:val="22"/>
              </w:rPr>
            </w:pPr>
            <w:r>
              <w:rPr>
                <w:rFonts w:hint="eastAsia" w:ascii="宋体" w:hAnsi="宋体" w:cs="宋体"/>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354" w:type="dxa"/>
            <w:vMerge w:val="continue"/>
            <w:tcMar>
              <w:top w:w="0" w:type="dxa"/>
              <w:left w:w="57" w:type="dxa"/>
              <w:bottom w:w="0" w:type="dxa"/>
              <w:right w:w="57" w:type="dxa"/>
            </w:tcMar>
            <w:vAlign w:val="center"/>
          </w:tcPr>
          <w:p>
            <w:pPr>
              <w:snapToGrid w:val="0"/>
              <w:rPr>
                <w:rFonts w:ascii="宋体" w:hAnsi="宋体" w:cs="宋体"/>
                <w:sz w:val="24"/>
              </w:rPr>
            </w:pPr>
          </w:p>
        </w:tc>
        <w:tc>
          <w:tcPr>
            <w:tcW w:w="556" w:type="dxa"/>
            <w:vMerge w:val="continue"/>
            <w:tcMar>
              <w:top w:w="0" w:type="dxa"/>
              <w:left w:w="57" w:type="dxa"/>
              <w:bottom w:w="0" w:type="dxa"/>
              <w:right w:w="57" w:type="dxa"/>
            </w:tcMar>
            <w:vAlign w:val="center"/>
          </w:tcPr>
          <w:p>
            <w:pPr>
              <w:spacing w:line="320" w:lineRule="exact"/>
              <w:jc w:val="center"/>
              <w:rPr>
                <w:rFonts w:ascii="宋体" w:hAnsi="宋体" w:cs="宋体"/>
                <w:b/>
                <w:bCs/>
                <w:sz w:val="22"/>
                <w:szCs w:val="22"/>
              </w:rPr>
            </w:pPr>
          </w:p>
        </w:tc>
        <w:tc>
          <w:tcPr>
            <w:tcW w:w="6676" w:type="dxa"/>
            <w:tcMar>
              <w:top w:w="0" w:type="dxa"/>
              <w:left w:w="57" w:type="dxa"/>
              <w:bottom w:w="0" w:type="dxa"/>
              <w:right w:w="57" w:type="dxa"/>
            </w:tcMar>
            <w:vAlign w:val="center"/>
          </w:tcPr>
          <w:p>
            <w:pPr>
              <w:spacing w:line="360" w:lineRule="exact"/>
              <w:jc w:val="left"/>
              <w:rPr>
                <w:rFonts w:ascii="宋体" w:hAnsi="宋体" w:cs="宋体"/>
                <w:sz w:val="22"/>
                <w:szCs w:val="22"/>
              </w:rPr>
            </w:pPr>
            <w:r>
              <w:rPr>
                <w:rFonts w:hint="eastAsia" w:ascii="宋体" w:hAnsi="宋体" w:cs="宋体"/>
                <w:sz w:val="22"/>
                <w:szCs w:val="22"/>
              </w:rPr>
              <w:t>根据投标人拟投入本项目需提供的（有限空间、涉爆粉尘）检测设备配备，检查必备的装备配置、检查时着装要求等情况进行打分，按配置情况进行打分，最高得2分，未提及的不得分。</w:t>
            </w:r>
            <w:r>
              <w:rPr>
                <w:rFonts w:hint="eastAsia" w:ascii="宋体" w:hAnsi="宋体" w:cs="宋体"/>
                <w:b/>
                <w:bCs/>
                <w:sz w:val="22"/>
                <w:szCs w:val="22"/>
              </w:rPr>
              <w:t>(提供相关设备清单和照片）</w:t>
            </w:r>
          </w:p>
        </w:tc>
        <w:tc>
          <w:tcPr>
            <w:tcW w:w="834" w:type="dxa"/>
            <w:tcMar>
              <w:top w:w="0" w:type="dxa"/>
              <w:left w:w="57" w:type="dxa"/>
              <w:bottom w:w="0" w:type="dxa"/>
              <w:right w:w="57" w:type="dxa"/>
            </w:tcMar>
            <w:vAlign w:val="center"/>
          </w:tcPr>
          <w:p>
            <w:pPr>
              <w:spacing w:line="360" w:lineRule="exact"/>
              <w:jc w:val="center"/>
              <w:rPr>
                <w:rFonts w:ascii="宋体" w:hAnsi="宋体" w:cs="宋体"/>
                <w:sz w:val="22"/>
                <w:szCs w:val="22"/>
              </w:rPr>
            </w:pPr>
            <w:r>
              <w:rPr>
                <w:rFonts w:hint="eastAsia" w:ascii="宋体" w:hAnsi="宋体" w:cs="宋体"/>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54" w:type="dxa"/>
            <w:tcMar>
              <w:top w:w="0" w:type="dxa"/>
              <w:left w:w="57" w:type="dxa"/>
              <w:bottom w:w="0" w:type="dxa"/>
              <w:right w:w="57" w:type="dxa"/>
            </w:tcMar>
            <w:vAlign w:val="center"/>
          </w:tcPr>
          <w:p>
            <w:pPr>
              <w:numPr>
                <w:ilvl w:val="0"/>
                <w:numId w:val="6"/>
              </w:numPr>
              <w:snapToGrid w:val="0"/>
              <w:ind w:firstLine="0"/>
              <w:jc w:val="center"/>
              <w:rPr>
                <w:rFonts w:ascii="宋体" w:hAnsi="宋体" w:cs="宋体"/>
                <w:sz w:val="24"/>
              </w:rPr>
            </w:pPr>
          </w:p>
        </w:tc>
        <w:tc>
          <w:tcPr>
            <w:tcW w:w="556" w:type="dxa"/>
            <w:tcBorders>
              <w:right w:val="single" w:color="auto" w:sz="4" w:space="0"/>
            </w:tcBorders>
            <w:tcMar>
              <w:top w:w="0" w:type="dxa"/>
              <w:left w:w="57" w:type="dxa"/>
              <w:bottom w:w="0" w:type="dxa"/>
              <w:right w:w="57" w:type="dxa"/>
            </w:tcMar>
            <w:vAlign w:val="center"/>
          </w:tcPr>
          <w:p>
            <w:pPr>
              <w:tabs>
                <w:tab w:val="left" w:pos="1080"/>
              </w:tabs>
              <w:spacing w:line="360" w:lineRule="exact"/>
              <w:jc w:val="center"/>
              <w:rPr>
                <w:rFonts w:ascii="宋体" w:hAnsi="宋体" w:cs="宋体"/>
                <w:b/>
                <w:bCs/>
                <w:sz w:val="22"/>
                <w:szCs w:val="22"/>
              </w:rPr>
            </w:pPr>
            <w:r>
              <w:rPr>
                <w:rFonts w:hint="eastAsia" w:ascii="宋体" w:hAnsi="宋体" w:cs="宋体"/>
                <w:b/>
                <w:bCs/>
                <w:sz w:val="22"/>
                <w:szCs w:val="22"/>
              </w:rPr>
              <w:t>项目实施方案</w:t>
            </w:r>
          </w:p>
        </w:tc>
        <w:tc>
          <w:tcPr>
            <w:tcW w:w="6676" w:type="dxa"/>
            <w:tcBorders>
              <w:left w:val="single" w:color="auto" w:sz="4" w:space="0"/>
            </w:tcBorders>
            <w:tcMar>
              <w:top w:w="0" w:type="dxa"/>
              <w:left w:w="57" w:type="dxa"/>
              <w:bottom w:w="0" w:type="dxa"/>
              <w:right w:w="57" w:type="dxa"/>
            </w:tcMar>
            <w:vAlign w:val="center"/>
          </w:tcPr>
          <w:p>
            <w:pPr>
              <w:spacing w:line="360" w:lineRule="exact"/>
              <w:jc w:val="left"/>
              <w:rPr>
                <w:rFonts w:ascii="宋体" w:hAnsi="宋体" w:cs="宋体"/>
                <w:sz w:val="22"/>
                <w:szCs w:val="22"/>
              </w:rPr>
            </w:pPr>
            <w:r>
              <w:rPr>
                <w:rFonts w:hint="eastAsia" w:ascii="宋体" w:hAnsi="宋体" w:cs="宋体"/>
                <w:sz w:val="22"/>
                <w:szCs w:val="22"/>
              </w:rPr>
              <w:t>项目实施方案、安全生产服务流程、安全生产组织管理方案是否全面且合理，项目工作安排以及控制本项目的安全生产、详细的工作流程、管理目标进行综合打分：</w:t>
            </w:r>
          </w:p>
          <w:p>
            <w:pPr>
              <w:spacing w:line="360" w:lineRule="exact"/>
              <w:jc w:val="left"/>
              <w:rPr>
                <w:rFonts w:ascii="宋体" w:hAnsi="宋体" w:cs="宋体"/>
                <w:sz w:val="22"/>
                <w:szCs w:val="22"/>
              </w:rPr>
            </w:pPr>
            <w:r>
              <w:rPr>
                <w:rFonts w:hint="eastAsia" w:ascii="宋体" w:hAnsi="宋体" w:cs="宋体"/>
                <w:sz w:val="22"/>
                <w:szCs w:val="22"/>
              </w:rPr>
              <w:t>（1）提供的项目实施方案全面，安全服务流程详尽、安排全面，管理方案完善、能有效控制安全生产，目标清晰、明确的得10分；</w:t>
            </w:r>
          </w:p>
          <w:p>
            <w:pPr>
              <w:spacing w:line="360" w:lineRule="exact"/>
              <w:jc w:val="left"/>
              <w:rPr>
                <w:rFonts w:ascii="宋体" w:hAnsi="宋体" w:cs="宋体"/>
                <w:sz w:val="22"/>
                <w:szCs w:val="22"/>
              </w:rPr>
            </w:pPr>
            <w:r>
              <w:rPr>
                <w:rFonts w:hint="eastAsia" w:ascii="宋体" w:hAnsi="宋体" w:cs="宋体"/>
                <w:sz w:val="22"/>
                <w:szCs w:val="22"/>
              </w:rPr>
              <w:t>（2）提供的项目实施方案一般，安全服务流程一般、安排一般，管理方案一般、控制安全生产及目标相对简单的得7分；</w:t>
            </w:r>
          </w:p>
          <w:p>
            <w:pPr>
              <w:spacing w:line="360" w:lineRule="exact"/>
              <w:jc w:val="left"/>
              <w:rPr>
                <w:rFonts w:ascii="宋体" w:hAnsi="宋体" w:cs="宋体"/>
                <w:sz w:val="22"/>
                <w:szCs w:val="22"/>
              </w:rPr>
            </w:pPr>
            <w:r>
              <w:rPr>
                <w:rFonts w:hint="eastAsia" w:ascii="宋体" w:hAnsi="宋体" w:cs="宋体"/>
                <w:sz w:val="22"/>
                <w:szCs w:val="22"/>
              </w:rPr>
              <w:t>（3）方案存在欠缺，安全服务流程有漏洞、安排不严谨，管理方案简单、没有明确目标的得4分；</w:t>
            </w:r>
          </w:p>
          <w:p>
            <w:pPr>
              <w:spacing w:line="360" w:lineRule="exact"/>
              <w:jc w:val="left"/>
              <w:rPr>
                <w:rFonts w:ascii="宋体" w:hAnsi="宋体" w:cs="宋体"/>
                <w:sz w:val="22"/>
                <w:szCs w:val="22"/>
              </w:rPr>
            </w:pPr>
            <w:r>
              <w:rPr>
                <w:rFonts w:hint="eastAsia" w:ascii="宋体" w:hAnsi="宋体" w:cs="宋体"/>
                <w:sz w:val="22"/>
                <w:szCs w:val="22"/>
              </w:rPr>
              <w:t>未提及的不得分。</w:t>
            </w:r>
          </w:p>
        </w:tc>
        <w:tc>
          <w:tcPr>
            <w:tcW w:w="834" w:type="dxa"/>
            <w:tcMar>
              <w:top w:w="0" w:type="dxa"/>
              <w:left w:w="57" w:type="dxa"/>
              <w:bottom w:w="0" w:type="dxa"/>
              <w:right w:w="57" w:type="dxa"/>
            </w:tcMar>
            <w:vAlign w:val="center"/>
          </w:tcPr>
          <w:p>
            <w:pPr>
              <w:pStyle w:val="25"/>
              <w:spacing w:line="360" w:lineRule="exact"/>
              <w:ind w:left="480" w:hanging="480"/>
              <w:jc w:val="center"/>
              <w:rPr>
                <w:rFonts w:ascii="宋体" w:hAnsi="宋体" w:eastAsia="宋体" w:cs="宋体"/>
                <w:color w:val="auto"/>
                <w:sz w:val="21"/>
                <w:szCs w:val="21"/>
              </w:rPr>
            </w:pPr>
            <w:r>
              <w:rPr>
                <w:rFonts w:hint="eastAsia" w:ascii="宋体" w:hAnsi="宋体" w:cs="宋体"/>
                <w:color w:val="auto"/>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trPr>
        <w:tc>
          <w:tcPr>
            <w:tcW w:w="354" w:type="dxa"/>
            <w:tcMar>
              <w:top w:w="0" w:type="dxa"/>
              <w:left w:w="57" w:type="dxa"/>
              <w:bottom w:w="0" w:type="dxa"/>
              <w:right w:w="57" w:type="dxa"/>
            </w:tcMar>
            <w:vAlign w:val="center"/>
          </w:tcPr>
          <w:p>
            <w:pPr>
              <w:numPr>
                <w:ilvl w:val="0"/>
                <w:numId w:val="6"/>
              </w:numPr>
              <w:snapToGrid w:val="0"/>
              <w:ind w:firstLine="0"/>
              <w:jc w:val="center"/>
              <w:rPr>
                <w:rFonts w:ascii="宋体" w:hAnsi="宋体" w:cs="宋体"/>
                <w:sz w:val="24"/>
              </w:rPr>
            </w:pPr>
          </w:p>
        </w:tc>
        <w:tc>
          <w:tcPr>
            <w:tcW w:w="556" w:type="dxa"/>
            <w:tcBorders>
              <w:right w:val="single" w:color="auto" w:sz="4" w:space="0"/>
            </w:tcBorders>
            <w:tcMar>
              <w:top w:w="0" w:type="dxa"/>
              <w:left w:w="57" w:type="dxa"/>
              <w:bottom w:w="0" w:type="dxa"/>
              <w:right w:w="57" w:type="dxa"/>
            </w:tcMar>
            <w:vAlign w:val="center"/>
          </w:tcPr>
          <w:p>
            <w:pPr>
              <w:autoSpaceDE w:val="0"/>
              <w:autoSpaceDN w:val="0"/>
              <w:adjustRightInd w:val="0"/>
              <w:spacing w:line="360" w:lineRule="exact"/>
              <w:jc w:val="center"/>
              <w:rPr>
                <w:rFonts w:ascii="宋体" w:hAnsi="宋体" w:cs="宋体"/>
                <w:b/>
                <w:bCs/>
                <w:sz w:val="22"/>
                <w:szCs w:val="22"/>
              </w:rPr>
            </w:pPr>
            <w:r>
              <w:rPr>
                <w:rFonts w:hint="eastAsia" w:ascii="宋体" w:hAnsi="宋体" w:cs="宋体"/>
                <w:b/>
                <w:bCs/>
                <w:sz w:val="22"/>
                <w:szCs w:val="22"/>
              </w:rPr>
              <w:t>重难点分析</w:t>
            </w:r>
          </w:p>
        </w:tc>
        <w:tc>
          <w:tcPr>
            <w:tcW w:w="6676" w:type="dxa"/>
            <w:tcBorders>
              <w:left w:val="single" w:color="auto" w:sz="4" w:space="0"/>
            </w:tcBorders>
            <w:tcMar>
              <w:top w:w="0" w:type="dxa"/>
              <w:left w:w="57" w:type="dxa"/>
              <w:bottom w:w="0" w:type="dxa"/>
              <w:right w:w="57" w:type="dxa"/>
            </w:tcMar>
            <w:vAlign w:val="center"/>
          </w:tcPr>
          <w:p>
            <w:pPr>
              <w:adjustRightInd w:val="0"/>
              <w:snapToGrid w:val="0"/>
              <w:spacing w:line="360" w:lineRule="exact"/>
              <w:rPr>
                <w:rFonts w:ascii="宋体" w:hAnsi="宋体" w:cs="宋体"/>
                <w:sz w:val="22"/>
                <w:szCs w:val="22"/>
              </w:rPr>
            </w:pPr>
            <w:r>
              <w:rPr>
                <w:rFonts w:hint="eastAsia" w:ascii="宋体" w:hAnsi="宋体" w:cs="宋体"/>
                <w:sz w:val="22"/>
                <w:szCs w:val="22"/>
              </w:rPr>
              <w:t>对本项目重点难点分析情况以及具体实施工作重难点对应解决方案和措施情况进行打分：</w:t>
            </w:r>
          </w:p>
          <w:p>
            <w:pPr>
              <w:adjustRightInd w:val="0"/>
              <w:snapToGrid w:val="0"/>
              <w:spacing w:line="360" w:lineRule="exact"/>
              <w:rPr>
                <w:rFonts w:ascii="宋体" w:hAnsi="宋体" w:cs="宋体"/>
                <w:spacing w:val="-4"/>
                <w:sz w:val="22"/>
                <w:szCs w:val="22"/>
              </w:rPr>
            </w:pPr>
            <w:r>
              <w:rPr>
                <w:rFonts w:hint="eastAsia" w:ascii="宋体" w:hAnsi="宋体" w:cs="宋体"/>
                <w:sz w:val="22"/>
                <w:szCs w:val="22"/>
              </w:rPr>
              <w:t>（1）针对项目实施背景、企业现状调查、存在问题和具体服务过程遇到的重点难点分析</w:t>
            </w:r>
            <w:r>
              <w:rPr>
                <w:rFonts w:hint="eastAsia" w:ascii="宋体" w:hAnsi="宋体" w:cs="宋体"/>
                <w:spacing w:val="-4"/>
                <w:sz w:val="22"/>
                <w:szCs w:val="22"/>
              </w:rPr>
              <w:t>详细全面，</w:t>
            </w:r>
            <w:r>
              <w:rPr>
                <w:rFonts w:hint="eastAsia" w:ascii="宋体" w:hAnsi="宋体" w:cs="宋体"/>
                <w:sz w:val="22"/>
                <w:szCs w:val="22"/>
              </w:rPr>
              <w:t>对应的解决方案清晰完善，有保障，处理方法详尽的</w:t>
            </w:r>
            <w:r>
              <w:rPr>
                <w:rFonts w:hint="eastAsia" w:ascii="宋体" w:hAnsi="宋体" w:cs="宋体"/>
                <w:spacing w:val="-4"/>
                <w:sz w:val="22"/>
                <w:szCs w:val="22"/>
              </w:rPr>
              <w:t>得10分；</w:t>
            </w:r>
          </w:p>
          <w:p>
            <w:pPr>
              <w:adjustRightInd w:val="0"/>
              <w:snapToGrid w:val="0"/>
              <w:spacing w:line="360" w:lineRule="exact"/>
              <w:rPr>
                <w:rFonts w:ascii="宋体" w:hAnsi="宋体" w:cs="宋体"/>
                <w:spacing w:val="-4"/>
                <w:sz w:val="22"/>
                <w:szCs w:val="22"/>
              </w:rPr>
            </w:pPr>
            <w:r>
              <w:rPr>
                <w:rFonts w:hint="eastAsia" w:ascii="宋体" w:hAnsi="宋体" w:cs="宋体"/>
                <w:sz w:val="22"/>
                <w:szCs w:val="22"/>
              </w:rPr>
              <w:t>（2）针对项目实施背景、企业现状调查、存在问题等的重点难点</w:t>
            </w:r>
            <w:r>
              <w:rPr>
                <w:rFonts w:hint="eastAsia" w:ascii="宋体" w:hAnsi="宋体" w:cs="宋体"/>
                <w:spacing w:val="-4"/>
                <w:sz w:val="22"/>
                <w:szCs w:val="22"/>
              </w:rPr>
              <w:t>分析内容较合理，但缺乏深度，</w:t>
            </w:r>
            <w:r>
              <w:rPr>
                <w:rFonts w:hint="eastAsia" w:ascii="宋体" w:hAnsi="宋体" w:cs="宋体"/>
                <w:sz w:val="22"/>
                <w:szCs w:val="22"/>
              </w:rPr>
              <w:t>对应的解决方案和措施一般，缺乏针对性</w:t>
            </w:r>
            <w:r>
              <w:rPr>
                <w:rFonts w:hint="eastAsia" w:ascii="宋体" w:hAnsi="宋体" w:cs="宋体"/>
                <w:spacing w:val="-4"/>
                <w:sz w:val="22"/>
                <w:szCs w:val="22"/>
              </w:rPr>
              <w:t>的得7分；</w:t>
            </w:r>
          </w:p>
          <w:p>
            <w:pPr>
              <w:adjustRightInd w:val="0"/>
              <w:snapToGrid w:val="0"/>
              <w:spacing w:line="360" w:lineRule="exact"/>
              <w:rPr>
                <w:rFonts w:ascii="宋体" w:hAnsi="宋体" w:cs="宋体"/>
                <w:spacing w:val="-4"/>
                <w:sz w:val="22"/>
                <w:szCs w:val="22"/>
              </w:rPr>
            </w:pPr>
            <w:r>
              <w:rPr>
                <w:rFonts w:hint="eastAsia" w:ascii="宋体" w:hAnsi="宋体" w:cs="宋体"/>
                <w:spacing w:val="-4"/>
                <w:sz w:val="22"/>
                <w:szCs w:val="22"/>
              </w:rPr>
              <w:t>（3）重难点分析简单、片面，</w:t>
            </w:r>
            <w:r>
              <w:rPr>
                <w:rFonts w:hint="eastAsia" w:ascii="宋体" w:hAnsi="宋体" w:cs="宋体"/>
                <w:sz w:val="22"/>
                <w:szCs w:val="22"/>
              </w:rPr>
              <w:t>处理方法阐述不够详尽</w:t>
            </w:r>
            <w:r>
              <w:rPr>
                <w:rFonts w:hint="eastAsia" w:ascii="宋体" w:hAnsi="宋体" w:cs="宋体"/>
                <w:spacing w:val="-4"/>
                <w:sz w:val="22"/>
                <w:szCs w:val="22"/>
              </w:rPr>
              <w:t>的得4分；</w:t>
            </w:r>
          </w:p>
          <w:p>
            <w:pPr>
              <w:adjustRightInd w:val="0"/>
              <w:snapToGrid w:val="0"/>
              <w:spacing w:line="360" w:lineRule="exact"/>
              <w:rPr>
                <w:rFonts w:ascii="宋体" w:hAnsi="宋体" w:cs="宋体"/>
                <w:b/>
                <w:sz w:val="22"/>
                <w:szCs w:val="22"/>
                <w:u w:val="single"/>
                <w:lang w:val="zh-CN"/>
              </w:rPr>
            </w:pPr>
            <w:r>
              <w:rPr>
                <w:rFonts w:hint="eastAsia" w:ascii="宋体" w:hAnsi="宋体" w:cs="宋体"/>
                <w:spacing w:val="-4"/>
                <w:sz w:val="22"/>
                <w:szCs w:val="22"/>
              </w:rPr>
              <w:t>未提及的不得分。</w:t>
            </w:r>
          </w:p>
        </w:tc>
        <w:tc>
          <w:tcPr>
            <w:tcW w:w="834" w:type="dxa"/>
            <w:tcMar>
              <w:top w:w="0" w:type="dxa"/>
              <w:left w:w="57" w:type="dxa"/>
              <w:bottom w:w="0" w:type="dxa"/>
              <w:right w:w="57" w:type="dxa"/>
            </w:tcMar>
            <w:vAlign w:val="center"/>
          </w:tcPr>
          <w:p>
            <w:pPr>
              <w:pStyle w:val="25"/>
              <w:spacing w:line="360" w:lineRule="exact"/>
              <w:ind w:left="480" w:hanging="480"/>
              <w:jc w:val="center"/>
              <w:rPr>
                <w:rFonts w:ascii="宋体" w:hAnsi="宋体" w:eastAsia="宋体" w:cs="宋体"/>
                <w:color w:val="auto"/>
                <w:sz w:val="21"/>
                <w:szCs w:val="21"/>
              </w:rPr>
            </w:pPr>
            <w:r>
              <w:rPr>
                <w:rFonts w:hint="eastAsia" w:ascii="宋体" w:hAnsi="宋体" w:cs="宋体"/>
                <w:color w:val="auto"/>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354" w:type="dxa"/>
            <w:tcMar>
              <w:top w:w="0" w:type="dxa"/>
              <w:left w:w="57" w:type="dxa"/>
              <w:bottom w:w="0" w:type="dxa"/>
              <w:right w:w="57" w:type="dxa"/>
            </w:tcMar>
            <w:vAlign w:val="center"/>
          </w:tcPr>
          <w:p>
            <w:pPr>
              <w:numPr>
                <w:ilvl w:val="0"/>
                <w:numId w:val="6"/>
              </w:numPr>
              <w:snapToGrid w:val="0"/>
              <w:ind w:firstLine="0"/>
              <w:jc w:val="center"/>
              <w:rPr>
                <w:rFonts w:ascii="宋体" w:hAnsi="宋体" w:cs="宋体"/>
                <w:sz w:val="24"/>
              </w:rPr>
            </w:pPr>
          </w:p>
        </w:tc>
        <w:tc>
          <w:tcPr>
            <w:tcW w:w="556" w:type="dxa"/>
            <w:tcBorders>
              <w:right w:val="single" w:color="auto" w:sz="4" w:space="0"/>
            </w:tcBorders>
            <w:tcMar>
              <w:top w:w="0" w:type="dxa"/>
              <w:left w:w="57" w:type="dxa"/>
              <w:bottom w:w="0" w:type="dxa"/>
              <w:right w:w="57" w:type="dxa"/>
            </w:tcMar>
            <w:vAlign w:val="center"/>
          </w:tcPr>
          <w:p>
            <w:pPr>
              <w:autoSpaceDE w:val="0"/>
              <w:autoSpaceDN w:val="0"/>
              <w:adjustRightInd w:val="0"/>
              <w:spacing w:line="360" w:lineRule="exact"/>
              <w:jc w:val="center"/>
              <w:rPr>
                <w:rFonts w:ascii="宋体" w:hAnsi="宋体" w:cs="宋体"/>
                <w:b/>
                <w:bCs/>
                <w:sz w:val="22"/>
                <w:szCs w:val="22"/>
              </w:rPr>
            </w:pPr>
            <w:r>
              <w:rPr>
                <w:rFonts w:hint="eastAsia" w:ascii="宋体" w:hAnsi="宋体" w:cs="宋体"/>
                <w:b/>
                <w:bCs/>
                <w:sz w:val="22"/>
                <w:szCs w:val="22"/>
              </w:rPr>
              <w:t>质控措施</w:t>
            </w:r>
          </w:p>
        </w:tc>
        <w:tc>
          <w:tcPr>
            <w:tcW w:w="6676" w:type="dxa"/>
            <w:tcBorders>
              <w:left w:val="single" w:color="auto" w:sz="4" w:space="0"/>
            </w:tcBorders>
            <w:tcMar>
              <w:top w:w="0" w:type="dxa"/>
              <w:left w:w="57" w:type="dxa"/>
              <w:bottom w:w="0" w:type="dxa"/>
              <w:right w:w="57" w:type="dxa"/>
            </w:tcMar>
            <w:vAlign w:val="center"/>
          </w:tcPr>
          <w:p>
            <w:pPr>
              <w:adjustRightInd w:val="0"/>
              <w:snapToGrid w:val="0"/>
              <w:spacing w:line="360" w:lineRule="exact"/>
              <w:rPr>
                <w:sz w:val="22"/>
                <w:szCs w:val="22"/>
              </w:rPr>
            </w:pPr>
            <w:r>
              <w:rPr>
                <w:rFonts w:hint="eastAsia"/>
                <w:sz w:val="22"/>
                <w:szCs w:val="22"/>
              </w:rPr>
              <w:t>根据项目的安全管理主要措施，安全检查等方面的问题工作的保证措施，质量保证体系及措施、档案管理主要措施，管理目标是否明确等情况进行综合打分：</w:t>
            </w:r>
          </w:p>
          <w:p>
            <w:pPr>
              <w:spacing w:line="360" w:lineRule="exact"/>
              <w:jc w:val="left"/>
              <w:rPr>
                <w:rFonts w:ascii="宋体" w:hAnsi="宋体" w:cs="宋体"/>
                <w:sz w:val="22"/>
                <w:szCs w:val="22"/>
              </w:rPr>
            </w:pPr>
            <w:r>
              <w:rPr>
                <w:rFonts w:hint="eastAsia" w:ascii="宋体" w:hAnsi="宋体" w:cs="宋体"/>
                <w:sz w:val="22"/>
                <w:szCs w:val="22"/>
              </w:rPr>
              <w:t>（1）提供的安全管理保证措施以及质量保证体系全面，具体安全检查方法</w:t>
            </w:r>
            <w:r>
              <w:rPr>
                <w:rFonts w:hint="eastAsia"/>
                <w:sz w:val="22"/>
                <w:szCs w:val="22"/>
              </w:rPr>
              <w:t>、档案管理</w:t>
            </w:r>
            <w:r>
              <w:rPr>
                <w:rFonts w:hint="eastAsia" w:ascii="宋体" w:hAnsi="宋体" w:cs="宋体"/>
                <w:sz w:val="22"/>
                <w:szCs w:val="22"/>
              </w:rPr>
              <w:t>、</w:t>
            </w:r>
            <w:r>
              <w:rPr>
                <w:rFonts w:hint="eastAsia"/>
                <w:sz w:val="22"/>
                <w:szCs w:val="22"/>
              </w:rPr>
              <w:t>管理目标</w:t>
            </w:r>
            <w:r>
              <w:rPr>
                <w:rFonts w:hint="eastAsia" w:ascii="宋体" w:hAnsi="宋体" w:cs="宋体"/>
                <w:sz w:val="22"/>
                <w:szCs w:val="22"/>
              </w:rPr>
              <w:t>、工作流程安全缜密，能确保服务质量的得8分；</w:t>
            </w:r>
          </w:p>
          <w:p>
            <w:pPr>
              <w:spacing w:line="360" w:lineRule="exact"/>
              <w:jc w:val="left"/>
              <w:rPr>
                <w:rFonts w:ascii="宋体" w:hAnsi="宋体" w:cs="宋体"/>
                <w:sz w:val="22"/>
                <w:szCs w:val="22"/>
              </w:rPr>
            </w:pPr>
            <w:r>
              <w:rPr>
                <w:rFonts w:hint="eastAsia" w:ascii="宋体" w:hAnsi="宋体" w:cs="宋体"/>
                <w:sz w:val="22"/>
                <w:szCs w:val="22"/>
              </w:rPr>
              <w:t>（2）提供的安全管理保证措施以及质量保证体系缺乏详尽，具体安全检查方法</w:t>
            </w:r>
            <w:r>
              <w:rPr>
                <w:rFonts w:hint="eastAsia"/>
                <w:sz w:val="22"/>
                <w:szCs w:val="22"/>
              </w:rPr>
              <w:t>、档案管理</w:t>
            </w:r>
            <w:r>
              <w:rPr>
                <w:rFonts w:hint="eastAsia" w:ascii="宋体" w:hAnsi="宋体" w:cs="宋体"/>
                <w:sz w:val="22"/>
                <w:szCs w:val="22"/>
              </w:rPr>
              <w:t>、</w:t>
            </w:r>
            <w:r>
              <w:rPr>
                <w:rFonts w:hint="eastAsia"/>
                <w:sz w:val="22"/>
                <w:szCs w:val="22"/>
              </w:rPr>
              <w:t>管理目标</w:t>
            </w:r>
            <w:r>
              <w:rPr>
                <w:rFonts w:hint="eastAsia" w:ascii="宋体" w:hAnsi="宋体" w:cs="宋体"/>
                <w:sz w:val="22"/>
                <w:szCs w:val="22"/>
              </w:rPr>
              <w:t>、工作流程一般，缺乏严谨性的得5分；</w:t>
            </w:r>
          </w:p>
          <w:p>
            <w:pPr>
              <w:spacing w:line="360" w:lineRule="exact"/>
              <w:jc w:val="left"/>
              <w:rPr>
                <w:rFonts w:ascii="宋体" w:hAnsi="宋体" w:cs="宋体"/>
                <w:sz w:val="22"/>
                <w:szCs w:val="22"/>
              </w:rPr>
            </w:pPr>
            <w:r>
              <w:rPr>
                <w:rFonts w:hint="eastAsia" w:ascii="宋体" w:hAnsi="宋体" w:cs="宋体"/>
                <w:sz w:val="22"/>
                <w:szCs w:val="22"/>
              </w:rPr>
              <w:t>（3）提供的安全管理保证措施以及质量保证体系存在欠缺，具体安全检查方法</w:t>
            </w:r>
            <w:r>
              <w:rPr>
                <w:rFonts w:hint="eastAsia"/>
                <w:sz w:val="22"/>
                <w:szCs w:val="22"/>
              </w:rPr>
              <w:t>、档案管理</w:t>
            </w:r>
            <w:r>
              <w:rPr>
                <w:rFonts w:hint="eastAsia" w:ascii="宋体" w:hAnsi="宋体" w:cs="宋体"/>
                <w:sz w:val="22"/>
                <w:szCs w:val="22"/>
              </w:rPr>
              <w:t>、</w:t>
            </w:r>
            <w:r>
              <w:rPr>
                <w:rFonts w:hint="eastAsia"/>
                <w:sz w:val="22"/>
                <w:szCs w:val="22"/>
              </w:rPr>
              <w:t>管理目标</w:t>
            </w:r>
            <w:r>
              <w:rPr>
                <w:rFonts w:hint="eastAsia" w:ascii="宋体" w:hAnsi="宋体" w:cs="宋体"/>
                <w:sz w:val="22"/>
                <w:szCs w:val="22"/>
              </w:rPr>
              <w:t>、工作流程存在欠缺的得2分；</w:t>
            </w:r>
          </w:p>
          <w:p>
            <w:pPr>
              <w:pStyle w:val="32"/>
              <w:spacing w:line="360" w:lineRule="exact"/>
              <w:ind w:left="0" w:leftChars="0" w:firstLine="0"/>
              <w:rPr>
                <w:sz w:val="22"/>
                <w:szCs w:val="22"/>
                <w:lang w:val="zh-CN"/>
              </w:rPr>
            </w:pPr>
            <w:r>
              <w:rPr>
                <w:rFonts w:hint="eastAsia" w:ascii="宋体" w:hAnsi="宋体" w:cs="宋体"/>
                <w:sz w:val="22"/>
                <w:szCs w:val="22"/>
              </w:rPr>
              <w:t>未提及的不得分。</w:t>
            </w:r>
          </w:p>
        </w:tc>
        <w:tc>
          <w:tcPr>
            <w:tcW w:w="834" w:type="dxa"/>
            <w:tcMar>
              <w:top w:w="0" w:type="dxa"/>
              <w:left w:w="57" w:type="dxa"/>
              <w:bottom w:w="0" w:type="dxa"/>
              <w:right w:w="57" w:type="dxa"/>
            </w:tcMar>
            <w:vAlign w:val="center"/>
          </w:tcPr>
          <w:p>
            <w:pPr>
              <w:pStyle w:val="25"/>
              <w:spacing w:line="360" w:lineRule="exact"/>
              <w:ind w:left="480" w:hanging="480"/>
              <w:jc w:val="center"/>
              <w:rPr>
                <w:rFonts w:ascii="宋体" w:hAnsi="宋体" w:eastAsia="宋体" w:cs="宋体"/>
                <w:color w:val="auto"/>
                <w:sz w:val="21"/>
                <w:szCs w:val="21"/>
              </w:rPr>
            </w:pPr>
            <w:r>
              <w:rPr>
                <w:rFonts w:hint="eastAsia" w:ascii="宋体" w:hAnsi="宋体" w:cs="宋体"/>
                <w:color w:val="auto"/>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0" w:hRule="atLeast"/>
        </w:trPr>
        <w:tc>
          <w:tcPr>
            <w:tcW w:w="354" w:type="dxa"/>
            <w:vMerge w:val="restart"/>
            <w:tcMar>
              <w:top w:w="0" w:type="dxa"/>
              <w:left w:w="57" w:type="dxa"/>
              <w:bottom w:w="0" w:type="dxa"/>
              <w:right w:w="57" w:type="dxa"/>
            </w:tcMar>
            <w:vAlign w:val="center"/>
          </w:tcPr>
          <w:p>
            <w:pPr>
              <w:numPr>
                <w:ilvl w:val="0"/>
                <w:numId w:val="6"/>
              </w:numPr>
              <w:snapToGrid w:val="0"/>
              <w:ind w:firstLine="0"/>
              <w:jc w:val="center"/>
              <w:rPr>
                <w:rFonts w:ascii="宋体" w:hAnsi="宋体" w:cs="宋体"/>
                <w:sz w:val="24"/>
              </w:rPr>
            </w:pPr>
          </w:p>
        </w:tc>
        <w:tc>
          <w:tcPr>
            <w:tcW w:w="556" w:type="dxa"/>
            <w:vMerge w:val="restart"/>
            <w:tcBorders>
              <w:right w:val="single" w:color="auto" w:sz="4" w:space="0"/>
            </w:tcBorders>
            <w:tcMar>
              <w:top w:w="0" w:type="dxa"/>
              <w:left w:w="57" w:type="dxa"/>
              <w:bottom w:w="0" w:type="dxa"/>
              <w:right w:w="57" w:type="dxa"/>
            </w:tcMar>
            <w:vAlign w:val="center"/>
          </w:tcPr>
          <w:p>
            <w:pPr>
              <w:tabs>
                <w:tab w:val="left" w:pos="1080"/>
              </w:tabs>
              <w:spacing w:line="360" w:lineRule="exact"/>
              <w:jc w:val="center"/>
              <w:rPr>
                <w:rFonts w:ascii="宋体" w:hAnsi="宋体" w:cs="宋体"/>
                <w:b/>
                <w:bCs/>
                <w:sz w:val="22"/>
                <w:szCs w:val="22"/>
              </w:rPr>
            </w:pPr>
            <w:r>
              <w:rPr>
                <w:rFonts w:hint="eastAsia" w:ascii="宋体" w:hAnsi="宋体" w:cs="宋体"/>
                <w:b/>
                <w:bCs/>
                <w:sz w:val="22"/>
                <w:szCs w:val="22"/>
              </w:rPr>
              <w:t>监督管理制度</w:t>
            </w:r>
          </w:p>
        </w:tc>
        <w:tc>
          <w:tcPr>
            <w:tcW w:w="6676" w:type="dxa"/>
            <w:tcBorders>
              <w:left w:val="single" w:color="auto" w:sz="4" w:space="0"/>
            </w:tcBorders>
            <w:tcMar>
              <w:top w:w="0" w:type="dxa"/>
              <w:left w:w="57" w:type="dxa"/>
              <w:bottom w:w="0" w:type="dxa"/>
              <w:right w:w="57" w:type="dxa"/>
            </w:tcMar>
            <w:vAlign w:val="center"/>
          </w:tcPr>
          <w:p>
            <w:pPr>
              <w:adjustRightInd w:val="0"/>
              <w:snapToGrid w:val="0"/>
              <w:spacing w:line="360" w:lineRule="exact"/>
              <w:rPr>
                <w:rFonts w:ascii="宋体" w:hAnsi="宋体" w:cs="宋体"/>
                <w:spacing w:val="-4"/>
                <w:sz w:val="22"/>
                <w:szCs w:val="22"/>
              </w:rPr>
            </w:pPr>
            <w:r>
              <w:rPr>
                <w:rFonts w:hint="eastAsia" w:ascii="宋体" w:hAnsi="宋体" w:cs="宋体"/>
                <w:spacing w:val="-4"/>
                <w:sz w:val="22"/>
                <w:szCs w:val="22"/>
              </w:rPr>
              <w:t>根据针对本项目的监督管理制度、监督体系框架清晰，能与业主满意度结合，逻辑性强，可操作性等情况进行打分：</w:t>
            </w:r>
          </w:p>
          <w:p>
            <w:pPr>
              <w:adjustRightInd w:val="0"/>
              <w:snapToGrid w:val="0"/>
              <w:spacing w:line="360" w:lineRule="exact"/>
              <w:rPr>
                <w:rFonts w:ascii="宋体" w:hAnsi="宋体" w:cs="宋体"/>
                <w:spacing w:val="-4"/>
                <w:sz w:val="22"/>
                <w:szCs w:val="22"/>
              </w:rPr>
            </w:pPr>
            <w:r>
              <w:rPr>
                <w:rFonts w:hint="eastAsia" w:ascii="宋体" w:hAnsi="宋体" w:cs="宋体"/>
                <w:spacing w:val="-4"/>
                <w:sz w:val="22"/>
                <w:szCs w:val="22"/>
              </w:rPr>
              <w:t>（1）监督操作指引可读性强，图文并茂，对监督体系解释全面、清晰，能正确指导项目执行监管的得6分；</w:t>
            </w:r>
          </w:p>
          <w:p>
            <w:pPr>
              <w:adjustRightInd w:val="0"/>
              <w:snapToGrid w:val="0"/>
              <w:spacing w:line="360" w:lineRule="exact"/>
              <w:rPr>
                <w:rFonts w:ascii="宋体" w:hAnsi="宋体" w:cs="宋体"/>
                <w:spacing w:val="-4"/>
                <w:sz w:val="22"/>
                <w:szCs w:val="22"/>
              </w:rPr>
            </w:pPr>
            <w:r>
              <w:rPr>
                <w:rFonts w:hint="eastAsia" w:ascii="宋体" w:hAnsi="宋体" w:cs="宋体"/>
                <w:spacing w:val="-4"/>
                <w:sz w:val="22"/>
                <w:szCs w:val="22"/>
              </w:rPr>
              <w:t>（2）监督管理制度一般，监督体系不够全面，对指导项目执行监管缺乏一定保障的得4分；</w:t>
            </w:r>
          </w:p>
          <w:p>
            <w:pPr>
              <w:adjustRightInd w:val="0"/>
              <w:snapToGrid w:val="0"/>
              <w:spacing w:line="360" w:lineRule="exact"/>
              <w:rPr>
                <w:rFonts w:ascii="宋体" w:hAnsi="宋体" w:cs="宋体"/>
                <w:sz w:val="22"/>
                <w:szCs w:val="22"/>
              </w:rPr>
            </w:pPr>
            <w:r>
              <w:rPr>
                <w:rFonts w:hint="eastAsia" w:ascii="宋体" w:hAnsi="宋体" w:cs="宋体"/>
                <w:spacing w:val="-4"/>
                <w:sz w:val="22"/>
                <w:szCs w:val="22"/>
              </w:rPr>
              <w:t>（3）监督管理制度有缺陷，不完善、缺乏</w:t>
            </w:r>
            <w:r>
              <w:rPr>
                <w:rFonts w:hint="eastAsia" w:ascii="宋体" w:hAnsi="宋体" w:cs="宋体"/>
                <w:sz w:val="22"/>
                <w:szCs w:val="22"/>
              </w:rPr>
              <w:t>严谨性的得2分；</w:t>
            </w:r>
          </w:p>
          <w:p>
            <w:pPr>
              <w:pStyle w:val="9"/>
              <w:spacing w:line="360" w:lineRule="exact"/>
              <w:ind w:firstLine="0"/>
              <w:rPr>
                <w:rFonts w:ascii="宋体" w:hAnsi="宋体" w:cs="宋体"/>
                <w:sz w:val="22"/>
                <w:szCs w:val="22"/>
              </w:rPr>
            </w:pPr>
            <w:r>
              <w:rPr>
                <w:rFonts w:hint="eastAsia" w:ascii="宋体" w:hAnsi="宋体" w:cs="宋体"/>
                <w:sz w:val="22"/>
                <w:szCs w:val="22"/>
              </w:rPr>
              <w:t>未提及的不得分。</w:t>
            </w:r>
          </w:p>
        </w:tc>
        <w:tc>
          <w:tcPr>
            <w:tcW w:w="834" w:type="dxa"/>
            <w:tcMar>
              <w:top w:w="0" w:type="dxa"/>
              <w:left w:w="57" w:type="dxa"/>
              <w:bottom w:w="0" w:type="dxa"/>
              <w:right w:w="57" w:type="dxa"/>
            </w:tcMar>
            <w:vAlign w:val="center"/>
          </w:tcPr>
          <w:p>
            <w:pPr>
              <w:pStyle w:val="25"/>
              <w:spacing w:line="360" w:lineRule="exact"/>
              <w:ind w:left="480" w:hanging="480"/>
              <w:jc w:val="center"/>
              <w:rPr>
                <w:rFonts w:ascii="宋体" w:hAnsi="宋体" w:eastAsia="宋体" w:cs="宋体"/>
                <w:color w:val="auto"/>
                <w:sz w:val="22"/>
                <w:szCs w:val="22"/>
              </w:rPr>
            </w:pPr>
            <w:r>
              <w:rPr>
                <w:rFonts w:hint="eastAsia" w:ascii="宋体" w:hAnsi="宋体" w:cs="宋体"/>
                <w:color w:val="auto"/>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354" w:type="dxa"/>
            <w:vMerge w:val="continue"/>
            <w:tcMar>
              <w:top w:w="0" w:type="dxa"/>
              <w:left w:w="57" w:type="dxa"/>
              <w:bottom w:w="0" w:type="dxa"/>
              <w:right w:w="57" w:type="dxa"/>
            </w:tcMar>
            <w:vAlign w:val="center"/>
          </w:tcPr>
          <w:p>
            <w:pPr>
              <w:snapToGrid w:val="0"/>
              <w:jc w:val="center"/>
              <w:rPr>
                <w:rFonts w:ascii="宋体" w:hAnsi="宋体" w:cs="宋体"/>
                <w:sz w:val="24"/>
              </w:rPr>
            </w:pPr>
          </w:p>
        </w:tc>
        <w:tc>
          <w:tcPr>
            <w:tcW w:w="556" w:type="dxa"/>
            <w:vMerge w:val="continue"/>
            <w:tcBorders>
              <w:right w:val="single" w:color="auto" w:sz="4" w:space="0"/>
            </w:tcBorders>
            <w:tcMar>
              <w:top w:w="0" w:type="dxa"/>
              <w:left w:w="57" w:type="dxa"/>
              <w:bottom w:w="0" w:type="dxa"/>
              <w:right w:w="57" w:type="dxa"/>
            </w:tcMar>
            <w:vAlign w:val="center"/>
          </w:tcPr>
          <w:p>
            <w:pPr>
              <w:adjustRightInd w:val="0"/>
              <w:snapToGrid w:val="0"/>
              <w:jc w:val="center"/>
              <w:rPr>
                <w:rFonts w:asciiTheme="minorEastAsia" w:hAnsiTheme="minorEastAsia" w:eastAsiaTheme="minorEastAsia" w:cstheme="minorEastAsia"/>
                <w:kern w:val="0"/>
                <w:sz w:val="22"/>
                <w:szCs w:val="22"/>
              </w:rPr>
            </w:pPr>
          </w:p>
        </w:tc>
        <w:tc>
          <w:tcPr>
            <w:tcW w:w="6676" w:type="dxa"/>
            <w:tcBorders>
              <w:left w:val="single" w:color="auto" w:sz="4" w:space="0"/>
            </w:tcBorders>
            <w:tcMar>
              <w:top w:w="0" w:type="dxa"/>
              <w:left w:w="57" w:type="dxa"/>
              <w:bottom w:w="0" w:type="dxa"/>
              <w:right w:w="57" w:type="dxa"/>
            </w:tcMar>
            <w:vAlign w:val="center"/>
          </w:tcPr>
          <w:p>
            <w:pPr>
              <w:spacing w:line="360" w:lineRule="exact"/>
              <w:jc w:val="left"/>
              <w:rPr>
                <w:rFonts w:ascii="宋体" w:hAnsi="宋体" w:cs="宋体"/>
                <w:sz w:val="22"/>
                <w:szCs w:val="22"/>
              </w:rPr>
            </w:pPr>
            <w:r>
              <w:rPr>
                <w:rFonts w:hint="eastAsia" w:ascii="宋体" w:hAnsi="宋体" w:cs="宋体"/>
                <w:sz w:val="22"/>
                <w:szCs w:val="22"/>
              </w:rPr>
              <w:t>考核机制、激励机制及处理机制和人员、岗位等管理制度等：</w:t>
            </w:r>
          </w:p>
          <w:p>
            <w:pPr>
              <w:spacing w:line="360" w:lineRule="exact"/>
              <w:jc w:val="left"/>
              <w:rPr>
                <w:rFonts w:ascii="宋体" w:hAnsi="宋体" w:cs="宋体"/>
                <w:sz w:val="22"/>
                <w:szCs w:val="22"/>
              </w:rPr>
            </w:pPr>
            <w:r>
              <w:rPr>
                <w:rFonts w:hint="eastAsia" w:ascii="宋体" w:hAnsi="宋体" w:cs="宋体"/>
                <w:sz w:val="22"/>
                <w:szCs w:val="22"/>
              </w:rPr>
              <w:t>（1）针对本项目采取的</w:t>
            </w:r>
            <w:r>
              <w:rPr>
                <w:rFonts w:hint="eastAsia" w:ascii="宋体" w:hAnsi="宋体" w:cs="宋体"/>
                <w:kern w:val="0"/>
                <w:sz w:val="22"/>
                <w:szCs w:val="22"/>
              </w:rPr>
              <w:t>完善</w:t>
            </w:r>
            <w:r>
              <w:rPr>
                <w:rFonts w:hint="eastAsia" w:ascii="宋体" w:hAnsi="宋体" w:cs="宋体"/>
                <w:sz w:val="22"/>
                <w:szCs w:val="22"/>
              </w:rPr>
              <w:t>有效</w:t>
            </w:r>
            <w:r>
              <w:rPr>
                <w:rFonts w:hint="eastAsia" w:ascii="宋体" w:hAnsi="宋体" w:cs="宋体"/>
                <w:kern w:val="0"/>
                <w:sz w:val="22"/>
                <w:szCs w:val="22"/>
              </w:rPr>
              <w:t>且切实可行的</w:t>
            </w:r>
            <w:r>
              <w:rPr>
                <w:rFonts w:hint="eastAsia" w:ascii="宋体" w:hAnsi="宋体" w:cs="宋体"/>
                <w:sz w:val="22"/>
                <w:szCs w:val="22"/>
              </w:rPr>
              <w:t>机制，包括考核、激励机制、监督机制、自我约束机制、信息反馈渠道及处理机制等，各项内部岗位职责明确、文件资料档案建立完善的得6分；</w:t>
            </w:r>
          </w:p>
          <w:p>
            <w:pPr>
              <w:spacing w:line="360" w:lineRule="exact"/>
              <w:jc w:val="left"/>
              <w:rPr>
                <w:rFonts w:ascii="宋体" w:hAnsi="宋体" w:cs="宋体"/>
                <w:sz w:val="22"/>
                <w:szCs w:val="22"/>
              </w:rPr>
            </w:pPr>
            <w:r>
              <w:rPr>
                <w:rFonts w:hint="eastAsia" w:ascii="宋体" w:hAnsi="宋体" w:cs="宋体"/>
                <w:sz w:val="22"/>
                <w:szCs w:val="22"/>
              </w:rPr>
              <w:t>（2）针对本项目采取的</w:t>
            </w:r>
            <w:r>
              <w:rPr>
                <w:rFonts w:hint="eastAsia" w:ascii="宋体" w:hAnsi="宋体" w:cs="宋体"/>
                <w:kern w:val="0"/>
                <w:sz w:val="22"/>
                <w:szCs w:val="22"/>
              </w:rPr>
              <w:t>各种</w:t>
            </w:r>
            <w:r>
              <w:rPr>
                <w:rFonts w:hint="eastAsia" w:ascii="宋体" w:hAnsi="宋体" w:cs="宋体"/>
                <w:sz w:val="22"/>
                <w:szCs w:val="22"/>
              </w:rPr>
              <w:t>机制，包括考核、激励机制、监督机制等各种机制建设简单，人员岗位分配和管理制度一般的得4分；</w:t>
            </w:r>
          </w:p>
          <w:p>
            <w:pPr>
              <w:spacing w:line="360" w:lineRule="exact"/>
              <w:jc w:val="left"/>
              <w:rPr>
                <w:rFonts w:ascii="宋体" w:hAnsi="宋体" w:cs="宋体"/>
                <w:kern w:val="0"/>
                <w:sz w:val="22"/>
                <w:szCs w:val="22"/>
              </w:rPr>
            </w:pPr>
            <w:r>
              <w:rPr>
                <w:rFonts w:hint="eastAsia" w:ascii="宋体" w:hAnsi="宋体" w:cs="宋体"/>
                <w:kern w:val="0"/>
                <w:sz w:val="22"/>
                <w:szCs w:val="22"/>
              </w:rPr>
              <w:t>（3）各类机制不太健全，人员管理、分配缺乏对本项目的针对性的得2分；</w:t>
            </w:r>
          </w:p>
          <w:p>
            <w:pPr>
              <w:spacing w:line="360" w:lineRule="exact"/>
              <w:rPr>
                <w:rFonts w:ascii="宋体" w:hAnsi="宋体" w:cs="宋体"/>
                <w:b/>
                <w:sz w:val="22"/>
                <w:szCs w:val="22"/>
                <w:u w:val="single"/>
              </w:rPr>
            </w:pPr>
            <w:r>
              <w:rPr>
                <w:rFonts w:hint="eastAsia" w:ascii="宋体" w:hAnsi="宋体" w:cs="宋体"/>
                <w:sz w:val="22"/>
                <w:szCs w:val="22"/>
              </w:rPr>
              <w:t>未提及的不得分。</w:t>
            </w:r>
          </w:p>
        </w:tc>
        <w:tc>
          <w:tcPr>
            <w:tcW w:w="834" w:type="dxa"/>
            <w:tcMar>
              <w:top w:w="0" w:type="dxa"/>
              <w:left w:w="57" w:type="dxa"/>
              <w:bottom w:w="0" w:type="dxa"/>
              <w:right w:w="57" w:type="dxa"/>
            </w:tcMar>
            <w:vAlign w:val="center"/>
          </w:tcPr>
          <w:p>
            <w:pPr>
              <w:pStyle w:val="25"/>
              <w:spacing w:line="360" w:lineRule="exact"/>
              <w:ind w:left="480" w:hanging="480"/>
              <w:jc w:val="center"/>
              <w:rPr>
                <w:rFonts w:ascii="宋体" w:hAnsi="宋体" w:eastAsia="宋体" w:cs="宋体"/>
                <w:color w:val="auto"/>
                <w:sz w:val="22"/>
                <w:szCs w:val="22"/>
              </w:rPr>
            </w:pPr>
            <w:r>
              <w:rPr>
                <w:rFonts w:hint="eastAsia" w:ascii="宋体" w:hAnsi="宋体" w:cs="宋体"/>
                <w:color w:val="auto"/>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354" w:type="dxa"/>
            <w:vAlign w:val="center"/>
          </w:tcPr>
          <w:p>
            <w:pPr>
              <w:numPr>
                <w:ilvl w:val="0"/>
                <w:numId w:val="6"/>
              </w:numPr>
              <w:snapToGrid w:val="0"/>
              <w:ind w:firstLine="0"/>
              <w:jc w:val="center"/>
              <w:rPr>
                <w:rFonts w:ascii="宋体" w:hAnsi="宋体" w:cs="宋体"/>
                <w:sz w:val="24"/>
              </w:rPr>
            </w:pPr>
          </w:p>
        </w:tc>
        <w:tc>
          <w:tcPr>
            <w:tcW w:w="556" w:type="dxa"/>
            <w:vAlign w:val="center"/>
          </w:tcPr>
          <w:p>
            <w:pPr>
              <w:tabs>
                <w:tab w:val="left" w:pos="1080"/>
              </w:tabs>
              <w:spacing w:line="360" w:lineRule="exact"/>
              <w:jc w:val="center"/>
              <w:rPr>
                <w:rFonts w:ascii="宋体" w:hAnsi="宋体" w:cs="宋体"/>
                <w:b/>
                <w:bCs/>
                <w:sz w:val="22"/>
                <w:szCs w:val="22"/>
              </w:rPr>
            </w:pPr>
            <w:r>
              <w:rPr>
                <w:rFonts w:hint="eastAsia" w:ascii="宋体" w:hAnsi="宋体" w:cs="宋体"/>
                <w:b/>
                <w:bCs/>
                <w:sz w:val="22"/>
                <w:szCs w:val="22"/>
              </w:rPr>
              <w:t>培训方案</w:t>
            </w:r>
          </w:p>
        </w:tc>
        <w:tc>
          <w:tcPr>
            <w:tcW w:w="6676" w:type="dxa"/>
            <w:vAlign w:val="center"/>
          </w:tcPr>
          <w:p>
            <w:pPr>
              <w:spacing w:line="360" w:lineRule="exact"/>
              <w:jc w:val="left"/>
              <w:rPr>
                <w:rFonts w:ascii="宋体" w:hAnsi="宋体" w:cs="宋体"/>
                <w:kern w:val="0"/>
                <w:sz w:val="22"/>
                <w:szCs w:val="22"/>
              </w:rPr>
            </w:pPr>
            <w:r>
              <w:rPr>
                <w:rFonts w:hint="eastAsia" w:ascii="宋体" w:hAnsi="宋体" w:cs="宋体"/>
                <w:kern w:val="0"/>
                <w:sz w:val="22"/>
                <w:szCs w:val="22"/>
              </w:rPr>
              <w:t>针对本项目的有限空间作业、涉爆粉尘作业、喷涂作业、船舶修造、涉氨制冷、高温熔融金属作业、危险化品使用等的培训方案进行综合评分；</w:t>
            </w:r>
          </w:p>
          <w:p>
            <w:pPr>
              <w:spacing w:line="360" w:lineRule="exact"/>
              <w:jc w:val="left"/>
              <w:rPr>
                <w:rFonts w:ascii="宋体" w:hAnsi="宋体" w:cs="宋体"/>
                <w:kern w:val="0"/>
                <w:sz w:val="22"/>
                <w:szCs w:val="22"/>
              </w:rPr>
            </w:pPr>
            <w:r>
              <w:rPr>
                <w:rFonts w:hint="eastAsia" w:ascii="宋体" w:hAnsi="宋体" w:cs="宋体"/>
                <w:kern w:val="0"/>
                <w:sz w:val="22"/>
                <w:szCs w:val="22"/>
              </w:rPr>
              <w:t>（1）方案内容详细、全面，针对性强，操作合理的得8分；</w:t>
            </w:r>
          </w:p>
          <w:p>
            <w:pPr>
              <w:spacing w:line="360" w:lineRule="exact"/>
              <w:jc w:val="left"/>
              <w:rPr>
                <w:rFonts w:ascii="宋体" w:hAnsi="宋体" w:cs="宋体"/>
                <w:kern w:val="0"/>
                <w:sz w:val="22"/>
                <w:szCs w:val="22"/>
              </w:rPr>
            </w:pPr>
            <w:r>
              <w:rPr>
                <w:rFonts w:hint="eastAsia" w:ascii="宋体" w:hAnsi="宋体" w:cs="宋体"/>
                <w:kern w:val="0"/>
                <w:sz w:val="22"/>
                <w:szCs w:val="22"/>
              </w:rPr>
              <w:t>（2）方案内容基本详细，针对性基本满足，操作基本合理的得5分；</w:t>
            </w:r>
          </w:p>
          <w:p>
            <w:pPr>
              <w:spacing w:line="360" w:lineRule="exact"/>
              <w:jc w:val="left"/>
              <w:rPr>
                <w:rFonts w:ascii="宋体" w:hAnsi="宋体" w:cs="宋体"/>
                <w:kern w:val="0"/>
                <w:sz w:val="22"/>
                <w:szCs w:val="22"/>
              </w:rPr>
            </w:pPr>
            <w:r>
              <w:rPr>
                <w:rFonts w:hint="eastAsia" w:ascii="宋体" w:hAnsi="宋体" w:cs="宋体"/>
                <w:kern w:val="0"/>
                <w:sz w:val="22"/>
                <w:szCs w:val="22"/>
              </w:rPr>
              <w:t>（3方案内容不详细，针对性较弱，操作不合理的得2分；</w:t>
            </w:r>
          </w:p>
          <w:p>
            <w:pPr>
              <w:spacing w:line="360" w:lineRule="exact"/>
              <w:jc w:val="left"/>
            </w:pPr>
            <w:r>
              <w:rPr>
                <w:rFonts w:hint="eastAsia" w:ascii="宋体" w:hAnsi="宋体" w:cs="宋体"/>
                <w:kern w:val="0"/>
                <w:sz w:val="22"/>
                <w:szCs w:val="22"/>
              </w:rPr>
              <w:t>未提及的不得分。</w:t>
            </w:r>
          </w:p>
        </w:tc>
        <w:tc>
          <w:tcPr>
            <w:tcW w:w="0" w:type="auto"/>
            <w:vAlign w:val="center"/>
          </w:tcPr>
          <w:p>
            <w:pPr>
              <w:pStyle w:val="25"/>
              <w:spacing w:line="360" w:lineRule="exact"/>
              <w:ind w:left="480" w:hanging="480"/>
              <w:jc w:val="center"/>
              <w:rPr>
                <w:rFonts w:ascii="宋体" w:hAnsi="宋体" w:eastAsia="宋体" w:cs="宋体"/>
                <w:color w:val="auto"/>
                <w:sz w:val="22"/>
                <w:szCs w:val="22"/>
              </w:rPr>
            </w:pPr>
            <w:r>
              <w:rPr>
                <w:rFonts w:hint="eastAsia" w:ascii="宋体" w:hAnsi="宋体" w:eastAsia="宋体" w:cs="宋体"/>
                <w:color w:val="auto"/>
                <w:sz w:val="22"/>
                <w:szCs w:val="2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354" w:type="dxa"/>
            <w:vMerge w:val="restart"/>
            <w:vAlign w:val="center"/>
          </w:tcPr>
          <w:p>
            <w:pPr>
              <w:numPr>
                <w:ilvl w:val="0"/>
                <w:numId w:val="6"/>
              </w:numPr>
              <w:snapToGrid w:val="0"/>
              <w:ind w:firstLine="0"/>
              <w:jc w:val="center"/>
              <w:rPr>
                <w:rFonts w:ascii="宋体" w:hAnsi="宋体" w:cs="宋体"/>
                <w:sz w:val="24"/>
              </w:rPr>
            </w:pPr>
          </w:p>
        </w:tc>
        <w:tc>
          <w:tcPr>
            <w:tcW w:w="556" w:type="dxa"/>
            <w:vMerge w:val="restart"/>
            <w:vAlign w:val="center"/>
          </w:tcPr>
          <w:p>
            <w:pPr>
              <w:tabs>
                <w:tab w:val="left" w:pos="1080"/>
              </w:tabs>
              <w:spacing w:line="360" w:lineRule="exact"/>
              <w:jc w:val="center"/>
              <w:rPr>
                <w:rFonts w:ascii="宋体" w:hAnsi="宋体" w:cs="宋体"/>
                <w:b/>
                <w:bCs/>
                <w:sz w:val="22"/>
                <w:szCs w:val="22"/>
              </w:rPr>
            </w:pPr>
            <w:r>
              <w:rPr>
                <w:rFonts w:hint="eastAsia" w:ascii="宋体" w:hAnsi="宋体" w:cs="宋体"/>
                <w:b/>
                <w:bCs/>
                <w:sz w:val="22"/>
                <w:szCs w:val="22"/>
              </w:rPr>
              <w:t>应急预案</w:t>
            </w:r>
          </w:p>
        </w:tc>
        <w:tc>
          <w:tcPr>
            <w:tcW w:w="6676" w:type="dxa"/>
            <w:vAlign w:val="center"/>
          </w:tcPr>
          <w:p>
            <w:pPr>
              <w:spacing w:line="360" w:lineRule="exact"/>
              <w:rPr>
                <w:rFonts w:ascii="宋体" w:hAnsi="宋体" w:cs="宋体"/>
                <w:sz w:val="22"/>
                <w:szCs w:val="22"/>
              </w:rPr>
            </w:pPr>
            <w:r>
              <w:rPr>
                <w:rFonts w:hint="eastAsia" w:ascii="宋体" w:hAnsi="宋体" w:cs="宋体"/>
                <w:sz w:val="22"/>
                <w:szCs w:val="22"/>
              </w:rPr>
              <w:t>提供本项目的应急预案、异常情况处理等措施情况进行打分：</w:t>
            </w:r>
          </w:p>
          <w:p>
            <w:pPr>
              <w:spacing w:line="360" w:lineRule="exact"/>
              <w:rPr>
                <w:rFonts w:ascii="宋体" w:hAnsi="宋体" w:cs="宋体"/>
                <w:sz w:val="22"/>
                <w:szCs w:val="22"/>
              </w:rPr>
            </w:pPr>
            <w:r>
              <w:rPr>
                <w:rFonts w:hint="eastAsia" w:ascii="宋体" w:hAnsi="宋体" w:cs="宋体"/>
                <w:sz w:val="22"/>
                <w:szCs w:val="22"/>
              </w:rPr>
              <w:t>（1）预案和异常处理方法完善、可靠、周密且有利于执行的得6分；</w:t>
            </w:r>
          </w:p>
          <w:p>
            <w:pPr>
              <w:spacing w:line="360" w:lineRule="exact"/>
              <w:rPr>
                <w:rFonts w:ascii="宋体" w:hAnsi="宋体" w:cs="宋体"/>
                <w:sz w:val="22"/>
                <w:szCs w:val="22"/>
              </w:rPr>
            </w:pPr>
            <w:r>
              <w:rPr>
                <w:rFonts w:hint="eastAsia" w:ascii="宋体" w:hAnsi="宋体" w:cs="宋体"/>
                <w:sz w:val="22"/>
                <w:szCs w:val="22"/>
              </w:rPr>
              <w:t>（2）预案一般，针对性和有效性一般的得4分；</w:t>
            </w:r>
          </w:p>
          <w:p>
            <w:pPr>
              <w:spacing w:line="360" w:lineRule="exact"/>
              <w:rPr>
                <w:rFonts w:ascii="宋体" w:hAnsi="宋体" w:cs="宋体"/>
                <w:sz w:val="22"/>
                <w:szCs w:val="22"/>
              </w:rPr>
            </w:pPr>
            <w:r>
              <w:rPr>
                <w:rFonts w:hint="eastAsia" w:ascii="宋体" w:hAnsi="宋体" w:cs="宋体"/>
                <w:sz w:val="22"/>
                <w:szCs w:val="22"/>
              </w:rPr>
              <w:t>（3）预案有漏洞，可行性差的得2分；</w:t>
            </w:r>
          </w:p>
          <w:p>
            <w:pPr>
              <w:spacing w:line="360" w:lineRule="exact"/>
              <w:rPr>
                <w:rFonts w:ascii="宋体" w:hAnsi="宋体" w:cs="宋体"/>
                <w:b/>
                <w:sz w:val="22"/>
                <w:szCs w:val="22"/>
                <w:u w:val="single"/>
              </w:rPr>
            </w:pPr>
            <w:r>
              <w:rPr>
                <w:rFonts w:hint="eastAsia" w:ascii="宋体" w:hAnsi="宋体" w:cs="宋体"/>
                <w:sz w:val="22"/>
                <w:szCs w:val="22"/>
              </w:rPr>
              <w:t>未提及的不得分。</w:t>
            </w:r>
          </w:p>
        </w:tc>
        <w:tc>
          <w:tcPr>
            <w:tcW w:w="0" w:type="auto"/>
            <w:vAlign w:val="center"/>
          </w:tcPr>
          <w:p>
            <w:pPr>
              <w:pStyle w:val="25"/>
              <w:spacing w:line="360" w:lineRule="exact"/>
              <w:ind w:left="480" w:hanging="480"/>
              <w:jc w:val="center"/>
              <w:rPr>
                <w:rFonts w:ascii="宋体" w:hAnsi="宋体" w:eastAsia="宋体" w:cs="宋体"/>
                <w:color w:val="auto"/>
                <w:sz w:val="22"/>
                <w:szCs w:val="22"/>
              </w:rPr>
            </w:pPr>
            <w:r>
              <w:rPr>
                <w:rFonts w:hint="eastAsia" w:ascii="宋体" w:hAnsi="宋体" w:eastAsia="宋体" w:cs="宋体"/>
                <w:color w:val="auto"/>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354" w:type="dxa"/>
            <w:vMerge w:val="continue"/>
            <w:vAlign w:val="center"/>
          </w:tcPr>
          <w:p>
            <w:pPr>
              <w:snapToGrid w:val="0"/>
              <w:rPr>
                <w:rFonts w:ascii="宋体" w:hAnsi="宋体" w:cs="宋体"/>
                <w:sz w:val="24"/>
              </w:rPr>
            </w:pPr>
          </w:p>
        </w:tc>
        <w:tc>
          <w:tcPr>
            <w:tcW w:w="556" w:type="dxa"/>
            <w:vMerge w:val="continue"/>
            <w:vAlign w:val="center"/>
          </w:tcPr>
          <w:p>
            <w:pPr>
              <w:tabs>
                <w:tab w:val="left" w:pos="1080"/>
              </w:tabs>
              <w:spacing w:line="360" w:lineRule="exact"/>
              <w:jc w:val="center"/>
              <w:rPr>
                <w:rFonts w:ascii="宋体" w:hAnsi="宋体" w:cs="宋体"/>
                <w:b/>
                <w:bCs/>
                <w:sz w:val="22"/>
                <w:szCs w:val="22"/>
              </w:rPr>
            </w:pPr>
          </w:p>
        </w:tc>
        <w:tc>
          <w:tcPr>
            <w:tcW w:w="6676" w:type="dxa"/>
            <w:vAlign w:val="center"/>
          </w:tcPr>
          <w:p>
            <w:pPr>
              <w:spacing w:line="360" w:lineRule="exact"/>
              <w:jc w:val="left"/>
              <w:rPr>
                <w:rFonts w:ascii="宋体" w:hAnsi="宋体" w:cs="宋体"/>
                <w:kern w:val="0"/>
                <w:sz w:val="22"/>
                <w:szCs w:val="22"/>
              </w:rPr>
            </w:pPr>
            <w:r>
              <w:rPr>
                <w:rFonts w:hint="eastAsia" w:ascii="宋体" w:hAnsi="宋体" w:cs="宋体"/>
                <w:kern w:val="0"/>
                <w:sz w:val="22"/>
                <w:szCs w:val="22"/>
              </w:rPr>
              <w:t>针对本项目的有限空间作业、涉爆粉尘作业、喷涂作业、船舶修造、涉氨制冷、高温熔融金属作业、危险化品使用等的应急预案进行综合评分；</w:t>
            </w:r>
          </w:p>
          <w:p>
            <w:pPr>
              <w:spacing w:line="360" w:lineRule="exact"/>
              <w:jc w:val="left"/>
              <w:rPr>
                <w:rFonts w:ascii="宋体" w:hAnsi="宋体" w:cs="宋体"/>
                <w:kern w:val="0"/>
                <w:sz w:val="22"/>
                <w:szCs w:val="22"/>
              </w:rPr>
            </w:pPr>
            <w:r>
              <w:rPr>
                <w:rFonts w:hint="eastAsia" w:ascii="宋体" w:hAnsi="宋体" w:cs="宋体"/>
                <w:kern w:val="0"/>
                <w:sz w:val="22"/>
                <w:szCs w:val="22"/>
              </w:rPr>
              <w:t>（1）应急预案内容详细、全面，针对性强，操作合理的得8分；</w:t>
            </w:r>
          </w:p>
          <w:p>
            <w:pPr>
              <w:spacing w:line="360" w:lineRule="exact"/>
              <w:jc w:val="left"/>
              <w:rPr>
                <w:rFonts w:ascii="宋体" w:hAnsi="宋体" w:cs="宋体"/>
                <w:kern w:val="0"/>
                <w:sz w:val="22"/>
                <w:szCs w:val="22"/>
              </w:rPr>
            </w:pPr>
            <w:r>
              <w:rPr>
                <w:rFonts w:hint="eastAsia" w:ascii="宋体" w:hAnsi="宋体" w:cs="宋体"/>
                <w:kern w:val="0"/>
                <w:sz w:val="22"/>
                <w:szCs w:val="22"/>
              </w:rPr>
              <w:t>（2）应急预案内容基本详细，针对性基本满足，操作基本合理的得5分；</w:t>
            </w:r>
          </w:p>
          <w:p>
            <w:pPr>
              <w:spacing w:line="360" w:lineRule="exact"/>
              <w:jc w:val="left"/>
              <w:rPr>
                <w:rFonts w:ascii="宋体" w:hAnsi="宋体" w:cs="宋体"/>
                <w:kern w:val="0"/>
                <w:sz w:val="22"/>
                <w:szCs w:val="22"/>
              </w:rPr>
            </w:pPr>
            <w:r>
              <w:rPr>
                <w:rFonts w:hint="eastAsia" w:ascii="宋体" w:hAnsi="宋体" w:cs="宋体"/>
                <w:kern w:val="0"/>
                <w:sz w:val="22"/>
                <w:szCs w:val="22"/>
              </w:rPr>
              <w:t>（3应急预案内容不详细，针对性较弱，操作不合理的得2分；</w:t>
            </w:r>
          </w:p>
          <w:p>
            <w:pPr>
              <w:spacing w:line="360" w:lineRule="exact"/>
              <w:rPr>
                <w:rFonts w:ascii="宋体" w:hAnsi="宋体" w:cs="宋体"/>
                <w:sz w:val="22"/>
                <w:szCs w:val="22"/>
              </w:rPr>
            </w:pPr>
            <w:r>
              <w:rPr>
                <w:rFonts w:hint="eastAsia" w:ascii="宋体" w:hAnsi="宋体" w:cs="宋体"/>
                <w:kern w:val="0"/>
                <w:sz w:val="22"/>
                <w:szCs w:val="22"/>
              </w:rPr>
              <w:t>未提及的不得分。</w:t>
            </w:r>
          </w:p>
        </w:tc>
        <w:tc>
          <w:tcPr>
            <w:tcW w:w="0" w:type="auto"/>
            <w:vAlign w:val="center"/>
          </w:tcPr>
          <w:p>
            <w:pPr>
              <w:pStyle w:val="25"/>
              <w:spacing w:line="360" w:lineRule="exact"/>
              <w:ind w:left="480" w:hanging="480"/>
              <w:jc w:val="center"/>
              <w:rPr>
                <w:rFonts w:ascii="宋体" w:hAnsi="宋体" w:eastAsia="宋体" w:cs="宋体"/>
                <w:color w:val="auto"/>
                <w:sz w:val="22"/>
                <w:szCs w:val="22"/>
              </w:rPr>
            </w:pPr>
            <w:r>
              <w:rPr>
                <w:rFonts w:ascii="宋体" w:hAnsi="宋体" w:eastAsia="宋体" w:cs="宋体"/>
                <w:color w:val="auto"/>
                <w:sz w:val="22"/>
                <w:szCs w:val="2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0" w:hRule="atLeast"/>
        </w:trPr>
        <w:tc>
          <w:tcPr>
            <w:tcW w:w="354" w:type="dxa"/>
            <w:vAlign w:val="center"/>
          </w:tcPr>
          <w:p>
            <w:pPr>
              <w:numPr>
                <w:ilvl w:val="0"/>
                <w:numId w:val="6"/>
              </w:numPr>
              <w:snapToGrid w:val="0"/>
              <w:ind w:firstLine="0"/>
              <w:jc w:val="center"/>
              <w:rPr>
                <w:rFonts w:ascii="宋体" w:hAnsi="宋体" w:cs="宋体"/>
                <w:sz w:val="24"/>
              </w:rPr>
            </w:pPr>
          </w:p>
        </w:tc>
        <w:tc>
          <w:tcPr>
            <w:tcW w:w="556" w:type="dxa"/>
            <w:vAlign w:val="center"/>
          </w:tcPr>
          <w:p>
            <w:pPr>
              <w:tabs>
                <w:tab w:val="left" w:pos="1080"/>
              </w:tabs>
              <w:spacing w:line="360" w:lineRule="exact"/>
              <w:jc w:val="center"/>
              <w:rPr>
                <w:rFonts w:ascii="宋体" w:hAnsi="宋体" w:cs="宋体"/>
                <w:b/>
                <w:bCs/>
                <w:sz w:val="22"/>
                <w:szCs w:val="22"/>
              </w:rPr>
            </w:pPr>
            <w:r>
              <w:rPr>
                <w:rFonts w:hint="eastAsia" w:ascii="宋体" w:hAnsi="宋体" w:cs="宋体"/>
                <w:b/>
                <w:bCs/>
                <w:sz w:val="22"/>
                <w:szCs w:val="22"/>
              </w:rPr>
              <w:t>售后服务</w:t>
            </w:r>
          </w:p>
        </w:tc>
        <w:tc>
          <w:tcPr>
            <w:tcW w:w="6676" w:type="dxa"/>
            <w:vAlign w:val="center"/>
          </w:tcPr>
          <w:p>
            <w:pPr>
              <w:spacing w:line="360" w:lineRule="exact"/>
              <w:rPr>
                <w:rFonts w:ascii="宋体" w:hAnsi="宋体" w:cs="宋体"/>
                <w:sz w:val="22"/>
                <w:szCs w:val="22"/>
              </w:rPr>
            </w:pPr>
            <w:r>
              <w:rPr>
                <w:rFonts w:hint="eastAsia" w:ascii="宋体" w:hAnsi="宋体" w:cs="宋体"/>
                <w:sz w:val="22"/>
                <w:szCs w:val="22"/>
              </w:rPr>
              <w:t>售后方案：根据售后服务方案、措施（应包括人员管理方案、日常维护工作机制、服务方式）、服务人员配备等综合打分：</w:t>
            </w:r>
          </w:p>
          <w:p>
            <w:pPr>
              <w:spacing w:line="360" w:lineRule="exact"/>
              <w:rPr>
                <w:rFonts w:ascii="宋体" w:hAnsi="宋体" w:cs="宋体"/>
                <w:sz w:val="22"/>
                <w:szCs w:val="22"/>
              </w:rPr>
            </w:pPr>
            <w:r>
              <w:rPr>
                <w:rFonts w:hint="eastAsia" w:ascii="宋体" w:hAnsi="宋体" w:cs="宋体"/>
                <w:sz w:val="22"/>
                <w:szCs w:val="22"/>
              </w:rPr>
              <w:t>（1）维护工作机制健全，人员配备充足、专业的得6分；</w:t>
            </w:r>
          </w:p>
          <w:p>
            <w:pPr>
              <w:spacing w:line="360" w:lineRule="exact"/>
              <w:rPr>
                <w:rFonts w:ascii="宋体" w:hAnsi="宋体" w:cs="宋体"/>
                <w:sz w:val="22"/>
                <w:szCs w:val="22"/>
              </w:rPr>
            </w:pPr>
            <w:r>
              <w:rPr>
                <w:rFonts w:hint="eastAsia" w:ascii="宋体" w:hAnsi="宋体" w:cs="宋体"/>
                <w:sz w:val="22"/>
                <w:szCs w:val="22"/>
              </w:rPr>
              <w:t>（2）维护工作机制、人员配备较充足，资质一般的得3分；</w:t>
            </w:r>
          </w:p>
          <w:p>
            <w:pPr>
              <w:spacing w:line="360" w:lineRule="exact"/>
              <w:rPr>
                <w:rFonts w:ascii="宋体" w:hAnsi="宋体" w:cs="宋体"/>
                <w:sz w:val="22"/>
                <w:szCs w:val="22"/>
              </w:rPr>
            </w:pPr>
            <w:r>
              <w:rPr>
                <w:rFonts w:hint="eastAsia" w:ascii="宋体" w:hAnsi="宋体" w:cs="宋体"/>
                <w:sz w:val="22"/>
                <w:szCs w:val="22"/>
              </w:rPr>
              <w:t>（3）维护工作机制、人员配备薄弱的得1分；</w:t>
            </w:r>
          </w:p>
          <w:p>
            <w:pPr>
              <w:spacing w:line="360" w:lineRule="exact"/>
              <w:rPr>
                <w:rFonts w:ascii="宋体" w:hAnsi="宋体" w:cs="宋体"/>
                <w:sz w:val="22"/>
                <w:szCs w:val="22"/>
              </w:rPr>
            </w:pPr>
            <w:r>
              <w:rPr>
                <w:rFonts w:hint="eastAsia" w:ascii="宋体" w:hAnsi="宋体" w:cs="宋体"/>
                <w:sz w:val="22"/>
                <w:szCs w:val="22"/>
              </w:rPr>
              <w:t>未提及不得分。</w:t>
            </w:r>
          </w:p>
          <w:p>
            <w:pPr>
              <w:snapToGrid w:val="0"/>
              <w:spacing w:line="360" w:lineRule="exact"/>
              <w:jc w:val="left"/>
              <w:rPr>
                <w:rFonts w:ascii="宋体" w:hAnsi="宋体"/>
                <w:kern w:val="0"/>
                <w:szCs w:val="21"/>
              </w:rPr>
            </w:pPr>
          </w:p>
        </w:tc>
        <w:tc>
          <w:tcPr>
            <w:tcW w:w="834" w:type="dxa"/>
            <w:vAlign w:val="center"/>
          </w:tcPr>
          <w:p>
            <w:pPr>
              <w:pStyle w:val="25"/>
              <w:spacing w:line="360" w:lineRule="exact"/>
              <w:ind w:left="480" w:hanging="480"/>
              <w:jc w:val="center"/>
              <w:rPr>
                <w:rFonts w:ascii="宋体" w:hAnsi="宋体"/>
                <w:kern w:val="0"/>
                <w:szCs w:val="21"/>
              </w:rPr>
            </w:pPr>
            <w:r>
              <w:rPr>
                <w:rFonts w:hint="eastAsia" w:ascii="宋体" w:hAnsi="宋体" w:eastAsia="宋体" w:cs="宋体"/>
                <w:color w:val="auto"/>
                <w:sz w:val="22"/>
                <w:szCs w:val="22"/>
              </w:rPr>
              <w:t>6</w:t>
            </w:r>
          </w:p>
        </w:tc>
      </w:tr>
    </w:tbl>
    <w:p>
      <w:pPr>
        <w:pStyle w:val="30"/>
        <w:rPr>
          <w:lang w:val="zh-CN"/>
        </w:rPr>
      </w:pPr>
    </w:p>
    <w:p>
      <w:pPr>
        <w:spacing w:line="360" w:lineRule="auto"/>
        <w:outlineLvl w:val="1"/>
        <w:rPr>
          <w:rFonts w:ascii="宋体" w:hAnsi="宋体" w:cs="宋体"/>
          <w:sz w:val="24"/>
          <w:szCs w:val="32"/>
          <w:lang w:val="zh-CN"/>
        </w:rPr>
      </w:pPr>
      <w:r>
        <w:rPr>
          <w:rFonts w:hint="eastAsia" w:ascii="宋体" w:hAnsi="宋体" w:cs="宋体"/>
          <w:sz w:val="24"/>
          <w:szCs w:val="32"/>
          <w:lang w:val="zh-CN"/>
        </w:rPr>
        <w:t>（</w:t>
      </w:r>
      <w:r>
        <w:rPr>
          <w:rFonts w:hint="eastAsia" w:ascii="宋体" w:hAnsi="宋体" w:cs="宋体"/>
          <w:sz w:val="24"/>
          <w:szCs w:val="32"/>
        </w:rPr>
        <w:t>2</w:t>
      </w:r>
      <w:r>
        <w:rPr>
          <w:rFonts w:hint="eastAsia" w:ascii="宋体" w:hAnsi="宋体" w:cs="宋体"/>
          <w:sz w:val="24"/>
          <w:szCs w:val="32"/>
          <w:lang w:val="zh-CN"/>
        </w:rPr>
        <w:t>）价格分（</w:t>
      </w:r>
      <w:r>
        <w:rPr>
          <w:rFonts w:hint="eastAsia" w:ascii="宋体" w:hAnsi="宋体" w:cs="宋体"/>
          <w:sz w:val="24"/>
          <w:szCs w:val="32"/>
        </w:rPr>
        <w:t>10</w:t>
      </w:r>
      <w:r>
        <w:rPr>
          <w:rFonts w:hint="eastAsia" w:ascii="宋体" w:hAnsi="宋体" w:cs="宋体"/>
          <w:sz w:val="24"/>
          <w:szCs w:val="32"/>
          <w:lang w:val="zh-CN"/>
        </w:rPr>
        <w:t>分）</w:t>
      </w:r>
    </w:p>
    <w:p>
      <w:pPr>
        <w:spacing w:line="360" w:lineRule="auto"/>
        <w:ind w:firstLine="420" w:firstLineChars="200"/>
        <w:rPr>
          <w:rFonts w:ascii="宋体" w:hAnsi="宋体" w:cs="宋体"/>
          <w:szCs w:val="21"/>
          <w:lang w:val="zh-CN"/>
        </w:rPr>
      </w:pPr>
      <w:r>
        <w:rPr>
          <w:rFonts w:hint="eastAsia" w:ascii="宋体" w:hAnsi="宋体" w:cs="宋体"/>
          <w:szCs w:val="21"/>
          <w:lang w:val="zh-CN"/>
        </w:rPr>
        <w:t>满足磋商文件要求且最终报价最低的磋商供应商的价格作为磋商基准价，其报价得满分。磋商报价得分=(磋商基准价／最后磋商报价)×</w:t>
      </w:r>
      <w:r>
        <w:rPr>
          <w:rFonts w:hint="eastAsia" w:ascii="宋体" w:hAnsi="宋体" w:cs="宋体"/>
          <w:szCs w:val="21"/>
        </w:rPr>
        <w:t>10%</w:t>
      </w:r>
      <w:r>
        <w:rPr>
          <w:rFonts w:hint="eastAsia" w:ascii="宋体" w:hAnsi="宋体" w:cs="宋体"/>
          <w:szCs w:val="21"/>
          <w:lang w:val="zh-CN"/>
        </w:rPr>
        <w:t>×100（小数点后保留2位小数）。磋商供应商综合得分＝商务与技术文件得分＋磋商报价得分。（注：本项目为专门面向中小企业采购项目，不进行价格扣除）</w:t>
      </w:r>
    </w:p>
    <w:p>
      <w:pPr>
        <w:jc w:val="center"/>
        <w:outlineLvl w:val="0"/>
        <w:rPr>
          <w:rFonts w:ascii="宋体" w:hAnsi="宋体" w:cs="宋体"/>
          <w:b/>
          <w:bCs/>
          <w:sz w:val="36"/>
          <w:szCs w:val="44"/>
        </w:rPr>
      </w:pPr>
      <w:r>
        <w:rPr>
          <w:rFonts w:ascii="宋体" w:hAnsi="宋体" w:cs="宋体"/>
          <w:sz w:val="24"/>
          <w:szCs w:val="32"/>
          <w:lang w:val="zh-CN"/>
        </w:rPr>
        <w:br w:type="page"/>
      </w:r>
      <w:r>
        <w:rPr>
          <w:rFonts w:hint="eastAsia" w:ascii="宋体" w:hAnsi="宋体" w:cs="宋体"/>
          <w:b/>
          <w:bCs/>
          <w:sz w:val="36"/>
          <w:szCs w:val="44"/>
        </w:rPr>
        <w:t>第四章 项目需求</w:t>
      </w:r>
    </w:p>
    <w:p>
      <w:pPr>
        <w:snapToGrid w:val="0"/>
        <w:spacing w:line="360" w:lineRule="auto"/>
        <w:ind w:firstLine="482" w:firstLineChars="200"/>
        <w:jc w:val="left"/>
        <w:rPr>
          <w:rFonts w:ascii="宋体" w:hAnsi="宋体"/>
          <w:b/>
          <w:bCs/>
          <w:color w:val="000000"/>
          <w:sz w:val="24"/>
        </w:rPr>
      </w:pPr>
    </w:p>
    <w:p>
      <w:pPr>
        <w:tabs>
          <w:tab w:val="left" w:pos="8280"/>
        </w:tabs>
        <w:autoSpaceDE w:val="0"/>
        <w:autoSpaceDN w:val="0"/>
        <w:adjustRightInd w:val="0"/>
        <w:spacing w:line="360" w:lineRule="auto"/>
        <w:ind w:right="25" w:firstLine="482" w:firstLineChars="200"/>
        <w:rPr>
          <w:rFonts w:ascii="宋体" w:hAnsi="宋体" w:cs="宋体"/>
          <w:color w:val="000000"/>
          <w:sz w:val="24"/>
        </w:rPr>
      </w:pPr>
      <w:r>
        <w:rPr>
          <w:rFonts w:hint="eastAsia" w:asciiTheme="minorEastAsia" w:hAnsiTheme="minorEastAsia" w:eastAsiaTheme="minorEastAsia" w:cstheme="minorEastAsia"/>
          <w:b/>
          <w:bCs/>
          <w:sz w:val="24"/>
        </w:rPr>
        <w:t>一、</w:t>
      </w:r>
      <w:r>
        <w:rPr>
          <w:rFonts w:hint="eastAsia" w:ascii="宋体" w:hAnsi="宋体" w:cs="宋体"/>
          <w:color w:val="000000"/>
          <w:sz w:val="24"/>
        </w:rPr>
        <w:t>本次招标共</w:t>
      </w:r>
      <w:r>
        <w:rPr>
          <w:rFonts w:hint="eastAsia" w:ascii="宋体" w:hAnsi="宋体" w:cs="宋体"/>
          <w:b/>
          <w:bCs/>
          <w:color w:val="000000"/>
          <w:sz w:val="24"/>
        </w:rPr>
        <w:t>1</w:t>
      </w:r>
      <w:r>
        <w:rPr>
          <w:rFonts w:hint="eastAsia" w:ascii="宋体" w:hAnsi="宋体" w:cs="宋体"/>
          <w:color w:val="000000"/>
          <w:sz w:val="24"/>
        </w:rPr>
        <w:t>个标段，具体内容如下表：</w:t>
      </w:r>
    </w:p>
    <w:tbl>
      <w:tblPr>
        <w:tblStyle w:val="33"/>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2156"/>
        <w:gridCol w:w="1441"/>
        <w:gridCol w:w="737"/>
        <w:gridCol w:w="672"/>
        <w:gridCol w:w="139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086" w:type="dxa"/>
            <w:vAlign w:val="center"/>
          </w:tcPr>
          <w:p>
            <w:pPr>
              <w:tabs>
                <w:tab w:val="left" w:pos="8280"/>
              </w:tabs>
              <w:autoSpaceDE w:val="0"/>
              <w:autoSpaceDN w:val="0"/>
              <w:adjustRightInd w:val="0"/>
              <w:ind w:right="23"/>
              <w:jc w:val="center"/>
              <w:rPr>
                <w:rFonts w:ascii="宋体" w:hAnsi="宋体"/>
                <w:b/>
                <w:sz w:val="24"/>
              </w:rPr>
            </w:pPr>
            <w:r>
              <w:rPr>
                <w:rFonts w:hint="eastAsia" w:ascii="宋体" w:hAnsi="宋体"/>
                <w:b/>
                <w:sz w:val="24"/>
              </w:rPr>
              <w:t>标号</w:t>
            </w:r>
          </w:p>
        </w:tc>
        <w:tc>
          <w:tcPr>
            <w:tcW w:w="2156" w:type="dxa"/>
            <w:vAlign w:val="center"/>
          </w:tcPr>
          <w:p>
            <w:pPr>
              <w:tabs>
                <w:tab w:val="left" w:pos="8280"/>
              </w:tabs>
              <w:autoSpaceDE w:val="0"/>
              <w:autoSpaceDN w:val="0"/>
              <w:adjustRightInd w:val="0"/>
              <w:ind w:right="23"/>
              <w:jc w:val="center"/>
              <w:rPr>
                <w:rFonts w:ascii="宋体" w:hAnsi="宋体"/>
                <w:b/>
                <w:sz w:val="24"/>
              </w:rPr>
            </w:pPr>
            <w:r>
              <w:rPr>
                <w:rFonts w:hint="eastAsia" w:ascii="宋体" w:hAnsi="宋体"/>
                <w:b/>
                <w:sz w:val="24"/>
              </w:rPr>
              <w:t>项目名称</w:t>
            </w:r>
          </w:p>
        </w:tc>
        <w:tc>
          <w:tcPr>
            <w:tcW w:w="1441" w:type="dxa"/>
            <w:vAlign w:val="center"/>
          </w:tcPr>
          <w:p>
            <w:pPr>
              <w:tabs>
                <w:tab w:val="left" w:pos="8280"/>
              </w:tabs>
              <w:autoSpaceDE w:val="0"/>
              <w:autoSpaceDN w:val="0"/>
              <w:adjustRightInd w:val="0"/>
              <w:ind w:right="23"/>
              <w:jc w:val="center"/>
              <w:rPr>
                <w:rFonts w:ascii="宋体" w:hAnsi="宋体"/>
                <w:b/>
                <w:sz w:val="24"/>
              </w:rPr>
            </w:pPr>
            <w:r>
              <w:rPr>
                <w:rFonts w:hint="eastAsia" w:ascii="宋体" w:hAnsi="宋体" w:cs="宋体"/>
                <w:b/>
                <w:sz w:val="24"/>
              </w:rPr>
              <w:t>简要技术要求</w:t>
            </w:r>
          </w:p>
        </w:tc>
        <w:tc>
          <w:tcPr>
            <w:tcW w:w="737" w:type="dxa"/>
            <w:vAlign w:val="center"/>
          </w:tcPr>
          <w:p>
            <w:pPr>
              <w:tabs>
                <w:tab w:val="left" w:pos="8280"/>
              </w:tabs>
              <w:autoSpaceDE w:val="0"/>
              <w:autoSpaceDN w:val="0"/>
              <w:adjustRightInd w:val="0"/>
              <w:ind w:right="23"/>
              <w:jc w:val="center"/>
              <w:rPr>
                <w:rFonts w:ascii="宋体" w:hAnsi="宋体"/>
                <w:b/>
                <w:sz w:val="24"/>
              </w:rPr>
            </w:pPr>
            <w:r>
              <w:rPr>
                <w:rFonts w:hint="eastAsia" w:ascii="宋体" w:hAnsi="宋体"/>
                <w:b/>
                <w:sz w:val="24"/>
              </w:rPr>
              <w:t>数量</w:t>
            </w:r>
          </w:p>
        </w:tc>
        <w:tc>
          <w:tcPr>
            <w:tcW w:w="672" w:type="dxa"/>
            <w:vAlign w:val="center"/>
          </w:tcPr>
          <w:p>
            <w:pPr>
              <w:tabs>
                <w:tab w:val="left" w:pos="8280"/>
              </w:tabs>
              <w:autoSpaceDE w:val="0"/>
              <w:autoSpaceDN w:val="0"/>
              <w:adjustRightInd w:val="0"/>
              <w:ind w:right="23"/>
              <w:jc w:val="center"/>
              <w:rPr>
                <w:rFonts w:ascii="宋体" w:hAnsi="宋体"/>
                <w:b/>
                <w:sz w:val="24"/>
              </w:rPr>
            </w:pPr>
            <w:r>
              <w:rPr>
                <w:rFonts w:hint="eastAsia" w:ascii="宋体" w:hAnsi="宋体"/>
                <w:b/>
                <w:sz w:val="24"/>
              </w:rPr>
              <w:t>单位</w:t>
            </w:r>
          </w:p>
        </w:tc>
        <w:tc>
          <w:tcPr>
            <w:tcW w:w="1390" w:type="dxa"/>
            <w:vAlign w:val="center"/>
          </w:tcPr>
          <w:p>
            <w:pPr>
              <w:tabs>
                <w:tab w:val="left" w:pos="8280"/>
              </w:tabs>
              <w:autoSpaceDE w:val="0"/>
              <w:autoSpaceDN w:val="0"/>
              <w:adjustRightInd w:val="0"/>
              <w:ind w:right="23"/>
              <w:jc w:val="center"/>
              <w:rPr>
                <w:rFonts w:ascii="宋体" w:hAnsi="宋体"/>
                <w:b/>
                <w:sz w:val="24"/>
              </w:rPr>
            </w:pPr>
            <w:r>
              <w:rPr>
                <w:rFonts w:hint="eastAsia" w:ascii="宋体" w:hAnsi="宋体"/>
                <w:b/>
                <w:sz w:val="24"/>
              </w:rPr>
              <w:t>预算/最高限价</w:t>
            </w:r>
          </w:p>
          <w:p>
            <w:pPr>
              <w:tabs>
                <w:tab w:val="left" w:pos="8280"/>
              </w:tabs>
              <w:autoSpaceDE w:val="0"/>
              <w:autoSpaceDN w:val="0"/>
              <w:adjustRightInd w:val="0"/>
              <w:ind w:right="23"/>
              <w:jc w:val="center"/>
              <w:rPr>
                <w:rFonts w:ascii="宋体" w:hAnsi="宋体"/>
                <w:b/>
                <w:sz w:val="24"/>
              </w:rPr>
            </w:pPr>
            <w:r>
              <w:rPr>
                <w:rFonts w:hint="eastAsia" w:ascii="宋体" w:hAnsi="宋体"/>
                <w:b/>
                <w:sz w:val="24"/>
              </w:rPr>
              <w:t>（万元）</w:t>
            </w:r>
          </w:p>
        </w:tc>
        <w:tc>
          <w:tcPr>
            <w:tcW w:w="1494" w:type="dxa"/>
            <w:vAlign w:val="center"/>
          </w:tcPr>
          <w:p>
            <w:pPr>
              <w:tabs>
                <w:tab w:val="left" w:pos="8280"/>
              </w:tabs>
              <w:autoSpaceDE w:val="0"/>
              <w:autoSpaceDN w:val="0"/>
              <w:adjustRightInd w:val="0"/>
              <w:ind w:right="23"/>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086" w:type="dxa"/>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宋体"/>
                <w:sz w:val="24"/>
              </w:rPr>
              <w:t>1</w:t>
            </w:r>
          </w:p>
        </w:tc>
        <w:tc>
          <w:tcPr>
            <w:tcW w:w="2156" w:type="dxa"/>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宋体"/>
                <w:sz w:val="24"/>
              </w:rPr>
              <w:t>工矿企业购买第三方服务项目</w:t>
            </w:r>
          </w:p>
        </w:tc>
        <w:tc>
          <w:tcPr>
            <w:tcW w:w="1441" w:type="dxa"/>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宋体"/>
                <w:sz w:val="24"/>
              </w:rPr>
              <w:t>详见项目需求</w:t>
            </w:r>
          </w:p>
        </w:tc>
        <w:tc>
          <w:tcPr>
            <w:tcW w:w="737" w:type="dxa"/>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宋体"/>
                <w:sz w:val="24"/>
              </w:rPr>
              <w:t>1</w:t>
            </w:r>
          </w:p>
        </w:tc>
        <w:tc>
          <w:tcPr>
            <w:tcW w:w="672" w:type="dxa"/>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宋体"/>
                <w:sz w:val="24"/>
              </w:rPr>
              <w:t>项</w:t>
            </w:r>
          </w:p>
        </w:tc>
        <w:tc>
          <w:tcPr>
            <w:tcW w:w="1390" w:type="dxa"/>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宋体"/>
                <w:sz w:val="24"/>
              </w:rPr>
              <w:t>50</w:t>
            </w:r>
          </w:p>
        </w:tc>
        <w:tc>
          <w:tcPr>
            <w:tcW w:w="1494" w:type="dxa"/>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Arial"/>
                <w:kern w:val="0"/>
                <w:sz w:val="24"/>
              </w:rPr>
              <w:t>自合同签订之日起1年内</w:t>
            </w:r>
          </w:p>
        </w:tc>
      </w:tr>
    </w:tbl>
    <w:p>
      <w:pPr>
        <w:spacing w:line="360" w:lineRule="auto"/>
        <w:rPr>
          <w:rFonts w:asciiTheme="minorEastAsia" w:hAnsiTheme="minorEastAsia" w:eastAsiaTheme="minorEastAsia" w:cstheme="minorEastAsia"/>
          <w:sz w:val="24"/>
        </w:rPr>
      </w:pPr>
    </w:p>
    <w:p>
      <w:pPr>
        <w:pStyle w:val="13"/>
        <w:autoSpaceDE w:val="0"/>
        <w:autoSpaceDN w:val="0"/>
        <w:spacing w:line="360" w:lineRule="auto"/>
        <w:outlineLvl w:val="0"/>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二、项目背景</w:t>
      </w:r>
    </w:p>
    <w:p>
      <w:pPr>
        <w:pStyle w:val="13"/>
        <w:autoSpaceDE w:val="0"/>
        <w:autoSpaceDN w:val="0"/>
        <w:spacing w:line="360" w:lineRule="auto"/>
        <w:ind w:firstLine="480" w:firstLineChars="200"/>
        <w:outlineLvl w:val="0"/>
        <w:rPr>
          <w:rFonts w:asciiTheme="minorEastAsia" w:hAnsiTheme="minorEastAsia" w:eastAsiaTheme="minorEastAsia" w:cstheme="minorEastAsia"/>
        </w:rPr>
      </w:pPr>
      <w:r>
        <w:rPr>
          <w:rFonts w:hint="eastAsia" w:ascii="宋体" w:hAnsi="宋体"/>
          <w:shd w:val="clear" w:color="auto" w:fill="FEFEFE"/>
        </w:rPr>
        <w:t>为</w:t>
      </w:r>
      <w:r>
        <w:rPr>
          <w:rFonts w:ascii="宋体" w:hAnsi="宋体"/>
          <w:shd w:val="clear" w:color="auto" w:fill="FEFEFE"/>
        </w:rPr>
        <w:t>全面推广安全生产社会化服务，引导社会力量参与安全生产工作，有效发挥专业机构、专家力量在防范遏制重特大事故方面的积极作用。通过开展政府购买服务，提升</w:t>
      </w:r>
      <w:r>
        <w:rPr>
          <w:rFonts w:hint="eastAsia" w:ascii="宋体" w:hAnsi="宋体"/>
          <w:shd w:val="clear" w:color="auto" w:fill="FEFEFE"/>
        </w:rPr>
        <w:t>全区</w:t>
      </w:r>
      <w:r>
        <w:rPr>
          <w:rFonts w:ascii="宋体" w:hAnsi="宋体"/>
          <w:shd w:val="clear" w:color="auto" w:fill="FEFEFE"/>
        </w:rPr>
        <w:t>安全生产保障能力和监管实力；通过辖区内所有企业开展社会化服务，增强企业安全管理水平，提升事故防范能力，推动企业全面落实安全生产主体责任。</w:t>
      </w:r>
    </w:p>
    <w:p>
      <w:pPr>
        <w:spacing w:line="460" w:lineRule="exact"/>
        <w:rPr>
          <w:b/>
          <w:sz w:val="24"/>
        </w:rPr>
      </w:pPr>
      <w:r>
        <w:rPr>
          <w:rFonts w:hint="eastAsia" w:ascii="宋体" w:hAnsi="宋体"/>
          <w:b/>
          <w:sz w:val="24"/>
        </w:rPr>
        <w:t>三、</w:t>
      </w:r>
      <w:r>
        <w:rPr>
          <w:rFonts w:ascii="宋体" w:hAnsi="宋体"/>
          <w:b/>
          <w:sz w:val="24"/>
        </w:rPr>
        <w:t>服务</w:t>
      </w:r>
      <w:r>
        <w:rPr>
          <w:rFonts w:hint="eastAsia" w:ascii="宋体" w:hAnsi="宋体"/>
          <w:b/>
          <w:sz w:val="24"/>
        </w:rPr>
        <w:t>范围</w:t>
      </w:r>
    </w:p>
    <w:p>
      <w:pPr>
        <w:spacing w:line="460" w:lineRule="exact"/>
        <w:ind w:firstLine="480"/>
        <w:rPr>
          <w:rFonts w:ascii="宋体" w:hAnsi="宋体"/>
          <w:sz w:val="24"/>
          <w:shd w:val="clear" w:color="auto" w:fill="FEFEFE"/>
        </w:rPr>
      </w:pPr>
      <w:r>
        <w:rPr>
          <w:rFonts w:hint="eastAsia" w:ascii="宋体" w:hAnsi="宋体"/>
          <w:sz w:val="24"/>
          <w:shd w:val="clear" w:color="auto" w:fill="FEFEFE"/>
        </w:rPr>
        <w:t>负责椒江区工矿领域的安全生产工作，椒江区辖区内工业企业共1968家，其中，规上企业250余家，危化品使用企业192家，涉爆粉尘企业62家，涉氨制冷企业18家，“三企业三场所”和易燃易爆企业共约350家，以上数量暂定，具体按入围企业实际家数为准</w:t>
      </w:r>
      <w:r>
        <w:rPr>
          <w:rFonts w:hint="eastAsia" w:ascii="宋体" w:hAnsi="宋体"/>
          <w:b/>
          <w:bCs/>
          <w:sz w:val="24"/>
          <w:shd w:val="clear" w:color="auto" w:fill="FEFEFE"/>
        </w:rPr>
        <w:t>，</w:t>
      </w:r>
      <w:r>
        <w:rPr>
          <w:rFonts w:hint="eastAsia" w:ascii="宋体" w:hAnsi="宋体"/>
          <w:sz w:val="24"/>
          <w:shd w:val="clear" w:color="auto" w:fill="FEFEFE"/>
        </w:rPr>
        <w:t>合同价格不作调整。</w:t>
      </w:r>
    </w:p>
    <w:p>
      <w:pPr>
        <w:spacing w:line="360" w:lineRule="auto"/>
        <w:rPr>
          <w:rFonts w:ascii="宋体" w:hAnsi="宋体"/>
          <w:sz w:val="24"/>
        </w:rPr>
      </w:pPr>
      <w:r>
        <w:rPr>
          <w:rFonts w:hint="eastAsia" w:ascii="宋体" w:hAnsi="宋体"/>
          <w:b/>
          <w:bCs/>
          <w:sz w:val="24"/>
        </w:rPr>
        <w:t>四、服务内容、要求及检查安排</w:t>
      </w:r>
    </w:p>
    <w:p>
      <w:pPr>
        <w:autoSpaceDE w:val="0"/>
        <w:autoSpaceDN w:val="0"/>
        <w:snapToGrid w:val="0"/>
        <w:spacing w:line="360" w:lineRule="auto"/>
        <w:ind w:firstLine="480" w:firstLineChars="200"/>
        <w:rPr>
          <w:rFonts w:ascii="宋体" w:hAnsi="宋体"/>
          <w:sz w:val="24"/>
        </w:rPr>
      </w:pPr>
      <w:r>
        <w:rPr>
          <w:rFonts w:hint="eastAsia" w:ascii="宋体" w:hAnsi="宋体"/>
          <w:sz w:val="24"/>
        </w:rPr>
        <w:t>根据省、市应急部门的文件精神，落实椒江区内工矿企业的排查、复查工作，按服务要求完成日常安全排查，并建立“一企一档”安全管理台账，完成专项检查工作。</w:t>
      </w:r>
    </w:p>
    <w:p>
      <w:pPr>
        <w:numPr>
          <w:ilvl w:val="0"/>
          <w:numId w:val="7"/>
        </w:numPr>
        <w:autoSpaceDE w:val="0"/>
        <w:autoSpaceDN w:val="0"/>
        <w:snapToGrid w:val="0"/>
        <w:spacing w:line="360" w:lineRule="auto"/>
        <w:rPr>
          <w:rFonts w:ascii="宋体" w:hAnsi="宋体"/>
          <w:b/>
          <w:bCs/>
          <w:sz w:val="24"/>
        </w:rPr>
      </w:pPr>
      <w:r>
        <w:rPr>
          <w:rFonts w:hint="eastAsia" w:ascii="宋体" w:hAnsi="宋体"/>
          <w:b/>
          <w:bCs/>
          <w:sz w:val="24"/>
        </w:rPr>
        <w:t>服务内容</w:t>
      </w:r>
    </w:p>
    <w:p>
      <w:pPr>
        <w:autoSpaceDE w:val="0"/>
        <w:autoSpaceDN w:val="0"/>
        <w:snapToGrid w:val="0"/>
        <w:spacing w:line="360" w:lineRule="auto"/>
        <w:ind w:firstLine="480" w:firstLineChars="200"/>
        <w:rPr>
          <w:rFonts w:ascii="宋体" w:hAnsi="宋体"/>
          <w:sz w:val="24"/>
        </w:rPr>
      </w:pPr>
      <w:r>
        <w:rPr>
          <w:rFonts w:hint="eastAsia" w:ascii="宋体" w:hAnsi="宋体"/>
          <w:sz w:val="24"/>
        </w:rPr>
        <w:t>1、中小（微）型企业按总数的10%-15%每季度进行抽查，全年不少于50%；</w:t>
      </w:r>
    </w:p>
    <w:p>
      <w:pPr>
        <w:autoSpaceDE w:val="0"/>
        <w:autoSpaceDN w:val="0"/>
        <w:snapToGrid w:val="0"/>
        <w:spacing w:line="360" w:lineRule="auto"/>
        <w:ind w:firstLine="480" w:firstLineChars="200"/>
        <w:rPr>
          <w:rFonts w:ascii="宋体" w:hAnsi="宋体"/>
          <w:sz w:val="24"/>
        </w:rPr>
      </w:pPr>
      <w:r>
        <w:rPr>
          <w:rFonts w:hint="eastAsia" w:ascii="宋体" w:hAnsi="宋体"/>
          <w:sz w:val="24"/>
        </w:rPr>
        <w:t>2、三场所三企业、使用危险化学品企业按总数的15%-20%每月进行抽查，实行全年轮流全覆盖；</w:t>
      </w:r>
    </w:p>
    <w:p>
      <w:pPr>
        <w:autoSpaceDE w:val="0"/>
        <w:autoSpaceDN w:val="0"/>
        <w:snapToGrid w:val="0"/>
        <w:spacing w:line="360" w:lineRule="auto"/>
        <w:ind w:firstLine="480" w:firstLineChars="200"/>
        <w:rPr>
          <w:rFonts w:ascii="宋体" w:hAnsi="宋体"/>
          <w:sz w:val="24"/>
        </w:rPr>
      </w:pPr>
      <w:r>
        <w:rPr>
          <w:rFonts w:hint="eastAsia" w:ascii="宋体" w:hAnsi="宋体"/>
          <w:sz w:val="24"/>
        </w:rPr>
        <w:t>3、规上企业按总数的15%-20%每月进行抽查，实行轮流全覆盖；</w:t>
      </w:r>
    </w:p>
    <w:p>
      <w:pPr>
        <w:autoSpaceDE w:val="0"/>
        <w:autoSpaceDN w:val="0"/>
        <w:snapToGrid w:val="0"/>
        <w:spacing w:line="360" w:lineRule="auto"/>
        <w:ind w:firstLine="480" w:firstLineChars="200"/>
        <w:rPr>
          <w:rFonts w:ascii="宋体" w:hAnsi="宋体"/>
          <w:sz w:val="24"/>
        </w:rPr>
      </w:pPr>
      <w:r>
        <w:rPr>
          <w:rFonts w:hint="eastAsia" w:ascii="宋体" w:hAnsi="宋体"/>
          <w:sz w:val="24"/>
        </w:rPr>
        <w:t>4、对有专项整治检查要求全覆盖；</w:t>
      </w:r>
    </w:p>
    <w:p>
      <w:pPr>
        <w:spacing w:line="460" w:lineRule="exact"/>
        <w:ind w:firstLine="513" w:firstLineChars="214"/>
        <w:rPr>
          <w:rFonts w:ascii="宋体" w:hAnsi="宋体"/>
          <w:sz w:val="24"/>
        </w:rPr>
      </w:pPr>
      <w:r>
        <w:rPr>
          <w:rFonts w:hint="eastAsia" w:ascii="宋体" w:hAnsi="宋体"/>
          <w:sz w:val="24"/>
        </w:rPr>
        <w:t>5、按要求填写隐患检查表，对存在的隐患提出整改方案，要求单位签字确认；</w:t>
      </w:r>
    </w:p>
    <w:p>
      <w:pPr>
        <w:spacing w:line="460" w:lineRule="exact"/>
        <w:ind w:firstLine="513" w:firstLineChars="214"/>
        <w:rPr>
          <w:rFonts w:ascii="宋体" w:hAnsi="宋体"/>
          <w:sz w:val="24"/>
        </w:rPr>
      </w:pPr>
      <w:r>
        <w:rPr>
          <w:rFonts w:hint="eastAsia" w:ascii="宋体" w:hAnsi="宋体"/>
          <w:sz w:val="24"/>
        </w:rPr>
        <w:t>6、督促指导隐患单位进行隐患整改并编制“隐患整改报告”；</w:t>
      </w:r>
    </w:p>
    <w:p>
      <w:pPr>
        <w:spacing w:line="460" w:lineRule="exact"/>
        <w:ind w:firstLine="513" w:firstLineChars="214"/>
        <w:rPr>
          <w:rFonts w:ascii="宋体" w:hAnsi="宋体"/>
          <w:sz w:val="24"/>
        </w:rPr>
      </w:pPr>
      <w:r>
        <w:rPr>
          <w:rFonts w:hint="eastAsia" w:ascii="宋体" w:hAnsi="宋体"/>
          <w:sz w:val="24"/>
        </w:rPr>
        <w:t>7、接受上级委托对单位上报的隐患整改情况进行审核，完成隐患的闭环清零管理；</w:t>
      </w:r>
    </w:p>
    <w:p>
      <w:pPr>
        <w:autoSpaceDE w:val="0"/>
        <w:autoSpaceDN w:val="0"/>
        <w:snapToGrid w:val="0"/>
        <w:spacing w:line="360" w:lineRule="auto"/>
        <w:ind w:firstLine="480" w:firstLineChars="200"/>
        <w:rPr>
          <w:rFonts w:ascii="宋体" w:hAnsi="宋体"/>
          <w:sz w:val="24"/>
        </w:rPr>
      </w:pPr>
      <w:r>
        <w:rPr>
          <w:rFonts w:hint="eastAsia" w:ascii="宋体" w:hAnsi="宋体"/>
          <w:sz w:val="24"/>
        </w:rPr>
        <w:t>8、在服务期间，应当恪守职业道德，遵循诚实守信的原则，不得泄露企业的技术和商业秘密；并对其承担安全检查的真实性、客观性、科学性和准确性负责，不得提供违反事实和法律的服务；服从安排，及时完成日常工作；</w:t>
      </w:r>
    </w:p>
    <w:p>
      <w:pPr>
        <w:autoSpaceDE w:val="0"/>
        <w:autoSpaceDN w:val="0"/>
        <w:snapToGrid w:val="0"/>
        <w:spacing w:line="360" w:lineRule="auto"/>
        <w:ind w:firstLine="480" w:firstLineChars="200"/>
        <w:rPr>
          <w:rFonts w:ascii="宋体" w:hAnsi="宋体"/>
          <w:sz w:val="24"/>
        </w:rPr>
      </w:pPr>
      <w:r>
        <w:rPr>
          <w:rFonts w:hint="eastAsia" w:ascii="宋体" w:hAnsi="宋体"/>
          <w:sz w:val="24"/>
        </w:rPr>
        <w:t>9、检查期间，应严格遵守企业的各项规章制度，进入现场应按规定穿戴防护用品，以确保自身安全。检查过程中全程佩带执法记录仪记录现场状况；</w:t>
      </w:r>
    </w:p>
    <w:p>
      <w:pPr>
        <w:autoSpaceDE w:val="0"/>
        <w:autoSpaceDN w:val="0"/>
        <w:snapToGrid w:val="0"/>
        <w:spacing w:line="360" w:lineRule="auto"/>
        <w:ind w:firstLine="480" w:firstLineChars="200"/>
        <w:rPr>
          <w:rFonts w:ascii="宋体" w:hAnsi="宋体"/>
          <w:sz w:val="24"/>
        </w:rPr>
      </w:pPr>
      <w:r>
        <w:rPr>
          <w:rFonts w:hint="eastAsia" w:ascii="宋体" w:hAnsi="宋体"/>
          <w:sz w:val="24"/>
        </w:rPr>
        <w:t>10、开展安全检查时，应向企业详细讲解安全隐患，由因可能导致的安全事故，对如何降低风险、避免事故发生为检查的最终目的；</w:t>
      </w:r>
    </w:p>
    <w:p>
      <w:pPr>
        <w:autoSpaceDE w:val="0"/>
        <w:autoSpaceDN w:val="0"/>
        <w:snapToGrid w:val="0"/>
        <w:spacing w:line="360" w:lineRule="auto"/>
        <w:ind w:firstLine="480" w:firstLineChars="200"/>
        <w:rPr>
          <w:rFonts w:ascii="宋体" w:hAnsi="宋体"/>
          <w:sz w:val="24"/>
        </w:rPr>
      </w:pPr>
      <w:r>
        <w:rPr>
          <w:rFonts w:hint="eastAsia" w:ascii="宋体" w:hAnsi="宋体"/>
          <w:sz w:val="24"/>
        </w:rPr>
        <w:t>11、及时总结安全检查的工作情况、存在的问题和取得的效果，督促落实问题整改形成工作闭环管理；</w:t>
      </w:r>
    </w:p>
    <w:p>
      <w:pPr>
        <w:autoSpaceDE w:val="0"/>
        <w:autoSpaceDN w:val="0"/>
        <w:snapToGrid w:val="0"/>
        <w:spacing w:line="360" w:lineRule="auto"/>
        <w:ind w:firstLine="480" w:firstLineChars="200"/>
        <w:rPr>
          <w:rFonts w:ascii="宋体" w:hAnsi="宋体"/>
          <w:sz w:val="24"/>
        </w:rPr>
      </w:pPr>
      <w:r>
        <w:rPr>
          <w:rFonts w:hint="eastAsia" w:ascii="宋体" w:hAnsi="宋体"/>
          <w:sz w:val="24"/>
        </w:rPr>
        <w:t>12、及时完成椒江区应急管理局交办的其它监督管理和技术服务工作；</w:t>
      </w:r>
    </w:p>
    <w:p>
      <w:pPr>
        <w:autoSpaceDE w:val="0"/>
        <w:autoSpaceDN w:val="0"/>
        <w:snapToGrid w:val="0"/>
        <w:spacing w:line="360" w:lineRule="auto"/>
        <w:rPr>
          <w:rFonts w:ascii="宋体" w:hAnsi="宋体"/>
          <w:b/>
          <w:bCs/>
          <w:sz w:val="24"/>
        </w:rPr>
      </w:pPr>
      <w:r>
        <w:rPr>
          <w:rFonts w:hint="eastAsia" w:ascii="宋体" w:hAnsi="宋体"/>
          <w:b/>
          <w:bCs/>
          <w:sz w:val="24"/>
        </w:rPr>
        <w:t>（二）服务要求</w:t>
      </w:r>
    </w:p>
    <w:p>
      <w:pPr>
        <w:autoSpaceDE w:val="0"/>
        <w:autoSpaceDN w:val="0"/>
        <w:snapToGrid w:val="0"/>
        <w:spacing w:line="360" w:lineRule="auto"/>
        <w:ind w:firstLine="480" w:firstLineChars="200"/>
        <w:rPr>
          <w:rFonts w:ascii="宋体" w:hAnsi="宋体"/>
          <w:sz w:val="24"/>
        </w:rPr>
      </w:pPr>
      <w:r>
        <w:rPr>
          <w:rFonts w:hint="eastAsia" w:ascii="宋体" w:hAnsi="宋体"/>
          <w:sz w:val="24"/>
        </w:rPr>
        <w:t>1、对各级应急部门下发的整改指令和检查发现的事故隐患，中标人应及时出具告知单并跟踪指导被检查单位整改，整改后形成闭合台账，相关告知单和台帐及时抄报上级主管单位，对检查发现存在重大安全隐患的，第一时间上报上级主管单位，并协助相关主管部门进行处理。每月形成安全检查台账和安全监管月报和项目分布图及企业信息表并于每月25日前上报上级主管单位，每季向上级主管单位提交一份安全生产和管理第三方机构检查专题报告。</w:t>
      </w:r>
    </w:p>
    <w:p>
      <w:pPr>
        <w:autoSpaceDE w:val="0"/>
        <w:autoSpaceDN w:val="0"/>
        <w:snapToGrid w:val="0"/>
        <w:spacing w:line="360" w:lineRule="auto"/>
        <w:ind w:firstLine="480" w:firstLineChars="200"/>
        <w:rPr>
          <w:rFonts w:ascii="宋体" w:hAnsi="宋体"/>
          <w:sz w:val="24"/>
        </w:rPr>
      </w:pPr>
      <w:r>
        <w:rPr>
          <w:rFonts w:hint="eastAsia" w:ascii="宋体" w:hAnsi="宋体"/>
          <w:sz w:val="24"/>
        </w:rPr>
        <w:t>如企业拒不整改的及时上报应急部门，如问题复杂超出中标人专业能力无法解决，需及时反馈信息给上级主管单位，同时向采购人说明。</w:t>
      </w:r>
    </w:p>
    <w:p>
      <w:pPr>
        <w:numPr>
          <w:ilvl w:val="0"/>
          <w:numId w:val="8"/>
        </w:numPr>
        <w:autoSpaceDE w:val="0"/>
        <w:autoSpaceDN w:val="0"/>
        <w:snapToGrid w:val="0"/>
        <w:spacing w:line="360" w:lineRule="auto"/>
        <w:ind w:firstLine="480" w:firstLineChars="200"/>
        <w:rPr>
          <w:rFonts w:ascii="宋体" w:hAnsi="宋体"/>
          <w:sz w:val="24"/>
        </w:rPr>
      </w:pPr>
      <w:r>
        <w:rPr>
          <w:rFonts w:hint="eastAsia" w:ascii="宋体" w:hAnsi="宋体"/>
          <w:sz w:val="24"/>
        </w:rPr>
        <w:t>在服务期间发生安全生产事故，按照四不放过的原则，指导企业完成事故处理；</w:t>
      </w:r>
    </w:p>
    <w:p>
      <w:pPr>
        <w:numPr>
          <w:ilvl w:val="0"/>
          <w:numId w:val="8"/>
        </w:numPr>
        <w:autoSpaceDE w:val="0"/>
        <w:autoSpaceDN w:val="0"/>
        <w:snapToGrid w:val="0"/>
        <w:spacing w:line="360" w:lineRule="auto"/>
        <w:ind w:firstLine="480" w:firstLineChars="200"/>
        <w:rPr>
          <w:rFonts w:ascii="宋体" w:hAnsi="宋体"/>
          <w:sz w:val="24"/>
        </w:rPr>
      </w:pPr>
      <w:r>
        <w:rPr>
          <w:rFonts w:hint="eastAsia" w:ascii="宋体" w:hAnsi="宋体"/>
          <w:sz w:val="24"/>
        </w:rPr>
        <w:t>保守企业的商业秘密。在企业指定专人陪同下，开展检查工作，包括但不仅限于调阅资料、现场拍照等涉及企业商业秘密的事项，不得外泄。</w:t>
      </w:r>
    </w:p>
    <w:p>
      <w:pPr>
        <w:numPr>
          <w:ilvl w:val="0"/>
          <w:numId w:val="8"/>
        </w:numPr>
        <w:autoSpaceDE w:val="0"/>
        <w:autoSpaceDN w:val="0"/>
        <w:snapToGrid w:val="0"/>
        <w:spacing w:line="360" w:lineRule="auto"/>
        <w:ind w:firstLine="480" w:firstLineChars="200"/>
        <w:rPr>
          <w:rFonts w:ascii="宋体" w:hAnsi="宋体"/>
          <w:sz w:val="24"/>
        </w:rPr>
      </w:pPr>
      <w:r>
        <w:rPr>
          <w:rFonts w:hint="eastAsia" w:ascii="宋体" w:hAnsi="宋体"/>
          <w:sz w:val="24"/>
        </w:rPr>
        <w:t>在检查服务中如发现重大安全隐患，应立即向采购人应急部门报告，并随时接受应急部门的督查。</w:t>
      </w:r>
    </w:p>
    <w:p>
      <w:pPr>
        <w:numPr>
          <w:ilvl w:val="0"/>
          <w:numId w:val="8"/>
        </w:numPr>
        <w:autoSpaceDE w:val="0"/>
        <w:autoSpaceDN w:val="0"/>
        <w:snapToGrid w:val="0"/>
        <w:spacing w:line="360" w:lineRule="auto"/>
        <w:ind w:firstLine="480" w:firstLineChars="200"/>
        <w:rPr>
          <w:rFonts w:ascii="宋体" w:hAnsi="宋体"/>
          <w:sz w:val="24"/>
        </w:rPr>
      </w:pPr>
      <w:r>
        <w:rPr>
          <w:rFonts w:hint="eastAsia" w:ascii="宋体" w:hAnsi="宋体"/>
          <w:sz w:val="24"/>
        </w:rPr>
        <w:t>采购人在相应服务区域有安全生产工作需要时，中标人应根据采购人需要，派员现场陪同配合检查。</w:t>
      </w:r>
    </w:p>
    <w:p>
      <w:pPr>
        <w:numPr>
          <w:ilvl w:val="0"/>
          <w:numId w:val="8"/>
        </w:numPr>
        <w:autoSpaceDE w:val="0"/>
        <w:autoSpaceDN w:val="0"/>
        <w:snapToGrid w:val="0"/>
        <w:spacing w:line="360" w:lineRule="auto"/>
        <w:ind w:firstLine="480" w:firstLineChars="200"/>
        <w:rPr>
          <w:rFonts w:ascii="宋体" w:hAnsi="宋体"/>
          <w:spacing w:val="12"/>
          <w:kern w:val="0"/>
          <w:sz w:val="24"/>
        </w:rPr>
      </w:pPr>
      <w:r>
        <w:rPr>
          <w:rFonts w:hint="eastAsia" w:ascii="宋体" w:hAnsi="宋体"/>
          <w:sz w:val="24"/>
        </w:rPr>
        <w:t>投标人须保证所提供技术服务符合国家有关规定。</w:t>
      </w:r>
    </w:p>
    <w:p>
      <w:pPr>
        <w:numPr>
          <w:ilvl w:val="0"/>
          <w:numId w:val="8"/>
        </w:numPr>
        <w:autoSpaceDE w:val="0"/>
        <w:autoSpaceDN w:val="0"/>
        <w:snapToGrid w:val="0"/>
        <w:spacing w:line="360" w:lineRule="auto"/>
        <w:ind w:firstLine="528" w:firstLineChars="200"/>
        <w:rPr>
          <w:sz w:val="24"/>
        </w:rPr>
      </w:pPr>
      <w:r>
        <w:rPr>
          <w:rFonts w:hint="eastAsia" w:ascii="宋体" w:hAnsi="宋体"/>
          <w:spacing w:val="12"/>
          <w:kern w:val="0"/>
          <w:sz w:val="24"/>
        </w:rPr>
        <w:t>项目结束需要向采购人交付全过程形成的记录、档案资料，相关服务的具体成效等。</w:t>
      </w:r>
    </w:p>
    <w:p>
      <w:pPr>
        <w:numPr>
          <w:ilvl w:val="0"/>
          <w:numId w:val="8"/>
        </w:numPr>
        <w:autoSpaceDE w:val="0"/>
        <w:autoSpaceDN w:val="0"/>
        <w:snapToGrid w:val="0"/>
        <w:spacing w:line="360" w:lineRule="auto"/>
        <w:ind w:firstLine="528" w:firstLineChars="200"/>
        <w:rPr>
          <w:sz w:val="24"/>
        </w:rPr>
      </w:pPr>
      <w:r>
        <w:rPr>
          <w:rFonts w:hint="eastAsia"/>
          <w:spacing w:val="12"/>
          <w:kern w:val="0"/>
          <w:sz w:val="24"/>
        </w:rPr>
        <w:t>工作时间要求：全部工作人员在工作日及工作时间内要求全部到岗，国家法定节假日及工作时间外的，应安排相关值班人员。</w:t>
      </w:r>
    </w:p>
    <w:p>
      <w:pPr>
        <w:pStyle w:val="14"/>
        <w:spacing w:line="360" w:lineRule="auto"/>
        <w:contextualSpacing/>
        <w:rPr>
          <w:rFonts w:ascii="宋体" w:hAnsi="宋体"/>
          <w:sz w:val="24"/>
        </w:rPr>
      </w:pPr>
      <w:r>
        <w:rPr>
          <w:rFonts w:hint="eastAsia" w:ascii="宋体" w:hAnsi="宋体"/>
          <w:b/>
          <w:bCs/>
          <w:sz w:val="24"/>
        </w:rPr>
        <w:t>（三）检查安排</w:t>
      </w:r>
    </w:p>
    <w:p>
      <w:pPr>
        <w:pStyle w:val="14"/>
        <w:spacing w:line="360" w:lineRule="auto"/>
        <w:ind w:firstLine="264"/>
        <w:contextualSpacing/>
        <w:rPr>
          <w:rFonts w:ascii="宋体" w:hAnsi="宋体"/>
          <w:sz w:val="24"/>
        </w:rPr>
      </w:pPr>
      <w:r>
        <w:rPr>
          <w:rFonts w:hint="eastAsia" w:ascii="宋体" w:hAnsi="宋体"/>
          <w:sz w:val="24"/>
        </w:rPr>
        <w:t>（1）现场检查结束后1周内，针对发现的问题向采购人提交书面整改技术指导方案。</w:t>
      </w:r>
    </w:p>
    <w:p>
      <w:pPr>
        <w:pStyle w:val="14"/>
        <w:spacing w:line="360" w:lineRule="auto"/>
        <w:ind w:firstLine="264"/>
        <w:contextualSpacing/>
        <w:rPr>
          <w:rFonts w:ascii="宋体" w:hAnsi="宋体"/>
          <w:sz w:val="24"/>
        </w:rPr>
      </w:pPr>
      <w:r>
        <w:rPr>
          <w:rFonts w:hint="eastAsia" w:ascii="宋体" w:hAnsi="宋体"/>
          <w:sz w:val="24"/>
        </w:rPr>
        <w:t>（2）针对检查出的问题，逐家复查。直至隐患整改完毕，企业拒不整改，须及时上报应急部门。</w:t>
      </w:r>
    </w:p>
    <w:p>
      <w:pPr>
        <w:pStyle w:val="14"/>
        <w:spacing w:line="360" w:lineRule="auto"/>
        <w:ind w:firstLine="264"/>
        <w:contextualSpacing/>
        <w:rPr>
          <w:rFonts w:ascii="宋体" w:hAnsi="宋体"/>
          <w:sz w:val="24"/>
        </w:rPr>
      </w:pPr>
      <w:r>
        <w:rPr>
          <w:rFonts w:hint="eastAsia" w:ascii="宋体" w:hAnsi="宋体"/>
          <w:sz w:val="24"/>
        </w:rPr>
        <w:t>（3）本次服务项目结束前2周内，提交被检企业综合检查报告清单；并对本次综合检查进行总结报告，对存在的重点问题进行汇总。</w:t>
      </w:r>
    </w:p>
    <w:p>
      <w:pPr>
        <w:spacing w:line="360" w:lineRule="auto"/>
        <w:ind w:firstLine="482" w:firstLineChars="200"/>
        <w:rPr>
          <w:rFonts w:ascii="宋体" w:hAnsi="宋体"/>
          <w:sz w:val="24"/>
        </w:rPr>
      </w:pPr>
      <w:r>
        <w:rPr>
          <w:rFonts w:hint="eastAsia" w:ascii="宋体" w:hAnsi="宋体"/>
          <w:b/>
          <w:sz w:val="24"/>
        </w:rPr>
        <w:t>五、办公场所、车辆以及</w:t>
      </w:r>
      <w:r>
        <w:rPr>
          <w:rFonts w:hint="eastAsia" w:ascii="宋体" w:hAnsi="宋体"/>
          <w:b/>
          <w:bCs/>
          <w:sz w:val="24"/>
        </w:rPr>
        <w:t>人</w:t>
      </w:r>
      <w:r>
        <w:rPr>
          <w:rFonts w:hint="eastAsia" w:ascii="宋体" w:hAnsi="宋体"/>
          <w:b/>
          <w:sz w:val="24"/>
        </w:rPr>
        <w:t>员</w:t>
      </w:r>
      <w:r>
        <w:rPr>
          <w:rFonts w:hint="eastAsia" w:ascii="宋体" w:hAnsi="宋体"/>
          <w:b/>
          <w:bCs/>
          <w:sz w:val="24"/>
        </w:rPr>
        <w:t>要求</w:t>
      </w:r>
    </w:p>
    <w:p>
      <w:pPr>
        <w:autoSpaceDE w:val="0"/>
        <w:autoSpaceDN w:val="0"/>
        <w:snapToGrid w:val="0"/>
        <w:spacing w:line="360" w:lineRule="auto"/>
        <w:ind w:firstLine="482" w:firstLineChars="200"/>
        <w:rPr>
          <w:rFonts w:ascii="宋体" w:hAnsi="宋体"/>
          <w:sz w:val="24"/>
        </w:rPr>
      </w:pPr>
      <w:r>
        <w:rPr>
          <w:rFonts w:hint="eastAsia" w:ascii="宋体" w:hAnsi="宋体"/>
          <w:b/>
          <w:bCs/>
          <w:sz w:val="24"/>
        </w:rPr>
        <w:t>1、办公场所要求：</w:t>
      </w:r>
    </w:p>
    <w:p>
      <w:pPr>
        <w:autoSpaceDE w:val="0"/>
        <w:autoSpaceDN w:val="0"/>
        <w:snapToGrid w:val="0"/>
        <w:spacing w:line="360" w:lineRule="auto"/>
        <w:ind w:firstLine="480" w:firstLineChars="200"/>
        <w:rPr>
          <w:rFonts w:ascii="宋体" w:hAnsi="宋体"/>
          <w:b/>
          <w:bCs/>
          <w:sz w:val="24"/>
        </w:rPr>
      </w:pPr>
      <w:r>
        <w:rPr>
          <w:rFonts w:hint="eastAsia" w:ascii="宋体" w:hAnsi="宋体"/>
          <w:sz w:val="24"/>
        </w:rPr>
        <w:t>▲</w:t>
      </w:r>
      <w:r>
        <w:rPr>
          <w:rFonts w:hint="eastAsia" w:ascii="宋体" w:hAnsi="宋体"/>
          <w:b/>
          <w:bCs/>
          <w:sz w:val="24"/>
        </w:rPr>
        <w:t>安全服务机构在本地（台州市椒江区）应有常驻服务机构和固定的办公场所，或承诺中标后签订合同前（一周内）在椒江区应急管理局集中办公。</w:t>
      </w:r>
    </w:p>
    <w:p>
      <w:pPr>
        <w:autoSpaceDE w:val="0"/>
        <w:autoSpaceDN w:val="0"/>
        <w:snapToGrid w:val="0"/>
        <w:spacing w:line="360" w:lineRule="auto"/>
        <w:ind w:firstLine="720" w:firstLineChars="300"/>
        <w:rPr>
          <w:rFonts w:ascii="宋体" w:hAnsi="宋体"/>
          <w:sz w:val="24"/>
        </w:rPr>
      </w:pPr>
      <w:r>
        <w:rPr>
          <w:rFonts w:hint="eastAsia" w:ascii="宋体" w:hAnsi="宋体"/>
          <w:sz w:val="24"/>
        </w:rPr>
        <w:t>安全服务机构必须拥有台州市本地化技术服务力量，并提供24小时技术服务联系人、联系电话，随时响应。</w:t>
      </w:r>
    </w:p>
    <w:p>
      <w:pPr>
        <w:numPr>
          <w:ilvl w:val="0"/>
          <w:numId w:val="9"/>
        </w:numPr>
        <w:autoSpaceDE w:val="0"/>
        <w:autoSpaceDN w:val="0"/>
        <w:snapToGrid w:val="0"/>
        <w:spacing w:line="360" w:lineRule="auto"/>
        <w:ind w:firstLine="482" w:firstLineChars="200"/>
        <w:rPr>
          <w:rFonts w:ascii="宋体" w:hAnsi="宋体"/>
          <w:b/>
          <w:bCs/>
          <w:sz w:val="24"/>
        </w:rPr>
      </w:pPr>
      <w:r>
        <w:rPr>
          <w:rFonts w:hint="eastAsia" w:ascii="宋体" w:hAnsi="宋体"/>
          <w:b/>
          <w:bCs/>
          <w:sz w:val="24"/>
        </w:rPr>
        <w:t>车辆等设备要求：</w:t>
      </w:r>
    </w:p>
    <w:p>
      <w:pPr>
        <w:autoSpaceDE w:val="0"/>
        <w:autoSpaceDN w:val="0"/>
        <w:snapToGrid w:val="0"/>
        <w:spacing w:line="360" w:lineRule="auto"/>
        <w:ind w:firstLine="480" w:firstLineChars="200"/>
        <w:rPr>
          <w:rFonts w:ascii="宋体" w:hAnsi="宋体"/>
          <w:sz w:val="24"/>
        </w:rPr>
      </w:pPr>
      <w:r>
        <w:rPr>
          <w:rFonts w:hint="eastAsia" w:ascii="宋体" w:hAnsi="宋体"/>
          <w:sz w:val="24"/>
        </w:rPr>
        <w:t>▲针对本项目配备必要的办公设备、专业安全检测设备和车辆（至少1辆）。</w:t>
      </w:r>
      <w:r>
        <w:rPr>
          <w:rFonts w:hint="eastAsia" w:ascii="宋体" w:hAnsi="宋体"/>
          <w:b/>
          <w:bCs/>
          <w:sz w:val="24"/>
        </w:rPr>
        <w:t>（以上车辆必须为公司自有产权）</w:t>
      </w:r>
    </w:p>
    <w:p>
      <w:pPr>
        <w:autoSpaceDE w:val="0"/>
        <w:autoSpaceDN w:val="0"/>
        <w:snapToGrid w:val="0"/>
        <w:spacing w:line="360" w:lineRule="auto"/>
        <w:ind w:firstLine="482" w:firstLineChars="200"/>
        <w:rPr>
          <w:rFonts w:ascii="宋体" w:hAnsi="宋体"/>
          <w:b/>
          <w:bCs/>
          <w:sz w:val="24"/>
        </w:rPr>
      </w:pPr>
      <w:r>
        <w:rPr>
          <w:rFonts w:hint="eastAsia" w:ascii="宋体" w:hAnsi="宋体"/>
          <w:b/>
          <w:bCs/>
          <w:sz w:val="24"/>
        </w:rPr>
        <w:t>3、人员要求：</w:t>
      </w:r>
    </w:p>
    <w:p>
      <w:pPr>
        <w:autoSpaceDE w:val="0"/>
        <w:autoSpaceDN w:val="0"/>
        <w:snapToGrid w:val="0"/>
        <w:spacing w:line="360" w:lineRule="auto"/>
        <w:ind w:firstLine="480" w:firstLineChars="200"/>
        <w:rPr>
          <w:rFonts w:ascii="宋体" w:hAnsi="宋体"/>
          <w:sz w:val="24"/>
        </w:rPr>
      </w:pPr>
      <w:r>
        <w:rPr>
          <w:rFonts w:hint="eastAsia" w:ascii="宋体" w:hAnsi="宋体"/>
          <w:sz w:val="24"/>
        </w:rPr>
        <w:t>（1）</w:t>
      </w:r>
      <w:r>
        <w:rPr>
          <w:rFonts w:hint="eastAsia" w:ascii="宋体" w:hAnsi="宋体"/>
          <w:b/>
          <w:bCs/>
          <w:sz w:val="24"/>
        </w:rPr>
        <w:t>▲安全服务机构须针对本项目配备项目技术负责人1名，具备注册安全工程师或安全工程专业中级工程师（及）以上技术职称。</w:t>
      </w:r>
    </w:p>
    <w:p>
      <w:pPr>
        <w:spacing w:line="360" w:lineRule="auto"/>
        <w:ind w:firstLine="480" w:firstLineChars="200"/>
        <w:rPr>
          <w:rFonts w:ascii="宋体" w:hAnsi="宋体"/>
          <w:b/>
          <w:bCs/>
          <w:sz w:val="24"/>
        </w:rPr>
      </w:pPr>
      <w:r>
        <w:rPr>
          <w:rFonts w:hint="eastAsia" w:ascii="宋体" w:hAnsi="宋体"/>
          <w:sz w:val="24"/>
        </w:rPr>
        <w:t>（2）</w:t>
      </w:r>
      <w:r>
        <w:rPr>
          <w:rFonts w:hint="eastAsia" w:ascii="宋体" w:hAnsi="宋体"/>
          <w:b/>
          <w:bCs/>
          <w:sz w:val="24"/>
        </w:rPr>
        <w:t>▲安全服务机构需配备常驻技术人员（含项目负责人）3名及以上，要求大专及以上学历。</w:t>
      </w:r>
    </w:p>
    <w:p>
      <w:pPr>
        <w:spacing w:line="360" w:lineRule="auto"/>
        <w:ind w:firstLine="482" w:firstLineChars="200"/>
        <w:rPr>
          <w:rFonts w:ascii="宋体" w:hAnsi="宋体"/>
          <w:sz w:val="24"/>
        </w:rPr>
      </w:pPr>
      <w:r>
        <w:rPr>
          <w:rFonts w:hint="eastAsia" w:ascii="宋体" w:hAnsi="宋体"/>
          <w:b/>
          <w:bCs/>
          <w:sz w:val="24"/>
        </w:rPr>
        <w:t>（3）人员安排：至少派遣3名安全生产领域专业人员（注册安全工程师人员至少2名（含项目负责人），安全生产领域专业人员至少1名）常驻椒江区，</w:t>
      </w:r>
      <w:r>
        <w:rPr>
          <w:rFonts w:hint="eastAsia" w:ascii="宋体" w:hAnsi="宋体"/>
          <w:sz w:val="24"/>
        </w:rPr>
        <w:t>为我区提供日常的安全生产巡查监管、咨询培训服务、应对突发情况等服务；其余专业技术人员至少派遣1名负责日常综合性服务，配合工作。</w:t>
      </w:r>
    </w:p>
    <w:p>
      <w:pPr>
        <w:spacing w:line="360" w:lineRule="auto"/>
        <w:ind w:firstLine="480" w:firstLineChars="200"/>
        <w:rPr>
          <w:rFonts w:ascii="宋体" w:hAnsi="宋体"/>
          <w:sz w:val="24"/>
        </w:rPr>
      </w:pPr>
      <w:r>
        <w:rPr>
          <w:rFonts w:hint="eastAsia" w:ascii="宋体" w:hAnsi="宋体"/>
          <w:sz w:val="24"/>
        </w:rPr>
        <w:t>（4）▲以上承诺派遣人员中至少提供3名人员的社保缴纳证明材料。</w:t>
      </w:r>
    </w:p>
    <w:p>
      <w:pPr>
        <w:spacing w:line="360" w:lineRule="auto"/>
        <w:ind w:firstLine="480" w:firstLineChars="200"/>
        <w:rPr>
          <w:rFonts w:ascii="宋体" w:hAnsi="宋体"/>
          <w:sz w:val="24"/>
        </w:rPr>
      </w:pPr>
      <w:r>
        <w:rPr>
          <w:rFonts w:hint="eastAsia" w:ascii="宋体" w:hAnsi="宋体"/>
          <w:sz w:val="24"/>
        </w:rPr>
        <w:t>要求以上技术人员能熟练掌握开展安全检查的方法及知识，具有良好的组织及沟通交流能力；针对本项目组建危险化学品、工艺、电气、涉爆、机械、安全管理等各专业技术人员工作小组，在服务周期内根据企业生产实际情况确保各专业全覆盖，以确保安全技术服务工作质量。</w:t>
      </w:r>
    </w:p>
    <w:p>
      <w:pPr>
        <w:spacing w:line="360" w:lineRule="auto"/>
        <w:ind w:firstLine="480" w:firstLineChars="200"/>
        <w:rPr>
          <w:rFonts w:ascii="宋体" w:hAnsi="宋体"/>
          <w:sz w:val="24"/>
        </w:rPr>
      </w:pPr>
      <w:r>
        <w:rPr>
          <w:rFonts w:hint="eastAsia" w:ascii="宋体" w:hAnsi="宋体"/>
          <w:sz w:val="24"/>
        </w:rPr>
        <w:t>4、安全服务机构应有健全的内部管理制度、服务程序、服务档案、质量控制体系、服务人员档案等。</w:t>
      </w:r>
    </w:p>
    <w:p>
      <w:pPr>
        <w:autoSpaceDE w:val="0"/>
        <w:autoSpaceDN w:val="0"/>
        <w:snapToGrid w:val="0"/>
        <w:spacing w:line="360" w:lineRule="auto"/>
        <w:ind w:firstLine="482" w:firstLineChars="200"/>
        <w:rPr>
          <w:rFonts w:ascii="宋体" w:hAnsi="宋体"/>
          <w:b/>
          <w:bCs/>
          <w:sz w:val="24"/>
        </w:rPr>
      </w:pPr>
      <w:r>
        <w:rPr>
          <w:rFonts w:hint="eastAsia" w:ascii="宋体" w:hAnsi="宋体"/>
          <w:b/>
          <w:bCs/>
          <w:sz w:val="24"/>
        </w:rPr>
        <w:t>六、服务期限、区域、方式及工作费用</w:t>
      </w:r>
    </w:p>
    <w:p>
      <w:pPr>
        <w:autoSpaceDE w:val="0"/>
        <w:autoSpaceDN w:val="0"/>
        <w:snapToGrid w:val="0"/>
        <w:spacing w:line="360" w:lineRule="auto"/>
        <w:ind w:firstLine="482" w:firstLineChars="200"/>
        <w:rPr>
          <w:rFonts w:ascii="宋体" w:hAnsi="宋体"/>
          <w:bCs/>
          <w:sz w:val="24"/>
        </w:rPr>
      </w:pPr>
      <w:r>
        <w:rPr>
          <w:rFonts w:hint="eastAsia" w:ascii="宋体" w:hAnsi="宋体"/>
          <w:b/>
          <w:bCs/>
          <w:sz w:val="24"/>
        </w:rPr>
        <w:t>1、服务期限：自合同签订之日起一年</w:t>
      </w:r>
      <w:r>
        <w:rPr>
          <w:rFonts w:hint="eastAsia" w:ascii="宋体" w:hAnsi="宋体"/>
          <w:sz w:val="24"/>
        </w:rPr>
        <w:t>，合同期满后，妥善处理退场移交等工作，如果出现劳资纠纷，责任由中标单位承担。</w:t>
      </w:r>
    </w:p>
    <w:p>
      <w:pPr>
        <w:spacing w:line="360" w:lineRule="auto"/>
        <w:ind w:right="-21" w:firstLine="420"/>
        <w:rPr>
          <w:rFonts w:ascii="宋体" w:hAnsi="宋体"/>
          <w:sz w:val="24"/>
        </w:rPr>
      </w:pPr>
      <w:r>
        <w:rPr>
          <w:rFonts w:hint="eastAsia" w:ascii="宋体" w:hAnsi="宋体"/>
          <w:sz w:val="24"/>
        </w:rPr>
        <w:t>在合同约定的服务期内，如中标人提供的服务无法满足采购人的需要或未达到投标承诺的标准，经采购人指出后仍未有改进的，采购人可单方解除合同，由此造成甲方的一切损失均由中标人承担。</w:t>
      </w:r>
    </w:p>
    <w:p>
      <w:pPr>
        <w:spacing w:line="360" w:lineRule="auto"/>
        <w:ind w:right="-21" w:firstLine="420"/>
        <w:rPr>
          <w:rFonts w:ascii="宋体" w:hAnsi="宋体"/>
          <w:b/>
          <w:sz w:val="24"/>
          <w:u w:val="single"/>
        </w:rPr>
      </w:pPr>
      <w:r>
        <w:rPr>
          <w:rFonts w:hint="eastAsia" w:ascii="宋体" w:hAnsi="宋体"/>
          <w:b/>
          <w:sz w:val="24"/>
        </w:rPr>
        <w:t>2、实施区域： 椒江区范围内</w:t>
      </w:r>
    </w:p>
    <w:p>
      <w:pPr>
        <w:spacing w:line="360" w:lineRule="auto"/>
        <w:ind w:right="-21" w:firstLine="420"/>
        <w:rPr>
          <w:rFonts w:ascii="宋体" w:hAnsi="宋体"/>
          <w:sz w:val="24"/>
        </w:rPr>
      </w:pPr>
      <w:r>
        <w:rPr>
          <w:rFonts w:hint="eastAsia" w:ascii="宋体" w:hAnsi="宋体"/>
          <w:sz w:val="24"/>
        </w:rPr>
        <w:t>投标人需要自行了解相关企业实际情况，获取与本项目实施有关的资料，所需的费用和风险责任由投标人自行承担。</w:t>
      </w:r>
    </w:p>
    <w:p>
      <w:pPr>
        <w:pStyle w:val="16"/>
        <w:numPr>
          <w:ilvl w:val="0"/>
          <w:numId w:val="9"/>
        </w:numPr>
        <w:ind w:right="-252" w:firstLine="480"/>
        <w:rPr>
          <w:sz w:val="24"/>
        </w:rPr>
      </w:pPr>
      <w:r>
        <w:rPr>
          <w:rFonts w:hint="eastAsia"/>
          <w:sz w:val="24"/>
        </w:rPr>
        <w:t>服务方式：中标单位应采取“一线工作法”，到企业一线开展安全生产服务指导工作。不得随意要求企业报数据、交材料，要到企业面对面指导，要让企业不跑腿。</w:t>
      </w:r>
    </w:p>
    <w:p>
      <w:pPr>
        <w:pStyle w:val="16"/>
        <w:numPr>
          <w:ilvl w:val="0"/>
          <w:numId w:val="9"/>
        </w:numPr>
        <w:ind w:left="0" w:right="-252" w:firstLine="480"/>
        <w:rPr>
          <w:sz w:val="24"/>
        </w:rPr>
      </w:pPr>
      <w:r>
        <w:rPr>
          <w:rFonts w:hint="eastAsia"/>
          <w:sz w:val="24"/>
        </w:rPr>
        <w:t>工作费用：中标单位办公场所由招标单位提供，中标单位办公人员、后勤、交通等保障以及完成所有工作所涉及的全部相关费用自行解决；中标单位应在招标工作人员带领下或经招标人许可，穿戴由招标人统一制作的标识（包括但不限于简装、袖标、胸牌等证件）。</w:t>
      </w:r>
    </w:p>
    <w:p>
      <w:pPr>
        <w:autoSpaceDE w:val="0"/>
        <w:autoSpaceDN w:val="0"/>
        <w:snapToGrid w:val="0"/>
        <w:spacing w:line="360" w:lineRule="auto"/>
        <w:ind w:firstLine="482" w:firstLineChars="200"/>
        <w:rPr>
          <w:rFonts w:ascii="宋体" w:hAnsi="宋体"/>
          <w:b/>
          <w:bCs/>
          <w:sz w:val="24"/>
        </w:rPr>
      </w:pPr>
      <w:r>
        <w:rPr>
          <w:rFonts w:hint="eastAsia" w:ascii="宋体" w:hAnsi="宋体"/>
          <w:b/>
          <w:bCs/>
          <w:sz w:val="24"/>
        </w:rPr>
        <w:t>七、考评标准</w:t>
      </w:r>
    </w:p>
    <w:p>
      <w:pPr>
        <w:spacing w:line="360" w:lineRule="auto"/>
        <w:ind w:firstLine="470"/>
        <w:rPr>
          <w:rFonts w:ascii="宋体" w:hAnsi="宋体"/>
          <w:b/>
          <w:bCs/>
          <w:sz w:val="24"/>
        </w:rPr>
      </w:pPr>
      <w:r>
        <w:rPr>
          <w:rFonts w:hint="eastAsia" w:ascii="宋体" w:hAnsi="宋体"/>
          <w:b/>
          <w:bCs/>
          <w:sz w:val="24"/>
          <w:shd w:val="clear" w:color="auto" w:fill="FEFEFE"/>
        </w:rPr>
        <w:t>根据实际任务完成情况，每季度对安全中介机构实际开展安全技术服务情况进行监督和考评，综合被服务企业及相关部门的意见进行考核，以工作量、服务质量及实际服务效果相结合的方式进行考评。</w:t>
      </w:r>
    </w:p>
    <w:p>
      <w:pPr>
        <w:pStyle w:val="13"/>
        <w:numPr>
          <w:ilvl w:val="0"/>
          <w:numId w:val="10"/>
        </w:numPr>
        <w:spacing w:line="360" w:lineRule="auto"/>
        <w:ind w:firstLine="482" w:firstLineChars="200"/>
        <w:outlineLvl w:val="0"/>
        <w:rPr>
          <w:rFonts w:ascii="宋体" w:hAnsi="宋体"/>
          <w:b/>
        </w:rPr>
      </w:pPr>
      <w:r>
        <w:rPr>
          <w:rFonts w:hint="eastAsia" w:ascii="宋体" w:hAnsi="宋体"/>
          <w:b/>
        </w:rPr>
        <w:t>考核方式</w:t>
      </w:r>
    </w:p>
    <w:p>
      <w:pPr>
        <w:pStyle w:val="13"/>
        <w:spacing w:line="360" w:lineRule="auto"/>
        <w:ind w:firstLine="482" w:firstLineChars="200"/>
        <w:outlineLvl w:val="0"/>
        <w:rPr>
          <w:rFonts w:ascii="宋体" w:hAnsi="宋体"/>
        </w:rPr>
      </w:pPr>
      <w:r>
        <w:rPr>
          <w:rFonts w:hint="eastAsia" w:ascii="宋体" w:hAnsi="宋体"/>
          <w:b/>
        </w:rPr>
        <w:t>1、工作考核内容：</w:t>
      </w:r>
      <w:r>
        <w:rPr>
          <w:rFonts w:hint="eastAsia" w:ascii="宋体" w:hAnsi="宋体"/>
        </w:rPr>
        <w:t>（1）未按规定开展相关工作或完成工作要求的，每发现1次扣2分；（2）采购方不定期考察或抽查安全服务机构的人员到岗情况，每发现一次人员缺岗的扣2分；（3）技术服务人员资质不符或服务时间未达到规定时间的，每次扣2分；（4）服务开展前未编制并提交服务方案和计划的，每次扣2分；（5）未按服务方案和计划开展服务的，每次扣2分；（6）未经同意变更技术服务人员的，每次扣3分；（7）服务机构对隐患查找不细、不实、整改措施不具针对性、遗漏重大事故隐患的每起扣2分；（8）上级部门组织的各类安全检查或在平安建设暗访暗查中，发现存在各类安全生产违法违规行为每项扣1分，服务机构未及时发现并落实整改的扣2分；（9）存在安全管理走过场、敷衍了事的行为每发现一起扣2分；（10）其他情形具体扣分标准由业主方视情况而定，以上考核细则最终解释权归业主方所有。</w:t>
      </w:r>
    </w:p>
    <w:p>
      <w:pPr>
        <w:pStyle w:val="13"/>
        <w:spacing w:line="360" w:lineRule="auto"/>
        <w:ind w:firstLine="482" w:firstLineChars="200"/>
        <w:outlineLvl w:val="0"/>
        <w:rPr>
          <w:rFonts w:ascii="宋体" w:hAnsi="宋体"/>
        </w:rPr>
      </w:pPr>
      <w:r>
        <w:rPr>
          <w:rFonts w:hint="eastAsia" w:ascii="宋体" w:hAnsi="宋体"/>
          <w:b/>
        </w:rPr>
        <w:t>2、绩效考核内容：</w:t>
      </w:r>
      <w:r>
        <w:rPr>
          <w:rFonts w:hint="eastAsia" w:ascii="宋体" w:hAnsi="宋体"/>
        </w:rPr>
        <w:t>（1）企业发生因中标方未按要求履行工作职责而造成的生产安全事故的，每次扣5分；（2）企业发生因中标方未按要求履行工作职责而造成的死亡事故的，每人次扣10分；（3）企业发生因中标方未按要求履行工作职责，造成较大不良社会影响的其他事故，每次扣20分，对中标单位追究责任，情节严重的，可加重处罚，具体处罚措施视情况而定；（4）企业发生因中标方未按要求履行工作职责而造成业主被省市检查通报，或导致业主扣分的，每次扣10分，对中标单位追究责任，情节严重的，可加重处罚，具体处罚措施视情况而定；（5）其他情形具体扣分标准由业主方视情况而定，以上考核细则最终解释权归业主方所有。</w:t>
      </w:r>
    </w:p>
    <w:p>
      <w:pPr>
        <w:pStyle w:val="13"/>
        <w:spacing w:line="360" w:lineRule="auto"/>
        <w:ind w:firstLine="480" w:firstLineChars="200"/>
        <w:outlineLvl w:val="0"/>
        <w:rPr>
          <w:rFonts w:ascii="宋体" w:hAnsi="宋体"/>
        </w:rPr>
      </w:pPr>
      <w:r>
        <w:rPr>
          <w:rFonts w:hint="eastAsia" w:ascii="宋体" w:hAnsi="宋体"/>
        </w:rPr>
        <w:t>3、工作人员检查时采取不正当手段获取利益、借机推销产品或服务、收受贿赂及其他经济违法行为的，经查证属实的，工作人员立即辞退服务机构取消当年评优资格，并提交纪检公安部门查处；</w:t>
      </w:r>
    </w:p>
    <w:p>
      <w:pPr>
        <w:pStyle w:val="13"/>
        <w:spacing w:line="360" w:lineRule="auto"/>
        <w:ind w:firstLine="480" w:firstLineChars="200"/>
        <w:outlineLvl w:val="0"/>
        <w:rPr>
          <w:rFonts w:ascii="宋体" w:hAnsi="宋体"/>
        </w:rPr>
      </w:pPr>
      <w:r>
        <w:rPr>
          <w:rFonts w:hint="eastAsia" w:ascii="宋体" w:hAnsi="宋体"/>
        </w:rPr>
        <w:t>4、服务机构成绩突出，全年未发生安全生产事故、有创新举措和工作亮点被市级以上部门通报表扬的每次加5分，并视情况对中标企业进行适度奖励；</w:t>
      </w:r>
    </w:p>
    <w:p>
      <w:pPr>
        <w:pStyle w:val="13"/>
        <w:spacing w:line="360" w:lineRule="auto"/>
        <w:ind w:firstLine="480" w:firstLineChars="200"/>
        <w:outlineLvl w:val="0"/>
        <w:rPr>
          <w:rFonts w:ascii="宋体" w:hAnsi="宋体"/>
        </w:rPr>
      </w:pPr>
      <w:r>
        <w:rPr>
          <w:rFonts w:hint="eastAsia" w:ascii="宋体" w:hAnsi="宋体"/>
        </w:rPr>
        <w:t>5、实行A、B、C、D四个等级进行划分，其中：A级（90分以上）为优秀；B级（75～89分）为良好；C级（60～74分）为一般；D级（50～59分）为差，直接列入“黑名单”，评分鉴定由应急部门选定，每季度考核评定一次。</w:t>
      </w:r>
    </w:p>
    <w:p>
      <w:pPr>
        <w:pStyle w:val="13"/>
        <w:spacing w:line="360" w:lineRule="auto"/>
        <w:ind w:firstLine="480" w:firstLineChars="200"/>
        <w:outlineLvl w:val="0"/>
        <w:rPr>
          <w:rFonts w:ascii="宋体" w:hAnsi="宋体"/>
        </w:rPr>
      </w:pPr>
      <w:r>
        <w:rPr>
          <w:rFonts w:hint="eastAsia" w:ascii="宋体" w:hAnsi="宋体"/>
        </w:rPr>
        <w:t>6、等级分级管理：</w:t>
      </w:r>
    </w:p>
    <w:p>
      <w:pPr>
        <w:pStyle w:val="13"/>
        <w:spacing w:line="360" w:lineRule="auto"/>
        <w:ind w:firstLine="480" w:firstLineChars="200"/>
        <w:outlineLvl w:val="0"/>
        <w:rPr>
          <w:rFonts w:ascii="宋体" w:hAnsi="宋体"/>
        </w:rPr>
      </w:pPr>
      <w:r>
        <w:rPr>
          <w:rFonts w:hint="eastAsia" w:ascii="宋体" w:hAnsi="宋体"/>
        </w:rPr>
        <w:t>1）A、B级中标机构可继续承接业务,C级为警告级，D级不得参与该项目后续年度的招投标活动；</w:t>
      </w:r>
    </w:p>
    <w:p>
      <w:pPr>
        <w:pStyle w:val="13"/>
        <w:spacing w:line="360" w:lineRule="auto"/>
        <w:ind w:firstLine="480" w:firstLineChars="200"/>
        <w:outlineLvl w:val="0"/>
        <w:rPr>
          <w:rFonts w:ascii="宋体" w:hAnsi="宋体"/>
        </w:rPr>
      </w:pPr>
      <w:r>
        <w:rPr>
          <w:rFonts w:hint="eastAsia" w:ascii="宋体" w:hAnsi="宋体"/>
        </w:rPr>
        <w:t>2）取得A级的中标机构将在合同期满后优先推荐使用；</w:t>
      </w:r>
    </w:p>
    <w:p>
      <w:pPr>
        <w:pStyle w:val="13"/>
        <w:spacing w:line="360" w:lineRule="auto"/>
        <w:ind w:firstLine="480" w:firstLineChars="200"/>
        <w:outlineLvl w:val="0"/>
        <w:rPr>
          <w:rFonts w:ascii="宋体" w:hAnsi="宋体"/>
        </w:rPr>
      </w:pPr>
      <w:r>
        <w:rPr>
          <w:rFonts w:hint="eastAsia" w:ascii="宋体" w:hAnsi="宋体"/>
        </w:rPr>
        <w:t>3）取得B级的中标机构由应急部门进行诫勉约谈，并责令限期整改后，在合同期满后可继续参与投标。</w:t>
      </w:r>
    </w:p>
    <w:p>
      <w:pPr>
        <w:pStyle w:val="13"/>
        <w:spacing w:line="360" w:lineRule="auto"/>
        <w:ind w:firstLine="480" w:firstLineChars="200"/>
        <w:outlineLvl w:val="0"/>
        <w:rPr>
          <w:rFonts w:ascii="宋体" w:hAnsi="宋体"/>
        </w:rPr>
      </w:pPr>
      <w:r>
        <w:rPr>
          <w:rFonts w:hint="eastAsia" w:ascii="宋体" w:hAnsi="宋体"/>
        </w:rPr>
        <w:t>4）取得C级的中标机构在内部进行通报批评并限期整改，未在整改期限中完成整改的纳入“黑名单”及D级，并取消再次参与该项目后续年度的投标资格。</w:t>
      </w:r>
    </w:p>
    <w:p>
      <w:pPr>
        <w:pStyle w:val="42"/>
        <w:ind w:left="420" w:leftChars="200"/>
        <w:rPr>
          <w:rFonts w:ascii="宋体" w:hAnsi="宋体"/>
          <w:b/>
          <w:bCs/>
          <w:sz w:val="24"/>
        </w:rPr>
      </w:pPr>
      <w:r>
        <w:rPr>
          <w:rFonts w:hint="eastAsia" w:ascii="宋体" w:hAnsi="宋体"/>
          <w:b/>
          <w:bCs/>
          <w:sz w:val="24"/>
        </w:rPr>
        <w:t>（二）考核结果运用</w:t>
      </w:r>
    </w:p>
    <w:p>
      <w:pPr>
        <w:spacing w:line="360" w:lineRule="auto"/>
        <w:ind w:firstLine="480"/>
        <w:rPr>
          <w:rFonts w:ascii="宋体" w:hAnsi="宋体"/>
          <w:b/>
          <w:sz w:val="24"/>
        </w:rPr>
      </w:pPr>
      <w:r>
        <w:rPr>
          <w:rFonts w:hint="eastAsia" w:ascii="宋体" w:hAnsi="宋体"/>
          <w:sz w:val="24"/>
        </w:rPr>
        <w:t>结合安全中标方服务质量及服务实际效果，</w:t>
      </w:r>
      <w:r>
        <w:rPr>
          <w:rFonts w:hint="eastAsia" w:ascii="宋体" w:hAnsi="宋体"/>
          <w:kern w:val="0"/>
          <w:sz w:val="24"/>
        </w:rPr>
        <w:t>结合每季度的中标人考核情况，服务费用按季度结算，</w:t>
      </w:r>
      <w:r>
        <w:rPr>
          <w:rFonts w:hint="eastAsia" w:ascii="宋体" w:hAnsi="宋体"/>
          <w:sz w:val="24"/>
        </w:rPr>
        <w:t>根据每季度实际考核得分，按照下表中的付款比例进行付款兑现。</w:t>
      </w:r>
      <w:r>
        <w:rPr>
          <w:rFonts w:hint="eastAsia" w:ascii="宋体" w:hAnsi="宋体"/>
          <w:b/>
          <w:bCs/>
          <w:sz w:val="24"/>
          <w:u w:val="single"/>
        </w:rPr>
        <w:t>每季度实际付款金额 = 每季度服务费 X 付款比例。</w:t>
      </w:r>
    </w:p>
    <w:p>
      <w:pPr>
        <w:spacing w:line="360" w:lineRule="auto"/>
        <w:ind w:firstLine="482" w:firstLineChars="200"/>
        <w:jc w:val="center"/>
        <w:rPr>
          <w:rFonts w:ascii="宋体" w:hAnsi="宋体"/>
          <w:b/>
          <w:sz w:val="24"/>
        </w:rPr>
      </w:pPr>
      <w:r>
        <w:rPr>
          <w:rFonts w:hint="eastAsia" w:ascii="宋体" w:hAnsi="宋体"/>
          <w:b/>
          <w:sz w:val="24"/>
        </w:rPr>
        <w:t>考核得分与付款比例一览表</w:t>
      </w:r>
    </w:p>
    <w:tbl>
      <w:tblPr>
        <w:tblStyle w:val="33"/>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335"/>
        <w:gridCol w:w="1228"/>
        <w:gridCol w:w="1176"/>
        <w:gridCol w:w="1279"/>
        <w:gridCol w:w="1187"/>
        <w:gridCol w:w="1213"/>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考核得分</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90分以上（含）</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80～89分</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70～79分</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60～69分</w:t>
            </w:r>
          </w:p>
        </w:tc>
        <w:tc>
          <w:tcPr>
            <w:tcW w:w="11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50～59分</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40-49分</w:t>
            </w:r>
          </w:p>
        </w:tc>
        <w:tc>
          <w:tcPr>
            <w:tcW w:w="9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付款比例</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全额付款（若有罚款，须扣除当季相应罚款）</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八折付款（若有罚款，须扣除当季相应罚款）</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七折付款（若有罚款，须扣除当季相应罚款）</w:t>
            </w: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六折付款（若有罚款，须扣除当季相应罚款）</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五折付款（若有罚款，须扣除当季相应罚款）</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一折付款（若有罚款，须扣除当季相应罚款）</w:t>
            </w:r>
          </w:p>
        </w:tc>
        <w:tc>
          <w:tcPr>
            <w:tcW w:w="9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全额扣除</w:t>
            </w:r>
          </w:p>
        </w:tc>
      </w:tr>
    </w:tbl>
    <w:p>
      <w:pPr>
        <w:pStyle w:val="42"/>
        <w:ind w:left="420" w:leftChars="200"/>
        <w:rPr>
          <w:rFonts w:ascii="宋体" w:hAnsi="宋体"/>
          <w:b/>
          <w:bCs/>
          <w:sz w:val="24"/>
        </w:rPr>
      </w:pPr>
      <w:r>
        <w:rPr>
          <w:rFonts w:hint="eastAsia" w:ascii="宋体" w:hAnsi="宋体"/>
          <w:b/>
          <w:bCs/>
          <w:sz w:val="24"/>
        </w:rPr>
        <w:t xml:space="preserve"> </w:t>
      </w:r>
    </w:p>
    <w:p>
      <w:pPr>
        <w:pStyle w:val="13"/>
        <w:spacing w:line="360" w:lineRule="auto"/>
        <w:ind w:firstLine="482" w:firstLineChars="200"/>
        <w:outlineLvl w:val="0"/>
        <w:rPr>
          <w:rFonts w:ascii="宋体" w:hAnsi="宋体"/>
          <w:b/>
          <w:bCs/>
        </w:rPr>
      </w:pPr>
      <w:r>
        <w:rPr>
          <w:rFonts w:hint="eastAsia" w:ascii="宋体" w:hAnsi="宋体"/>
          <w:b/>
          <w:bCs/>
        </w:rPr>
        <w:t>（三）其他情况</w:t>
      </w:r>
    </w:p>
    <w:p>
      <w:pPr>
        <w:pStyle w:val="13"/>
        <w:spacing w:line="360" w:lineRule="auto"/>
        <w:ind w:firstLine="480" w:firstLineChars="200"/>
        <w:outlineLvl w:val="0"/>
        <w:rPr>
          <w:rFonts w:ascii="宋体" w:hAnsi="宋体"/>
        </w:rPr>
      </w:pPr>
      <w:r>
        <w:rPr>
          <w:rFonts w:hint="eastAsia" w:ascii="宋体" w:hAnsi="宋体"/>
        </w:rPr>
        <w:t>发现中标方有构违反国家安全相关规定，吃拿卡要、弄虚作假、出具虚假检查报告等行为，一经查实，当事人立即清退，并报有关部门按《安全生产法》有关条款处理。</w:t>
      </w:r>
    </w:p>
    <w:p>
      <w:pPr>
        <w:autoSpaceDE w:val="0"/>
        <w:autoSpaceDN w:val="0"/>
        <w:spacing w:line="360" w:lineRule="auto"/>
        <w:jc w:val="left"/>
        <w:rPr>
          <w:rFonts w:ascii="宋体" w:hAnsi="宋体"/>
          <w:b/>
          <w:bCs/>
          <w:kern w:val="0"/>
          <w:sz w:val="24"/>
        </w:rPr>
      </w:pPr>
      <w:r>
        <w:rPr>
          <w:rFonts w:hint="eastAsia" w:ascii="宋体" w:hAnsi="宋体"/>
          <w:b/>
          <w:bCs/>
          <w:kern w:val="0"/>
          <w:sz w:val="24"/>
        </w:rPr>
        <w:t>八、商务要求</w:t>
      </w:r>
    </w:p>
    <w:p>
      <w:pPr>
        <w:numPr>
          <w:ilvl w:val="0"/>
          <w:numId w:val="11"/>
        </w:numPr>
        <w:autoSpaceDE w:val="0"/>
        <w:autoSpaceDN w:val="0"/>
        <w:spacing w:line="360" w:lineRule="auto"/>
        <w:jc w:val="left"/>
        <w:rPr>
          <w:rFonts w:ascii="宋体" w:hAnsi="宋体"/>
          <w:kern w:val="0"/>
          <w:sz w:val="24"/>
        </w:rPr>
      </w:pPr>
      <w:r>
        <w:rPr>
          <w:rFonts w:hint="eastAsia" w:ascii="宋体" w:hAnsi="宋体"/>
          <w:kern w:val="0"/>
          <w:sz w:val="24"/>
        </w:rPr>
        <w:t>投标报价包括完成服务所需的人工、成本、利润、税金、交通、损耗等检查工作所发生的所有费用。</w:t>
      </w:r>
    </w:p>
    <w:p>
      <w:pPr>
        <w:pStyle w:val="30"/>
        <w:numPr>
          <w:ilvl w:val="0"/>
          <w:numId w:val="11"/>
        </w:numPr>
        <w:jc w:val="both"/>
        <w:rPr>
          <w:rFonts w:ascii="宋体" w:hAnsi="宋体"/>
          <w:b w:val="0"/>
          <w:sz w:val="24"/>
          <w:szCs w:val="24"/>
        </w:rPr>
      </w:pPr>
      <w:r>
        <w:rPr>
          <w:rFonts w:hint="eastAsia" w:ascii="宋体" w:hAnsi="宋体"/>
          <w:b w:val="0"/>
          <w:sz w:val="24"/>
          <w:szCs w:val="24"/>
        </w:rPr>
        <w:t>付款方式：</w:t>
      </w:r>
      <w:r>
        <w:rPr>
          <w:rFonts w:hint="eastAsia" w:ascii="宋体" w:hAnsi="宋体"/>
          <w:sz w:val="24"/>
          <w:szCs w:val="24"/>
          <w:lang w:val="en-US"/>
        </w:rPr>
        <w:t>合同签订后支付合同金额的40%作为预付款，剩余服务费用按季度结算</w:t>
      </w:r>
      <w:r>
        <w:rPr>
          <w:rFonts w:hint="eastAsia" w:ascii="宋体" w:hAnsi="宋体"/>
          <w:sz w:val="24"/>
          <w:szCs w:val="24"/>
        </w:rPr>
        <w:t>，结合每季度的中标人考核情况：</w:t>
      </w:r>
    </w:p>
    <w:p>
      <w:pPr>
        <w:pStyle w:val="30"/>
        <w:jc w:val="both"/>
        <w:rPr>
          <w:rFonts w:ascii="宋体" w:hAnsi="宋体"/>
          <w:b w:val="0"/>
          <w:sz w:val="24"/>
          <w:szCs w:val="24"/>
        </w:rPr>
      </w:pPr>
      <w:r>
        <w:rPr>
          <w:rFonts w:hint="eastAsia" w:ascii="宋体" w:hAnsi="宋体"/>
          <w:b w:val="0"/>
          <w:sz w:val="24"/>
          <w:szCs w:val="24"/>
        </w:rPr>
        <w:t>（1）每季度完成服务并结合每季度考核得分，按照以上《考核得分与付款比例一览表》支付相应比例的每季度服务费；</w:t>
      </w:r>
    </w:p>
    <w:p>
      <w:pPr>
        <w:pStyle w:val="30"/>
        <w:jc w:val="both"/>
        <w:rPr>
          <w:rFonts w:ascii="宋体" w:hAnsi="宋体"/>
          <w:b w:val="0"/>
          <w:sz w:val="24"/>
          <w:szCs w:val="24"/>
        </w:rPr>
      </w:pPr>
      <w:r>
        <w:rPr>
          <w:rFonts w:hint="eastAsia" w:ascii="宋体" w:hAnsi="宋体"/>
          <w:b w:val="0"/>
          <w:sz w:val="24"/>
          <w:szCs w:val="24"/>
        </w:rPr>
        <w:t>（2）结合年终考核结果（年终考核分=全年四季度的平均分），年终考核分数达到90分（含）以上的，一次性补回前三季度的考核扣款。</w:t>
      </w:r>
    </w:p>
    <w:p>
      <w:pPr>
        <w:pStyle w:val="32"/>
        <w:spacing w:after="312" w:line="360" w:lineRule="auto"/>
        <w:ind w:left="0" w:leftChars="0" w:firstLine="0"/>
        <w:rPr>
          <w:rFonts w:ascii="宋体" w:hAnsi="宋体"/>
          <w:b/>
          <w:bCs/>
          <w:sz w:val="24"/>
        </w:rPr>
      </w:pPr>
      <w:r>
        <w:rPr>
          <w:rFonts w:hint="eastAsia" w:ascii="宋体" w:hAnsi="宋体"/>
          <w:b/>
          <w:bCs/>
          <w:sz w:val="24"/>
        </w:rPr>
        <w:t>九、其他要求：</w:t>
      </w:r>
    </w:p>
    <w:p>
      <w:pPr>
        <w:pStyle w:val="32"/>
        <w:spacing w:after="312" w:line="360" w:lineRule="auto"/>
        <w:ind w:left="0" w:leftChars="0" w:firstLine="0"/>
        <w:rPr>
          <w:rFonts w:ascii="宋体" w:hAnsi="宋体"/>
          <w:b/>
          <w:bCs/>
          <w:sz w:val="24"/>
        </w:rPr>
      </w:pPr>
      <w:r>
        <w:rPr>
          <w:rFonts w:hint="eastAsia" w:ascii="宋体" w:hAnsi="宋体"/>
          <w:b/>
          <w:bCs/>
          <w:sz w:val="24"/>
        </w:rPr>
        <w:t>1、▲中标单位如已在椒江区范围承担安全中介有偿服务的，限定中标后1个月内必须全部退出有偿安全服务企业，</w:t>
      </w:r>
      <w:r>
        <w:rPr>
          <w:rFonts w:hint="eastAsia" w:ascii="宋体" w:hAnsi="宋体"/>
          <w:b/>
          <w:bCs/>
          <w:sz w:val="24"/>
          <w:lang w:eastAsia="zh-Hans"/>
        </w:rPr>
        <w:t>解约的相应事宜和责任由中标单位自行承担</w:t>
      </w:r>
      <w:r>
        <w:rPr>
          <w:rFonts w:ascii="宋体" w:hAnsi="宋体"/>
          <w:b/>
          <w:bCs/>
          <w:sz w:val="24"/>
          <w:lang w:eastAsia="zh-Hans"/>
        </w:rPr>
        <w:t>，</w:t>
      </w:r>
      <w:r>
        <w:rPr>
          <w:rFonts w:hint="eastAsia" w:ascii="宋体" w:hAnsi="宋体"/>
          <w:b/>
          <w:bCs/>
          <w:sz w:val="24"/>
        </w:rPr>
        <w:t xml:space="preserve">否则取消其中标资格。 </w:t>
      </w:r>
    </w:p>
    <w:p>
      <w:pPr>
        <w:spacing w:line="360" w:lineRule="auto"/>
        <w:rPr>
          <w:rFonts w:ascii="宋体" w:hAnsi="宋体"/>
          <w:b/>
          <w:bCs/>
          <w:sz w:val="24"/>
        </w:rPr>
      </w:pPr>
      <w:r>
        <w:rPr>
          <w:rFonts w:hint="eastAsia" w:ascii="宋体" w:hAnsi="宋体"/>
          <w:b/>
          <w:bCs/>
          <w:sz w:val="24"/>
        </w:rPr>
        <w:t>2、服务工作期间，中标单位必须做好人员分配和安全管理工作，若出现任何人员安全事故或工作纠纷，由中标单位自行解决，与采购人无关，并保证服务工作正常进行。</w:t>
      </w:r>
    </w:p>
    <w:p>
      <w:pPr>
        <w:pStyle w:val="2"/>
        <w:rPr>
          <w:color w:val="auto"/>
          <w:sz w:val="24"/>
        </w:rPr>
      </w:pPr>
    </w:p>
    <w:p>
      <w:pPr>
        <w:rPr>
          <w:sz w:val="24"/>
        </w:rPr>
      </w:pPr>
    </w:p>
    <w:p>
      <w:pPr>
        <w:pStyle w:val="2"/>
        <w:rPr>
          <w:color w:val="auto"/>
          <w:sz w:val="24"/>
        </w:rPr>
      </w:pPr>
    </w:p>
    <w:p>
      <w:pPr>
        <w:rPr>
          <w:sz w:val="24"/>
        </w:rPr>
      </w:pPr>
    </w:p>
    <w:p>
      <w:pPr>
        <w:pStyle w:val="2"/>
        <w:rPr>
          <w:color w:val="auto"/>
          <w:sz w:val="24"/>
        </w:rPr>
      </w:pPr>
    </w:p>
    <w:p>
      <w:pPr>
        <w:rPr>
          <w:sz w:val="24"/>
        </w:rPr>
      </w:pPr>
    </w:p>
    <w:p>
      <w:pPr>
        <w:pStyle w:val="2"/>
        <w:rPr>
          <w:color w:val="auto"/>
          <w:sz w:val="24"/>
        </w:rPr>
      </w:pPr>
    </w:p>
    <w:p>
      <w:pPr>
        <w:rPr>
          <w:sz w:val="24"/>
        </w:rPr>
      </w:pPr>
    </w:p>
    <w:p>
      <w:pPr>
        <w:pStyle w:val="2"/>
        <w:rPr>
          <w:color w:val="auto"/>
          <w:sz w:val="24"/>
        </w:rPr>
      </w:pPr>
    </w:p>
    <w:p>
      <w:pPr>
        <w:rPr>
          <w:sz w:val="24"/>
        </w:rPr>
      </w:pPr>
    </w:p>
    <w:p>
      <w:pPr>
        <w:pStyle w:val="2"/>
        <w:rPr>
          <w:color w:val="auto"/>
          <w:sz w:val="24"/>
        </w:rPr>
      </w:pPr>
    </w:p>
    <w:p>
      <w:pPr>
        <w:rPr>
          <w:sz w:val="24"/>
        </w:rPr>
      </w:pPr>
    </w:p>
    <w:p>
      <w:pPr>
        <w:pStyle w:val="2"/>
        <w:rPr>
          <w:color w:val="auto"/>
          <w:sz w:val="24"/>
        </w:rPr>
      </w:pPr>
    </w:p>
    <w:p>
      <w:pPr>
        <w:rPr>
          <w:sz w:val="24"/>
        </w:rPr>
      </w:pPr>
    </w:p>
    <w:p>
      <w:pPr>
        <w:pStyle w:val="2"/>
        <w:rPr>
          <w:color w:val="auto"/>
          <w:sz w:val="24"/>
        </w:rPr>
      </w:pPr>
    </w:p>
    <w:p/>
    <w:p>
      <w:pPr>
        <w:pStyle w:val="2"/>
        <w:rPr>
          <w:color w:val="auto"/>
        </w:rPr>
      </w:pPr>
    </w:p>
    <w:p/>
    <w:p>
      <w:pPr>
        <w:pStyle w:val="2"/>
        <w:rPr>
          <w:color w:val="auto"/>
        </w:rPr>
      </w:pPr>
    </w:p>
    <w:p>
      <w:pPr>
        <w:rPr>
          <w:rFonts w:ascii="宋体" w:hAnsi="宋体" w:cs="宋体"/>
          <w:b/>
          <w:bCs/>
          <w:sz w:val="36"/>
          <w:szCs w:val="44"/>
        </w:rPr>
      </w:pPr>
      <w:r>
        <w:rPr>
          <w:rFonts w:hint="eastAsia" w:ascii="宋体" w:hAnsi="宋体" w:cs="宋体"/>
          <w:b/>
          <w:bCs/>
          <w:sz w:val="36"/>
          <w:szCs w:val="44"/>
        </w:rPr>
        <w:br w:type="page"/>
      </w:r>
    </w:p>
    <w:p>
      <w:pPr>
        <w:pStyle w:val="3"/>
        <w:jc w:val="center"/>
        <w:rPr>
          <w:rFonts w:ascii="宋体" w:hAnsi="宋体"/>
          <w:szCs w:val="36"/>
        </w:rPr>
      </w:pPr>
      <w:r>
        <w:rPr>
          <w:rFonts w:hint="eastAsia" w:ascii="宋体" w:hAnsi="宋体"/>
          <w:szCs w:val="36"/>
        </w:rPr>
        <w:t>第五章 合同书</w:t>
      </w:r>
    </w:p>
    <w:p>
      <w:pPr>
        <w:adjustRightInd w:val="0"/>
        <w:spacing w:line="360" w:lineRule="exact"/>
        <w:ind w:firstLine="562" w:firstLineChars="200"/>
        <w:jc w:val="center"/>
        <w:outlineLvl w:val="1"/>
        <w:rPr>
          <w:rFonts w:ascii="黑体" w:hAnsi="黑体" w:eastAsia="黑体"/>
          <w:sz w:val="30"/>
          <w:szCs w:val="30"/>
        </w:rPr>
      </w:pPr>
      <w:r>
        <w:rPr>
          <w:rFonts w:hint="eastAsia" w:hAnsi="宋体" w:cs="宋体"/>
          <w:b/>
          <w:sz w:val="28"/>
        </w:rPr>
        <w:t>（本合同为合同样稿，最终稿由甲乙双方协商后确定）</w:t>
      </w:r>
    </w:p>
    <w:p>
      <w:pPr>
        <w:adjustRightInd w:val="0"/>
        <w:spacing w:line="360" w:lineRule="exact"/>
        <w:ind w:firstLine="600" w:firstLineChars="200"/>
        <w:jc w:val="center"/>
        <w:outlineLvl w:val="1"/>
        <w:rPr>
          <w:rFonts w:ascii="黑体" w:hAnsi="黑体" w:eastAsia="黑体"/>
          <w:sz w:val="30"/>
          <w:szCs w:val="30"/>
        </w:rPr>
      </w:pPr>
    </w:p>
    <w:p>
      <w:pPr>
        <w:snapToGrid w:val="0"/>
        <w:spacing w:before="156" w:beforeLines="50" w:after="156" w:afterLines="50"/>
        <w:jc w:val="center"/>
        <w:outlineLvl w:val="0"/>
        <w:rPr>
          <w:rFonts w:ascii="宋体" w:hAnsi="宋体" w:cs="宋体"/>
          <w:sz w:val="24"/>
        </w:rPr>
      </w:pPr>
      <w:bookmarkStart w:id="1" w:name="_Toc68703371"/>
      <w:bookmarkStart w:id="2" w:name="_Toc31588"/>
      <w:r>
        <w:rPr>
          <w:rFonts w:hint="eastAsia" w:ascii="宋体" w:hAnsi="宋体"/>
          <w:b/>
          <w:sz w:val="30"/>
        </w:rPr>
        <w:t>采购合同指引（服务格式）</w:t>
      </w:r>
      <w:bookmarkEnd w:id="1"/>
      <w:bookmarkEnd w:id="2"/>
    </w:p>
    <w:p>
      <w:pPr>
        <w:pStyle w:val="76"/>
        <w:rPr>
          <w:rFonts w:ascii="宋体" w:hAnsi="宋体" w:cs="宋体"/>
          <w:sz w:val="24"/>
          <w:szCs w:val="32"/>
        </w:rPr>
      </w:pPr>
    </w:p>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项目名称：工矿企业购买第三方服务项目</w:t>
      </w:r>
    </w:p>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项目编号：ZJHD-2024-0412</w:t>
      </w:r>
    </w:p>
    <w:p>
      <w:pPr>
        <w:pStyle w:val="17"/>
        <w:snapToGrid w:val="0"/>
        <w:spacing w:before="120" w:after="120" w:line="360" w:lineRule="auto"/>
        <w:rPr>
          <w:rFonts w:hAnsi="宋体" w:cs="宋体"/>
          <w:color w:val="000000"/>
          <w:kern w:val="2"/>
          <w:sz w:val="24"/>
          <w:szCs w:val="24"/>
        </w:rPr>
      </w:pPr>
      <w:r>
        <w:rPr>
          <w:rFonts w:hint="eastAsia" w:hAnsi="宋体" w:cs="宋体"/>
          <w:color w:val="000000"/>
          <w:kern w:val="2"/>
          <w:sz w:val="24"/>
          <w:szCs w:val="24"/>
        </w:rPr>
        <w:t>甲方：</w:t>
      </w:r>
      <w:r>
        <w:rPr>
          <w:rFonts w:hint="eastAsia" w:hAnsi="宋体" w:cs="宋体"/>
          <w:kern w:val="2"/>
          <w:sz w:val="24"/>
          <w:lang w:bidi="ar"/>
        </w:rPr>
        <w:t>台州市椒江区应急管理局</w:t>
      </w:r>
      <w:r>
        <w:rPr>
          <w:rFonts w:hint="eastAsia" w:hAnsi="宋体" w:cs="宋体"/>
          <w:color w:val="000000"/>
          <w:kern w:val="2"/>
          <w:sz w:val="24"/>
          <w:szCs w:val="24"/>
        </w:rPr>
        <w:t>（采购单位）      所在地：</w:t>
      </w:r>
      <w:r>
        <w:rPr>
          <w:rFonts w:hint="eastAsia" w:hAnsi="宋体" w:cs="宋体"/>
          <w:kern w:val="2"/>
          <w:sz w:val="24"/>
          <w:lang w:bidi="ar"/>
        </w:rPr>
        <w:t>台州市椒江区</w:t>
      </w:r>
      <w:r>
        <w:rPr>
          <w:rFonts w:hint="eastAsia" w:hAnsi="宋体" w:cs="宋体"/>
          <w:color w:val="000000"/>
          <w:kern w:val="2"/>
          <w:sz w:val="24"/>
          <w:szCs w:val="24"/>
        </w:rPr>
        <w:t xml:space="preserve">                              </w:t>
      </w:r>
    </w:p>
    <w:p>
      <w:pPr>
        <w:pStyle w:val="17"/>
        <w:snapToGrid w:val="0"/>
        <w:spacing w:before="120" w:after="120" w:line="360" w:lineRule="auto"/>
        <w:rPr>
          <w:rFonts w:hAnsi="宋体" w:cs="宋体"/>
          <w:color w:val="000000"/>
          <w:kern w:val="2"/>
          <w:sz w:val="24"/>
          <w:szCs w:val="24"/>
        </w:rPr>
      </w:pPr>
      <w:r>
        <w:rPr>
          <w:rFonts w:hint="eastAsia" w:hAnsi="宋体" w:cs="宋体"/>
          <w:color w:val="000000"/>
          <w:kern w:val="2"/>
          <w:sz w:val="24"/>
          <w:szCs w:val="24"/>
        </w:rPr>
        <w:t>乙方：（中标供应商）                          所在地：</w:t>
      </w:r>
    </w:p>
    <w:p>
      <w:pPr>
        <w:shd w:val="clear" w:color="auto" w:fill="FFFFFF"/>
        <w:spacing w:after="150" w:line="360" w:lineRule="auto"/>
        <w:ind w:firstLine="480" w:firstLineChars="200"/>
        <w:jc w:val="left"/>
        <w:rPr>
          <w:rFonts w:ascii="宋体" w:hAnsi="宋体" w:cs="宋体"/>
          <w:color w:val="000000"/>
          <w:sz w:val="24"/>
        </w:rPr>
      </w:pPr>
      <w:r>
        <w:rPr>
          <w:rFonts w:hint="eastAsia" w:ascii="宋体" w:hAnsi="宋体" w:cs="宋体"/>
          <w:color w:val="000000"/>
          <w:sz w:val="24"/>
        </w:rPr>
        <w:t>甲、乙双方根据浙江洪大工程咨询有限公司关于</w:t>
      </w:r>
      <w:r>
        <w:rPr>
          <w:rFonts w:hint="eastAsia" w:ascii="宋体" w:hAnsi="宋体" w:cs="宋体"/>
          <w:color w:val="000000"/>
          <w:sz w:val="24"/>
          <w:u w:val="single"/>
        </w:rPr>
        <w:t xml:space="preserve">          </w:t>
      </w:r>
      <w:r>
        <w:rPr>
          <w:rFonts w:hint="eastAsia" w:ascii="宋体" w:hAnsi="宋体" w:cs="宋体"/>
          <w:color w:val="000000"/>
          <w:sz w:val="24"/>
        </w:rPr>
        <w:t>公开招标采购的结果，签署本合同。</w:t>
      </w:r>
    </w:p>
    <w:p>
      <w:pPr>
        <w:spacing w:line="360" w:lineRule="auto"/>
        <w:outlineLvl w:val="1"/>
        <w:rPr>
          <w:rFonts w:ascii="宋体" w:hAnsi="宋体" w:cs="宋体"/>
          <w:color w:val="000000"/>
          <w:sz w:val="24"/>
          <w:lang w:val="zh-CN"/>
        </w:rPr>
      </w:pPr>
      <w:r>
        <w:rPr>
          <w:rFonts w:hint="eastAsia" w:ascii="宋体" w:hAnsi="宋体" w:cs="宋体"/>
          <w:color w:val="000000"/>
          <w:sz w:val="24"/>
          <w:lang w:val="zh-CN"/>
        </w:rPr>
        <w:t xml:space="preserve">一、合同文件： </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1.合同条款。</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2.中标通知书。</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3.更正补充文件。</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4.招标文件。</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5.中标供应商响应文件。</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6.其他。</w:t>
      </w:r>
    </w:p>
    <w:p>
      <w:pPr>
        <w:pStyle w:val="17"/>
        <w:snapToGrid w:val="0"/>
        <w:spacing w:before="120" w:after="120" w:line="360" w:lineRule="auto"/>
        <w:ind w:firstLine="480" w:firstLineChars="200"/>
        <w:rPr>
          <w:rFonts w:hAnsi="宋体" w:cs="宋体"/>
          <w:b/>
          <w:sz w:val="24"/>
        </w:rPr>
      </w:pPr>
      <w:r>
        <w:rPr>
          <w:rFonts w:hint="eastAsia" w:hAnsi="宋体" w:cs="宋体"/>
          <w:color w:val="000000"/>
          <w:sz w:val="24"/>
          <w:lang w:val="zh-CN"/>
        </w:rPr>
        <w:t>上述所指合同文件应认为是互相补充和解释的，但是有模棱两可或互相矛盾之处，以其所列内容顺序为准。</w:t>
      </w:r>
    </w:p>
    <w:p>
      <w:pPr>
        <w:shd w:val="clear" w:color="auto" w:fill="FFFFFF"/>
        <w:spacing w:after="150" w:line="360" w:lineRule="auto"/>
        <w:jc w:val="left"/>
        <w:outlineLvl w:val="1"/>
        <w:rPr>
          <w:rFonts w:ascii="宋体" w:hAnsi="宋体" w:cs="宋体"/>
          <w:b/>
          <w:color w:val="333333"/>
          <w:kern w:val="0"/>
          <w:sz w:val="24"/>
        </w:rPr>
      </w:pPr>
      <w:r>
        <w:rPr>
          <w:rFonts w:hint="eastAsia" w:ascii="宋体" w:hAnsi="宋体" w:cs="宋体"/>
          <w:b/>
          <w:sz w:val="24"/>
        </w:rPr>
        <w:t>二、</w:t>
      </w:r>
      <w:r>
        <w:rPr>
          <w:rFonts w:hint="eastAsia" w:ascii="宋体" w:hAnsi="宋体" w:cs="宋体"/>
          <w:b/>
          <w:color w:val="333333"/>
          <w:kern w:val="0"/>
          <w:sz w:val="24"/>
        </w:rPr>
        <w:t>合同内容及服务标准</w:t>
      </w:r>
    </w:p>
    <w:p>
      <w:pPr>
        <w:shd w:val="clear" w:color="auto" w:fill="FFFFFF"/>
        <w:spacing w:after="150" w:line="360" w:lineRule="auto"/>
        <w:ind w:firstLine="480"/>
        <w:jc w:val="left"/>
        <w:rPr>
          <w:rFonts w:ascii="宋体" w:hAnsi="宋体" w:cs="宋体"/>
          <w:color w:val="333333"/>
          <w:kern w:val="0"/>
          <w:sz w:val="24"/>
        </w:rPr>
      </w:pPr>
      <w:r>
        <w:rPr>
          <w:rFonts w:hint="eastAsia" w:ascii="宋体" w:hAnsi="宋体" w:cs="宋体"/>
          <w:color w:val="333333"/>
          <w:kern w:val="0"/>
          <w:sz w:val="24"/>
        </w:rPr>
        <w:t>（具体见项目需求）</w:t>
      </w:r>
    </w:p>
    <w:p>
      <w:pPr>
        <w:pStyle w:val="17"/>
        <w:snapToGrid w:val="0"/>
        <w:spacing w:before="120" w:after="120" w:line="360" w:lineRule="auto"/>
        <w:outlineLvl w:val="1"/>
        <w:rPr>
          <w:rFonts w:hAnsi="宋体" w:cs="宋体"/>
          <w:b/>
          <w:sz w:val="24"/>
        </w:rPr>
      </w:pPr>
      <w:r>
        <w:rPr>
          <w:rFonts w:hint="eastAsia" w:hAnsi="宋体" w:cs="宋体"/>
          <w:b/>
          <w:sz w:val="24"/>
        </w:rPr>
        <w:t>三、合同金额</w:t>
      </w:r>
    </w:p>
    <w:p>
      <w:pPr>
        <w:pStyle w:val="17"/>
        <w:snapToGrid w:val="0"/>
        <w:spacing w:before="120" w:after="120" w:line="360" w:lineRule="auto"/>
        <w:ind w:firstLine="480" w:firstLineChars="200"/>
        <w:rPr>
          <w:rFonts w:hAnsi="宋体" w:cs="宋体"/>
          <w:sz w:val="24"/>
        </w:rPr>
      </w:pPr>
      <w:r>
        <w:rPr>
          <w:rFonts w:hint="eastAsia" w:hAnsi="宋体" w:cs="宋体"/>
          <w:sz w:val="24"/>
        </w:rPr>
        <w:t>本合同金额为（大写）：____________________________________元（￥_______________元）人民币。</w:t>
      </w:r>
    </w:p>
    <w:p>
      <w:pPr>
        <w:pStyle w:val="17"/>
        <w:snapToGrid w:val="0"/>
        <w:spacing w:before="120" w:after="120" w:line="360" w:lineRule="auto"/>
        <w:outlineLvl w:val="1"/>
        <w:rPr>
          <w:rFonts w:hAnsi="宋体" w:cs="宋体"/>
          <w:b/>
          <w:sz w:val="24"/>
        </w:rPr>
      </w:pPr>
      <w:r>
        <w:rPr>
          <w:rFonts w:hint="eastAsia" w:hAnsi="宋体" w:cs="宋体"/>
          <w:b/>
          <w:sz w:val="24"/>
        </w:rPr>
        <w:t>四、技术资料</w:t>
      </w:r>
    </w:p>
    <w:p>
      <w:pPr>
        <w:pStyle w:val="17"/>
        <w:snapToGrid w:val="0"/>
        <w:spacing w:before="120" w:after="120" w:line="360" w:lineRule="auto"/>
        <w:ind w:firstLine="480" w:firstLineChars="200"/>
        <w:rPr>
          <w:rFonts w:hAnsi="宋体" w:cs="宋体"/>
          <w:sz w:val="24"/>
        </w:rPr>
      </w:pPr>
      <w:r>
        <w:rPr>
          <w:rFonts w:hint="eastAsia" w:hAnsi="宋体" w:cs="宋体"/>
          <w:sz w:val="24"/>
        </w:rPr>
        <w:t>1.乙方应按招标文件规定的时间向甲方提供有关技术资料或其他项目成果。</w:t>
      </w:r>
    </w:p>
    <w:p>
      <w:pPr>
        <w:pStyle w:val="17"/>
        <w:snapToGrid w:val="0"/>
        <w:spacing w:before="120" w:after="120" w:line="360" w:lineRule="auto"/>
        <w:ind w:firstLine="480" w:firstLineChars="200"/>
        <w:rPr>
          <w:rFonts w:hAnsi="宋体" w:cs="宋体"/>
          <w:sz w:val="24"/>
        </w:rPr>
      </w:pPr>
      <w:r>
        <w:rPr>
          <w:rFonts w:hint="eastAsia" w:hAnsi="宋体" w:cs="宋体"/>
          <w:sz w:val="24"/>
        </w:rPr>
        <w:t>2. 没有甲方事先书面同意，乙方不得将由甲方提供的有关合同或任何合同条文、规格、计划、图纸、样品、数据或资料提供给与履行本合同无关的任何其他人。即使向履行本合同有关的人员提供，也应注意保密并限于履行合同的必需范围。</w:t>
      </w:r>
    </w:p>
    <w:p>
      <w:pPr>
        <w:pStyle w:val="17"/>
        <w:snapToGrid w:val="0"/>
        <w:spacing w:before="120" w:after="120" w:line="360" w:lineRule="auto"/>
        <w:ind w:left="412" w:hanging="412" w:hangingChars="171"/>
        <w:outlineLvl w:val="1"/>
        <w:rPr>
          <w:rFonts w:hAnsi="宋体" w:cs="宋体"/>
          <w:b/>
          <w:sz w:val="24"/>
        </w:rPr>
      </w:pPr>
      <w:r>
        <w:rPr>
          <w:rFonts w:hint="eastAsia" w:hAnsi="宋体" w:cs="宋体"/>
          <w:b/>
          <w:sz w:val="24"/>
        </w:rPr>
        <w:t>五、知识产权</w:t>
      </w:r>
    </w:p>
    <w:p>
      <w:pPr>
        <w:pStyle w:val="17"/>
        <w:snapToGrid w:val="0"/>
        <w:spacing w:before="120" w:after="120" w:line="360" w:lineRule="auto"/>
        <w:ind w:left="19" w:leftChars="9" w:firstLine="530" w:firstLineChars="221"/>
        <w:jc w:val="left"/>
        <w:rPr>
          <w:rFonts w:hAnsi="宋体" w:cs="宋体"/>
          <w:sz w:val="24"/>
        </w:rPr>
      </w:pPr>
      <w:r>
        <w:rPr>
          <w:rFonts w:hint="eastAsia" w:hAnsi="宋体" w:cs="宋体"/>
          <w:sz w:val="24"/>
        </w:rPr>
        <w:t>乙方应保证提供服务过程中不会侵犯任何第三方的知识产权和其他权利，如侵权，乙方应赔偿甲方因之造成的全部损失（包括但不限于律师费、诉讼费、鉴定、赔偿金等）。</w:t>
      </w:r>
    </w:p>
    <w:p>
      <w:pPr>
        <w:pStyle w:val="17"/>
        <w:snapToGrid w:val="0"/>
        <w:spacing w:before="120" w:after="120" w:line="360" w:lineRule="auto"/>
        <w:ind w:left="71" w:leftChars="34" w:firstLine="72" w:firstLineChars="30"/>
        <w:rPr>
          <w:rFonts w:hAnsi="宋体" w:cs="宋体" w:eastAsiaTheme="minorEastAsia"/>
          <w:sz w:val="24"/>
        </w:rPr>
      </w:pPr>
      <w:r>
        <w:rPr>
          <w:rFonts w:hint="eastAsia" w:asciiTheme="minorEastAsia" w:hAnsiTheme="minorEastAsia" w:eastAsiaTheme="minorEastAsia"/>
          <w:b/>
          <w:sz w:val="24"/>
        </w:rPr>
        <w:t>六、</w:t>
      </w:r>
      <w:r>
        <w:rPr>
          <w:rFonts w:asciiTheme="minorEastAsia" w:hAnsiTheme="minorEastAsia" w:eastAsiaTheme="minorEastAsia"/>
          <w:b/>
          <w:sz w:val="24"/>
        </w:rPr>
        <w:t>履约保证金</w:t>
      </w:r>
      <w:r>
        <w:rPr>
          <w:rFonts w:hint="eastAsia" w:asciiTheme="minorEastAsia" w:hAnsiTheme="minorEastAsia" w:eastAsiaTheme="minorEastAsia"/>
          <w:b/>
          <w:sz w:val="24"/>
        </w:rPr>
        <w:t>：</w:t>
      </w:r>
      <w:r>
        <w:rPr>
          <w:rFonts w:hint="eastAsia" w:hAnsi="宋体" w:cs="Calibri Light"/>
          <w:sz w:val="24"/>
        </w:rPr>
        <w:t>合同总价的1%，履约保证金可以用银行独立保函、保险机构保证保险保单等形式。采用保函保单的，应保证其有效期不短于合同履行期届满之日起【3</w:t>
      </w:r>
      <w:r>
        <w:rPr>
          <w:rFonts w:hAnsi="宋体" w:cs="Calibri Light"/>
          <w:sz w:val="24"/>
        </w:rPr>
        <w:t>0</w:t>
      </w:r>
      <w:r>
        <w:rPr>
          <w:rFonts w:hint="eastAsia" w:hAnsi="宋体" w:cs="Calibri Light"/>
          <w:sz w:val="24"/>
        </w:rPr>
        <w:t>】日内。</w:t>
      </w:r>
    </w:p>
    <w:p>
      <w:pPr>
        <w:snapToGrid w:val="0"/>
        <w:spacing w:before="156" w:beforeLines="50" w:after="156" w:afterLines="50" w:line="360" w:lineRule="auto"/>
        <w:outlineLvl w:val="1"/>
        <w:rPr>
          <w:rFonts w:ascii="宋体" w:hAnsi="宋体" w:cs="宋体"/>
          <w:b/>
          <w:sz w:val="24"/>
        </w:rPr>
      </w:pPr>
      <w:r>
        <w:rPr>
          <w:rFonts w:hint="eastAsia" w:ascii="宋体" w:hAnsi="宋体" w:cs="宋体"/>
          <w:b/>
          <w:sz w:val="24"/>
        </w:rPr>
        <w:t>七、转包或分包</w:t>
      </w:r>
    </w:p>
    <w:p>
      <w:pPr>
        <w:snapToGrid w:val="0"/>
        <w:spacing w:before="156" w:beforeLines="50" w:after="156" w:afterLines="50" w:line="360" w:lineRule="auto"/>
        <w:ind w:firstLine="480" w:firstLineChars="200"/>
        <w:rPr>
          <w:rFonts w:ascii="宋体" w:hAnsi="宋体" w:cs="宋体"/>
          <w:sz w:val="24"/>
        </w:rPr>
      </w:pPr>
      <w:r>
        <w:rPr>
          <w:rFonts w:hint="eastAsia" w:ascii="宋体" w:hAnsi="宋体" w:cs="宋体"/>
          <w:sz w:val="24"/>
        </w:rPr>
        <w:t>1.本合同范围的服务，应由乙方直接供应，不得转让他人供应；</w:t>
      </w:r>
    </w:p>
    <w:p>
      <w:pPr>
        <w:snapToGrid w:val="0"/>
        <w:spacing w:before="156" w:beforeLines="50" w:after="156" w:afterLines="50" w:line="360" w:lineRule="auto"/>
        <w:ind w:firstLine="480" w:firstLineChars="200"/>
        <w:rPr>
          <w:rFonts w:ascii="宋体" w:hAnsi="宋体" w:cs="宋体"/>
          <w:sz w:val="24"/>
        </w:rPr>
      </w:pPr>
      <w:r>
        <w:rPr>
          <w:rFonts w:hint="eastAsia" w:ascii="宋体" w:hAnsi="宋体" w:cs="宋体"/>
          <w:sz w:val="24"/>
        </w:rPr>
        <w:t>2. 除非得到甲方的书面同意，乙方不得将本合同范围的服务全部或部分分包给他人供应；</w:t>
      </w:r>
    </w:p>
    <w:p>
      <w:pPr>
        <w:snapToGrid w:val="0"/>
        <w:spacing w:before="156" w:beforeLines="50" w:after="156" w:afterLines="50" w:line="360" w:lineRule="auto"/>
        <w:ind w:firstLine="480" w:firstLineChars="200"/>
        <w:rPr>
          <w:rFonts w:ascii="宋体" w:hAnsi="宋体" w:cs="宋体"/>
          <w:sz w:val="24"/>
        </w:rPr>
      </w:pPr>
      <w:r>
        <w:rPr>
          <w:rFonts w:hint="eastAsia" w:ascii="宋体" w:hAnsi="宋体" w:cs="宋体"/>
          <w:sz w:val="24"/>
        </w:rPr>
        <w:t>3.如有转让和未经甲方同意的分包行为，甲方有权解除合同，没收履约保证金并追究乙方的违约责任。</w:t>
      </w:r>
    </w:p>
    <w:p>
      <w:pPr>
        <w:pStyle w:val="17"/>
        <w:snapToGrid w:val="0"/>
        <w:spacing w:before="120" w:after="120" w:line="360" w:lineRule="auto"/>
        <w:outlineLvl w:val="1"/>
        <w:rPr>
          <w:rFonts w:hAnsi="宋体" w:cs="宋体"/>
          <w:b/>
          <w:sz w:val="24"/>
        </w:rPr>
      </w:pPr>
      <w:r>
        <w:rPr>
          <w:rFonts w:hint="eastAsia" w:hAnsi="宋体" w:cs="宋体"/>
          <w:b/>
          <w:sz w:val="24"/>
        </w:rPr>
        <w:t>八、合同履行时间、履行方式及履行地点</w:t>
      </w:r>
    </w:p>
    <w:p>
      <w:pPr>
        <w:pStyle w:val="17"/>
        <w:snapToGrid w:val="0"/>
        <w:spacing w:before="120" w:after="120" w:line="360" w:lineRule="auto"/>
        <w:ind w:firstLine="480" w:firstLineChars="200"/>
        <w:rPr>
          <w:rFonts w:hAnsi="宋体" w:cs="宋体"/>
          <w:bCs/>
          <w:color w:val="000000"/>
          <w:sz w:val="24"/>
        </w:rPr>
      </w:pPr>
      <w:r>
        <w:rPr>
          <w:rFonts w:hint="eastAsia" w:hAnsi="宋体" w:cs="宋体"/>
          <w:bCs/>
          <w:sz w:val="24"/>
        </w:rPr>
        <w:t xml:space="preserve">1. </w:t>
      </w:r>
      <w:r>
        <w:rPr>
          <w:rFonts w:hint="eastAsia" w:hAnsi="宋体" w:cs="宋体"/>
          <w:sz w:val="24"/>
        </w:rPr>
        <w:t>履行时间</w:t>
      </w:r>
      <w:r>
        <w:rPr>
          <w:rFonts w:hint="eastAsia" w:hAnsi="宋体" w:cs="宋体"/>
          <w:bCs/>
          <w:sz w:val="24"/>
        </w:rPr>
        <w:t>：</w:t>
      </w:r>
    </w:p>
    <w:p>
      <w:pPr>
        <w:pStyle w:val="17"/>
        <w:snapToGrid w:val="0"/>
        <w:spacing w:before="120" w:after="120" w:line="360" w:lineRule="auto"/>
        <w:ind w:firstLine="480" w:firstLineChars="200"/>
        <w:rPr>
          <w:rFonts w:hAnsi="宋体" w:cs="宋体"/>
          <w:bCs/>
          <w:color w:val="000000"/>
          <w:sz w:val="24"/>
        </w:rPr>
      </w:pPr>
      <w:r>
        <w:rPr>
          <w:rFonts w:hint="eastAsia" w:hAnsi="宋体" w:cs="宋体"/>
          <w:bCs/>
          <w:color w:val="000000"/>
          <w:sz w:val="24"/>
        </w:rPr>
        <w:t xml:space="preserve">2. </w:t>
      </w:r>
      <w:r>
        <w:rPr>
          <w:rFonts w:hint="eastAsia" w:hAnsi="宋体" w:cs="宋体"/>
          <w:sz w:val="24"/>
        </w:rPr>
        <w:t>履行方式</w:t>
      </w:r>
      <w:r>
        <w:rPr>
          <w:rFonts w:hint="eastAsia" w:hAnsi="宋体" w:cs="宋体"/>
          <w:bCs/>
          <w:color w:val="000000"/>
          <w:sz w:val="24"/>
        </w:rPr>
        <w:t>：</w:t>
      </w:r>
    </w:p>
    <w:p>
      <w:pPr>
        <w:pStyle w:val="17"/>
        <w:snapToGrid w:val="0"/>
        <w:spacing w:before="120" w:after="120" w:line="360" w:lineRule="auto"/>
        <w:ind w:firstLine="480" w:firstLineChars="200"/>
        <w:rPr>
          <w:rFonts w:hAnsi="宋体" w:cs="宋体"/>
          <w:color w:val="000000"/>
          <w:sz w:val="24"/>
        </w:rPr>
      </w:pPr>
      <w:r>
        <w:rPr>
          <w:rFonts w:hint="eastAsia" w:hAnsi="宋体" w:cs="宋体"/>
          <w:bCs/>
          <w:color w:val="000000"/>
          <w:sz w:val="24"/>
        </w:rPr>
        <w:t xml:space="preserve">3. </w:t>
      </w:r>
      <w:r>
        <w:rPr>
          <w:rFonts w:hint="eastAsia" w:hAnsi="宋体" w:cs="宋体"/>
          <w:sz w:val="24"/>
        </w:rPr>
        <w:t>履行地点</w:t>
      </w:r>
      <w:r>
        <w:rPr>
          <w:rFonts w:hint="eastAsia" w:hAnsi="宋体" w:cs="宋体"/>
          <w:bCs/>
          <w:color w:val="000000"/>
          <w:sz w:val="24"/>
        </w:rPr>
        <w:t>：</w:t>
      </w:r>
    </w:p>
    <w:p>
      <w:pPr>
        <w:pStyle w:val="17"/>
        <w:snapToGrid w:val="0"/>
        <w:spacing w:before="120" w:after="120" w:line="360" w:lineRule="auto"/>
        <w:outlineLvl w:val="1"/>
        <w:rPr>
          <w:rFonts w:hAnsi="宋体" w:cs="宋体"/>
          <w:b/>
          <w:color w:val="000000"/>
          <w:sz w:val="24"/>
        </w:rPr>
      </w:pPr>
      <w:r>
        <w:rPr>
          <w:rFonts w:hint="eastAsia" w:hAnsi="宋体" w:cs="宋体"/>
          <w:b/>
          <w:color w:val="000000"/>
          <w:sz w:val="24"/>
        </w:rPr>
        <w:t>九、款项支付</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付款方式：</w:t>
      </w:r>
      <w:r>
        <w:rPr>
          <w:rFonts w:hint="eastAsia" w:ascii="宋体" w:hAnsi="宋体"/>
          <w:kern w:val="0"/>
          <w:sz w:val="24"/>
        </w:rPr>
        <w:t>合同签订后支付合同金额的40%作为预付款，剩余服务费用按季度结算，结合每季度的中标人考核情况</w:t>
      </w:r>
      <w:r>
        <w:rPr>
          <w:rFonts w:hint="eastAsia" w:ascii="宋体" w:hAnsi="宋体" w:cs="宋体"/>
          <w:bCs/>
          <w:sz w:val="24"/>
        </w:rPr>
        <w:t xml:space="preserve">。 </w:t>
      </w:r>
    </w:p>
    <w:p>
      <w:pPr>
        <w:snapToGrid w:val="0"/>
        <w:spacing w:before="156" w:beforeLines="50" w:after="156" w:afterLines="50" w:line="360" w:lineRule="auto"/>
        <w:outlineLvl w:val="1"/>
        <w:rPr>
          <w:rFonts w:ascii="宋体" w:hAnsi="宋体" w:cs="宋体"/>
          <w:b/>
          <w:sz w:val="24"/>
        </w:rPr>
      </w:pPr>
      <w:r>
        <w:rPr>
          <w:rFonts w:hint="eastAsia" w:ascii="宋体" w:hAnsi="宋体" w:cs="宋体"/>
          <w:b/>
          <w:sz w:val="24"/>
        </w:rPr>
        <w:t>十、税费</w:t>
      </w:r>
    </w:p>
    <w:p>
      <w:pPr>
        <w:snapToGrid w:val="0"/>
        <w:spacing w:before="156" w:beforeLines="50" w:after="156" w:afterLines="50" w:line="360" w:lineRule="auto"/>
        <w:ind w:firstLine="480" w:firstLineChars="200"/>
        <w:rPr>
          <w:rFonts w:ascii="宋体" w:hAnsi="宋体" w:cs="宋体"/>
          <w:sz w:val="24"/>
        </w:rPr>
      </w:pPr>
      <w:r>
        <w:rPr>
          <w:rFonts w:hint="eastAsia" w:ascii="宋体" w:hAnsi="宋体" w:cs="宋体"/>
          <w:sz w:val="24"/>
        </w:rPr>
        <w:t>本合同执行中相关的一切税费均由乙方负担。</w:t>
      </w:r>
    </w:p>
    <w:p>
      <w:pPr>
        <w:pStyle w:val="17"/>
        <w:snapToGrid w:val="0"/>
        <w:spacing w:before="120" w:after="120" w:line="360" w:lineRule="auto"/>
        <w:ind w:left="412" w:hanging="412" w:hangingChars="171"/>
        <w:outlineLvl w:val="1"/>
        <w:rPr>
          <w:rFonts w:hAnsi="宋体" w:cs="宋体"/>
          <w:sz w:val="24"/>
        </w:rPr>
      </w:pPr>
      <w:r>
        <w:rPr>
          <w:rFonts w:hint="eastAsia" w:hAnsi="宋体" w:cs="宋体"/>
          <w:b/>
          <w:sz w:val="24"/>
        </w:rPr>
        <w:t>十一、质量保证及后续服务</w:t>
      </w:r>
    </w:p>
    <w:p>
      <w:pPr>
        <w:pStyle w:val="17"/>
        <w:snapToGrid w:val="0"/>
        <w:spacing w:before="120" w:after="120" w:line="360" w:lineRule="auto"/>
        <w:ind w:firstLine="480" w:firstLineChars="200"/>
        <w:rPr>
          <w:rFonts w:hAnsi="宋体" w:cs="宋体"/>
          <w:sz w:val="24"/>
        </w:rPr>
      </w:pPr>
      <w:r>
        <w:rPr>
          <w:rFonts w:hint="eastAsia" w:hAnsi="宋体" w:cs="宋体"/>
          <w:sz w:val="24"/>
        </w:rPr>
        <w:t>1． 乙方应按招标文件规定向甲方提供服务。</w:t>
      </w:r>
    </w:p>
    <w:p>
      <w:pPr>
        <w:pStyle w:val="17"/>
        <w:snapToGrid w:val="0"/>
        <w:spacing w:before="120" w:after="120" w:line="360" w:lineRule="auto"/>
        <w:ind w:firstLine="480" w:firstLineChars="200"/>
        <w:rPr>
          <w:rFonts w:hAnsi="宋体" w:cs="宋体"/>
          <w:sz w:val="24"/>
        </w:rPr>
      </w:pPr>
      <w:r>
        <w:rPr>
          <w:rFonts w:hint="eastAsia" w:hAnsi="宋体" w:cs="宋体"/>
          <w:sz w:val="24"/>
        </w:rPr>
        <w:t>2． 乙方提供的服务成果在服务质量保证期内发生故障，乙方应负责免费提供后续服务。对达不到要求者，根据实际情况，经双方协商，可按以下办法处理：</w:t>
      </w:r>
    </w:p>
    <w:p>
      <w:pPr>
        <w:pStyle w:val="17"/>
        <w:snapToGrid w:val="0"/>
        <w:spacing w:before="120" w:after="120" w:line="360" w:lineRule="auto"/>
        <w:ind w:firstLine="420"/>
        <w:rPr>
          <w:rFonts w:hAnsi="宋体" w:cs="宋体"/>
          <w:sz w:val="24"/>
        </w:rPr>
      </w:pPr>
      <w:r>
        <w:rPr>
          <w:rFonts w:hint="eastAsia" w:hAnsi="宋体" w:cs="宋体"/>
          <w:sz w:val="24"/>
        </w:rPr>
        <w:t>⑴重做：由乙方承担所发生的全部费用。</w:t>
      </w:r>
    </w:p>
    <w:p>
      <w:pPr>
        <w:pStyle w:val="17"/>
        <w:snapToGrid w:val="0"/>
        <w:spacing w:before="120" w:after="120" w:line="360" w:lineRule="auto"/>
        <w:ind w:firstLine="420"/>
        <w:rPr>
          <w:rFonts w:hAnsi="宋体" w:cs="宋体"/>
          <w:sz w:val="24"/>
        </w:rPr>
      </w:pPr>
      <w:r>
        <w:rPr>
          <w:rFonts w:hint="eastAsia" w:hAnsi="宋体" w:cs="宋体"/>
          <w:sz w:val="24"/>
        </w:rPr>
        <w:t>⑵贬值处理：由甲乙双方合议定价。</w:t>
      </w:r>
    </w:p>
    <w:p>
      <w:pPr>
        <w:pStyle w:val="17"/>
        <w:snapToGrid w:val="0"/>
        <w:spacing w:before="120" w:after="120" w:line="360" w:lineRule="auto"/>
        <w:ind w:left="420" w:leftChars="200"/>
        <w:rPr>
          <w:rFonts w:hAnsi="宋体" w:cs="宋体"/>
          <w:sz w:val="24"/>
        </w:rPr>
      </w:pPr>
      <w:r>
        <w:rPr>
          <w:rFonts w:hint="eastAsia" w:hAnsi="宋体" w:cs="宋体"/>
          <w:sz w:val="24"/>
        </w:rPr>
        <w:t>⑶解除合同。</w:t>
      </w:r>
    </w:p>
    <w:p>
      <w:pPr>
        <w:pStyle w:val="17"/>
        <w:snapToGrid w:val="0"/>
        <w:spacing w:before="120" w:after="120" w:line="360" w:lineRule="auto"/>
        <w:ind w:firstLine="480" w:firstLineChars="200"/>
        <w:rPr>
          <w:rFonts w:hAnsi="宋体" w:cs="宋体"/>
          <w:sz w:val="24"/>
        </w:rPr>
      </w:pPr>
      <w:r>
        <w:rPr>
          <w:rFonts w:hint="eastAsia" w:hAnsi="宋体" w:cs="宋体"/>
          <w:sz w:val="24"/>
        </w:rPr>
        <w:t>3． 如在使用过程中发生问题，乙方在接到甲方通知后</w:t>
      </w:r>
      <w:r>
        <w:rPr>
          <w:rFonts w:hint="eastAsia" w:hAnsi="宋体" w:cs="宋体"/>
          <w:color w:val="000000"/>
          <w:sz w:val="24"/>
        </w:rPr>
        <w:t>在</w:t>
      </w:r>
      <w:r>
        <w:rPr>
          <w:rFonts w:hint="eastAsia" w:hAnsi="宋体" w:cs="宋体"/>
          <w:sz w:val="24"/>
          <w:u w:val="single"/>
        </w:rPr>
        <w:t xml:space="preserve">   </w:t>
      </w:r>
      <w:r>
        <w:rPr>
          <w:rFonts w:hint="eastAsia" w:hAnsi="宋体" w:cs="宋体"/>
          <w:color w:val="000000"/>
          <w:sz w:val="24"/>
        </w:rPr>
        <w:t>小时</w:t>
      </w:r>
      <w:r>
        <w:rPr>
          <w:rFonts w:hint="eastAsia" w:hAnsi="宋体" w:cs="宋体"/>
          <w:sz w:val="24"/>
        </w:rPr>
        <w:t>内到达甲方现场。</w:t>
      </w:r>
    </w:p>
    <w:p>
      <w:pPr>
        <w:pStyle w:val="17"/>
        <w:snapToGrid w:val="0"/>
        <w:spacing w:before="120" w:after="120" w:line="360" w:lineRule="auto"/>
        <w:ind w:firstLine="480" w:firstLineChars="200"/>
        <w:rPr>
          <w:rFonts w:hAnsi="宋体" w:cs="宋体"/>
          <w:sz w:val="24"/>
        </w:rPr>
      </w:pPr>
      <w:r>
        <w:rPr>
          <w:rFonts w:hint="eastAsia" w:hAnsi="宋体" w:cs="宋体"/>
          <w:sz w:val="24"/>
        </w:rPr>
        <w:t>4．在服务质量保证期内，乙方应对出现的质量及安全问题负责处理解决并承担一切费用。</w:t>
      </w:r>
    </w:p>
    <w:p>
      <w:pPr>
        <w:pStyle w:val="17"/>
        <w:snapToGrid w:val="0"/>
        <w:spacing w:before="120" w:after="120" w:line="360" w:lineRule="auto"/>
        <w:outlineLvl w:val="1"/>
        <w:rPr>
          <w:rFonts w:hAnsi="宋体" w:cs="宋体"/>
          <w:b/>
          <w:sz w:val="24"/>
        </w:rPr>
      </w:pPr>
      <w:r>
        <w:rPr>
          <w:rFonts w:hint="eastAsia" w:hAnsi="宋体" w:cs="宋体"/>
          <w:b/>
          <w:sz w:val="24"/>
        </w:rPr>
        <w:t>十二、违约责任</w:t>
      </w:r>
    </w:p>
    <w:p>
      <w:pPr>
        <w:pStyle w:val="17"/>
        <w:snapToGrid w:val="0"/>
        <w:spacing w:before="120" w:after="120" w:line="360" w:lineRule="auto"/>
        <w:ind w:firstLine="480" w:firstLineChars="200"/>
        <w:rPr>
          <w:rFonts w:hAnsi="宋体" w:cs="宋体"/>
          <w:color w:val="000000"/>
          <w:sz w:val="24"/>
        </w:rPr>
      </w:pPr>
      <w:r>
        <w:rPr>
          <w:rFonts w:hint="eastAsia" w:hAnsi="宋体" w:cs="宋体"/>
          <w:color w:val="000000"/>
          <w:sz w:val="24"/>
        </w:rPr>
        <w:t>1．甲方无正当理由拒收接受服务的，甲方向乙方偿付合同款项</w:t>
      </w:r>
      <w:r>
        <w:rPr>
          <w:rFonts w:hint="eastAsia" w:hAnsi="宋体" w:cs="宋体"/>
          <w:color w:val="000000"/>
          <w:sz w:val="24"/>
          <w:u w:val="single"/>
        </w:rPr>
        <w:t>百分之五</w:t>
      </w:r>
      <w:r>
        <w:rPr>
          <w:rFonts w:hint="eastAsia" w:hAnsi="宋体" w:cs="宋体"/>
          <w:color w:val="000000"/>
          <w:sz w:val="24"/>
        </w:rPr>
        <w:t>作为违约金。</w:t>
      </w:r>
    </w:p>
    <w:p>
      <w:pPr>
        <w:pStyle w:val="17"/>
        <w:snapToGrid w:val="0"/>
        <w:spacing w:before="120" w:after="120" w:line="360" w:lineRule="auto"/>
        <w:ind w:firstLine="480" w:firstLineChars="200"/>
        <w:rPr>
          <w:rFonts w:hAnsi="宋体" w:cs="宋体"/>
          <w:color w:val="000000"/>
          <w:sz w:val="24"/>
        </w:rPr>
      </w:pPr>
      <w:r>
        <w:rPr>
          <w:rFonts w:hint="eastAsia" w:hAnsi="宋体" w:cs="宋体"/>
          <w:color w:val="000000"/>
          <w:sz w:val="24"/>
        </w:rPr>
        <w:t>2． 乙方未能如期提供服务的，每日向甲方支付合同款项的</w:t>
      </w:r>
      <w:r>
        <w:rPr>
          <w:rFonts w:hint="eastAsia" w:hAnsi="宋体" w:cs="宋体"/>
          <w:color w:val="000000"/>
          <w:sz w:val="24"/>
          <w:u w:val="single"/>
        </w:rPr>
        <w:t>千分之六</w:t>
      </w:r>
      <w:r>
        <w:rPr>
          <w:rFonts w:hint="eastAsia" w:hAnsi="宋体" w:cs="宋体"/>
          <w:color w:val="000000"/>
          <w:sz w:val="24"/>
        </w:rPr>
        <w:t>作为违约金。乙方超过约定日期10个工作日仍不能提供服务的，甲方可解除本合同。乙方因未能如期提供服务或因其他违约行为导致甲方解除合同的，乙方应向甲方支付合同总值</w:t>
      </w:r>
      <w:r>
        <w:rPr>
          <w:rFonts w:hint="eastAsia" w:hAnsi="宋体" w:cs="宋体"/>
          <w:color w:val="000000"/>
          <w:sz w:val="24"/>
          <w:u w:val="single"/>
        </w:rPr>
        <w:t>5%</w:t>
      </w:r>
      <w:r>
        <w:rPr>
          <w:rFonts w:hint="eastAsia" w:hAnsi="宋体" w:cs="宋体"/>
          <w:color w:val="000000"/>
          <w:sz w:val="24"/>
        </w:rPr>
        <w:t xml:space="preserve">的违约金，如造成甲方损失超过违约金的，超出部分由乙方继续承担赔偿责任。 </w:t>
      </w:r>
    </w:p>
    <w:p>
      <w:pPr>
        <w:pStyle w:val="17"/>
        <w:snapToGrid w:val="0"/>
        <w:spacing w:before="120" w:after="120" w:line="360" w:lineRule="auto"/>
        <w:ind w:firstLine="480" w:firstLineChars="200"/>
        <w:rPr>
          <w:rFonts w:hAnsi="宋体" w:cs="宋体"/>
          <w:color w:val="000000"/>
          <w:sz w:val="24"/>
        </w:rPr>
      </w:pPr>
      <w:r>
        <w:rPr>
          <w:rFonts w:hAnsi="宋体" w:cs="宋体"/>
          <w:color w:val="000000"/>
          <w:sz w:val="24"/>
        </w:rPr>
        <w:t xml:space="preserve">3. </w:t>
      </w:r>
      <w:r>
        <w:rPr>
          <w:rFonts w:hint="eastAsia" w:hAnsi="宋体" w:cs="宋体"/>
          <w:color w:val="000000"/>
          <w:sz w:val="24"/>
        </w:rPr>
        <w:t>乙方</w:t>
      </w:r>
      <w:r>
        <w:rPr>
          <w:rFonts w:hint="eastAsia" w:hAnsi="宋体" w:cs="宋体"/>
          <w:color w:val="000000"/>
          <w:sz w:val="24"/>
          <w:lang w:eastAsia="zh-Hans"/>
        </w:rPr>
        <w:t>未按要求提供服务</w:t>
      </w:r>
      <w:r>
        <w:rPr>
          <w:rFonts w:hint="eastAsia" w:hAnsi="宋体" w:cs="宋体"/>
          <w:color w:val="000000"/>
          <w:sz w:val="24"/>
        </w:rPr>
        <w:t>的，</w:t>
      </w:r>
      <w:r>
        <w:rPr>
          <w:rFonts w:hint="eastAsia" w:hAnsi="宋体" w:cs="宋体"/>
          <w:color w:val="000000"/>
          <w:sz w:val="24"/>
          <w:lang w:eastAsia="zh-Hans"/>
        </w:rPr>
        <w:t>根据服务考核办法承担相应违约金</w:t>
      </w:r>
      <w:r>
        <w:rPr>
          <w:rFonts w:hint="eastAsia" w:hAnsi="宋体" w:cs="宋体"/>
          <w:color w:val="000000"/>
          <w:sz w:val="24"/>
        </w:rPr>
        <w:t>。</w:t>
      </w:r>
      <w:r>
        <w:rPr>
          <w:rFonts w:hint="eastAsia" w:hAnsi="宋体" w:cs="宋体"/>
          <w:color w:val="000000"/>
          <w:sz w:val="24"/>
          <w:lang w:eastAsia="zh-Hans"/>
        </w:rPr>
        <w:t>乙方履约严重不符合要求的</w:t>
      </w:r>
      <w:r>
        <w:rPr>
          <w:rFonts w:hAnsi="宋体" w:cs="宋体"/>
          <w:color w:val="000000"/>
          <w:sz w:val="24"/>
          <w:lang w:eastAsia="zh-Hans"/>
        </w:rPr>
        <w:t>，</w:t>
      </w:r>
      <w:r>
        <w:rPr>
          <w:rFonts w:hint="eastAsia" w:hAnsi="宋体" w:cs="宋体"/>
          <w:color w:val="000000"/>
          <w:sz w:val="24"/>
          <w:lang w:eastAsia="zh-Hans"/>
        </w:rPr>
        <w:t>甲方有权解除合同</w:t>
      </w:r>
      <w:r>
        <w:rPr>
          <w:rFonts w:hAnsi="宋体" w:cs="宋体"/>
          <w:color w:val="000000"/>
          <w:sz w:val="24"/>
          <w:lang w:eastAsia="zh-Hans"/>
        </w:rPr>
        <w:t>，</w:t>
      </w:r>
      <w:r>
        <w:rPr>
          <w:rFonts w:hint="eastAsia" w:hAnsi="宋体" w:cs="宋体"/>
          <w:color w:val="000000"/>
          <w:sz w:val="24"/>
          <w:lang w:eastAsia="zh-Hans"/>
        </w:rPr>
        <w:t>并要求乙方承担合同金额</w:t>
      </w:r>
      <w:r>
        <w:rPr>
          <w:rFonts w:hAnsi="宋体" w:cs="宋体"/>
          <w:color w:val="000000"/>
          <w:sz w:val="24"/>
          <w:lang w:eastAsia="zh-Hans"/>
        </w:rPr>
        <w:t>30%</w:t>
      </w:r>
      <w:r>
        <w:rPr>
          <w:rFonts w:hint="eastAsia" w:hAnsi="宋体" w:cs="宋体"/>
          <w:color w:val="000000"/>
          <w:sz w:val="24"/>
          <w:lang w:eastAsia="zh-Hans"/>
        </w:rPr>
        <w:t>的违约金</w:t>
      </w:r>
      <w:r>
        <w:rPr>
          <w:rFonts w:hint="eastAsia" w:hAnsi="宋体" w:cs="宋体"/>
          <w:color w:val="000000"/>
          <w:sz w:val="24"/>
        </w:rPr>
        <w:t xml:space="preserve"> </w:t>
      </w:r>
      <w:r>
        <w:rPr>
          <w:rFonts w:hAnsi="宋体" w:cs="宋体"/>
          <w:color w:val="000000"/>
          <w:sz w:val="24"/>
        </w:rPr>
        <w:t>。</w:t>
      </w:r>
    </w:p>
    <w:p>
      <w:pPr>
        <w:pStyle w:val="17"/>
        <w:snapToGrid w:val="0"/>
        <w:spacing w:before="120" w:after="120" w:line="360" w:lineRule="auto"/>
        <w:outlineLvl w:val="1"/>
        <w:rPr>
          <w:rFonts w:hAnsi="宋体" w:cs="宋体"/>
          <w:b/>
          <w:color w:val="000000"/>
          <w:sz w:val="24"/>
        </w:rPr>
      </w:pPr>
      <w:r>
        <w:rPr>
          <w:rFonts w:hint="eastAsia" w:hAnsi="宋体" w:cs="宋体"/>
          <w:b/>
          <w:color w:val="000000"/>
          <w:sz w:val="24"/>
        </w:rPr>
        <w:t>十三、不可抗力事件处理</w:t>
      </w:r>
    </w:p>
    <w:p>
      <w:pPr>
        <w:pStyle w:val="17"/>
        <w:snapToGrid w:val="0"/>
        <w:spacing w:before="120" w:after="120"/>
        <w:ind w:firstLine="480" w:firstLineChars="200"/>
        <w:rPr>
          <w:rFonts w:hAnsi="宋体" w:cs="宋体"/>
          <w:color w:val="000000"/>
          <w:sz w:val="24"/>
        </w:rPr>
      </w:pPr>
      <w:r>
        <w:rPr>
          <w:rFonts w:hint="eastAsia" w:hAnsi="宋体" w:cs="宋体"/>
          <w:color w:val="000000"/>
          <w:sz w:val="24"/>
        </w:rPr>
        <w:t>1．在合同有效期内，任何一方因不可抗力事件导致不能履行合同，则合同履行期可延长，其延长期与不可抗力影响期相同。</w:t>
      </w:r>
    </w:p>
    <w:p>
      <w:pPr>
        <w:pStyle w:val="17"/>
        <w:snapToGrid w:val="0"/>
        <w:spacing w:before="120" w:after="120"/>
        <w:ind w:firstLine="480" w:firstLineChars="200"/>
        <w:rPr>
          <w:rFonts w:hAnsi="宋体" w:cs="宋体"/>
          <w:color w:val="000000"/>
          <w:sz w:val="24"/>
        </w:rPr>
      </w:pPr>
      <w:r>
        <w:rPr>
          <w:rFonts w:hint="eastAsia" w:hAnsi="宋体" w:cs="宋体"/>
          <w:color w:val="000000"/>
          <w:sz w:val="24"/>
        </w:rPr>
        <w:t>2．不可抗力事件发生后，应立即通知对方，并寄送有关权威机构出具的证明。</w:t>
      </w:r>
    </w:p>
    <w:p>
      <w:pPr>
        <w:pStyle w:val="17"/>
        <w:snapToGrid w:val="0"/>
        <w:spacing w:before="120" w:after="120"/>
        <w:ind w:firstLine="480" w:firstLineChars="200"/>
        <w:rPr>
          <w:rFonts w:hAnsi="宋体" w:cs="宋体"/>
          <w:sz w:val="24"/>
        </w:rPr>
      </w:pPr>
      <w:r>
        <w:rPr>
          <w:rFonts w:hint="eastAsia" w:hAnsi="宋体" w:cs="宋体"/>
          <w:color w:val="000000"/>
          <w:sz w:val="24"/>
        </w:rPr>
        <w:t>3．不可抗力事件延续120天以上，双方应</w:t>
      </w:r>
      <w:r>
        <w:rPr>
          <w:rFonts w:hint="eastAsia" w:hAnsi="宋体" w:cs="宋体"/>
          <w:sz w:val="24"/>
        </w:rPr>
        <w:t>通过友好协商，确定是否继续履行合</w:t>
      </w:r>
    </w:p>
    <w:p>
      <w:pPr>
        <w:pStyle w:val="17"/>
        <w:snapToGrid w:val="0"/>
        <w:spacing w:before="120" w:after="120"/>
        <w:rPr>
          <w:rFonts w:hAnsi="宋体" w:cs="宋体"/>
          <w:sz w:val="24"/>
        </w:rPr>
      </w:pPr>
      <w:r>
        <w:rPr>
          <w:rFonts w:hint="eastAsia" w:hAnsi="宋体" w:cs="宋体"/>
          <w:sz w:val="24"/>
        </w:rPr>
        <w:t>同。</w:t>
      </w:r>
    </w:p>
    <w:p>
      <w:pPr>
        <w:pStyle w:val="17"/>
        <w:snapToGrid w:val="0"/>
        <w:spacing w:before="120" w:after="120" w:line="360" w:lineRule="auto"/>
        <w:outlineLvl w:val="1"/>
        <w:rPr>
          <w:rFonts w:hAnsi="宋体" w:cs="宋体"/>
          <w:b/>
          <w:sz w:val="24"/>
        </w:rPr>
      </w:pPr>
      <w:r>
        <w:rPr>
          <w:rFonts w:hint="eastAsia" w:hAnsi="宋体" w:cs="宋体"/>
          <w:b/>
          <w:sz w:val="24"/>
        </w:rPr>
        <w:t>十四、解决争议的方法</w:t>
      </w:r>
    </w:p>
    <w:p>
      <w:pPr>
        <w:pStyle w:val="17"/>
        <w:snapToGrid w:val="0"/>
        <w:spacing w:before="120" w:after="120" w:line="360" w:lineRule="auto"/>
        <w:ind w:firstLine="480" w:firstLineChars="200"/>
        <w:rPr>
          <w:rFonts w:hAnsi="宋体" w:cs="宋体"/>
          <w:sz w:val="24"/>
        </w:rPr>
      </w:pPr>
      <w:r>
        <w:rPr>
          <w:rFonts w:hint="eastAsia" w:hAnsi="宋体" w:cs="宋体"/>
          <w:sz w:val="24"/>
        </w:rPr>
        <w:t>1. 如双方在履行合同时发生纠纷，应协商解决；协商不成时，可提请政府采购管理部门调解；调解不成的通过以下第二种方式解决：</w:t>
      </w:r>
    </w:p>
    <w:p>
      <w:pPr>
        <w:pStyle w:val="17"/>
        <w:snapToGrid w:val="0"/>
        <w:spacing w:before="120" w:after="120" w:line="360" w:lineRule="auto"/>
        <w:ind w:firstLine="240" w:firstLineChars="100"/>
        <w:rPr>
          <w:rFonts w:hAnsi="宋体" w:cs="宋体"/>
          <w:sz w:val="24"/>
        </w:rPr>
      </w:pPr>
      <w:r>
        <w:rPr>
          <w:rFonts w:hint="eastAsia" w:hAnsi="宋体" w:cs="宋体"/>
          <w:sz w:val="24"/>
        </w:rPr>
        <w:t>（1） 提交</w:t>
      </w:r>
      <w:r>
        <w:rPr>
          <w:rFonts w:hint="eastAsia" w:hAnsi="宋体" w:cs="宋体"/>
          <w:sz w:val="24"/>
          <w:u w:val="single"/>
        </w:rPr>
        <w:t>台州</w:t>
      </w:r>
      <w:r>
        <w:rPr>
          <w:rFonts w:hint="eastAsia" w:hAnsi="宋体" w:cs="宋体"/>
          <w:sz w:val="24"/>
        </w:rPr>
        <w:t>仲裁委员会仲裁。</w:t>
      </w:r>
    </w:p>
    <w:p>
      <w:pPr>
        <w:pStyle w:val="17"/>
        <w:snapToGrid w:val="0"/>
        <w:spacing w:before="120" w:after="120" w:line="360" w:lineRule="auto"/>
        <w:ind w:firstLine="240" w:firstLineChars="100"/>
        <w:rPr>
          <w:rFonts w:hAnsi="宋体" w:cs="宋体"/>
          <w:sz w:val="24"/>
        </w:rPr>
      </w:pPr>
      <w:r>
        <w:rPr>
          <w:rFonts w:hint="eastAsia" w:hAnsi="宋体" w:cs="宋体"/>
          <w:sz w:val="24"/>
        </w:rPr>
        <w:t xml:space="preserve">  （2） 依法向甲方所在地人民法院提起诉讼。</w:t>
      </w:r>
    </w:p>
    <w:p>
      <w:pPr>
        <w:pStyle w:val="17"/>
        <w:snapToGrid w:val="0"/>
        <w:spacing w:before="120" w:after="120" w:line="360" w:lineRule="auto"/>
        <w:outlineLvl w:val="1"/>
        <w:rPr>
          <w:rFonts w:hAnsi="宋体" w:cs="宋体"/>
          <w:b/>
          <w:sz w:val="24"/>
        </w:rPr>
      </w:pPr>
      <w:r>
        <w:rPr>
          <w:rFonts w:hint="eastAsia" w:hAnsi="宋体" w:cs="宋体"/>
          <w:b/>
          <w:sz w:val="24"/>
        </w:rPr>
        <w:t>十五、合同生效及其它</w:t>
      </w:r>
    </w:p>
    <w:p>
      <w:pPr>
        <w:pStyle w:val="17"/>
        <w:snapToGrid w:val="0"/>
        <w:spacing w:before="120" w:after="120"/>
        <w:ind w:firstLine="480" w:firstLineChars="200"/>
        <w:rPr>
          <w:rFonts w:hAnsi="宋体" w:cs="宋体"/>
          <w:sz w:val="24"/>
        </w:rPr>
      </w:pPr>
      <w:r>
        <w:rPr>
          <w:rFonts w:hint="eastAsia" w:hAnsi="宋体" w:cs="宋体"/>
          <w:sz w:val="24"/>
        </w:rPr>
        <w:t>1. 合同经双方法定代表人或授权代表签字并加盖单位公章后生效。</w:t>
      </w:r>
    </w:p>
    <w:p>
      <w:pPr>
        <w:pStyle w:val="17"/>
        <w:snapToGrid w:val="0"/>
        <w:spacing w:before="120" w:after="120"/>
        <w:ind w:firstLine="480" w:firstLineChars="200"/>
        <w:rPr>
          <w:rFonts w:hAnsi="宋体" w:cs="宋体"/>
          <w:sz w:val="24"/>
        </w:rPr>
      </w:pPr>
      <w:r>
        <w:rPr>
          <w:rFonts w:hint="eastAsia" w:hAnsi="宋体" w:cs="宋体"/>
          <w:sz w:val="24"/>
        </w:rPr>
        <w:t>2. 本合同未尽事宜，遵照《民法典》有关条文执行。</w:t>
      </w:r>
    </w:p>
    <w:p>
      <w:pPr>
        <w:pStyle w:val="17"/>
        <w:snapToGrid w:val="0"/>
        <w:spacing w:before="120" w:after="120"/>
        <w:ind w:firstLine="480" w:firstLineChars="200"/>
        <w:rPr>
          <w:rFonts w:hAnsi="宋体" w:cs="宋体"/>
          <w:sz w:val="24"/>
        </w:rPr>
      </w:pPr>
      <w:r>
        <w:rPr>
          <w:rFonts w:hint="eastAsia" w:hAnsi="宋体" w:cs="宋体"/>
          <w:sz w:val="24"/>
        </w:rPr>
        <w:t>3. 本合同一式四份。甲、乙双方各执一份，采购组织机构及同级人民政府财政部门各执一份。本项目未尽事宜以招标文件、响应文件及澄清文件等为准。</w:t>
      </w:r>
    </w:p>
    <w:p>
      <w:pPr>
        <w:spacing w:line="360" w:lineRule="auto"/>
        <w:rPr>
          <w:rFonts w:ascii="宋体" w:hAnsi="宋体" w:cs="宋体"/>
          <w:b/>
          <w:sz w:val="24"/>
        </w:rPr>
      </w:pPr>
    </w:p>
    <w:p>
      <w:pPr>
        <w:spacing w:line="360" w:lineRule="auto"/>
        <w:rPr>
          <w:rFonts w:ascii="宋体" w:hAnsi="宋体" w:cs="宋体"/>
          <w:sz w:val="24"/>
        </w:rPr>
      </w:pPr>
      <w:r>
        <w:rPr>
          <w:rFonts w:hint="eastAsia" w:ascii="宋体" w:hAnsi="宋体" w:cs="宋体"/>
          <w:sz w:val="24"/>
        </w:rPr>
        <w:t>甲方（公章）                                     乙方（公章）</w:t>
      </w:r>
    </w:p>
    <w:p>
      <w:pPr>
        <w:spacing w:line="360" w:lineRule="auto"/>
        <w:rPr>
          <w:rFonts w:ascii="宋体" w:hAnsi="宋体" w:cs="宋体"/>
          <w:sz w:val="24"/>
        </w:rPr>
      </w:pPr>
      <w:r>
        <w:rPr>
          <w:rFonts w:hint="eastAsia" w:ascii="宋体" w:hAnsi="宋体" w:cs="宋体"/>
          <w:sz w:val="24"/>
        </w:rPr>
        <w:t>法定代表人：                                     法定代表人：</w:t>
      </w:r>
    </w:p>
    <w:p>
      <w:pPr>
        <w:spacing w:line="360" w:lineRule="auto"/>
        <w:rPr>
          <w:rFonts w:ascii="宋体" w:hAnsi="宋体" w:cs="宋体"/>
          <w:sz w:val="24"/>
        </w:rPr>
      </w:pPr>
      <w:r>
        <w:rPr>
          <w:rFonts w:hint="eastAsia" w:ascii="宋体" w:hAnsi="宋体" w:cs="宋体"/>
          <w:sz w:val="24"/>
        </w:rPr>
        <w:t>委托代理人：                                     委托代理人：</w:t>
      </w:r>
    </w:p>
    <w:p>
      <w:pPr>
        <w:spacing w:line="360" w:lineRule="auto"/>
        <w:rPr>
          <w:rFonts w:ascii="宋体" w:hAnsi="宋体" w:cs="宋体"/>
          <w:sz w:val="24"/>
        </w:rPr>
      </w:pPr>
      <w:r>
        <w:rPr>
          <w:rFonts w:hint="eastAsia" w:ascii="宋体" w:hAnsi="宋体" w:cs="宋体"/>
          <w:sz w:val="24"/>
        </w:rPr>
        <w:t>联系电话：                                       联系电话：</w:t>
      </w:r>
    </w:p>
    <w:p>
      <w:pPr>
        <w:spacing w:line="360" w:lineRule="auto"/>
        <w:rPr>
          <w:rFonts w:ascii="宋体" w:hAnsi="宋体" w:cs="宋体"/>
          <w:sz w:val="24"/>
        </w:rPr>
      </w:pPr>
      <w:r>
        <w:rPr>
          <w:rFonts w:hint="eastAsia" w:ascii="宋体" w:hAnsi="宋体" w:cs="宋体"/>
          <w:sz w:val="24"/>
        </w:rPr>
        <w:t>开户银行：                                       开户银行：</w:t>
      </w:r>
    </w:p>
    <w:p>
      <w:pPr>
        <w:spacing w:line="360" w:lineRule="auto"/>
        <w:rPr>
          <w:rFonts w:ascii="宋体" w:hAnsi="宋体" w:cs="宋体"/>
          <w:sz w:val="24"/>
        </w:rPr>
      </w:pPr>
      <w:r>
        <w:rPr>
          <w:rFonts w:hint="eastAsia" w:ascii="宋体" w:hAnsi="宋体" w:cs="宋体"/>
          <w:sz w:val="24"/>
        </w:rPr>
        <w:t>账号：                                           账号：</w:t>
      </w:r>
    </w:p>
    <w:p>
      <w:pPr>
        <w:spacing w:line="360" w:lineRule="auto"/>
        <w:rPr>
          <w:rFonts w:ascii="宋体" w:hAnsi="宋体" w:cs="宋体"/>
          <w:sz w:val="24"/>
        </w:rPr>
      </w:pPr>
      <w:r>
        <w:rPr>
          <w:rFonts w:hint="eastAsia" w:ascii="宋体" w:hAnsi="宋体" w:cs="宋体"/>
          <w:sz w:val="24"/>
        </w:rPr>
        <w:t>地址及邮编：                                     地址及邮编：</w:t>
      </w:r>
    </w:p>
    <w:p>
      <w:pPr>
        <w:spacing w:line="360" w:lineRule="auto"/>
        <w:ind w:firstLine="4920" w:firstLineChars="2050"/>
        <w:rPr>
          <w:rFonts w:ascii="宋体" w:hAnsi="宋体" w:cs="宋体"/>
          <w:sz w:val="24"/>
        </w:rPr>
      </w:pPr>
    </w:p>
    <w:p>
      <w:pPr>
        <w:spacing w:line="360" w:lineRule="auto"/>
        <w:ind w:firstLine="4920" w:firstLineChars="2050"/>
        <w:rPr>
          <w:rFonts w:ascii="宋体" w:hAnsi="宋体" w:cs="宋体"/>
          <w:sz w:val="24"/>
        </w:rPr>
      </w:pPr>
      <w:r>
        <w:rPr>
          <w:rFonts w:hint="eastAsia" w:ascii="宋体" w:hAnsi="宋体" w:cs="宋体"/>
          <w:sz w:val="24"/>
        </w:rPr>
        <w:t>签订时间：    年   月    日</w:t>
      </w:r>
    </w:p>
    <w:p>
      <w:pPr>
        <w:tabs>
          <w:tab w:val="left" w:pos="3360"/>
        </w:tabs>
        <w:rPr>
          <w:rFonts w:ascii="宋体" w:hAnsi="宋体" w:cs="宋体"/>
          <w:szCs w:val="21"/>
        </w:rPr>
      </w:pPr>
      <w:r>
        <w:rPr>
          <w:rFonts w:ascii="宋体" w:hAnsi="宋体" w:cs="宋体"/>
          <w:sz w:val="24"/>
        </w:rPr>
        <w:br w:type="page"/>
      </w:r>
      <w:bookmarkStart w:id="3" w:name="_Toc13818"/>
      <w:bookmarkStart w:id="4" w:name="_Toc6534"/>
      <w:r>
        <w:rPr>
          <w:rFonts w:hint="eastAsia" w:ascii="宋体" w:hAnsi="宋体" w:cs="宋体"/>
          <w:sz w:val="24"/>
        </w:rPr>
        <w:t xml:space="preserve">                          </w:t>
      </w:r>
      <w:r>
        <w:rPr>
          <w:rFonts w:hint="eastAsia" w:ascii="宋体" w:hAnsi="宋体"/>
          <w:sz w:val="30"/>
        </w:rPr>
        <w:t>廉政</w:t>
      </w:r>
      <w:bookmarkEnd w:id="3"/>
      <w:bookmarkEnd w:id="4"/>
      <w:r>
        <w:rPr>
          <w:rFonts w:hint="eastAsia" w:ascii="宋体" w:hAnsi="宋体"/>
          <w:sz w:val="30"/>
        </w:rPr>
        <w:t>承诺书</w:t>
      </w:r>
    </w:p>
    <w:p>
      <w:pPr>
        <w:widowControl/>
        <w:tabs>
          <w:tab w:val="left" w:pos="3360"/>
        </w:tabs>
        <w:autoSpaceDE w:val="0"/>
        <w:autoSpaceDN w:val="0"/>
        <w:spacing w:line="360" w:lineRule="auto"/>
        <w:jc w:val="left"/>
        <w:rPr>
          <w:rFonts w:ascii="宋体" w:hAnsi="宋体" w:cs="宋体"/>
          <w:sz w:val="24"/>
          <w:lang w:bidi="ar"/>
        </w:rPr>
      </w:pPr>
      <w:r>
        <w:rPr>
          <w:rFonts w:hint="eastAsia" w:ascii="宋体" w:hAnsi="宋体" w:cs="宋体"/>
          <w:sz w:val="24"/>
          <w:lang w:bidi="ar"/>
        </w:rPr>
        <w:t>台州市椒江区应急管理局：</w:t>
      </w:r>
    </w:p>
    <w:p>
      <w:pPr>
        <w:widowControl/>
        <w:tabs>
          <w:tab w:val="left" w:pos="3360"/>
        </w:tabs>
        <w:autoSpaceDE w:val="0"/>
        <w:autoSpaceDN w:val="0"/>
        <w:spacing w:line="360" w:lineRule="auto"/>
        <w:ind w:firstLine="480" w:firstLineChars="200"/>
        <w:jc w:val="left"/>
        <w:rPr>
          <w:rFonts w:ascii="宋体" w:hAnsi="宋体" w:cs="宋体"/>
          <w:sz w:val="24"/>
          <w:lang w:bidi="ar"/>
        </w:rPr>
      </w:pPr>
      <w:r>
        <w:rPr>
          <w:rFonts w:hint="eastAsia" w:ascii="宋体" w:hAnsi="宋体" w:cs="宋体"/>
          <w:sz w:val="24"/>
          <w:lang w:bidi="ar"/>
        </w:rPr>
        <w:t>我单位郑重承诺：</w:t>
      </w:r>
    </w:p>
    <w:p>
      <w:pPr>
        <w:tabs>
          <w:tab w:val="left" w:pos="3360"/>
        </w:tabs>
        <w:autoSpaceDE w:val="0"/>
        <w:autoSpaceDN w:val="0"/>
        <w:spacing w:line="360" w:lineRule="auto"/>
        <w:ind w:firstLine="480" w:firstLineChars="200"/>
        <w:rPr>
          <w:rFonts w:ascii="宋体" w:hAnsi="宋体" w:cs="宋体"/>
          <w:sz w:val="24"/>
        </w:rPr>
      </w:pPr>
      <w:r>
        <w:rPr>
          <w:rFonts w:hint="eastAsia" w:ascii="宋体" w:hAnsi="宋体" w:cs="宋体"/>
          <w:sz w:val="24"/>
        </w:rPr>
        <w:t>一、本单位在项目开展过程中将严格遵循合同的相关规定和方案，保证不以任何形式吃拿卡要。不会利用职务之便，违背职业道德，索要、收受、接受、协助他人索要、收受等不正当利益。</w:t>
      </w:r>
    </w:p>
    <w:p>
      <w:pPr>
        <w:pStyle w:val="76"/>
        <w:spacing w:line="360" w:lineRule="auto"/>
        <w:ind w:firstLine="480" w:firstLineChars="200"/>
        <w:jc w:val="both"/>
        <w:rPr>
          <w:rFonts w:ascii="宋体" w:hAnsi="宋体" w:cs="宋体"/>
          <w:sz w:val="24"/>
          <w:szCs w:val="24"/>
        </w:rPr>
      </w:pPr>
      <w:r>
        <w:rPr>
          <w:rFonts w:hint="eastAsia" w:ascii="宋体" w:hAnsi="宋体" w:cs="宋体"/>
          <w:sz w:val="24"/>
          <w:szCs w:val="24"/>
        </w:rPr>
        <w:t>二、本单位将以公正、诚实、廉洁的态度工作，公正地对待所有相关人员，不偏私、不徇私，不参与或组织任何形式的腐败行为。</w:t>
      </w:r>
    </w:p>
    <w:p>
      <w:pPr>
        <w:tabs>
          <w:tab w:val="left" w:pos="3360"/>
        </w:tabs>
        <w:autoSpaceDE w:val="0"/>
        <w:autoSpaceDN w:val="0"/>
        <w:spacing w:line="360" w:lineRule="auto"/>
        <w:ind w:firstLine="480" w:firstLineChars="200"/>
        <w:jc w:val="left"/>
        <w:rPr>
          <w:rFonts w:ascii="宋体" w:hAnsi="宋体" w:cs="宋体"/>
          <w:sz w:val="24"/>
        </w:rPr>
      </w:pPr>
      <w:r>
        <w:rPr>
          <w:rFonts w:hint="eastAsia" w:ascii="宋体" w:hAnsi="宋体" w:cs="宋体"/>
          <w:sz w:val="24"/>
        </w:rPr>
        <w:t>三、本单位将保护台州市椒江区应急管理局的合法权益，合理合法地维护台州市椒江区应急管理局的利益。坚决拒绝利用职权之便不正当地获取利益，坚决防止在项目过程中出现任何利益输送、回扣等违反法律法规和道德规范的行为。</w:t>
      </w:r>
    </w:p>
    <w:p>
      <w:pPr>
        <w:tabs>
          <w:tab w:val="left" w:pos="3360"/>
        </w:tabs>
        <w:autoSpaceDE w:val="0"/>
        <w:autoSpaceDN w:val="0"/>
        <w:spacing w:line="360" w:lineRule="auto"/>
        <w:ind w:firstLine="480" w:firstLineChars="200"/>
        <w:jc w:val="left"/>
        <w:rPr>
          <w:rFonts w:ascii="宋体" w:hAnsi="宋体" w:cs="宋体"/>
          <w:sz w:val="24"/>
        </w:rPr>
      </w:pPr>
      <w:r>
        <w:rPr>
          <w:rFonts w:hint="eastAsia" w:ascii="宋体" w:hAnsi="宋体" w:cs="宋体"/>
          <w:sz w:val="24"/>
        </w:rPr>
        <w:t>四、本单位不得泄露台州市椒江区应急管理局的商业秘密和机密信息，确保台州市椒江区应急管理局的商业机密和项目资料不被盗用、泄露。在处理与项目有关的文件和资料时，本单位将严守保密义务，并妥善保管相关文件和资料，不将其泄露给任何未获得授权的人员。</w:t>
      </w:r>
    </w:p>
    <w:p>
      <w:pPr>
        <w:tabs>
          <w:tab w:val="left" w:pos="3360"/>
        </w:tabs>
        <w:autoSpaceDE w:val="0"/>
        <w:autoSpaceDN w:val="0"/>
        <w:spacing w:line="360" w:lineRule="auto"/>
        <w:ind w:firstLine="480" w:firstLineChars="200"/>
        <w:jc w:val="left"/>
        <w:rPr>
          <w:rFonts w:ascii="宋体" w:hAnsi="宋体" w:cs="宋体"/>
          <w:sz w:val="24"/>
        </w:rPr>
      </w:pPr>
      <w:r>
        <w:rPr>
          <w:rFonts w:hint="eastAsia" w:ascii="宋体" w:hAnsi="宋体" w:cs="宋体"/>
          <w:sz w:val="24"/>
        </w:rPr>
        <w:t>五、本单位将遵守台州市椒江区应急管理局的各项规章制度和管理要求，服从台州市椒江区应急管理局的领导和指挥，积极履行工作职责，将个人的利益放在服务台州市椒江区应急管理局的利益之后，始终做到对台州市椒江区应急管理局忠诚、尽责。</w:t>
      </w:r>
    </w:p>
    <w:p>
      <w:pPr>
        <w:tabs>
          <w:tab w:val="left" w:pos="3360"/>
        </w:tabs>
        <w:autoSpaceDE w:val="0"/>
        <w:autoSpaceDN w:val="0"/>
        <w:spacing w:line="360" w:lineRule="auto"/>
        <w:ind w:firstLine="480" w:firstLineChars="200"/>
        <w:jc w:val="left"/>
        <w:rPr>
          <w:rFonts w:ascii="宋体" w:hAnsi="宋体" w:cs="宋体"/>
          <w:sz w:val="24"/>
        </w:rPr>
      </w:pPr>
      <w:r>
        <w:rPr>
          <w:rFonts w:hint="eastAsia" w:ascii="宋体" w:hAnsi="宋体" w:cs="宋体"/>
          <w:sz w:val="24"/>
        </w:rPr>
        <w:t>六、本单位将接受台州市椒江区应急管理局进行的任何形式的监督和检查，自觉接受监督并配合相关人员的工作。如发现任何违反职业道德、违反合同约定的行为，本人将积极向台州市椒江区应急管理局相关部门报告，并配合调查工作。</w:t>
      </w:r>
    </w:p>
    <w:p>
      <w:pPr>
        <w:tabs>
          <w:tab w:val="left" w:pos="3360"/>
        </w:tabs>
        <w:autoSpaceDE w:val="0"/>
        <w:autoSpaceDN w:val="0"/>
        <w:spacing w:line="360" w:lineRule="auto"/>
        <w:ind w:firstLine="480" w:firstLineChars="200"/>
        <w:jc w:val="left"/>
        <w:rPr>
          <w:rFonts w:ascii="宋体" w:hAnsi="宋体" w:cs="宋体"/>
          <w:sz w:val="24"/>
        </w:rPr>
      </w:pPr>
      <w:r>
        <w:rPr>
          <w:rFonts w:hint="eastAsia" w:ascii="宋体" w:hAnsi="宋体" w:cs="宋体"/>
          <w:sz w:val="24"/>
        </w:rPr>
        <w:t>本单位郑重承诺，将始终坚守职业道德和法律法规，不吃拿卡要，不从事任何违法违规的行为。如有违反承诺，本单位愿意承担由此引起的一切法律责任和后果。</w:t>
      </w:r>
    </w:p>
    <w:p>
      <w:pPr>
        <w:tabs>
          <w:tab w:val="left" w:pos="3360"/>
        </w:tabs>
        <w:autoSpaceDE w:val="0"/>
        <w:autoSpaceDN w:val="0"/>
        <w:spacing w:line="360" w:lineRule="auto"/>
        <w:ind w:firstLine="5040" w:firstLineChars="2100"/>
        <w:jc w:val="left"/>
        <w:rPr>
          <w:rFonts w:ascii="宋体" w:hAnsi="宋体" w:cs="宋体"/>
          <w:sz w:val="24"/>
        </w:rPr>
      </w:pPr>
      <w:r>
        <w:rPr>
          <w:rFonts w:hint="eastAsia" w:ascii="宋体" w:hAnsi="宋体" w:cs="宋体"/>
          <w:sz w:val="24"/>
        </w:rPr>
        <w:t xml:space="preserve">承诺单位：                        </w:t>
      </w:r>
    </w:p>
    <w:p>
      <w:pPr>
        <w:tabs>
          <w:tab w:val="left" w:pos="3360"/>
        </w:tabs>
        <w:autoSpaceDE w:val="0"/>
        <w:autoSpaceDN w:val="0"/>
        <w:spacing w:line="360" w:lineRule="auto"/>
        <w:ind w:firstLine="5040" w:firstLineChars="2100"/>
        <w:jc w:val="left"/>
        <w:rPr>
          <w:rFonts w:ascii="宋体" w:hAnsi="宋体" w:cs="宋体"/>
          <w:sz w:val="24"/>
        </w:rPr>
      </w:pPr>
      <w:r>
        <w:rPr>
          <w:rFonts w:hint="eastAsia" w:ascii="宋体" w:hAnsi="宋体" w:cs="宋体"/>
          <w:sz w:val="24"/>
        </w:rPr>
        <w:t>日期：2024年  月  日</w:t>
      </w:r>
    </w:p>
    <w:p>
      <w:pPr>
        <w:spacing w:line="360" w:lineRule="auto"/>
        <w:jc w:val="center"/>
        <w:outlineLvl w:val="0"/>
        <w:rPr>
          <w:rFonts w:ascii="宋体" w:hAnsi="宋体" w:cs="宋体"/>
          <w:b/>
          <w:bCs/>
          <w:sz w:val="36"/>
          <w:szCs w:val="44"/>
        </w:rPr>
      </w:pPr>
    </w:p>
    <w:p>
      <w:pPr>
        <w:spacing w:line="360" w:lineRule="auto"/>
        <w:jc w:val="center"/>
        <w:outlineLvl w:val="0"/>
        <w:rPr>
          <w:rFonts w:ascii="宋体" w:hAnsi="宋体" w:cs="宋体"/>
          <w:b/>
          <w:bCs/>
          <w:sz w:val="36"/>
          <w:szCs w:val="44"/>
        </w:rPr>
      </w:pPr>
      <w:r>
        <w:rPr>
          <w:rFonts w:hint="eastAsia" w:ascii="宋体" w:hAnsi="宋体" w:cs="宋体"/>
          <w:b/>
          <w:bCs/>
          <w:sz w:val="36"/>
          <w:szCs w:val="44"/>
        </w:rPr>
        <w:t>第六章 响应文件格式附件</w:t>
      </w:r>
    </w:p>
    <w:p>
      <w:pPr>
        <w:outlineLvl w:val="0"/>
        <w:rPr>
          <w:rFonts w:ascii="宋体" w:hAnsi="宋体" w:cs="宋体"/>
          <w:b/>
          <w:kern w:val="0"/>
          <w:sz w:val="28"/>
          <w:szCs w:val="28"/>
        </w:rPr>
      </w:pPr>
      <w:r>
        <w:rPr>
          <w:rFonts w:hint="eastAsia" w:ascii="宋体" w:hAnsi="宋体" w:cs="宋体"/>
          <w:b/>
          <w:bCs/>
          <w:sz w:val="28"/>
          <w:szCs w:val="36"/>
        </w:rPr>
        <w:t>附件1　</w:t>
      </w:r>
      <w:r>
        <w:rPr>
          <w:rFonts w:hint="eastAsia" w:ascii="宋体" w:hAnsi="宋体" w:cs="宋体"/>
          <w:sz w:val="30"/>
          <w:szCs w:val="30"/>
        </w:rPr>
        <w:t xml:space="preserve">　　                                       </w:t>
      </w:r>
      <w:r>
        <w:rPr>
          <w:rFonts w:hint="eastAsia" w:ascii="宋体" w:hAnsi="宋体" w:cs="宋体"/>
          <w:sz w:val="30"/>
          <w:szCs w:val="30"/>
          <w:u w:val="single"/>
        </w:rPr>
        <w:t xml:space="preserve">   </w:t>
      </w:r>
      <w:r>
        <w:rPr>
          <w:rFonts w:hint="eastAsia" w:ascii="宋体" w:hAnsi="宋体" w:cs="宋体"/>
          <w:bCs/>
          <w:sz w:val="24"/>
        </w:rPr>
        <w:t>本</w:t>
      </w:r>
    </w:p>
    <w:p>
      <w:pPr>
        <w:spacing w:line="360" w:lineRule="auto"/>
        <w:rPr>
          <w:rFonts w:ascii="宋体" w:hAnsi="宋体" w:cs="宋体"/>
          <w:b/>
          <w:sz w:val="30"/>
          <w:szCs w:val="30"/>
        </w:rPr>
      </w:pPr>
    </w:p>
    <w:p>
      <w:pPr>
        <w:spacing w:line="360" w:lineRule="auto"/>
        <w:jc w:val="center"/>
        <w:rPr>
          <w:rFonts w:ascii="宋体" w:hAnsi="宋体" w:cs="宋体"/>
          <w:spacing w:val="40"/>
          <w:sz w:val="52"/>
          <w:szCs w:val="52"/>
        </w:rPr>
      </w:pPr>
      <w:r>
        <w:rPr>
          <w:rFonts w:hint="eastAsia" w:ascii="宋体" w:hAnsi="宋体" w:cs="宋体"/>
          <w:spacing w:val="40"/>
          <w:sz w:val="52"/>
          <w:szCs w:val="52"/>
        </w:rPr>
        <w:t>项目名称</w:t>
      </w:r>
    </w:p>
    <w:p>
      <w:pPr>
        <w:spacing w:line="360" w:lineRule="auto"/>
        <w:jc w:val="center"/>
        <w:rPr>
          <w:rFonts w:ascii="宋体" w:hAnsi="宋体" w:cs="宋体"/>
          <w:sz w:val="36"/>
          <w:szCs w:val="36"/>
        </w:rPr>
      </w:pPr>
      <w:r>
        <w:rPr>
          <w:rFonts w:hint="eastAsia" w:ascii="宋体" w:hAnsi="宋体" w:cs="宋体"/>
          <w:sz w:val="36"/>
          <w:szCs w:val="36"/>
        </w:rPr>
        <w:t>项目编号：</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磋</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商</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响</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应</w:t>
      </w:r>
    </w:p>
    <w:p>
      <w:pPr>
        <w:autoSpaceDE w:val="0"/>
        <w:autoSpaceDN w:val="0"/>
        <w:adjustRightInd w:val="0"/>
        <w:spacing w:line="360" w:lineRule="auto"/>
        <w:jc w:val="center"/>
        <w:rPr>
          <w:rFonts w:ascii="宋体" w:hAnsi="宋体" w:cs="宋体"/>
          <w:sz w:val="84"/>
          <w:szCs w:val="84"/>
        </w:rPr>
      </w:pPr>
      <w:r>
        <w:rPr>
          <w:rFonts w:hint="eastAsia" w:ascii="宋体" w:hAnsi="宋体" w:cs="宋体"/>
          <w:sz w:val="84"/>
          <w:szCs w:val="84"/>
          <w:lang w:val="zh-CN"/>
        </w:rPr>
        <w:t>文</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件</w:t>
      </w:r>
    </w:p>
    <w:p>
      <w:pPr>
        <w:autoSpaceDE w:val="0"/>
        <w:autoSpaceDN w:val="0"/>
        <w:adjustRightInd w:val="0"/>
        <w:spacing w:line="360" w:lineRule="auto"/>
        <w:rPr>
          <w:rFonts w:ascii="宋体" w:hAnsi="宋体" w:cs="宋体"/>
          <w:sz w:val="36"/>
          <w:szCs w:val="36"/>
        </w:rPr>
      </w:pPr>
    </w:p>
    <w:p>
      <w:pPr>
        <w:autoSpaceDE w:val="0"/>
        <w:autoSpaceDN w:val="0"/>
        <w:adjustRightInd w:val="0"/>
        <w:spacing w:line="360" w:lineRule="auto"/>
        <w:rPr>
          <w:rFonts w:ascii="宋体" w:hAnsi="宋体" w:cs="宋体"/>
          <w:sz w:val="36"/>
          <w:szCs w:val="36"/>
        </w:rPr>
      </w:pPr>
      <w:r>
        <w:rPr>
          <w:rFonts w:hint="eastAsia" w:ascii="宋体" w:hAnsi="宋体" w:cs="宋体"/>
          <w:sz w:val="36"/>
          <w:szCs w:val="36"/>
        </w:rPr>
        <w:t>磋商供应商全称（公章）：</w:t>
      </w:r>
    </w:p>
    <w:p>
      <w:pPr>
        <w:autoSpaceDE w:val="0"/>
        <w:autoSpaceDN w:val="0"/>
        <w:adjustRightInd w:val="0"/>
        <w:spacing w:line="360" w:lineRule="auto"/>
        <w:rPr>
          <w:rFonts w:ascii="宋体" w:hAnsi="宋体" w:cs="宋体"/>
          <w:sz w:val="36"/>
          <w:szCs w:val="36"/>
        </w:rPr>
      </w:pPr>
      <w:r>
        <w:rPr>
          <w:rFonts w:hint="eastAsia" w:ascii="宋体" w:hAnsi="宋体" w:cs="宋体"/>
          <w:sz w:val="36"/>
          <w:szCs w:val="36"/>
        </w:rPr>
        <w:t>地址：</w:t>
      </w:r>
    </w:p>
    <w:p>
      <w:pPr>
        <w:autoSpaceDE w:val="0"/>
        <w:autoSpaceDN w:val="0"/>
        <w:adjustRightInd w:val="0"/>
        <w:spacing w:line="360" w:lineRule="auto"/>
        <w:rPr>
          <w:rFonts w:ascii="宋体" w:hAnsi="宋体" w:cs="宋体"/>
          <w:sz w:val="36"/>
          <w:szCs w:val="36"/>
        </w:rPr>
      </w:pPr>
      <w:r>
        <w:rPr>
          <w:rFonts w:hint="eastAsia" w:ascii="宋体" w:hAnsi="宋体" w:cs="宋体"/>
          <w:sz w:val="36"/>
          <w:szCs w:val="36"/>
        </w:rPr>
        <w:t>时间：</w:t>
      </w:r>
    </w:p>
    <w:p>
      <w:pPr>
        <w:spacing w:line="360" w:lineRule="auto"/>
        <w:rPr>
          <w:rFonts w:ascii="宋体" w:hAnsi="宋体" w:cs="宋体"/>
          <w:sz w:val="24"/>
          <w:szCs w:val="32"/>
        </w:rPr>
      </w:pPr>
    </w:p>
    <w:p>
      <w:pPr>
        <w:jc w:val="center"/>
        <w:rPr>
          <w:rFonts w:ascii="宋体" w:hAnsi="宋体" w:cs="宋体"/>
          <w:b/>
          <w:bCs/>
          <w:sz w:val="36"/>
          <w:szCs w:val="44"/>
        </w:rPr>
      </w:pPr>
      <w:r>
        <w:rPr>
          <w:rFonts w:hint="eastAsia" w:ascii="宋体" w:hAnsi="宋体" w:cs="宋体"/>
          <w:b/>
          <w:bCs/>
          <w:sz w:val="36"/>
          <w:szCs w:val="44"/>
        </w:rPr>
        <w:t>磋商响应文件目录</w:t>
      </w:r>
    </w:p>
    <w:p>
      <w:pPr>
        <w:spacing w:line="440" w:lineRule="exact"/>
        <w:jc w:val="center"/>
        <w:rPr>
          <w:rFonts w:ascii="宋体" w:hAnsi="宋体" w:cs="宋体"/>
          <w:b/>
          <w:bCs/>
          <w:sz w:val="24"/>
        </w:rPr>
      </w:pPr>
      <w:r>
        <w:rPr>
          <w:rFonts w:hint="eastAsia" w:ascii="宋体" w:hAnsi="宋体" w:cs="宋体"/>
          <w:b/>
          <w:bCs/>
          <w:sz w:val="24"/>
        </w:rPr>
        <w:t>第一部分 资格证明部分</w:t>
      </w:r>
    </w:p>
    <w:p>
      <w:pPr>
        <w:spacing w:line="440" w:lineRule="exact"/>
        <w:rPr>
          <w:rFonts w:ascii="宋体" w:hAnsi="宋体" w:cs="宋体"/>
          <w:sz w:val="24"/>
          <w:lang w:val="zh-CN"/>
        </w:rPr>
      </w:pPr>
      <w:r>
        <w:rPr>
          <w:rFonts w:hint="eastAsia" w:ascii="宋体" w:hAnsi="宋体" w:cs="宋体"/>
          <w:sz w:val="24"/>
        </w:rPr>
        <w:t>1、磋商</w:t>
      </w:r>
      <w:r>
        <w:rPr>
          <w:rFonts w:hint="eastAsia" w:ascii="宋体" w:hAnsi="宋体" w:cs="宋体"/>
          <w:sz w:val="24"/>
          <w:lang w:val="zh-CN"/>
        </w:rPr>
        <w:t>声明书；</w:t>
      </w:r>
    </w:p>
    <w:p>
      <w:pPr>
        <w:spacing w:line="440" w:lineRule="exact"/>
        <w:rPr>
          <w:rFonts w:ascii="宋体" w:hAnsi="宋体" w:cs="宋体"/>
          <w:sz w:val="24"/>
          <w:lang w:val="zh-CN"/>
        </w:rPr>
      </w:pPr>
      <w:r>
        <w:rPr>
          <w:rFonts w:hint="eastAsia" w:ascii="宋体" w:hAnsi="宋体" w:cs="宋体"/>
          <w:sz w:val="24"/>
        </w:rPr>
        <w:t>2、</w:t>
      </w:r>
      <w:r>
        <w:rPr>
          <w:rFonts w:hint="eastAsia" w:ascii="宋体" w:hAnsi="宋体" w:cs="宋体"/>
          <w:sz w:val="24"/>
          <w:lang w:val="zh-CN"/>
        </w:rPr>
        <w:t>授权委托书；</w:t>
      </w:r>
    </w:p>
    <w:p>
      <w:pPr>
        <w:spacing w:line="440" w:lineRule="exact"/>
        <w:rPr>
          <w:rFonts w:ascii="宋体" w:hAnsi="宋体" w:cs="宋体"/>
          <w:sz w:val="24"/>
          <w:lang w:val="zh-CN"/>
        </w:rPr>
      </w:pPr>
      <w:r>
        <w:rPr>
          <w:rFonts w:hint="eastAsia" w:ascii="宋体" w:hAnsi="宋体" w:cs="宋体"/>
          <w:sz w:val="24"/>
        </w:rPr>
        <w:t>3、</w:t>
      </w:r>
      <w:r>
        <w:rPr>
          <w:rFonts w:hint="eastAsia" w:ascii="宋体" w:hAnsi="宋体" w:cs="宋体"/>
          <w:sz w:val="24"/>
          <w:lang w:val="zh-CN"/>
        </w:rPr>
        <w:t>法人或者其他组织的营业执照等证明文件，自然人的身份证明；</w:t>
      </w:r>
    </w:p>
    <w:p>
      <w:pPr>
        <w:spacing w:line="440" w:lineRule="exact"/>
        <w:rPr>
          <w:rFonts w:ascii="宋体" w:hAnsi="宋体" w:cs="宋体"/>
          <w:sz w:val="24"/>
          <w:lang w:val="zh-CN"/>
        </w:rPr>
      </w:pPr>
      <w:r>
        <w:rPr>
          <w:rFonts w:hint="eastAsia" w:ascii="宋体" w:hAnsi="宋体" w:cs="宋体"/>
          <w:sz w:val="24"/>
          <w:lang w:val="zh-CN"/>
        </w:rPr>
        <w:t>4、</w:t>
      </w:r>
      <w:r>
        <w:rPr>
          <w:rFonts w:hint="eastAsia" w:ascii="宋体" w:hAnsi="宋体" w:cs="Arial"/>
          <w:sz w:val="24"/>
        </w:rPr>
        <w:t>符合参与政府采购活动的资格条件、具备良好的商业信誉和健全的财务会计制度并且没有税收缴纳、社会保障等方面的失信记录的承诺函</w:t>
      </w:r>
      <w:r>
        <w:rPr>
          <w:rFonts w:hint="eastAsia" w:ascii="宋体" w:hAnsi="宋体" w:cs="宋体"/>
          <w:sz w:val="24"/>
          <w:lang w:bidi="ar"/>
        </w:rPr>
        <w:t>；具备履行合同所必需的设备和专业技术能力的承诺函</w:t>
      </w:r>
      <w:r>
        <w:rPr>
          <w:rFonts w:hint="eastAsia" w:ascii="宋体" w:hAnsi="宋体" w:cs="宋体"/>
          <w:sz w:val="24"/>
          <w:lang w:val="zh-CN"/>
        </w:rPr>
        <w:t>；</w:t>
      </w:r>
    </w:p>
    <w:p>
      <w:pPr>
        <w:spacing w:line="440" w:lineRule="exact"/>
        <w:rPr>
          <w:rFonts w:ascii="宋体" w:hAnsi="宋体" w:cs="宋体"/>
          <w:sz w:val="24"/>
          <w:szCs w:val="32"/>
        </w:rPr>
      </w:pPr>
      <w:r>
        <w:rPr>
          <w:rFonts w:hint="eastAsia" w:ascii="宋体" w:hAnsi="宋体" w:cs="宋体"/>
          <w:sz w:val="24"/>
        </w:rPr>
        <w:t>5、</w:t>
      </w:r>
      <w:r>
        <w:rPr>
          <w:rFonts w:hint="eastAsia" w:ascii="宋体" w:hAnsi="宋体" w:cs="宋体"/>
          <w:sz w:val="24"/>
          <w:szCs w:val="32"/>
        </w:rPr>
        <w:t>中小企业声明函等优惠政策适用证明材料；</w:t>
      </w:r>
    </w:p>
    <w:p>
      <w:pPr>
        <w:spacing w:line="440" w:lineRule="exact"/>
        <w:rPr>
          <w:rFonts w:ascii="宋体" w:hAnsi="宋体" w:cs="宋体"/>
          <w:sz w:val="24"/>
          <w:lang w:val="zh-CN"/>
        </w:rPr>
      </w:pPr>
      <w:r>
        <w:rPr>
          <w:rFonts w:hint="eastAsia" w:ascii="宋体" w:hAnsi="宋体" w:cs="宋体"/>
          <w:sz w:val="24"/>
        </w:rPr>
        <w:t>6、</w:t>
      </w:r>
      <w:r>
        <w:rPr>
          <w:rFonts w:hint="eastAsia" w:ascii="宋体" w:hAnsi="宋体" w:cs="宋体"/>
          <w:sz w:val="24"/>
          <w:szCs w:val="32"/>
        </w:rPr>
        <w:t>其他需要说明的其他资料（如有）</w:t>
      </w:r>
      <w:r>
        <w:rPr>
          <w:rFonts w:hint="eastAsia" w:ascii="宋体" w:hAnsi="宋体" w:cs="宋体"/>
          <w:sz w:val="24"/>
          <w:lang w:val="zh-CN"/>
        </w:rPr>
        <w:t>。</w:t>
      </w:r>
    </w:p>
    <w:p>
      <w:pPr>
        <w:pStyle w:val="30"/>
        <w:rPr>
          <w:lang w:val="zh-CN"/>
        </w:rPr>
      </w:pPr>
    </w:p>
    <w:p>
      <w:pPr>
        <w:spacing w:line="440" w:lineRule="exact"/>
        <w:jc w:val="center"/>
        <w:rPr>
          <w:rFonts w:ascii="宋体" w:hAnsi="宋体" w:cs="宋体"/>
          <w:b/>
          <w:bCs/>
          <w:sz w:val="24"/>
        </w:rPr>
      </w:pPr>
      <w:r>
        <w:rPr>
          <w:rFonts w:hint="eastAsia" w:ascii="宋体" w:hAnsi="宋体" w:cs="宋体"/>
          <w:b/>
          <w:bCs/>
          <w:sz w:val="24"/>
          <w:lang w:val="zh-CN"/>
        </w:rPr>
        <w:t>第二部分</w:t>
      </w:r>
      <w:r>
        <w:rPr>
          <w:rFonts w:hint="eastAsia" w:ascii="宋体" w:hAnsi="宋体" w:cs="宋体"/>
          <w:b/>
          <w:bCs/>
          <w:sz w:val="24"/>
        </w:rPr>
        <w:t xml:space="preserve"> </w:t>
      </w:r>
      <w:r>
        <w:rPr>
          <w:rFonts w:hint="eastAsia" w:ascii="宋体" w:hAnsi="宋体" w:cs="宋体"/>
          <w:b/>
          <w:bCs/>
          <w:sz w:val="24"/>
          <w:lang w:val="zh-CN"/>
        </w:rPr>
        <w:t>商务与技术</w:t>
      </w:r>
      <w:r>
        <w:rPr>
          <w:rFonts w:hint="eastAsia" w:ascii="宋体" w:hAnsi="宋体" w:cs="宋体"/>
          <w:b/>
          <w:bCs/>
          <w:sz w:val="24"/>
        </w:rPr>
        <w:t>部分</w:t>
      </w:r>
    </w:p>
    <w:p>
      <w:pPr>
        <w:pStyle w:val="15"/>
        <w:ind w:leftChars="0" w:hanging="420" w:hangingChars="175"/>
        <w:rPr>
          <w:rFonts w:ascii="宋体" w:hAnsi="宋体" w:cs="宋体"/>
        </w:rPr>
      </w:pPr>
      <w:r>
        <w:rPr>
          <w:rFonts w:hint="eastAsia" w:ascii="宋体" w:hAnsi="宋体" w:cs="宋体"/>
        </w:rPr>
        <w:t>1、评标索引，格式自拟</w:t>
      </w:r>
      <w:r>
        <w:rPr>
          <w:rFonts w:hint="eastAsia" w:ascii="宋体" w:hAnsi="宋体" w:cs="宋体"/>
          <w:lang w:val="zh-CN"/>
        </w:rPr>
        <w:t>；</w:t>
      </w:r>
    </w:p>
    <w:p>
      <w:pPr>
        <w:pStyle w:val="15"/>
        <w:ind w:left="0" w:leftChars="0"/>
        <w:rPr>
          <w:rFonts w:ascii="宋体" w:hAnsi="宋体" w:cs="宋体"/>
          <w:lang w:val="zh-CN"/>
        </w:rPr>
      </w:pPr>
      <w:r>
        <w:rPr>
          <w:rFonts w:hint="eastAsia" w:ascii="宋体" w:hAnsi="宋体" w:cs="宋体"/>
        </w:rPr>
        <w:t>2、</w:t>
      </w:r>
      <w:r>
        <w:rPr>
          <w:rFonts w:hint="eastAsia" w:ascii="宋体" w:hAnsi="宋体" w:cs="宋体"/>
          <w:lang w:val="zh-CN"/>
        </w:rPr>
        <w:t>供应商基本情况表；</w:t>
      </w:r>
    </w:p>
    <w:p>
      <w:pPr>
        <w:pStyle w:val="15"/>
        <w:ind w:left="0" w:leftChars="0"/>
        <w:rPr>
          <w:rFonts w:ascii="宋体" w:hAnsi="宋体" w:cs="宋体"/>
          <w:lang w:val="zh-CN"/>
        </w:rPr>
      </w:pPr>
      <w:r>
        <w:rPr>
          <w:rFonts w:hint="eastAsia" w:ascii="宋体" w:hAnsi="宋体" w:cs="宋体"/>
        </w:rPr>
        <w:t>3、</w:t>
      </w:r>
      <w:r>
        <w:rPr>
          <w:rFonts w:hint="eastAsia" w:ascii="宋体" w:hAnsi="宋体" w:cs="宋体"/>
          <w:lang w:val="zh-CN"/>
        </w:rPr>
        <w:t>项目实施人员一览表；</w:t>
      </w:r>
    </w:p>
    <w:p>
      <w:pPr>
        <w:pStyle w:val="15"/>
        <w:ind w:left="0" w:leftChars="0"/>
        <w:rPr>
          <w:rFonts w:ascii="宋体" w:hAnsi="宋体" w:cs="宋体"/>
          <w:lang w:val="zh-CN"/>
        </w:rPr>
      </w:pPr>
      <w:r>
        <w:rPr>
          <w:rFonts w:hint="eastAsia" w:ascii="宋体" w:hAnsi="宋体" w:cs="宋体"/>
          <w:lang w:val="zh-CN"/>
        </w:rPr>
        <w:t>4、项目负责人资格情况表；</w:t>
      </w:r>
    </w:p>
    <w:p>
      <w:pPr>
        <w:pStyle w:val="15"/>
        <w:ind w:left="0" w:leftChars="0"/>
        <w:rPr>
          <w:rFonts w:ascii="宋体" w:hAnsi="宋体" w:cs="宋体"/>
          <w:lang w:val="zh-CN"/>
        </w:rPr>
      </w:pPr>
      <w:r>
        <w:rPr>
          <w:rFonts w:hint="eastAsia" w:ascii="宋体" w:hAnsi="宋体" w:cs="宋体"/>
        </w:rPr>
        <w:t>5、</w:t>
      </w:r>
      <w:r>
        <w:rPr>
          <w:rFonts w:hint="eastAsia" w:ascii="宋体" w:hAnsi="宋体" w:cs="宋体"/>
          <w:lang w:val="zh-CN"/>
        </w:rPr>
        <w:t>类似项目实施情况一览表；</w:t>
      </w:r>
    </w:p>
    <w:p>
      <w:pPr>
        <w:pStyle w:val="15"/>
        <w:ind w:left="0" w:leftChars="0"/>
        <w:rPr>
          <w:rFonts w:ascii="宋体" w:hAnsi="宋体" w:cs="宋体"/>
          <w:lang w:val="zh-CN"/>
        </w:rPr>
      </w:pPr>
      <w:r>
        <w:rPr>
          <w:rFonts w:hint="eastAsia" w:ascii="宋体" w:hAnsi="宋体" w:cs="宋体"/>
        </w:rPr>
        <w:t>6、</w:t>
      </w:r>
      <w:r>
        <w:rPr>
          <w:rFonts w:hint="eastAsia" w:ascii="宋体" w:hAnsi="宋体" w:cs="宋体"/>
          <w:lang w:val="zh-CN"/>
        </w:rPr>
        <w:t>商务及技术需求响应表；</w:t>
      </w:r>
    </w:p>
    <w:p>
      <w:pPr>
        <w:pStyle w:val="15"/>
        <w:ind w:left="0" w:leftChars="0"/>
        <w:rPr>
          <w:rFonts w:ascii="宋体" w:hAnsi="宋体" w:cs="宋体"/>
          <w:lang w:val="zh-CN"/>
        </w:rPr>
      </w:pPr>
      <w:r>
        <w:rPr>
          <w:rFonts w:hint="eastAsia" w:ascii="宋体" w:hAnsi="宋体" w:cs="宋体"/>
        </w:rPr>
        <w:t>7、</w:t>
      </w:r>
      <w:r>
        <w:rPr>
          <w:rFonts w:hint="eastAsia" w:ascii="宋体" w:hAnsi="宋体" w:cs="宋体"/>
          <w:lang w:val="zh-CN"/>
        </w:rPr>
        <w:t>对应评标办法中的评分内容应提供的材料；</w:t>
      </w:r>
    </w:p>
    <w:p>
      <w:pPr>
        <w:pStyle w:val="15"/>
        <w:ind w:left="0" w:leftChars="0"/>
        <w:rPr>
          <w:rFonts w:ascii="宋体" w:hAnsi="宋体" w:cs="宋体"/>
          <w:lang w:val="zh-CN"/>
        </w:rPr>
      </w:pPr>
      <w:r>
        <w:rPr>
          <w:rFonts w:hint="eastAsia" w:ascii="宋体" w:hAnsi="宋体" w:cs="宋体"/>
        </w:rPr>
        <w:t>8、</w:t>
      </w:r>
      <w:r>
        <w:rPr>
          <w:rFonts w:hint="eastAsia" w:ascii="宋体" w:hAnsi="宋体" w:cs="宋体"/>
          <w:lang w:val="zh-CN"/>
        </w:rPr>
        <w:t>磋商供应商认为需要提供的其他资料（包括可能影响磋商供应商各项评分的各类证明材料）。</w:t>
      </w:r>
    </w:p>
    <w:p>
      <w:pPr>
        <w:spacing w:line="440" w:lineRule="exact"/>
        <w:jc w:val="center"/>
        <w:rPr>
          <w:rFonts w:ascii="宋体" w:hAnsi="宋体" w:cs="宋体"/>
          <w:b/>
          <w:bCs/>
          <w:sz w:val="24"/>
        </w:rPr>
      </w:pPr>
      <w:r>
        <w:rPr>
          <w:rFonts w:hint="eastAsia" w:ascii="宋体" w:hAnsi="宋体" w:cs="宋体"/>
          <w:b/>
          <w:bCs/>
          <w:sz w:val="24"/>
        </w:rPr>
        <w:t>第三部分 报价部分</w:t>
      </w:r>
    </w:p>
    <w:p>
      <w:pPr>
        <w:spacing w:line="440" w:lineRule="exact"/>
        <w:rPr>
          <w:rFonts w:ascii="宋体" w:hAnsi="宋体" w:cs="宋体"/>
          <w:sz w:val="24"/>
        </w:rPr>
      </w:pPr>
      <w:r>
        <w:rPr>
          <w:rFonts w:hint="eastAsia" w:ascii="宋体" w:hAnsi="宋体" w:cs="宋体"/>
          <w:sz w:val="24"/>
        </w:rPr>
        <w:t>1、首次报价一览表；</w:t>
      </w:r>
    </w:p>
    <w:p>
      <w:pPr>
        <w:spacing w:line="440" w:lineRule="exact"/>
        <w:rPr>
          <w:rFonts w:ascii="宋体" w:hAnsi="宋体" w:cs="宋体"/>
          <w:b/>
          <w:sz w:val="28"/>
        </w:rPr>
      </w:pPr>
      <w:r>
        <w:rPr>
          <w:rFonts w:hint="eastAsia" w:ascii="宋体" w:hAnsi="宋体" w:cs="宋体"/>
          <w:sz w:val="24"/>
        </w:rPr>
        <w:t>2、针对报价磋商供应商认为其他需要说明的；</w:t>
      </w:r>
    </w:p>
    <w:p>
      <w:pPr>
        <w:pStyle w:val="13"/>
        <w:rPr>
          <w:rFonts w:ascii="宋体" w:hAnsi="宋体" w:cs="宋体"/>
          <w:b/>
          <w:sz w:val="28"/>
        </w:rPr>
      </w:pPr>
    </w:p>
    <w:p>
      <w:pPr>
        <w:rPr>
          <w:rFonts w:ascii="宋体" w:hAnsi="宋体" w:cs="宋体"/>
          <w:b/>
          <w:sz w:val="28"/>
        </w:rPr>
      </w:pPr>
      <w:r>
        <w:rPr>
          <w:rFonts w:hint="eastAsia" w:ascii="宋体" w:hAnsi="宋体" w:cs="宋体"/>
          <w:b/>
          <w:sz w:val="28"/>
        </w:rPr>
        <w:br w:type="page"/>
      </w:r>
    </w:p>
    <w:p>
      <w:pPr>
        <w:spacing w:line="360" w:lineRule="auto"/>
        <w:outlineLvl w:val="0"/>
        <w:rPr>
          <w:rFonts w:ascii="宋体" w:hAnsi="宋体" w:cs="宋体"/>
          <w:b/>
          <w:kern w:val="0"/>
          <w:sz w:val="32"/>
          <w:szCs w:val="32"/>
          <w:lang w:val="zh-CN"/>
        </w:rPr>
      </w:pPr>
      <w:r>
        <w:rPr>
          <w:rFonts w:hint="eastAsia" w:ascii="宋体" w:hAnsi="宋体" w:cs="宋体"/>
          <w:b/>
          <w:sz w:val="28"/>
        </w:rPr>
        <w:t xml:space="preserve">附件2                  </w:t>
      </w:r>
      <w:r>
        <w:rPr>
          <w:rFonts w:hint="eastAsia" w:ascii="宋体" w:hAnsi="宋体" w:cs="宋体"/>
          <w:b/>
          <w:kern w:val="0"/>
          <w:sz w:val="32"/>
          <w:szCs w:val="32"/>
          <w:lang w:val="zh-CN"/>
        </w:rPr>
        <w:t>磋商声明书</w:t>
      </w:r>
    </w:p>
    <w:p>
      <w:pPr>
        <w:spacing w:line="440" w:lineRule="exact"/>
        <w:rPr>
          <w:rFonts w:ascii="宋体" w:hAnsi="宋体" w:cs="宋体"/>
          <w:sz w:val="24"/>
          <w:szCs w:val="32"/>
          <w:u w:val="single"/>
        </w:rPr>
      </w:pPr>
      <w:r>
        <w:rPr>
          <w:rFonts w:hint="eastAsia" w:ascii="宋体" w:hAnsi="宋体" w:cs="宋体"/>
          <w:sz w:val="24"/>
          <w:szCs w:val="32"/>
          <w:u w:val="single"/>
        </w:rPr>
        <w:t>台州市椒江区应急管理局、浙江洪大工程咨询有限公司：</w:t>
      </w:r>
    </w:p>
    <w:p>
      <w:pPr>
        <w:spacing w:line="440" w:lineRule="exact"/>
        <w:ind w:firstLine="480" w:firstLineChars="200"/>
        <w:rPr>
          <w:rFonts w:ascii="宋体" w:hAnsi="宋体" w:cs="宋体"/>
          <w:sz w:val="24"/>
          <w:szCs w:val="32"/>
        </w:rPr>
      </w:pPr>
      <w:r>
        <w:rPr>
          <w:rFonts w:hint="eastAsia" w:ascii="宋体" w:hAnsi="宋体" w:cs="宋体"/>
          <w:sz w:val="24"/>
          <w:szCs w:val="32"/>
          <w:u w:val="single"/>
        </w:rPr>
        <w:t>（磋商供应商名称）</w:t>
      </w:r>
      <w:r>
        <w:rPr>
          <w:rFonts w:hint="eastAsia" w:ascii="宋体" w:hAnsi="宋体" w:cs="宋体"/>
          <w:sz w:val="24"/>
          <w:szCs w:val="32"/>
        </w:rPr>
        <w:t>系中华人民共和国合法企业，经营地址</w:t>
      </w:r>
      <w:r>
        <w:rPr>
          <w:rFonts w:hint="eastAsia" w:ascii="宋体" w:hAnsi="宋体" w:cs="宋体"/>
          <w:sz w:val="24"/>
          <w:szCs w:val="32"/>
          <w:u w:val="single"/>
        </w:rPr>
        <w:t xml:space="preserve">            </w:t>
      </w:r>
      <w:r>
        <w:rPr>
          <w:rFonts w:hint="eastAsia" w:ascii="宋体" w:hAnsi="宋体" w:cs="宋体"/>
          <w:sz w:val="24"/>
          <w:szCs w:val="32"/>
        </w:rPr>
        <w:t>。</w:t>
      </w:r>
    </w:p>
    <w:p>
      <w:pPr>
        <w:spacing w:line="440" w:lineRule="exact"/>
        <w:ind w:firstLine="480" w:firstLineChars="200"/>
        <w:rPr>
          <w:rFonts w:ascii="宋体" w:hAnsi="宋体" w:cs="宋体"/>
          <w:sz w:val="24"/>
          <w:szCs w:val="32"/>
        </w:rPr>
      </w:pPr>
      <w:r>
        <w:rPr>
          <w:rFonts w:hint="eastAsia" w:ascii="宋体" w:hAnsi="宋体" w:cs="宋体"/>
          <w:sz w:val="24"/>
          <w:szCs w:val="32"/>
        </w:rPr>
        <w:t>我（</w:t>
      </w:r>
      <w:r>
        <w:rPr>
          <w:rFonts w:hint="eastAsia" w:ascii="宋体" w:hAnsi="宋体" w:cs="宋体"/>
          <w:sz w:val="24"/>
          <w:szCs w:val="32"/>
          <w:u w:val="single"/>
        </w:rPr>
        <w:t xml:space="preserve"> 姓名 </w:t>
      </w:r>
      <w:r>
        <w:rPr>
          <w:rFonts w:hint="eastAsia" w:ascii="宋体" w:hAnsi="宋体" w:cs="宋体"/>
          <w:sz w:val="24"/>
          <w:szCs w:val="32"/>
        </w:rPr>
        <w:t>）系（</w:t>
      </w:r>
      <w:r>
        <w:rPr>
          <w:rFonts w:hint="eastAsia" w:ascii="宋体" w:hAnsi="宋体" w:cs="宋体"/>
          <w:sz w:val="24"/>
          <w:szCs w:val="32"/>
          <w:u w:val="single"/>
        </w:rPr>
        <w:t xml:space="preserve"> 磋商供应商名称 </w:t>
      </w:r>
      <w:r>
        <w:rPr>
          <w:rFonts w:hint="eastAsia" w:ascii="宋体" w:hAnsi="宋体" w:cs="宋体"/>
          <w:sz w:val="24"/>
          <w:szCs w:val="32"/>
        </w:rPr>
        <w:t>）的法定代表人，我公司自愿参加贵方组织的（</w:t>
      </w:r>
      <w:r>
        <w:rPr>
          <w:rFonts w:hint="eastAsia" w:ascii="宋体" w:hAnsi="宋体" w:cs="宋体"/>
          <w:sz w:val="24"/>
          <w:szCs w:val="32"/>
          <w:u w:val="single"/>
        </w:rPr>
        <w:t xml:space="preserve"> 工矿企业购买第三方服务项目</w:t>
      </w:r>
      <w:r>
        <w:rPr>
          <w:rFonts w:hint="eastAsia" w:ascii="宋体" w:hAnsi="宋体" w:cs="宋体"/>
          <w:sz w:val="24"/>
          <w:szCs w:val="32"/>
        </w:rPr>
        <w:t>）（编号为</w:t>
      </w:r>
      <w:r>
        <w:rPr>
          <w:rFonts w:hint="eastAsia" w:ascii="宋体" w:hAnsi="宋体" w:cs="宋体"/>
          <w:sz w:val="24"/>
          <w:szCs w:val="32"/>
          <w:u w:val="single"/>
        </w:rPr>
        <w:t xml:space="preserve"> ZJHD-2024-0412 </w:t>
      </w:r>
      <w:r>
        <w:rPr>
          <w:rFonts w:hint="eastAsia" w:ascii="宋体" w:hAnsi="宋体" w:cs="宋体"/>
          <w:sz w:val="24"/>
          <w:szCs w:val="32"/>
        </w:rPr>
        <w:t>）的磋商，为此，我公司就本次磋商有关事项郑重声明如下：</w:t>
      </w:r>
    </w:p>
    <w:p>
      <w:pPr>
        <w:spacing w:line="440" w:lineRule="exact"/>
        <w:ind w:firstLine="480" w:firstLineChars="200"/>
        <w:rPr>
          <w:rFonts w:ascii="宋体" w:hAnsi="宋体" w:cs="宋体"/>
          <w:sz w:val="24"/>
          <w:szCs w:val="32"/>
        </w:rPr>
      </w:pPr>
      <w:r>
        <w:rPr>
          <w:rFonts w:hint="eastAsia" w:ascii="宋体" w:hAnsi="宋体" w:cs="宋体"/>
          <w:sz w:val="24"/>
          <w:szCs w:val="32"/>
        </w:rPr>
        <w:t>1、我公司声明截止磋商时间近三年以来：在参加政府采购活动过程中无任何不良行为记录；无重大违法记录（重大违法记录是指供应商因违法经营受到刑事处罚或者责令停产停业、吊销许可证或者执照、较大数额罚款等行政处罚）。</w:t>
      </w:r>
    </w:p>
    <w:p>
      <w:pPr>
        <w:spacing w:line="440" w:lineRule="exact"/>
        <w:ind w:firstLine="480" w:firstLineChars="200"/>
        <w:rPr>
          <w:rFonts w:ascii="宋体" w:hAnsi="宋体" w:cs="宋体"/>
          <w:sz w:val="24"/>
          <w:szCs w:val="32"/>
        </w:rPr>
      </w:pPr>
      <w:r>
        <w:rPr>
          <w:rFonts w:hint="eastAsia" w:ascii="宋体" w:hAnsi="宋体" w:cs="宋体"/>
          <w:sz w:val="24"/>
          <w:szCs w:val="32"/>
        </w:rPr>
        <w:t>2、我公司在参与磋商前已详细审查了磋商文件和所有相关资料，我方完全明白并认为此磋商文件没有倾向性，也没有存在排斥潜在供应商的内容，我方同意磋商文件的相关条款，放弃对磋商文件提出误解和质疑的一切权利。</w:t>
      </w:r>
    </w:p>
    <w:p>
      <w:pPr>
        <w:spacing w:line="440" w:lineRule="exact"/>
        <w:ind w:firstLine="480" w:firstLineChars="200"/>
        <w:rPr>
          <w:rFonts w:ascii="宋体" w:hAnsi="宋体" w:cs="宋体"/>
          <w:sz w:val="24"/>
          <w:szCs w:val="32"/>
        </w:rPr>
      </w:pPr>
      <w:r>
        <w:rPr>
          <w:rFonts w:hint="eastAsia" w:ascii="宋体" w:hAnsi="宋体" w:cs="宋体"/>
          <w:sz w:val="24"/>
          <w:szCs w:val="32"/>
        </w:rPr>
        <w:t>3、我</w:t>
      </w:r>
      <w:r>
        <w:rPr>
          <w:rFonts w:hint="eastAsia" w:ascii="宋体" w:hAnsi="宋体" w:cs="宋体"/>
          <w:sz w:val="24"/>
          <w:szCs w:val="32"/>
          <w:lang w:val="zh-CN"/>
        </w:rPr>
        <w:t>公司</w:t>
      </w:r>
      <w:r>
        <w:rPr>
          <w:rFonts w:hint="eastAsia" w:ascii="宋体" w:hAnsi="宋体" w:cs="宋体"/>
          <w:sz w:val="24"/>
          <w:szCs w:val="32"/>
        </w:rPr>
        <w:t>不是采购人的附属机构；在获知本项目采购信息后，与采购人聘请的为此项目提供咨询服务的公司及其附属机构没有任何联系。</w:t>
      </w:r>
    </w:p>
    <w:p>
      <w:pPr>
        <w:spacing w:line="440" w:lineRule="exact"/>
        <w:ind w:firstLine="480" w:firstLineChars="200"/>
        <w:rPr>
          <w:rFonts w:ascii="宋体" w:hAnsi="宋体" w:cs="宋体"/>
          <w:sz w:val="24"/>
          <w:szCs w:val="32"/>
          <w:lang w:val="af-ZA"/>
        </w:rPr>
      </w:pPr>
      <w:r>
        <w:rPr>
          <w:rFonts w:hint="eastAsia" w:ascii="宋体" w:hAnsi="宋体" w:cs="宋体"/>
          <w:sz w:val="24"/>
          <w:szCs w:val="32"/>
        </w:rPr>
        <w:t>4、我</w:t>
      </w:r>
      <w:r>
        <w:rPr>
          <w:rFonts w:hint="eastAsia" w:ascii="宋体" w:hAnsi="宋体" w:cs="宋体"/>
          <w:sz w:val="24"/>
          <w:szCs w:val="32"/>
          <w:lang w:val="zh-CN"/>
        </w:rPr>
        <w:t>公司</w:t>
      </w:r>
      <w:r>
        <w:rPr>
          <w:rFonts w:hint="eastAsia" w:ascii="宋体" w:hAnsi="宋体" w:cs="宋体"/>
          <w:sz w:val="24"/>
          <w:szCs w:val="32"/>
        </w:rPr>
        <w:t>保证，</w:t>
      </w:r>
      <w:r>
        <w:rPr>
          <w:rFonts w:hint="eastAsia" w:ascii="宋体" w:hAnsi="宋体" w:cs="宋体"/>
          <w:sz w:val="24"/>
          <w:szCs w:val="32"/>
          <w:lang w:val="af-ZA"/>
        </w:rPr>
        <w:t>采购人在中华人民共和国境内使用</w:t>
      </w:r>
      <w:r>
        <w:rPr>
          <w:rFonts w:hint="eastAsia" w:ascii="宋体" w:hAnsi="宋体" w:cs="宋体"/>
          <w:sz w:val="24"/>
          <w:szCs w:val="32"/>
        </w:rPr>
        <w:t>我</w:t>
      </w:r>
      <w:r>
        <w:rPr>
          <w:rFonts w:hint="eastAsia" w:ascii="宋体" w:hAnsi="宋体" w:cs="宋体"/>
          <w:sz w:val="24"/>
          <w:szCs w:val="32"/>
          <w:lang w:val="zh-CN"/>
        </w:rPr>
        <w:t>公司</w:t>
      </w:r>
      <w:r>
        <w:rPr>
          <w:rFonts w:hint="eastAsia" w:ascii="宋体" w:hAnsi="宋体" w:cs="宋体"/>
          <w:sz w:val="24"/>
          <w:szCs w:val="32"/>
          <w:lang w:val="af-ZA"/>
        </w:rPr>
        <w:t>磋商响应的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spacing w:line="440" w:lineRule="exact"/>
        <w:ind w:firstLine="480" w:firstLineChars="200"/>
        <w:rPr>
          <w:rFonts w:ascii="宋体" w:hAnsi="宋体" w:cs="宋体"/>
          <w:sz w:val="24"/>
          <w:szCs w:val="32"/>
        </w:rPr>
      </w:pPr>
      <w:r>
        <w:rPr>
          <w:rFonts w:hint="eastAsia" w:ascii="宋体" w:hAnsi="宋体" w:cs="宋体"/>
          <w:sz w:val="24"/>
          <w:szCs w:val="32"/>
          <w:lang w:val="af-ZA"/>
        </w:rPr>
        <w:t>5、我</w:t>
      </w:r>
      <w:r>
        <w:rPr>
          <w:rFonts w:hint="eastAsia" w:ascii="宋体" w:hAnsi="宋体" w:cs="宋体"/>
          <w:sz w:val="24"/>
          <w:szCs w:val="32"/>
          <w:lang w:val="zh-CN"/>
        </w:rPr>
        <w:t>公司</w:t>
      </w:r>
      <w:r>
        <w:rPr>
          <w:rFonts w:hint="eastAsia" w:ascii="宋体" w:hAnsi="宋体" w:cs="宋体"/>
          <w:sz w:val="24"/>
          <w:szCs w:val="32"/>
          <w:lang w:val="af-ZA"/>
        </w:rPr>
        <w:t>严格履行政府采购合同，</w:t>
      </w:r>
      <w:r>
        <w:rPr>
          <w:rFonts w:hint="eastAsia" w:ascii="宋体" w:hAnsi="宋体" w:cs="宋体"/>
          <w:kern w:val="0"/>
          <w:sz w:val="24"/>
        </w:rPr>
        <w:t>除在响应文件中明确拒绝之外，均接受采购文件中的全部条件，</w:t>
      </w:r>
      <w:r>
        <w:rPr>
          <w:rFonts w:hint="eastAsia" w:ascii="宋体" w:hAnsi="宋体" w:cs="宋体"/>
          <w:sz w:val="24"/>
          <w:szCs w:val="32"/>
          <w:lang w:val="af-ZA"/>
        </w:rPr>
        <w:t>不降低合同约定的产品质量和服务，不擅自变更、中止、终止合同，或拒绝履行合同义务；</w:t>
      </w:r>
    </w:p>
    <w:p>
      <w:pPr>
        <w:spacing w:line="440" w:lineRule="exact"/>
        <w:ind w:firstLine="480" w:firstLineChars="200"/>
        <w:rPr>
          <w:rFonts w:ascii="宋体" w:hAnsi="宋体" w:cs="宋体"/>
          <w:sz w:val="24"/>
          <w:szCs w:val="32"/>
        </w:rPr>
      </w:pPr>
      <w:r>
        <w:rPr>
          <w:rFonts w:hint="eastAsia" w:ascii="宋体" w:hAnsi="宋体" w:cs="宋体"/>
          <w:sz w:val="24"/>
          <w:szCs w:val="32"/>
        </w:rPr>
        <w:t>6、以上事项如有虚假或隐瞒，我</w:t>
      </w:r>
      <w:r>
        <w:rPr>
          <w:rFonts w:hint="eastAsia" w:ascii="宋体" w:hAnsi="宋体" w:cs="宋体"/>
          <w:sz w:val="24"/>
          <w:szCs w:val="32"/>
          <w:lang w:val="zh-CN"/>
        </w:rPr>
        <w:t>公司</w:t>
      </w:r>
      <w:r>
        <w:rPr>
          <w:rFonts w:hint="eastAsia" w:ascii="宋体" w:hAnsi="宋体" w:cs="宋体"/>
          <w:sz w:val="24"/>
          <w:szCs w:val="32"/>
        </w:rPr>
        <w:t>愿意承担一切后果，并不再寻求任何旨在减轻或免除法律责任的辩解。</w:t>
      </w:r>
    </w:p>
    <w:p>
      <w:pPr>
        <w:spacing w:line="440" w:lineRule="exact"/>
        <w:ind w:firstLine="480" w:firstLineChars="200"/>
        <w:rPr>
          <w:rFonts w:ascii="宋体" w:hAnsi="宋体" w:cs="宋体"/>
          <w:sz w:val="24"/>
          <w:szCs w:val="32"/>
        </w:rPr>
      </w:pPr>
      <w:r>
        <w:rPr>
          <w:rFonts w:hint="eastAsia" w:ascii="宋体" w:hAnsi="宋体" w:cs="宋体"/>
          <w:sz w:val="24"/>
          <w:szCs w:val="32"/>
        </w:rPr>
        <w:t>本单位若违反以上承诺，将无条件接受项目主管部门和有关监督管理部门的调查，并愿意承担取消成交资格及限制在本地区参与投标等一切法律责任。</w:t>
      </w:r>
    </w:p>
    <w:p>
      <w:pPr>
        <w:spacing w:line="440" w:lineRule="exact"/>
        <w:rPr>
          <w:rFonts w:ascii="宋体" w:hAnsi="宋体" w:cs="宋体"/>
          <w:sz w:val="24"/>
          <w:szCs w:val="32"/>
        </w:rPr>
      </w:pPr>
    </w:p>
    <w:p>
      <w:pPr>
        <w:spacing w:line="360" w:lineRule="auto"/>
        <w:ind w:firstLine="4560" w:firstLineChars="1900"/>
        <w:rPr>
          <w:rFonts w:ascii="宋体" w:hAnsi="宋体" w:cs="宋体"/>
          <w:sz w:val="24"/>
          <w:szCs w:val="32"/>
          <w:lang w:val="zh-CN"/>
        </w:rPr>
      </w:pPr>
      <w:r>
        <w:rPr>
          <w:rFonts w:hint="eastAsia" w:ascii="宋体" w:hAnsi="宋体" w:cs="宋体"/>
          <w:sz w:val="24"/>
          <w:szCs w:val="32"/>
          <w:lang w:val="zh-CN"/>
        </w:rPr>
        <w:t>磋商供应商名称（公章）：</w:t>
      </w:r>
    </w:p>
    <w:p>
      <w:pPr>
        <w:spacing w:line="360" w:lineRule="auto"/>
        <w:ind w:firstLine="4560" w:firstLineChars="1900"/>
        <w:rPr>
          <w:rFonts w:ascii="宋体" w:hAnsi="宋体" w:cs="宋体"/>
          <w:sz w:val="24"/>
          <w:szCs w:val="32"/>
          <w:lang w:val="zh-CN"/>
        </w:rPr>
      </w:pPr>
      <w:r>
        <w:rPr>
          <w:rFonts w:hint="eastAsia" w:ascii="宋体" w:hAnsi="宋体" w:cs="宋体"/>
          <w:sz w:val="24"/>
          <w:szCs w:val="32"/>
          <w:lang w:val="zh-CN"/>
        </w:rPr>
        <w:t>法定代表人或授权委托人（签字）：</w:t>
      </w:r>
    </w:p>
    <w:p>
      <w:pPr>
        <w:spacing w:line="360" w:lineRule="auto"/>
        <w:ind w:firstLine="4560" w:firstLineChars="1900"/>
        <w:rPr>
          <w:rFonts w:ascii="宋体" w:hAnsi="宋体" w:cs="宋体"/>
          <w:sz w:val="24"/>
          <w:szCs w:val="32"/>
          <w:lang w:val="zh-CN"/>
        </w:rPr>
      </w:pPr>
      <w:r>
        <w:rPr>
          <w:rFonts w:hint="eastAsia" w:ascii="宋体" w:hAnsi="宋体" w:cs="宋体"/>
          <w:sz w:val="24"/>
          <w:szCs w:val="32"/>
          <w:lang w:val="zh-CN"/>
        </w:rPr>
        <w:t>日期：</w:t>
      </w:r>
      <w:r>
        <w:rPr>
          <w:rFonts w:hint="eastAsia" w:ascii="宋体" w:hAnsi="宋体" w:cs="宋体"/>
          <w:sz w:val="24"/>
          <w:szCs w:val="32"/>
          <w:u w:val="single"/>
        </w:rPr>
        <w:t xml:space="preserve">      </w:t>
      </w:r>
      <w:r>
        <w:rPr>
          <w:rFonts w:hint="eastAsia" w:ascii="宋体" w:hAnsi="宋体" w:cs="宋体"/>
          <w:sz w:val="24"/>
          <w:szCs w:val="32"/>
          <w:lang w:val="zh-CN"/>
        </w:rPr>
        <w:t>年</w:t>
      </w:r>
      <w:r>
        <w:rPr>
          <w:rFonts w:hint="eastAsia" w:ascii="宋体" w:hAnsi="宋体" w:cs="宋体"/>
          <w:sz w:val="24"/>
          <w:szCs w:val="32"/>
          <w:u w:val="single"/>
        </w:rPr>
        <w:t xml:space="preserve">    </w:t>
      </w:r>
      <w:r>
        <w:rPr>
          <w:rFonts w:hint="eastAsia" w:ascii="宋体" w:hAnsi="宋体" w:cs="宋体"/>
          <w:sz w:val="24"/>
          <w:szCs w:val="32"/>
          <w:lang w:val="zh-CN"/>
        </w:rPr>
        <w:t>月</w:t>
      </w:r>
      <w:r>
        <w:rPr>
          <w:rFonts w:hint="eastAsia" w:ascii="宋体" w:hAnsi="宋体" w:cs="宋体"/>
          <w:sz w:val="24"/>
          <w:szCs w:val="32"/>
          <w:u w:val="single"/>
        </w:rPr>
        <w:t xml:space="preserve">    </w:t>
      </w:r>
      <w:r>
        <w:rPr>
          <w:rFonts w:hint="eastAsia" w:ascii="宋体" w:hAnsi="宋体" w:cs="宋体"/>
          <w:sz w:val="24"/>
          <w:szCs w:val="32"/>
          <w:lang w:val="zh-CN"/>
        </w:rPr>
        <w:t>日</w:t>
      </w:r>
    </w:p>
    <w:p>
      <w:pPr>
        <w:spacing w:line="360" w:lineRule="auto"/>
        <w:outlineLvl w:val="0"/>
        <w:rPr>
          <w:rFonts w:ascii="宋体" w:hAnsi="宋体" w:cs="宋体"/>
          <w:b/>
          <w:sz w:val="28"/>
        </w:rPr>
      </w:pPr>
      <w:r>
        <w:rPr>
          <w:rFonts w:hint="eastAsia" w:ascii="宋体" w:hAnsi="宋体" w:cs="宋体"/>
          <w:b/>
          <w:sz w:val="28"/>
        </w:rPr>
        <w:t>附件3                   授权委托书</w:t>
      </w:r>
    </w:p>
    <w:p>
      <w:pPr>
        <w:spacing w:line="360" w:lineRule="auto"/>
        <w:rPr>
          <w:rFonts w:ascii="宋体" w:hAnsi="宋体" w:cs="宋体"/>
          <w:sz w:val="24"/>
          <w:szCs w:val="32"/>
          <w:u w:val="single"/>
        </w:rPr>
      </w:pPr>
      <w:r>
        <w:rPr>
          <w:rFonts w:hint="eastAsia" w:ascii="宋体" w:hAnsi="宋体" w:cs="宋体"/>
          <w:sz w:val="24"/>
          <w:szCs w:val="32"/>
          <w:u w:val="single"/>
        </w:rPr>
        <w:t>台州市椒江区应急管理局、浙江洪大工程咨询有限公司：</w:t>
      </w:r>
    </w:p>
    <w:p>
      <w:pPr>
        <w:spacing w:line="360" w:lineRule="auto"/>
        <w:ind w:firstLine="480" w:firstLineChars="200"/>
        <w:rPr>
          <w:rFonts w:ascii="宋体" w:hAnsi="宋体" w:cs="宋体"/>
          <w:sz w:val="24"/>
          <w:szCs w:val="32"/>
        </w:rPr>
      </w:pPr>
      <w:r>
        <w:rPr>
          <w:rFonts w:hint="eastAsia" w:ascii="宋体" w:hAnsi="宋体" w:cs="宋体"/>
          <w:sz w:val="24"/>
          <w:szCs w:val="32"/>
          <w:u w:val="single"/>
        </w:rPr>
        <w:t>（磋商供应商全称）</w:t>
      </w:r>
      <w:r>
        <w:rPr>
          <w:rFonts w:hint="eastAsia" w:ascii="宋体" w:hAnsi="宋体" w:cs="宋体"/>
          <w:sz w:val="24"/>
          <w:szCs w:val="32"/>
        </w:rPr>
        <w:t>法定代表人（或营业执照中单位负责人）</w:t>
      </w:r>
      <w:r>
        <w:rPr>
          <w:rFonts w:hint="eastAsia" w:ascii="宋体" w:hAnsi="宋体" w:cs="宋体"/>
          <w:sz w:val="24"/>
          <w:szCs w:val="32"/>
          <w:u w:val="single"/>
        </w:rPr>
        <w:tab/>
      </w:r>
      <w:r>
        <w:rPr>
          <w:rFonts w:hint="eastAsia" w:ascii="宋体" w:hAnsi="宋体" w:cs="宋体"/>
          <w:sz w:val="24"/>
          <w:szCs w:val="32"/>
          <w:u w:val="single"/>
        </w:rPr>
        <w:t xml:space="preserve">（法定代表人或营业执照中单位负责人姓名） </w:t>
      </w:r>
      <w:r>
        <w:rPr>
          <w:rFonts w:hint="eastAsia" w:ascii="宋体" w:hAnsi="宋体" w:cs="宋体"/>
          <w:sz w:val="24"/>
          <w:szCs w:val="32"/>
        </w:rPr>
        <w:t>授权</w:t>
      </w:r>
      <w:r>
        <w:rPr>
          <w:rFonts w:hint="eastAsia" w:ascii="宋体" w:hAnsi="宋体" w:cs="宋体"/>
          <w:sz w:val="24"/>
          <w:szCs w:val="32"/>
          <w:u w:val="single"/>
        </w:rPr>
        <w:t xml:space="preserve"> （授权委托代理人姓名） </w:t>
      </w:r>
      <w:r>
        <w:rPr>
          <w:rFonts w:hint="eastAsia" w:ascii="宋体" w:hAnsi="宋体" w:cs="宋体"/>
          <w:sz w:val="24"/>
          <w:szCs w:val="32"/>
        </w:rPr>
        <w:t>为授权委托代理人，参加贵单位组织的</w:t>
      </w:r>
      <w:r>
        <w:rPr>
          <w:rFonts w:hint="eastAsia" w:ascii="宋体" w:hAnsi="宋体" w:cs="宋体"/>
          <w:sz w:val="24"/>
          <w:szCs w:val="32"/>
          <w:u w:val="single"/>
        </w:rPr>
        <w:t xml:space="preserve"> 工矿企业购买第三方服务项目</w:t>
      </w:r>
      <w:r>
        <w:rPr>
          <w:rFonts w:hint="eastAsia" w:ascii="宋体" w:hAnsi="宋体" w:cs="宋体"/>
          <w:sz w:val="24"/>
          <w:szCs w:val="32"/>
        </w:rPr>
        <w:t>的采购活动，并代表我方全权办理针对上述项目的磋商、签约等具体事务和签署相关文件。我方对授权委托代理人的签字事项负全部责任。</w:t>
      </w:r>
    </w:p>
    <w:p>
      <w:pPr>
        <w:spacing w:line="360" w:lineRule="auto"/>
        <w:ind w:firstLine="480" w:firstLineChars="200"/>
        <w:rPr>
          <w:rFonts w:ascii="宋体" w:hAnsi="宋体" w:cs="宋体"/>
          <w:sz w:val="24"/>
          <w:szCs w:val="32"/>
        </w:rPr>
      </w:pPr>
      <w:r>
        <w:rPr>
          <w:rFonts w:hint="eastAsia" w:ascii="宋体" w:hAnsi="宋体" w:cs="宋体"/>
          <w:sz w:val="24"/>
          <w:szCs w:val="32"/>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sz w:val="24"/>
          <w:szCs w:val="32"/>
        </w:rPr>
      </w:pPr>
      <w:r>
        <w:rPr>
          <w:rFonts w:hint="eastAsia" w:ascii="宋体" w:hAnsi="宋体" w:cs="宋体"/>
          <w:sz w:val="24"/>
          <w:szCs w:val="32"/>
        </w:rPr>
        <w:t>授权委托代理人无转委托权，特此委托。</w:t>
      </w:r>
    </w:p>
    <w:p>
      <w:pPr>
        <w:spacing w:line="360" w:lineRule="auto"/>
        <w:rPr>
          <w:rFonts w:ascii="宋体" w:hAnsi="宋体" w:cs="宋体"/>
          <w:sz w:val="24"/>
          <w:szCs w:val="32"/>
        </w:rPr>
      </w:pPr>
    </w:p>
    <w:p>
      <w:pPr>
        <w:spacing w:line="360" w:lineRule="auto"/>
        <w:rPr>
          <w:rFonts w:ascii="宋体" w:hAnsi="宋体" w:cs="宋体"/>
          <w:sz w:val="24"/>
          <w:szCs w:val="32"/>
        </w:rPr>
      </w:pPr>
      <w:r>
        <w:rPr>
          <w:rFonts w:hint="eastAsia" w:ascii="宋体" w:hAnsi="宋体" w:cs="宋体"/>
          <w:sz w:val="24"/>
          <w:szCs w:val="32"/>
        </w:rPr>
        <w:t>法定代表人签字或盖章：</w:t>
      </w:r>
    </w:p>
    <w:p>
      <w:pPr>
        <w:spacing w:line="360" w:lineRule="auto"/>
        <w:rPr>
          <w:rFonts w:ascii="宋体" w:hAnsi="宋体" w:cs="宋体"/>
          <w:sz w:val="24"/>
          <w:szCs w:val="32"/>
        </w:rPr>
      </w:pPr>
    </w:p>
    <w:p>
      <w:pPr>
        <w:spacing w:line="360" w:lineRule="auto"/>
        <w:rPr>
          <w:rFonts w:ascii="宋体" w:hAnsi="宋体" w:cs="宋体"/>
          <w:sz w:val="24"/>
          <w:szCs w:val="32"/>
        </w:rPr>
      </w:pPr>
      <w:r>
        <w:rPr>
          <w:rFonts w:hint="eastAsia" w:ascii="宋体" w:hAnsi="宋体" w:cs="宋体"/>
          <w:sz w:val="24"/>
          <w:szCs w:val="32"/>
        </w:rPr>
        <w:t xml:space="preserve">磋商供应商全称（公章）：                      </w:t>
      </w:r>
      <w:r>
        <w:rPr>
          <w:rFonts w:hint="eastAsia" w:ascii="宋体" w:hAnsi="宋体" w:cs="宋体"/>
          <w:sz w:val="24"/>
          <w:szCs w:val="32"/>
          <w:lang w:val="zh-CN"/>
        </w:rPr>
        <w:t>日期：</w:t>
      </w:r>
      <w:r>
        <w:rPr>
          <w:rFonts w:hint="eastAsia" w:ascii="宋体" w:hAnsi="宋体" w:cs="宋体"/>
          <w:sz w:val="24"/>
          <w:szCs w:val="32"/>
          <w:u w:val="single"/>
        </w:rPr>
        <w:t xml:space="preserve">      </w:t>
      </w:r>
      <w:r>
        <w:rPr>
          <w:rFonts w:hint="eastAsia" w:ascii="宋体" w:hAnsi="宋体" w:cs="宋体"/>
          <w:sz w:val="24"/>
          <w:szCs w:val="32"/>
          <w:lang w:val="zh-CN"/>
        </w:rPr>
        <w:t>年</w:t>
      </w:r>
      <w:r>
        <w:rPr>
          <w:rFonts w:hint="eastAsia" w:ascii="宋体" w:hAnsi="宋体" w:cs="宋体"/>
          <w:sz w:val="24"/>
          <w:szCs w:val="32"/>
          <w:u w:val="single"/>
        </w:rPr>
        <w:t xml:space="preserve">    </w:t>
      </w:r>
      <w:r>
        <w:rPr>
          <w:rFonts w:hint="eastAsia" w:ascii="宋体" w:hAnsi="宋体" w:cs="宋体"/>
          <w:sz w:val="24"/>
          <w:szCs w:val="32"/>
          <w:lang w:val="zh-CN"/>
        </w:rPr>
        <w:t>月</w:t>
      </w:r>
      <w:r>
        <w:rPr>
          <w:rFonts w:hint="eastAsia" w:ascii="宋体" w:hAnsi="宋体" w:cs="宋体"/>
          <w:sz w:val="24"/>
          <w:szCs w:val="32"/>
          <w:u w:val="single"/>
        </w:rPr>
        <w:t xml:space="preserve">    </w:t>
      </w:r>
      <w:r>
        <w:rPr>
          <w:rFonts w:hint="eastAsia" w:ascii="宋体" w:hAnsi="宋体" w:cs="宋体"/>
          <w:sz w:val="24"/>
          <w:szCs w:val="32"/>
          <w:lang w:val="zh-CN"/>
        </w:rPr>
        <w:t>日</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附：</w:t>
      </w:r>
    </w:p>
    <w:tbl>
      <w:tblPr>
        <w:tblStyle w:val="33"/>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sz w:val="24"/>
              </w:rPr>
            </w:pPr>
            <w:r>
              <w:rPr>
                <w:rFonts w:hint="eastAsia" w:ascii="宋体" w:hAnsi="宋体" w:cs="宋体"/>
                <w:b/>
                <w:sz w:val="24"/>
              </w:rPr>
              <w:t>法定代表身份证复印件粘帖处</w:t>
            </w:r>
          </w:p>
        </w:tc>
      </w:tr>
    </w:tbl>
    <w:p>
      <w:pPr>
        <w:spacing w:line="360" w:lineRule="auto"/>
        <w:rPr>
          <w:rFonts w:ascii="宋体" w:hAnsi="宋体" w:cs="宋体"/>
          <w:sz w:val="24"/>
          <w:szCs w:val="32"/>
        </w:rPr>
      </w:pPr>
      <w:r>
        <w:rPr>
          <w:rFonts w:hint="eastAsia" w:ascii="宋体" w:hAnsi="宋体" w:cs="宋体"/>
          <w:sz w:val="24"/>
          <w:szCs w:val="32"/>
        </w:rPr>
        <w:t>法定代表人姓名：</w:t>
      </w:r>
    </w:p>
    <w:p>
      <w:pPr>
        <w:spacing w:line="360" w:lineRule="auto"/>
        <w:rPr>
          <w:rFonts w:ascii="宋体" w:hAnsi="宋体" w:cs="宋体"/>
          <w:sz w:val="24"/>
          <w:szCs w:val="32"/>
        </w:rPr>
      </w:pPr>
      <w:r>
        <w:rPr>
          <w:rFonts w:hint="eastAsia" w:ascii="宋体" w:hAnsi="宋体" w:cs="宋体"/>
          <w:sz w:val="24"/>
          <w:szCs w:val="32"/>
        </w:rPr>
        <w:t>传真：</w:t>
      </w:r>
    </w:p>
    <w:p>
      <w:pPr>
        <w:spacing w:line="360" w:lineRule="auto"/>
        <w:rPr>
          <w:rFonts w:ascii="宋体" w:hAnsi="宋体" w:cs="宋体"/>
          <w:sz w:val="24"/>
          <w:szCs w:val="32"/>
        </w:rPr>
      </w:pPr>
      <w:r>
        <w:rPr>
          <w:rFonts w:hint="eastAsia" w:ascii="宋体" w:hAnsi="宋体" w:cs="宋体"/>
          <w:sz w:val="24"/>
          <w:szCs w:val="32"/>
        </w:rPr>
        <w:t>手机：</w:t>
      </w:r>
    </w:p>
    <w:p>
      <w:pPr>
        <w:spacing w:line="360" w:lineRule="auto"/>
        <w:rPr>
          <w:rFonts w:ascii="宋体" w:hAnsi="宋体" w:cs="宋体"/>
          <w:sz w:val="24"/>
          <w:szCs w:val="32"/>
        </w:rPr>
      </w:pPr>
      <w:r>
        <w:rPr>
          <w:rFonts w:hint="eastAsia" w:ascii="宋体" w:hAnsi="宋体" w:cs="宋体"/>
          <w:sz w:val="24"/>
          <w:szCs w:val="32"/>
        </w:rPr>
        <w:t>详细通讯地址：</w:t>
      </w:r>
    </w:p>
    <w:p>
      <w:pPr>
        <w:spacing w:line="360" w:lineRule="auto"/>
        <w:rPr>
          <w:rFonts w:ascii="宋体" w:hAnsi="宋体" w:cs="宋体"/>
          <w:sz w:val="24"/>
          <w:szCs w:val="32"/>
        </w:rPr>
      </w:pPr>
      <w:r>
        <w:rPr>
          <w:rFonts w:hint="eastAsia" w:ascii="宋体" w:hAnsi="宋体" w:cs="宋体"/>
          <w:sz w:val="24"/>
          <w:szCs w:val="32"/>
        </w:rPr>
        <w:t>邮政编码：</w:t>
      </w:r>
    </w:p>
    <w:p>
      <w:pPr>
        <w:spacing w:line="360" w:lineRule="auto"/>
        <w:rPr>
          <w:rFonts w:ascii="宋体" w:hAnsi="宋体" w:cs="宋体"/>
          <w:b/>
          <w:sz w:val="24"/>
        </w:rPr>
      </w:pPr>
    </w:p>
    <w:tbl>
      <w:tblPr>
        <w:tblStyle w:val="33"/>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sz w:val="24"/>
              </w:rPr>
            </w:pPr>
            <w:r>
              <w:rPr>
                <w:rFonts w:hint="eastAsia" w:ascii="宋体" w:hAnsi="宋体" w:cs="宋体"/>
                <w:b/>
                <w:sz w:val="24"/>
              </w:rPr>
              <w:t>授权委托代理人身份证复印件粘帖处</w:t>
            </w:r>
          </w:p>
        </w:tc>
      </w:tr>
    </w:tbl>
    <w:p>
      <w:pPr>
        <w:spacing w:line="360" w:lineRule="auto"/>
        <w:rPr>
          <w:rFonts w:ascii="宋体" w:hAnsi="宋体" w:cs="宋体"/>
          <w:sz w:val="24"/>
          <w:szCs w:val="32"/>
        </w:rPr>
      </w:pPr>
      <w:r>
        <w:rPr>
          <w:rFonts w:hint="eastAsia" w:ascii="宋体" w:hAnsi="宋体" w:cs="宋体"/>
          <w:sz w:val="24"/>
          <w:szCs w:val="32"/>
        </w:rPr>
        <w:t>授权委托代理人姓名：</w:t>
      </w:r>
    </w:p>
    <w:p>
      <w:pPr>
        <w:spacing w:line="360" w:lineRule="auto"/>
        <w:rPr>
          <w:rFonts w:ascii="宋体" w:hAnsi="宋体" w:cs="宋体"/>
          <w:sz w:val="24"/>
          <w:szCs w:val="32"/>
        </w:rPr>
      </w:pPr>
      <w:r>
        <w:rPr>
          <w:rFonts w:hint="eastAsia" w:ascii="宋体" w:hAnsi="宋体" w:cs="宋体"/>
          <w:sz w:val="24"/>
          <w:szCs w:val="32"/>
        </w:rPr>
        <w:t>职务：</w:t>
      </w:r>
    </w:p>
    <w:p>
      <w:pPr>
        <w:spacing w:line="360" w:lineRule="auto"/>
        <w:rPr>
          <w:rFonts w:ascii="宋体" w:hAnsi="宋体" w:cs="宋体"/>
          <w:sz w:val="24"/>
          <w:szCs w:val="32"/>
        </w:rPr>
      </w:pPr>
      <w:r>
        <w:rPr>
          <w:rFonts w:hint="eastAsia" w:ascii="宋体" w:hAnsi="宋体" w:cs="宋体"/>
          <w:sz w:val="24"/>
          <w:szCs w:val="32"/>
        </w:rPr>
        <w:t>传真：</w:t>
      </w:r>
    </w:p>
    <w:p>
      <w:pPr>
        <w:spacing w:line="360" w:lineRule="auto"/>
        <w:rPr>
          <w:rFonts w:ascii="宋体" w:hAnsi="宋体" w:cs="宋体"/>
          <w:sz w:val="24"/>
          <w:szCs w:val="32"/>
        </w:rPr>
      </w:pPr>
      <w:r>
        <w:rPr>
          <w:rFonts w:hint="eastAsia" w:ascii="宋体" w:hAnsi="宋体" w:cs="宋体"/>
          <w:sz w:val="24"/>
          <w:szCs w:val="32"/>
        </w:rPr>
        <w:t>手机：</w:t>
      </w:r>
    </w:p>
    <w:p>
      <w:pPr>
        <w:spacing w:line="360" w:lineRule="auto"/>
        <w:rPr>
          <w:rFonts w:ascii="宋体" w:hAnsi="宋体" w:cs="宋体"/>
          <w:sz w:val="24"/>
          <w:szCs w:val="32"/>
        </w:rPr>
      </w:pPr>
      <w:r>
        <w:rPr>
          <w:rFonts w:hint="eastAsia" w:ascii="宋体" w:hAnsi="宋体" w:cs="宋体"/>
          <w:sz w:val="24"/>
          <w:szCs w:val="32"/>
        </w:rPr>
        <w:t>详细通讯地址：</w:t>
      </w:r>
    </w:p>
    <w:p>
      <w:pPr>
        <w:spacing w:line="360" w:lineRule="auto"/>
        <w:rPr>
          <w:rFonts w:ascii="宋体" w:hAnsi="宋体" w:cs="宋体"/>
          <w:sz w:val="24"/>
          <w:szCs w:val="32"/>
        </w:rPr>
      </w:pPr>
      <w:r>
        <w:rPr>
          <w:rFonts w:hint="eastAsia" w:ascii="宋体" w:hAnsi="宋体" w:cs="宋体"/>
          <w:sz w:val="24"/>
          <w:szCs w:val="32"/>
        </w:rPr>
        <w:t>邮政编码：</w:t>
      </w:r>
    </w:p>
    <w:p>
      <w:pPr>
        <w:adjustRightInd w:val="0"/>
        <w:snapToGrid w:val="0"/>
        <w:spacing w:line="360" w:lineRule="auto"/>
        <w:ind w:right="480"/>
        <w:rPr>
          <w:rFonts w:ascii="宋体"/>
          <w:b/>
          <w:sz w:val="30"/>
          <w:szCs w:val="30"/>
        </w:rPr>
      </w:pPr>
      <w:r>
        <w:rPr>
          <w:rFonts w:hint="eastAsia" w:ascii="宋体" w:hAnsi="宋体" w:cs="宋体"/>
          <w:sz w:val="24"/>
          <w:szCs w:val="32"/>
        </w:rPr>
        <w:br w:type="page"/>
      </w:r>
      <w:r>
        <w:rPr>
          <w:rFonts w:hint="eastAsia" w:ascii="宋体"/>
          <w:b/>
          <w:sz w:val="28"/>
        </w:rPr>
        <w:t>附件4</w:t>
      </w:r>
    </w:p>
    <w:p>
      <w:pPr>
        <w:adjustRightInd w:val="0"/>
        <w:snapToGrid w:val="0"/>
        <w:spacing w:line="360" w:lineRule="auto"/>
        <w:ind w:right="480"/>
        <w:rPr>
          <w:rFonts w:ascii="宋体"/>
          <w:b/>
          <w:sz w:val="28"/>
        </w:rPr>
      </w:pPr>
    </w:p>
    <w:p>
      <w:pPr>
        <w:pStyle w:val="32"/>
        <w:ind w:left="0" w:leftChars="0" w:firstLine="0"/>
      </w:pPr>
    </w:p>
    <w:p>
      <w:pPr>
        <w:spacing w:line="360" w:lineRule="auto"/>
        <w:ind w:firstLine="301" w:firstLineChars="100"/>
        <w:jc w:val="center"/>
        <w:rPr>
          <w:rFonts w:ascii="宋体" w:cs="宋体"/>
          <w:b/>
          <w:kern w:val="36"/>
          <w:sz w:val="32"/>
          <w:szCs w:val="28"/>
        </w:rPr>
      </w:pPr>
      <w:r>
        <w:rPr>
          <w:rFonts w:hint="eastAsia" w:ascii="宋体"/>
          <w:b/>
          <w:sz w:val="30"/>
          <w:szCs w:val="30"/>
        </w:rPr>
        <w:t>投标供应商没有失信记录承诺函</w:t>
      </w:r>
    </w:p>
    <w:p>
      <w:pPr>
        <w:pStyle w:val="15"/>
        <w:tabs>
          <w:tab w:val="left" w:pos="720"/>
          <w:tab w:val="left" w:pos="1260"/>
          <w:tab w:val="left" w:pos="2160"/>
          <w:tab w:val="left" w:pos="2880"/>
          <w:tab w:val="left" w:pos="3600"/>
          <w:tab w:val="left" w:pos="4320"/>
          <w:tab w:val="left" w:pos="5040"/>
          <w:tab w:val="left" w:pos="5760"/>
        </w:tabs>
      </w:pPr>
    </w:p>
    <w:p>
      <w:pPr>
        <w:spacing w:line="360" w:lineRule="auto"/>
        <w:ind w:firstLine="424" w:firstLineChars="202"/>
        <w:jc w:val="left"/>
        <w:rPr>
          <w:rFonts w:ascii="宋体"/>
          <w:kern w:val="0"/>
          <w:szCs w:val="21"/>
        </w:rPr>
      </w:pPr>
      <w:r>
        <w:rPr>
          <w:rFonts w:hint="eastAsia" w:ascii="宋体"/>
          <w:szCs w:val="21"/>
          <w:u w:val="single"/>
        </w:rPr>
        <w:t>××</w:t>
      </w:r>
      <w:r>
        <w:rPr>
          <w:rFonts w:hint="eastAsia" w:ascii="宋体"/>
          <w:kern w:val="0"/>
          <w:szCs w:val="21"/>
        </w:rPr>
        <w:t xml:space="preserve">（代理机构/采购代理机构名称）： </w:t>
      </w:r>
    </w:p>
    <w:p>
      <w:pPr>
        <w:spacing w:line="360" w:lineRule="auto"/>
        <w:ind w:firstLine="424" w:firstLineChars="202"/>
        <w:jc w:val="left"/>
        <w:rPr>
          <w:rFonts w:ascii="宋体" w:cs="Arial"/>
          <w:kern w:val="0"/>
          <w:szCs w:val="21"/>
        </w:rPr>
      </w:pPr>
      <w:r>
        <w:rPr>
          <w:rFonts w:hint="eastAsia" w:ascii="宋体" w:cs="Arial"/>
          <w:kern w:val="0"/>
          <w:szCs w:val="21"/>
        </w:rPr>
        <w:t>我公司郑重承诺：到本项目投标截止时间为止，我公司未被</w:t>
      </w:r>
      <w:r>
        <w:rPr>
          <w:rFonts w:ascii="宋体" w:cs="Arial"/>
          <w:kern w:val="0"/>
          <w:szCs w:val="21"/>
        </w:rPr>
        <w:t>“信用中国”</w:t>
      </w:r>
      <w:r>
        <w:rPr>
          <w:rFonts w:hint="eastAsia" w:ascii="宋体" w:cs="Arial"/>
          <w:kern w:val="0"/>
          <w:szCs w:val="21"/>
        </w:rPr>
        <w:t>（</w:t>
      </w:r>
      <w:r>
        <w:rPr>
          <w:rFonts w:ascii="宋体" w:cs="Arial"/>
          <w:kern w:val="0"/>
          <w:szCs w:val="21"/>
        </w:rPr>
        <w:t>www.creditchina.gov.cn</w:t>
      </w:r>
      <w:r>
        <w:rPr>
          <w:rFonts w:hint="eastAsia" w:ascii="宋体" w:cs="Arial"/>
          <w:kern w:val="0"/>
          <w:szCs w:val="21"/>
        </w:rPr>
        <w:t>）、</w:t>
      </w:r>
      <w:r>
        <w:rPr>
          <w:rFonts w:ascii="宋体" w:cs="Arial"/>
          <w:kern w:val="0"/>
          <w:szCs w:val="21"/>
        </w:rPr>
        <w:t>中国政府采购网</w:t>
      </w:r>
      <w:r>
        <w:rPr>
          <w:rFonts w:hint="eastAsia" w:ascii="宋体" w:cs="Arial"/>
          <w:kern w:val="0"/>
          <w:szCs w:val="21"/>
        </w:rPr>
        <w:t>（</w:t>
      </w:r>
      <w:r>
        <w:rPr>
          <w:rFonts w:ascii="宋体" w:cs="Arial"/>
          <w:kern w:val="0"/>
          <w:szCs w:val="21"/>
        </w:rPr>
        <w:t>www.ccgp.gov.cn</w:t>
      </w:r>
      <w:r>
        <w:rPr>
          <w:rFonts w:hint="eastAsia" w:ascii="宋体" w:cs="Arial"/>
          <w:kern w:val="0"/>
          <w:szCs w:val="21"/>
        </w:rPr>
        <w:t>）</w:t>
      </w:r>
      <w:r>
        <w:rPr>
          <w:rFonts w:ascii="宋体" w:cs="Arial"/>
          <w:kern w:val="0"/>
          <w:szCs w:val="21"/>
        </w:rPr>
        <w:t>列入失信被执行人</w:t>
      </w:r>
      <w:r>
        <w:rPr>
          <w:rFonts w:hint="eastAsia" w:ascii="宋体" w:cs="Arial"/>
          <w:kern w:val="0"/>
          <w:szCs w:val="21"/>
        </w:rPr>
        <w:t>名单</w:t>
      </w:r>
      <w:r>
        <w:rPr>
          <w:rFonts w:ascii="宋体" w:cs="Arial"/>
          <w:kern w:val="0"/>
          <w:szCs w:val="21"/>
        </w:rPr>
        <w:t>、重大税收违法案件当事人名单、政府采购严重违法失信行为记录名单</w:t>
      </w:r>
      <w:r>
        <w:rPr>
          <w:rFonts w:hint="eastAsia" w:ascii="宋体" w:cs="Arial"/>
          <w:kern w:val="0"/>
          <w:szCs w:val="21"/>
        </w:rPr>
        <w:t>。如有隐瞒，愿承担一切责任。</w:t>
      </w:r>
    </w:p>
    <w:p>
      <w:pPr>
        <w:shd w:val="clear" w:color="auto" w:fill="FFFFFF"/>
        <w:snapToGrid w:val="0"/>
        <w:spacing w:line="360" w:lineRule="auto"/>
        <w:rPr>
          <w:rFonts w:ascii="宋体" w:cs="宋体"/>
          <w:szCs w:val="21"/>
        </w:rPr>
      </w:pPr>
    </w:p>
    <w:p>
      <w:pPr>
        <w:snapToGrid w:val="0"/>
        <w:spacing w:line="360" w:lineRule="auto"/>
        <w:ind w:firstLine="420" w:firstLineChars="200"/>
        <w:jc w:val="left"/>
        <w:rPr>
          <w:rFonts w:ascii="宋体" w:cs="宋体"/>
          <w:kern w:val="0"/>
          <w:szCs w:val="21"/>
        </w:rPr>
      </w:pPr>
      <w:r>
        <w:rPr>
          <w:rFonts w:hint="eastAsia" w:ascii="宋体" w:cs="宋体"/>
          <w:kern w:val="0"/>
          <w:szCs w:val="21"/>
        </w:rPr>
        <w:t>特此承诺！</w:t>
      </w:r>
    </w:p>
    <w:p>
      <w:pPr>
        <w:pStyle w:val="81"/>
        <w:shd w:val="clear" w:color="auto" w:fill="FFFFFF"/>
        <w:spacing w:before="0" w:beforeAutospacing="0" w:after="0" w:afterAutospacing="0" w:line="360" w:lineRule="auto"/>
        <w:rPr>
          <w:b/>
          <w:sz w:val="21"/>
          <w:szCs w:val="21"/>
        </w:rPr>
      </w:pPr>
    </w:p>
    <w:p>
      <w:pPr>
        <w:adjustRightInd w:val="0"/>
        <w:snapToGrid w:val="0"/>
        <w:spacing w:line="360" w:lineRule="auto"/>
        <w:rPr>
          <w:rFonts w:ascii="宋体" w:cs="仿宋_GB2312"/>
          <w:kern w:val="0"/>
          <w:szCs w:val="21"/>
          <w:lang w:val="zh-CN"/>
        </w:rPr>
      </w:pPr>
      <w:r>
        <w:rPr>
          <w:rFonts w:hint="eastAsia" w:ascii="宋体" w:cs="仿宋_GB2312"/>
          <w:kern w:val="0"/>
          <w:szCs w:val="21"/>
          <w:lang w:val="zh-CN"/>
        </w:rPr>
        <w:t>投标人名称(签电子公章)：</w:t>
      </w:r>
    </w:p>
    <w:p>
      <w:pPr>
        <w:adjustRightInd w:val="0"/>
        <w:snapToGrid w:val="0"/>
        <w:spacing w:line="360" w:lineRule="auto"/>
        <w:rPr>
          <w:rFonts w:ascii="宋体" w:cs="仿宋_GB2312"/>
          <w:kern w:val="0"/>
          <w:szCs w:val="21"/>
          <w:lang w:val="zh-CN"/>
        </w:rPr>
      </w:pPr>
      <w:r>
        <w:rPr>
          <w:rFonts w:hint="eastAsia" w:ascii="宋体" w:cs="仿宋_GB2312"/>
          <w:kern w:val="0"/>
          <w:szCs w:val="21"/>
          <w:lang w:val="zh-CN"/>
        </w:rPr>
        <w:t>法定代表人或授权委托人(签章或签字)：</w:t>
      </w:r>
    </w:p>
    <w:p>
      <w:pPr>
        <w:adjustRightInd w:val="0"/>
        <w:snapToGrid w:val="0"/>
        <w:spacing w:line="360" w:lineRule="auto"/>
        <w:ind w:right="480"/>
        <w:rPr>
          <w:rFonts w:ascii="宋体" w:cs="仿宋_GB2312"/>
          <w:kern w:val="0"/>
          <w:szCs w:val="21"/>
          <w:lang w:val="zh-CN"/>
        </w:rPr>
      </w:pPr>
      <w:r>
        <w:rPr>
          <w:rFonts w:hint="eastAsia" w:ascii="宋体" w:cs="仿宋_GB2312"/>
          <w:kern w:val="0"/>
          <w:szCs w:val="21"/>
          <w:lang w:val="zh-CN"/>
        </w:rPr>
        <w:t>日期：</w:t>
      </w:r>
      <w:r>
        <w:rPr>
          <w:rFonts w:hint="eastAsia" w:ascii="宋体" w:cs="Arial"/>
          <w:szCs w:val="21"/>
        </w:rPr>
        <w:t xml:space="preserve">   </w:t>
      </w:r>
      <w:r>
        <w:rPr>
          <w:rFonts w:hint="eastAsia" w:ascii="宋体" w:cs="仿宋_GB2312"/>
          <w:kern w:val="0"/>
          <w:szCs w:val="21"/>
          <w:lang w:val="zh-CN"/>
        </w:rPr>
        <w:t xml:space="preserve">年 </w:t>
      </w:r>
      <w:r>
        <w:rPr>
          <w:rFonts w:hint="eastAsia" w:ascii="宋体" w:cs="Arial"/>
          <w:szCs w:val="21"/>
        </w:rPr>
        <w:t xml:space="preserve">  </w:t>
      </w:r>
      <w:r>
        <w:rPr>
          <w:rFonts w:hint="eastAsia" w:ascii="宋体" w:cs="仿宋_GB2312"/>
          <w:kern w:val="0"/>
          <w:szCs w:val="21"/>
          <w:lang w:val="zh-CN"/>
        </w:rPr>
        <w:t xml:space="preserve">月 </w:t>
      </w:r>
      <w:r>
        <w:rPr>
          <w:rFonts w:hint="eastAsia" w:ascii="宋体" w:cs="Arial"/>
          <w:szCs w:val="21"/>
        </w:rPr>
        <w:t xml:space="preserve">  </w:t>
      </w:r>
      <w:r>
        <w:rPr>
          <w:rFonts w:hint="eastAsia" w:ascii="宋体" w:cs="仿宋_GB2312"/>
          <w:kern w:val="0"/>
          <w:szCs w:val="21"/>
          <w:lang w:val="zh-CN"/>
        </w:rPr>
        <w:t>日</w:t>
      </w:r>
    </w:p>
    <w:p>
      <w:pPr>
        <w:adjustRightInd w:val="0"/>
        <w:snapToGrid w:val="0"/>
        <w:spacing w:line="360" w:lineRule="auto"/>
        <w:ind w:right="480"/>
        <w:rPr>
          <w:rFonts w:ascii="宋体" w:cs="仿宋_GB2312"/>
          <w:kern w:val="0"/>
          <w:szCs w:val="21"/>
          <w:lang w:val="zh-CN"/>
        </w:rPr>
      </w:pPr>
    </w:p>
    <w:p>
      <w:pPr>
        <w:adjustRightInd w:val="0"/>
        <w:snapToGrid w:val="0"/>
        <w:spacing w:line="360" w:lineRule="auto"/>
        <w:ind w:right="480"/>
        <w:rPr>
          <w:rFonts w:ascii="宋体" w:cs="仿宋_GB2312"/>
          <w:kern w:val="0"/>
          <w:szCs w:val="21"/>
          <w:lang w:val="zh-CN"/>
        </w:rPr>
      </w:pPr>
    </w:p>
    <w:p>
      <w:pPr>
        <w:adjustRightInd w:val="0"/>
        <w:snapToGrid w:val="0"/>
        <w:spacing w:line="360" w:lineRule="auto"/>
        <w:ind w:right="480"/>
        <w:rPr>
          <w:rFonts w:ascii="宋体" w:cs="仿宋_GB2312"/>
          <w:kern w:val="0"/>
          <w:szCs w:val="21"/>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cs="仿宋_GB2312"/>
          <w:kern w:val="0"/>
          <w:sz w:val="24"/>
          <w:lang w:val="zh-CN"/>
        </w:rPr>
      </w:pPr>
    </w:p>
    <w:p>
      <w:pPr>
        <w:adjustRightInd w:val="0"/>
        <w:snapToGrid w:val="0"/>
        <w:spacing w:line="360" w:lineRule="auto"/>
        <w:ind w:right="480"/>
        <w:rPr>
          <w:rFonts w:ascii="宋体" w:hAnsi="宋体" w:cs="宋体"/>
          <w:b/>
          <w:sz w:val="28"/>
        </w:rPr>
      </w:pPr>
    </w:p>
    <w:p>
      <w:pPr>
        <w:adjustRightInd w:val="0"/>
        <w:snapToGrid w:val="0"/>
        <w:spacing w:line="360" w:lineRule="auto"/>
        <w:ind w:right="480"/>
        <w:rPr>
          <w:rFonts w:ascii="宋体" w:hAnsi="宋体" w:cs="宋体"/>
          <w:b/>
          <w:sz w:val="30"/>
          <w:szCs w:val="30"/>
        </w:rPr>
      </w:pPr>
      <w:r>
        <w:rPr>
          <w:rFonts w:hint="eastAsia" w:ascii="宋体" w:hAnsi="宋体" w:cs="宋体"/>
          <w:b/>
          <w:sz w:val="28"/>
        </w:rPr>
        <w:t>附件5：</w:t>
      </w:r>
    </w:p>
    <w:p>
      <w:pPr>
        <w:adjustRightInd w:val="0"/>
        <w:snapToGrid w:val="0"/>
        <w:jc w:val="center"/>
        <w:rPr>
          <w:rFonts w:ascii="宋体" w:hAnsi="宋体"/>
          <w:b/>
          <w:kern w:val="0"/>
          <w:sz w:val="32"/>
          <w:szCs w:val="32"/>
        </w:rPr>
      </w:pPr>
      <w:r>
        <w:rPr>
          <w:rFonts w:hint="eastAsia" w:ascii="宋体" w:hAnsi="宋体"/>
          <w:b/>
          <w:kern w:val="0"/>
          <w:sz w:val="32"/>
          <w:szCs w:val="32"/>
        </w:rPr>
        <w:t>具有</w:t>
      </w:r>
      <w:r>
        <w:rPr>
          <w:rFonts w:ascii="宋体" w:hAnsi="宋体"/>
          <w:b/>
          <w:kern w:val="0"/>
          <w:sz w:val="32"/>
          <w:szCs w:val="32"/>
        </w:rPr>
        <w:t>依法缴纳税收和</w:t>
      </w:r>
      <w:r>
        <w:rPr>
          <w:rFonts w:hint="eastAsia" w:ascii="宋体" w:hAnsi="宋体"/>
          <w:b/>
          <w:kern w:val="0"/>
          <w:sz w:val="32"/>
          <w:szCs w:val="32"/>
        </w:rPr>
        <w:t>社会保障资金证明</w:t>
      </w:r>
      <w:r>
        <w:rPr>
          <w:rFonts w:ascii="宋体" w:hAnsi="宋体"/>
          <w:b/>
          <w:kern w:val="0"/>
          <w:sz w:val="32"/>
          <w:szCs w:val="32"/>
        </w:rPr>
        <w:t>的承诺函</w:t>
      </w:r>
    </w:p>
    <w:p>
      <w:pPr>
        <w:adjustRightInd w:val="0"/>
        <w:snapToGrid w:val="0"/>
        <w:jc w:val="center"/>
        <w:rPr>
          <w:rFonts w:ascii="宋体" w:hAnsi="宋体"/>
          <w:b/>
          <w:kern w:val="0"/>
          <w:sz w:val="32"/>
          <w:szCs w:val="32"/>
        </w:rPr>
      </w:pPr>
    </w:p>
    <w:p>
      <w:pPr>
        <w:pStyle w:val="32"/>
      </w:pPr>
    </w:p>
    <w:p>
      <w:pPr>
        <w:pStyle w:val="32"/>
        <w:rPr>
          <w:szCs w:val="21"/>
        </w:rPr>
      </w:pPr>
    </w:p>
    <w:p>
      <w:pPr>
        <w:spacing w:line="360" w:lineRule="auto"/>
        <w:jc w:val="left"/>
        <w:rPr>
          <w:rFonts w:ascii="宋体"/>
          <w:kern w:val="0"/>
          <w:szCs w:val="21"/>
        </w:rPr>
      </w:pPr>
      <w:r>
        <w:rPr>
          <w:rFonts w:hint="eastAsia" w:ascii="宋体"/>
          <w:szCs w:val="21"/>
          <w:u w:val="single"/>
        </w:rPr>
        <w:t>××</w:t>
      </w:r>
      <w:r>
        <w:rPr>
          <w:rFonts w:hint="eastAsia" w:ascii="宋体"/>
          <w:kern w:val="0"/>
          <w:szCs w:val="21"/>
        </w:rPr>
        <w:t xml:space="preserve">（代理机构/采购代理机构名称）： </w:t>
      </w:r>
    </w:p>
    <w:p>
      <w:pPr>
        <w:shd w:val="clear" w:color="auto" w:fill="FFFFFF"/>
        <w:spacing w:before="100" w:beforeAutospacing="1" w:after="100" w:afterAutospacing="1" w:line="480" w:lineRule="auto"/>
        <w:ind w:firstLine="420" w:firstLineChars="200"/>
        <w:jc w:val="left"/>
        <w:rPr>
          <w:rFonts w:ascii="宋体" w:hAnsi="宋体"/>
          <w:kern w:val="0"/>
          <w:szCs w:val="21"/>
        </w:rPr>
      </w:pPr>
      <w:r>
        <w:rPr>
          <w:rFonts w:ascii="宋体" w:hAnsi="宋体"/>
          <w:kern w:val="0"/>
          <w:szCs w:val="21"/>
        </w:rPr>
        <w:t>我单位</w:t>
      </w:r>
      <w:r>
        <w:rPr>
          <w:rFonts w:hint="eastAsia" w:ascii="宋体" w:hAnsi="宋体"/>
          <w:kern w:val="0"/>
          <w:szCs w:val="21"/>
        </w:rPr>
        <w:t>具有</w:t>
      </w:r>
      <w:r>
        <w:rPr>
          <w:rFonts w:ascii="宋体" w:hAnsi="宋体"/>
          <w:kern w:val="0"/>
          <w:szCs w:val="21"/>
        </w:rPr>
        <w:t>依法缴纳税收和</w:t>
      </w:r>
      <w:r>
        <w:rPr>
          <w:rFonts w:hint="eastAsia" w:ascii="宋体" w:hAnsi="宋体"/>
          <w:kern w:val="0"/>
          <w:szCs w:val="21"/>
        </w:rPr>
        <w:t>社会保障资金</w:t>
      </w:r>
      <w:r>
        <w:rPr>
          <w:rFonts w:ascii="宋体" w:hAnsi="宋体"/>
          <w:kern w:val="0"/>
          <w:szCs w:val="21"/>
        </w:rPr>
        <w:t>。如本声明失实，我单位自愿承担被取消成交资格等责任。</w:t>
      </w:r>
    </w:p>
    <w:p>
      <w:pPr>
        <w:shd w:val="clear" w:color="auto" w:fill="FFFFFF"/>
        <w:spacing w:before="100" w:beforeAutospacing="1" w:after="100" w:afterAutospacing="1" w:line="480" w:lineRule="auto"/>
        <w:ind w:firstLine="420" w:firstLineChars="200"/>
        <w:jc w:val="left"/>
        <w:rPr>
          <w:rFonts w:ascii="宋体" w:hAnsi="宋体"/>
          <w:kern w:val="0"/>
          <w:szCs w:val="21"/>
        </w:rPr>
      </w:pPr>
      <w:r>
        <w:rPr>
          <w:rFonts w:ascii="宋体" w:hAnsi="宋体"/>
          <w:kern w:val="0"/>
          <w:szCs w:val="21"/>
        </w:rPr>
        <w:t>特此声明</w:t>
      </w:r>
      <w:r>
        <w:rPr>
          <w:rFonts w:hint="eastAsia" w:ascii="宋体" w:hAnsi="宋体"/>
          <w:kern w:val="0"/>
          <w:szCs w:val="21"/>
        </w:rPr>
        <w:t>。</w:t>
      </w:r>
    </w:p>
    <w:p>
      <w:pPr>
        <w:pStyle w:val="32"/>
        <w:rPr>
          <w:szCs w:val="21"/>
        </w:rPr>
      </w:pPr>
    </w:p>
    <w:p>
      <w:pPr>
        <w:adjustRightInd w:val="0"/>
        <w:snapToGrid w:val="0"/>
        <w:spacing w:line="360" w:lineRule="auto"/>
        <w:rPr>
          <w:rFonts w:ascii="宋体" w:cs="仿宋_GB2312"/>
          <w:kern w:val="0"/>
          <w:szCs w:val="21"/>
          <w:lang w:val="zh-CN"/>
        </w:rPr>
      </w:pPr>
      <w:r>
        <w:rPr>
          <w:rFonts w:hint="eastAsia" w:ascii="宋体" w:cs="仿宋_GB2312"/>
          <w:kern w:val="0"/>
          <w:szCs w:val="21"/>
          <w:lang w:val="zh-CN"/>
        </w:rPr>
        <w:t>投标人名称(签电子公章)：</w:t>
      </w:r>
    </w:p>
    <w:p>
      <w:pPr>
        <w:adjustRightInd w:val="0"/>
        <w:snapToGrid w:val="0"/>
        <w:spacing w:line="360" w:lineRule="auto"/>
        <w:rPr>
          <w:rFonts w:ascii="宋体" w:cs="仿宋_GB2312"/>
          <w:kern w:val="0"/>
          <w:szCs w:val="21"/>
          <w:lang w:val="zh-CN"/>
        </w:rPr>
      </w:pPr>
      <w:r>
        <w:rPr>
          <w:rFonts w:hint="eastAsia" w:ascii="宋体" w:cs="仿宋_GB2312"/>
          <w:kern w:val="0"/>
          <w:szCs w:val="21"/>
          <w:lang w:val="zh-CN"/>
        </w:rPr>
        <w:t>法定代表人或授权委托人(签章或签字)：</w:t>
      </w:r>
    </w:p>
    <w:p>
      <w:pPr>
        <w:pStyle w:val="32"/>
        <w:ind w:firstLine="480"/>
        <w:rPr>
          <w:rFonts w:ascii="宋体" w:cs="仿宋_GB2312"/>
          <w:kern w:val="0"/>
          <w:szCs w:val="21"/>
          <w:lang w:val="zh-CN"/>
        </w:rPr>
      </w:pPr>
      <w:r>
        <w:rPr>
          <w:rFonts w:hint="eastAsia" w:ascii="宋体" w:cs="仿宋_GB2312"/>
          <w:kern w:val="0"/>
          <w:szCs w:val="21"/>
          <w:lang w:val="zh-CN"/>
        </w:rPr>
        <w:t>日期：</w:t>
      </w:r>
      <w:r>
        <w:rPr>
          <w:rFonts w:hint="eastAsia" w:ascii="宋体" w:cs="Arial"/>
          <w:szCs w:val="21"/>
        </w:rPr>
        <w:t xml:space="preserve">   </w:t>
      </w:r>
      <w:r>
        <w:rPr>
          <w:rFonts w:hint="eastAsia" w:ascii="宋体" w:cs="仿宋_GB2312"/>
          <w:kern w:val="0"/>
          <w:szCs w:val="21"/>
          <w:lang w:val="zh-CN"/>
        </w:rPr>
        <w:t xml:space="preserve">年 </w:t>
      </w:r>
      <w:r>
        <w:rPr>
          <w:rFonts w:hint="eastAsia" w:ascii="宋体" w:cs="Arial"/>
          <w:szCs w:val="21"/>
        </w:rPr>
        <w:t xml:space="preserve">  </w:t>
      </w:r>
      <w:r>
        <w:rPr>
          <w:rFonts w:hint="eastAsia" w:ascii="宋体" w:cs="仿宋_GB2312"/>
          <w:kern w:val="0"/>
          <w:szCs w:val="21"/>
          <w:lang w:val="zh-CN"/>
        </w:rPr>
        <w:t xml:space="preserve">月 </w:t>
      </w:r>
      <w:r>
        <w:rPr>
          <w:rFonts w:hint="eastAsia" w:ascii="宋体" w:cs="Arial"/>
          <w:szCs w:val="21"/>
        </w:rPr>
        <w:t xml:space="preserve">  </w:t>
      </w:r>
      <w:r>
        <w:rPr>
          <w:rFonts w:hint="eastAsia" w:ascii="宋体" w:cs="仿宋_GB2312"/>
          <w:kern w:val="0"/>
          <w:szCs w:val="21"/>
          <w:lang w:val="zh-CN"/>
        </w:rPr>
        <w:t>日</w:t>
      </w:r>
    </w:p>
    <w:p>
      <w:pPr>
        <w:pStyle w:val="32"/>
        <w:ind w:firstLine="480"/>
        <w:rPr>
          <w:rFonts w:ascii="宋体" w:cs="仿宋_GB2312"/>
          <w:kern w:val="0"/>
          <w:szCs w:val="21"/>
          <w:lang w:val="zh-CN"/>
        </w:rPr>
      </w:pPr>
    </w:p>
    <w:p>
      <w:pPr>
        <w:pStyle w:val="32"/>
        <w:ind w:firstLine="480"/>
        <w:rPr>
          <w:rFonts w:ascii="宋体" w:cs="仿宋_GB2312"/>
          <w:kern w:val="0"/>
          <w:szCs w:val="21"/>
          <w:lang w:val="zh-CN"/>
        </w:rPr>
      </w:pPr>
    </w:p>
    <w:p>
      <w:pPr>
        <w:pStyle w:val="32"/>
        <w:ind w:firstLine="480"/>
        <w:rPr>
          <w:rFonts w:ascii="宋体" w:cs="仿宋_GB2312"/>
          <w:kern w:val="0"/>
          <w:szCs w:val="21"/>
          <w:lang w:val="zh-CN"/>
        </w:rPr>
      </w:pPr>
    </w:p>
    <w:p>
      <w:pPr>
        <w:pStyle w:val="32"/>
        <w:ind w:firstLine="480"/>
        <w:rPr>
          <w:rFonts w:ascii="宋体" w:cs="仿宋_GB2312"/>
          <w:kern w:val="0"/>
          <w:szCs w:val="21"/>
          <w:lang w:val="zh-CN"/>
        </w:rPr>
      </w:pPr>
    </w:p>
    <w:p>
      <w:pPr>
        <w:pStyle w:val="32"/>
        <w:ind w:firstLine="480"/>
        <w:rPr>
          <w:rFonts w:ascii="宋体" w:cs="仿宋_GB2312"/>
          <w:kern w:val="0"/>
          <w:szCs w:val="21"/>
          <w:lang w:val="zh-CN"/>
        </w:rPr>
      </w:pPr>
    </w:p>
    <w:p>
      <w:pPr>
        <w:pStyle w:val="32"/>
        <w:ind w:firstLine="480"/>
        <w:rPr>
          <w:rFonts w:ascii="宋体" w:cs="仿宋_GB2312"/>
          <w:kern w:val="0"/>
          <w:szCs w:val="21"/>
          <w:lang w:val="zh-CN"/>
        </w:rPr>
      </w:pPr>
    </w:p>
    <w:p>
      <w:pPr>
        <w:pStyle w:val="32"/>
        <w:ind w:firstLine="480"/>
        <w:rPr>
          <w:rFonts w:ascii="宋体" w:cs="仿宋_GB2312"/>
          <w:kern w:val="0"/>
          <w:szCs w:val="21"/>
          <w:lang w:val="zh-CN"/>
        </w:rPr>
      </w:pPr>
    </w:p>
    <w:p>
      <w:pPr>
        <w:pStyle w:val="32"/>
        <w:rPr>
          <w:szCs w:val="21"/>
        </w:rPr>
      </w:pPr>
    </w:p>
    <w:p>
      <w:pPr>
        <w:adjustRightInd w:val="0"/>
        <w:snapToGrid w:val="0"/>
        <w:jc w:val="left"/>
        <w:rPr>
          <w:rFonts w:ascii="宋体" w:hAnsi="宋体"/>
          <w:kern w:val="0"/>
          <w:szCs w:val="21"/>
        </w:rPr>
      </w:pPr>
      <w:r>
        <w:rPr>
          <w:rFonts w:hint="eastAsia" w:ascii="宋体" w:hAnsi="宋体"/>
          <w:kern w:val="0"/>
          <w:szCs w:val="21"/>
        </w:rPr>
        <w:t>（如依法免税的，应提供相应文件证明其依法免税；如依法不需要缴纳社会保障资金的，应提供相应文件证明其依法不需要缴纳社会保障资金。）</w:t>
      </w:r>
    </w:p>
    <w:p>
      <w:pPr>
        <w:adjustRightInd w:val="0"/>
        <w:snapToGrid w:val="0"/>
        <w:spacing w:line="360" w:lineRule="auto"/>
        <w:ind w:right="480"/>
        <w:rPr>
          <w:rFonts w:ascii="宋体" w:cs="仿宋_GB2312"/>
          <w:kern w:val="0"/>
          <w:szCs w:val="21"/>
          <w:lang w:val="zh-CN"/>
        </w:rPr>
      </w:pPr>
    </w:p>
    <w:p>
      <w:pPr>
        <w:adjustRightInd w:val="0"/>
        <w:snapToGrid w:val="0"/>
        <w:spacing w:line="360" w:lineRule="auto"/>
        <w:ind w:right="480"/>
        <w:rPr>
          <w:rFonts w:ascii="宋体" w:hAnsi="宋体" w:cs="宋体"/>
          <w:b/>
          <w:sz w:val="30"/>
          <w:szCs w:val="30"/>
        </w:rPr>
      </w:pPr>
      <w:r>
        <w:rPr>
          <w:rFonts w:hint="eastAsia" w:ascii="宋体" w:hAnsi="宋体"/>
          <w:b/>
          <w:sz w:val="28"/>
        </w:rPr>
        <w:br w:type="page"/>
      </w:r>
      <w:r>
        <w:rPr>
          <w:rFonts w:hint="eastAsia" w:ascii="宋体" w:hAnsi="宋体" w:cs="宋体"/>
          <w:b/>
          <w:sz w:val="28"/>
        </w:rPr>
        <w:t>附件6：</w:t>
      </w:r>
    </w:p>
    <w:p>
      <w:pPr>
        <w:rPr>
          <w:rFonts w:ascii="宋体" w:hAnsi="宋体"/>
          <w:b/>
          <w:sz w:val="28"/>
        </w:rPr>
      </w:pPr>
    </w:p>
    <w:p>
      <w:pPr>
        <w:jc w:val="center"/>
        <w:rPr>
          <w:rFonts w:ascii="宋体" w:hAnsi="宋体"/>
          <w:b/>
          <w:kern w:val="0"/>
          <w:sz w:val="32"/>
          <w:szCs w:val="32"/>
        </w:rPr>
      </w:pPr>
      <w:r>
        <w:rPr>
          <w:rFonts w:ascii="宋体" w:hAnsi="宋体"/>
          <w:b/>
          <w:kern w:val="0"/>
          <w:sz w:val="32"/>
          <w:szCs w:val="32"/>
        </w:rPr>
        <w:t>具有良好的商业信誉和健全的财务会计制度的承诺函</w:t>
      </w:r>
    </w:p>
    <w:p>
      <w:pPr>
        <w:spacing w:line="360" w:lineRule="auto"/>
        <w:jc w:val="left"/>
        <w:rPr>
          <w:rFonts w:ascii="宋体"/>
          <w:sz w:val="24"/>
          <w:u w:val="single"/>
        </w:rPr>
      </w:pPr>
    </w:p>
    <w:p>
      <w:pPr>
        <w:spacing w:line="360" w:lineRule="auto"/>
        <w:jc w:val="left"/>
        <w:rPr>
          <w:rFonts w:ascii="宋体"/>
          <w:sz w:val="24"/>
          <w:u w:val="single"/>
        </w:rPr>
      </w:pPr>
    </w:p>
    <w:p>
      <w:pPr>
        <w:spacing w:line="360" w:lineRule="auto"/>
        <w:jc w:val="left"/>
        <w:rPr>
          <w:rFonts w:ascii="宋体"/>
          <w:kern w:val="0"/>
          <w:szCs w:val="21"/>
        </w:rPr>
      </w:pPr>
      <w:r>
        <w:rPr>
          <w:rFonts w:hint="eastAsia" w:ascii="宋体"/>
          <w:szCs w:val="21"/>
          <w:u w:val="single"/>
        </w:rPr>
        <w:t>××</w:t>
      </w:r>
      <w:r>
        <w:rPr>
          <w:rFonts w:hint="eastAsia" w:ascii="宋体"/>
          <w:kern w:val="0"/>
          <w:szCs w:val="21"/>
        </w:rPr>
        <w:t xml:space="preserve">（代理机构/采购代理机构名称）： </w:t>
      </w:r>
    </w:p>
    <w:p>
      <w:pPr>
        <w:shd w:val="clear" w:color="auto" w:fill="FFFFFF"/>
        <w:spacing w:before="100" w:beforeAutospacing="1" w:after="100" w:afterAutospacing="1" w:line="480" w:lineRule="auto"/>
        <w:ind w:firstLine="420" w:firstLineChars="200"/>
        <w:jc w:val="left"/>
        <w:rPr>
          <w:rFonts w:ascii="宋体" w:hAnsi="宋体"/>
          <w:kern w:val="0"/>
          <w:szCs w:val="21"/>
        </w:rPr>
      </w:pPr>
      <w:r>
        <w:rPr>
          <w:rFonts w:ascii="宋体" w:hAnsi="宋体"/>
          <w:kern w:val="0"/>
          <w:szCs w:val="21"/>
        </w:rPr>
        <w:t>我单位具有良好的商业信誉和健全的财务会计制度。如本声明失实，我单位自愿承担被取消成交资格等责任。</w:t>
      </w:r>
    </w:p>
    <w:p>
      <w:pPr>
        <w:shd w:val="clear" w:color="auto" w:fill="FFFFFF"/>
        <w:spacing w:before="100" w:beforeAutospacing="1" w:after="100" w:afterAutospacing="1" w:line="480" w:lineRule="auto"/>
        <w:ind w:firstLine="420" w:firstLineChars="200"/>
        <w:jc w:val="left"/>
        <w:rPr>
          <w:rFonts w:ascii="宋体" w:hAnsi="宋体"/>
          <w:kern w:val="0"/>
          <w:szCs w:val="21"/>
        </w:rPr>
      </w:pPr>
      <w:r>
        <w:rPr>
          <w:rFonts w:ascii="宋体" w:hAnsi="宋体"/>
          <w:kern w:val="0"/>
          <w:szCs w:val="21"/>
        </w:rPr>
        <w:t>特此声明</w:t>
      </w:r>
      <w:r>
        <w:rPr>
          <w:rFonts w:hint="eastAsia" w:ascii="宋体" w:hAnsi="宋体"/>
          <w:kern w:val="0"/>
          <w:szCs w:val="21"/>
        </w:rPr>
        <w:t>。</w:t>
      </w:r>
    </w:p>
    <w:p>
      <w:pPr>
        <w:pStyle w:val="81"/>
        <w:shd w:val="clear" w:color="auto" w:fill="FFFFFF"/>
        <w:spacing w:before="0" w:beforeAutospacing="0" w:after="0" w:afterAutospacing="0" w:line="360" w:lineRule="auto"/>
        <w:rPr>
          <w:b/>
          <w:sz w:val="21"/>
          <w:szCs w:val="21"/>
        </w:rPr>
      </w:pPr>
    </w:p>
    <w:p>
      <w:pPr>
        <w:adjustRightInd w:val="0"/>
        <w:snapToGrid w:val="0"/>
        <w:spacing w:line="360" w:lineRule="auto"/>
        <w:rPr>
          <w:rFonts w:ascii="宋体" w:cs="仿宋_GB2312"/>
          <w:kern w:val="0"/>
          <w:szCs w:val="21"/>
          <w:lang w:val="zh-CN"/>
        </w:rPr>
      </w:pPr>
      <w:r>
        <w:rPr>
          <w:rFonts w:hint="eastAsia" w:ascii="宋体" w:cs="仿宋_GB2312"/>
          <w:kern w:val="0"/>
          <w:szCs w:val="21"/>
          <w:lang w:val="zh-CN"/>
        </w:rPr>
        <w:t>投标人名称(签电子公章)：</w:t>
      </w:r>
    </w:p>
    <w:p>
      <w:pPr>
        <w:adjustRightInd w:val="0"/>
        <w:snapToGrid w:val="0"/>
        <w:spacing w:line="360" w:lineRule="auto"/>
        <w:rPr>
          <w:rFonts w:ascii="宋体" w:cs="仿宋_GB2312"/>
          <w:kern w:val="0"/>
          <w:szCs w:val="21"/>
          <w:lang w:val="zh-CN"/>
        </w:rPr>
      </w:pPr>
      <w:r>
        <w:rPr>
          <w:rFonts w:hint="eastAsia" w:ascii="宋体" w:cs="仿宋_GB2312"/>
          <w:kern w:val="0"/>
          <w:szCs w:val="21"/>
          <w:lang w:val="zh-CN"/>
        </w:rPr>
        <w:t>法定代表人或授权委托人(签章或签字)：</w:t>
      </w:r>
    </w:p>
    <w:p>
      <w:pPr>
        <w:adjustRightInd w:val="0"/>
        <w:snapToGrid w:val="0"/>
        <w:spacing w:line="360" w:lineRule="auto"/>
        <w:ind w:right="480"/>
        <w:rPr>
          <w:rFonts w:ascii="宋体" w:cs="仿宋_GB2312"/>
          <w:kern w:val="0"/>
          <w:szCs w:val="21"/>
          <w:lang w:val="zh-CN"/>
        </w:rPr>
      </w:pPr>
      <w:r>
        <w:rPr>
          <w:rFonts w:hint="eastAsia" w:ascii="宋体" w:cs="仿宋_GB2312"/>
          <w:kern w:val="0"/>
          <w:szCs w:val="21"/>
          <w:lang w:val="zh-CN"/>
        </w:rPr>
        <w:t>日期：</w:t>
      </w:r>
      <w:r>
        <w:rPr>
          <w:rFonts w:hint="eastAsia" w:ascii="宋体" w:cs="Arial"/>
          <w:szCs w:val="21"/>
        </w:rPr>
        <w:t xml:space="preserve">   </w:t>
      </w:r>
      <w:r>
        <w:rPr>
          <w:rFonts w:hint="eastAsia" w:ascii="宋体" w:cs="仿宋_GB2312"/>
          <w:kern w:val="0"/>
          <w:szCs w:val="21"/>
          <w:lang w:val="zh-CN"/>
        </w:rPr>
        <w:t xml:space="preserve">年 </w:t>
      </w:r>
      <w:r>
        <w:rPr>
          <w:rFonts w:hint="eastAsia" w:ascii="宋体" w:cs="Arial"/>
          <w:szCs w:val="21"/>
        </w:rPr>
        <w:t xml:space="preserve">  </w:t>
      </w:r>
      <w:r>
        <w:rPr>
          <w:rFonts w:hint="eastAsia" w:ascii="宋体" w:cs="仿宋_GB2312"/>
          <w:kern w:val="0"/>
          <w:szCs w:val="21"/>
          <w:lang w:val="zh-CN"/>
        </w:rPr>
        <w:t xml:space="preserve">月 </w:t>
      </w:r>
      <w:r>
        <w:rPr>
          <w:rFonts w:hint="eastAsia" w:ascii="宋体" w:cs="Arial"/>
          <w:szCs w:val="21"/>
        </w:rPr>
        <w:t xml:space="preserve">  </w:t>
      </w:r>
      <w:r>
        <w:rPr>
          <w:rFonts w:hint="eastAsia" w:ascii="宋体" w:cs="仿宋_GB2312"/>
          <w:kern w:val="0"/>
          <w:szCs w:val="21"/>
          <w:lang w:val="zh-CN"/>
        </w:rPr>
        <w:t>日</w:t>
      </w:r>
    </w:p>
    <w:p>
      <w:pPr>
        <w:spacing w:line="360" w:lineRule="auto"/>
        <w:ind w:firstLine="241" w:firstLineChars="100"/>
        <w:jc w:val="left"/>
        <w:rPr>
          <w:rFonts w:ascii="宋体" w:hAnsi="宋体" w:cs="宋体"/>
          <w:b/>
          <w:sz w:val="28"/>
        </w:rPr>
      </w:pPr>
      <w:r>
        <w:rPr>
          <w:rFonts w:hint="eastAsia" w:ascii="宋体" w:hAnsi="宋体" w:cs="宋体"/>
          <w:b/>
          <w:bCs/>
          <w:sz w:val="24"/>
          <w:lang w:val="zh-CN"/>
        </w:rPr>
        <w:br w:type="page"/>
      </w:r>
      <w:r>
        <w:rPr>
          <w:rFonts w:hint="eastAsia" w:ascii="宋体" w:hAnsi="宋体" w:cs="宋体"/>
          <w:b/>
          <w:sz w:val="28"/>
        </w:rPr>
        <w:t>附件7：</w:t>
      </w:r>
    </w:p>
    <w:p>
      <w:pPr>
        <w:spacing w:line="360" w:lineRule="auto"/>
        <w:ind w:firstLine="301" w:firstLineChars="100"/>
        <w:jc w:val="center"/>
        <w:rPr>
          <w:rFonts w:ascii="宋体"/>
          <w:b/>
          <w:sz w:val="30"/>
          <w:szCs w:val="30"/>
        </w:rPr>
      </w:pPr>
      <w:r>
        <w:rPr>
          <w:rFonts w:hint="eastAsia" w:ascii="宋体"/>
          <w:b/>
          <w:sz w:val="30"/>
          <w:szCs w:val="30"/>
        </w:rPr>
        <w:t>具备履行合同所必需的设备和专业技术能力的承诺函</w:t>
      </w:r>
    </w:p>
    <w:p>
      <w:pPr>
        <w:snapToGrid w:val="0"/>
        <w:spacing w:before="156" w:beforeLines="50" w:after="50" w:line="420" w:lineRule="exact"/>
        <w:ind w:firstLine="420" w:firstLineChars="200"/>
        <w:rPr>
          <w:rFonts w:ascii="宋体"/>
          <w:kern w:val="0"/>
          <w:szCs w:val="21"/>
        </w:rPr>
      </w:pPr>
      <w:r>
        <w:rPr>
          <w:rFonts w:hint="eastAsia" w:ascii="宋体"/>
          <w:szCs w:val="21"/>
          <w:u w:val="single"/>
        </w:rPr>
        <w:t>××</w:t>
      </w:r>
      <w:r>
        <w:rPr>
          <w:rFonts w:hint="eastAsia" w:ascii="宋体"/>
          <w:kern w:val="0"/>
          <w:szCs w:val="21"/>
        </w:rPr>
        <w:t>（代理机构/采购代理机构名称）</w:t>
      </w:r>
      <w:r>
        <w:rPr>
          <w:rFonts w:hint="eastAsia" w:ascii="宋体" w:cs="宋体"/>
          <w:kern w:val="0"/>
          <w:szCs w:val="21"/>
        </w:rPr>
        <w:t>：</w:t>
      </w:r>
    </w:p>
    <w:p>
      <w:pPr>
        <w:snapToGrid w:val="0"/>
        <w:spacing w:line="360" w:lineRule="auto"/>
        <w:ind w:firstLine="420" w:firstLineChars="200"/>
        <w:jc w:val="left"/>
        <w:rPr>
          <w:rFonts w:ascii="宋体" w:cs="宋体"/>
          <w:kern w:val="0"/>
          <w:szCs w:val="21"/>
        </w:rPr>
      </w:pPr>
      <w:r>
        <w:rPr>
          <w:rFonts w:hint="eastAsia" w:ascii="宋体" w:cs="宋体"/>
          <w:kern w:val="0"/>
          <w:szCs w:val="21"/>
        </w:rPr>
        <w:t>我方</w:t>
      </w:r>
      <w:r>
        <w:rPr>
          <w:rFonts w:hint="eastAsia" w:ascii="宋体" w:cs="宋体"/>
          <w:kern w:val="0"/>
          <w:szCs w:val="21"/>
          <w:u w:val="single"/>
        </w:rPr>
        <w:t xml:space="preserve"> （供应商）</w:t>
      </w:r>
      <w:r>
        <w:rPr>
          <w:rFonts w:hint="eastAsia" w:ascii="宋体" w:cs="宋体"/>
          <w:kern w:val="0"/>
          <w:szCs w:val="21"/>
        </w:rPr>
        <w:t>承诺具有履行合同所必需的设备和专业技术能力。如有虚假，采购人可取消我方任何资格（投标/中标/签订合同），我方对此无任何异议。</w:t>
      </w:r>
    </w:p>
    <w:p>
      <w:pPr>
        <w:snapToGrid w:val="0"/>
        <w:spacing w:line="360" w:lineRule="auto"/>
        <w:ind w:firstLine="420" w:firstLineChars="200"/>
        <w:jc w:val="left"/>
        <w:rPr>
          <w:rFonts w:ascii="宋体" w:cs="宋体"/>
          <w:kern w:val="0"/>
          <w:szCs w:val="21"/>
        </w:rPr>
      </w:pPr>
    </w:p>
    <w:p>
      <w:pPr>
        <w:snapToGrid w:val="0"/>
        <w:spacing w:line="360" w:lineRule="auto"/>
        <w:ind w:firstLine="420" w:firstLineChars="200"/>
        <w:jc w:val="left"/>
        <w:rPr>
          <w:rFonts w:ascii="宋体" w:cs="宋体"/>
          <w:kern w:val="0"/>
          <w:szCs w:val="21"/>
        </w:rPr>
      </w:pPr>
      <w:r>
        <w:rPr>
          <w:rFonts w:hint="eastAsia" w:ascii="宋体" w:cs="宋体"/>
          <w:kern w:val="0"/>
          <w:szCs w:val="21"/>
        </w:rPr>
        <w:t>特此承诺！</w:t>
      </w:r>
    </w:p>
    <w:p>
      <w:pPr>
        <w:snapToGrid w:val="0"/>
        <w:spacing w:line="360" w:lineRule="auto"/>
        <w:ind w:firstLine="420" w:firstLineChars="200"/>
        <w:jc w:val="left"/>
        <w:rPr>
          <w:rFonts w:ascii="宋体" w:cs="宋体"/>
          <w:kern w:val="0"/>
          <w:szCs w:val="21"/>
        </w:rPr>
      </w:pPr>
    </w:p>
    <w:p>
      <w:pPr>
        <w:adjustRightInd w:val="0"/>
        <w:snapToGrid w:val="0"/>
        <w:spacing w:line="360" w:lineRule="auto"/>
        <w:rPr>
          <w:rFonts w:ascii="宋体" w:cs="仿宋_GB2312"/>
          <w:kern w:val="0"/>
          <w:szCs w:val="21"/>
          <w:lang w:val="zh-CN"/>
        </w:rPr>
      </w:pPr>
      <w:r>
        <w:rPr>
          <w:rFonts w:hint="eastAsia" w:ascii="宋体" w:cs="仿宋_GB2312"/>
          <w:kern w:val="0"/>
          <w:szCs w:val="21"/>
          <w:lang w:val="zh-CN"/>
        </w:rPr>
        <w:t>投标人名称(签电子公章)：</w:t>
      </w:r>
    </w:p>
    <w:p>
      <w:pPr>
        <w:adjustRightInd w:val="0"/>
        <w:snapToGrid w:val="0"/>
        <w:spacing w:line="360" w:lineRule="auto"/>
        <w:rPr>
          <w:rFonts w:ascii="宋体" w:cs="仿宋_GB2312"/>
          <w:kern w:val="0"/>
          <w:szCs w:val="21"/>
          <w:lang w:val="zh-CN"/>
        </w:rPr>
      </w:pPr>
      <w:r>
        <w:rPr>
          <w:rFonts w:hint="eastAsia" w:ascii="宋体" w:cs="仿宋_GB2312"/>
          <w:kern w:val="0"/>
          <w:szCs w:val="21"/>
          <w:lang w:val="zh-CN"/>
        </w:rPr>
        <w:t>法定代表人或授权委托人(签章或签字)：</w:t>
      </w:r>
    </w:p>
    <w:p>
      <w:pPr>
        <w:adjustRightInd w:val="0"/>
        <w:snapToGrid w:val="0"/>
        <w:spacing w:line="360" w:lineRule="auto"/>
        <w:ind w:right="480"/>
        <w:rPr>
          <w:rFonts w:ascii="宋体" w:cs="仿宋_GB2312"/>
          <w:kern w:val="0"/>
          <w:szCs w:val="21"/>
          <w:lang w:val="zh-CN"/>
        </w:rPr>
      </w:pPr>
      <w:r>
        <w:rPr>
          <w:rFonts w:hint="eastAsia" w:ascii="宋体" w:cs="仿宋_GB2312"/>
          <w:kern w:val="0"/>
          <w:szCs w:val="21"/>
          <w:lang w:val="zh-CN"/>
        </w:rPr>
        <w:t>日期：</w:t>
      </w:r>
      <w:r>
        <w:rPr>
          <w:rFonts w:hint="eastAsia" w:ascii="宋体" w:cs="Arial"/>
          <w:szCs w:val="21"/>
        </w:rPr>
        <w:t xml:space="preserve">   </w:t>
      </w:r>
      <w:r>
        <w:rPr>
          <w:rFonts w:hint="eastAsia" w:ascii="宋体" w:cs="仿宋_GB2312"/>
          <w:kern w:val="0"/>
          <w:szCs w:val="21"/>
          <w:lang w:val="zh-CN"/>
        </w:rPr>
        <w:t xml:space="preserve">年 </w:t>
      </w:r>
      <w:r>
        <w:rPr>
          <w:rFonts w:hint="eastAsia" w:ascii="宋体" w:cs="Arial"/>
          <w:szCs w:val="21"/>
        </w:rPr>
        <w:t xml:space="preserve">  </w:t>
      </w:r>
      <w:r>
        <w:rPr>
          <w:rFonts w:hint="eastAsia" w:ascii="宋体" w:cs="仿宋_GB2312"/>
          <w:kern w:val="0"/>
          <w:szCs w:val="21"/>
          <w:lang w:val="zh-CN"/>
        </w:rPr>
        <w:t xml:space="preserve">月 </w:t>
      </w:r>
      <w:r>
        <w:rPr>
          <w:rFonts w:hint="eastAsia" w:ascii="宋体" w:cs="Arial"/>
          <w:szCs w:val="21"/>
        </w:rPr>
        <w:t xml:space="preserve">  </w:t>
      </w:r>
      <w:r>
        <w:rPr>
          <w:rFonts w:hint="eastAsia" w:ascii="宋体" w:cs="仿宋_GB2312"/>
          <w:kern w:val="0"/>
          <w:szCs w:val="21"/>
          <w:lang w:val="zh-CN"/>
        </w:rPr>
        <w:t>日</w:t>
      </w:r>
    </w:p>
    <w:p>
      <w:pPr>
        <w:snapToGrid w:val="0"/>
        <w:spacing w:before="156" w:beforeLines="50" w:after="50"/>
        <w:outlineLvl w:val="1"/>
        <w:rPr>
          <w:rFonts w:ascii="宋体" w:hAnsi="宋体" w:cs="仿宋_GB2312"/>
          <w:kern w:val="0"/>
          <w:sz w:val="24"/>
        </w:rPr>
      </w:pPr>
      <w:r>
        <w:rPr>
          <w:rFonts w:hint="eastAsia" w:ascii="宋体" w:hAnsi="宋体" w:cs="宋体"/>
          <w:b/>
          <w:bCs/>
          <w:sz w:val="24"/>
          <w:lang w:val="zh-CN"/>
        </w:rPr>
        <w:br w:type="page"/>
      </w:r>
      <w:r>
        <w:rPr>
          <w:rFonts w:hint="eastAsia" w:hAnsi="宋体"/>
          <w:sz w:val="24"/>
        </w:rPr>
        <w:t>附件8.</w:t>
      </w: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420" w:firstLineChars="200"/>
        <w:jc w:val="left"/>
        <w:rPr>
          <w:rFonts w:ascii="宋体" w:hAnsi="宋体" w:cs="宋体"/>
          <w:bCs/>
          <w:szCs w:val="21"/>
        </w:rPr>
      </w:pPr>
      <w:r>
        <w:rPr>
          <w:rFonts w:hint="eastAsia" w:ascii="宋体" w:hAnsi="宋体" w:cs="宋体"/>
          <w:bCs/>
          <w:szCs w:val="21"/>
        </w:rPr>
        <w:t>本公司郑重声明，根据《政府采购促进中小企业发展管理办法》（财库﹝2020﹞46 号）的规定，本公司参加</w:t>
      </w:r>
      <w:r>
        <w:rPr>
          <w:rFonts w:hint="eastAsia" w:ascii="宋体" w:hAnsi="宋体" w:cs="宋体"/>
          <w:bCs/>
          <w:szCs w:val="21"/>
          <w:u w:val="single"/>
        </w:rPr>
        <w:t>（单位名称）</w:t>
      </w:r>
      <w:r>
        <w:rPr>
          <w:rFonts w:hint="eastAsia" w:ascii="宋体" w:hAnsi="宋体" w:cs="宋体"/>
          <w:bCs/>
          <w:szCs w:val="21"/>
        </w:rPr>
        <w:t>的</w:t>
      </w:r>
      <w:r>
        <w:rPr>
          <w:rFonts w:hint="eastAsia" w:ascii="宋体" w:hAnsi="宋体" w:cs="宋体"/>
          <w:bCs/>
          <w:szCs w:val="21"/>
          <w:u w:val="single"/>
        </w:rPr>
        <w:t>（项目名称）</w:t>
      </w:r>
      <w:r>
        <w:rPr>
          <w:rFonts w:hint="eastAsia" w:ascii="宋体" w:hAnsi="宋体" w:cs="宋体"/>
          <w:bCs/>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u w:val="single"/>
        </w:rPr>
        <w:t>（标的名称）</w:t>
      </w:r>
      <w:r>
        <w:rPr>
          <w:rFonts w:hint="eastAsia" w:ascii="宋体" w:hAnsi="宋体" w:cs="宋体"/>
          <w:bCs/>
          <w:szCs w:val="21"/>
        </w:rPr>
        <w:t>，属于</w:t>
      </w:r>
      <w:r>
        <w:rPr>
          <w:rFonts w:hint="eastAsia" w:ascii="宋体" w:hAnsi="宋体" w:cs="宋体"/>
          <w:bCs/>
          <w:szCs w:val="21"/>
          <w:u w:val="single"/>
        </w:rPr>
        <w:t>（采购文件中明确的所属行业）</w:t>
      </w:r>
      <w:r>
        <w:rPr>
          <w:rFonts w:hint="eastAsia" w:ascii="宋体" w:hAnsi="宋体" w:cs="宋体"/>
          <w:bCs/>
          <w:szCs w:val="21"/>
        </w:rPr>
        <w:t>；承建（承接）企业为</w:t>
      </w:r>
      <w:r>
        <w:rPr>
          <w:rFonts w:hint="eastAsia" w:ascii="宋体" w:hAnsi="宋体" w:cs="宋体"/>
          <w:bCs/>
          <w:szCs w:val="21"/>
          <w:u w:val="single"/>
        </w:rPr>
        <w:t>（企业名称）</w:t>
      </w:r>
      <w:r>
        <w:rPr>
          <w:rFonts w:hint="eastAsia" w:ascii="宋体" w:hAnsi="宋体" w:cs="宋体"/>
          <w:bCs/>
          <w:szCs w:val="21"/>
        </w:rPr>
        <w:t>，从业人员</w:t>
      </w:r>
      <w:r>
        <w:rPr>
          <w:rFonts w:hint="eastAsia" w:ascii="宋体" w:hAnsi="宋体" w:cs="宋体"/>
          <w:bCs/>
          <w:szCs w:val="21"/>
          <w:u w:val="single"/>
        </w:rPr>
        <w:t xml:space="preserve">     </w:t>
      </w:r>
      <w:r>
        <w:rPr>
          <w:rFonts w:hint="eastAsia" w:ascii="宋体" w:hAnsi="宋体" w:cs="宋体"/>
          <w:bCs/>
          <w:szCs w:val="21"/>
        </w:rPr>
        <w:t>人，营业收入为</w:t>
      </w:r>
      <w:r>
        <w:rPr>
          <w:rFonts w:hint="eastAsia" w:ascii="宋体" w:hAnsi="宋体" w:cs="宋体"/>
          <w:bCs/>
          <w:szCs w:val="21"/>
          <w:u w:val="single"/>
        </w:rPr>
        <w:t xml:space="preserve">     </w:t>
      </w:r>
      <w:r>
        <w:rPr>
          <w:rFonts w:hint="eastAsia" w:ascii="宋体" w:hAnsi="宋体" w:cs="宋体"/>
          <w:bCs/>
          <w:szCs w:val="21"/>
        </w:rPr>
        <w:t>万元，资产总额为</w:t>
      </w:r>
      <w:r>
        <w:rPr>
          <w:rFonts w:hint="eastAsia" w:ascii="宋体" w:hAnsi="宋体" w:cs="宋体"/>
          <w:bCs/>
          <w:szCs w:val="21"/>
          <w:u w:val="single"/>
        </w:rPr>
        <w:t xml:space="preserve">     </w:t>
      </w:r>
      <w:r>
        <w:rPr>
          <w:rFonts w:hint="eastAsia" w:ascii="宋体" w:hAnsi="宋体" w:cs="宋体"/>
          <w:bCs/>
          <w:szCs w:val="21"/>
        </w:rPr>
        <w:t>万元</w:t>
      </w:r>
      <w:r>
        <w:rPr>
          <w:rStyle w:val="39"/>
          <w:rFonts w:hint="eastAsia" w:ascii="宋体" w:hAnsi="宋体" w:cs="宋体"/>
          <w:bCs/>
          <w:szCs w:val="21"/>
        </w:rPr>
        <w:footnoteReference w:id="0"/>
      </w:r>
      <w:r>
        <w:rPr>
          <w:rFonts w:hint="eastAsia" w:ascii="宋体" w:hAnsi="宋体" w:cs="宋体"/>
          <w:bCs/>
          <w:szCs w:val="21"/>
        </w:rPr>
        <w:t>，属于</w:t>
      </w:r>
      <w:r>
        <w:rPr>
          <w:rFonts w:hint="eastAsia" w:ascii="宋体" w:hAnsi="宋体" w:cs="宋体"/>
          <w:bCs/>
          <w:szCs w:val="21"/>
          <w:u w:val="single"/>
        </w:rPr>
        <w:t>（中型企业、小型企业、微型企业）</w:t>
      </w:r>
      <w:r>
        <w:rPr>
          <w:rFonts w:hint="eastAsia" w:ascii="宋体" w:hAnsi="宋体" w:cs="宋体"/>
          <w:bCs/>
          <w:szCs w:val="21"/>
        </w:rPr>
        <w:t>；</w:t>
      </w:r>
    </w:p>
    <w:p>
      <w:pPr>
        <w:spacing w:line="360" w:lineRule="auto"/>
        <w:ind w:firstLine="420" w:firstLineChars="200"/>
        <w:jc w:val="left"/>
        <w:rPr>
          <w:rFonts w:ascii="宋体" w:hAnsi="宋体" w:cs="宋体"/>
          <w:bCs/>
          <w:szCs w:val="21"/>
        </w:rPr>
      </w:pPr>
      <w:r>
        <w:rPr>
          <w:rFonts w:hint="eastAsia" w:ascii="宋体" w:hAnsi="宋体" w:cs="宋体"/>
          <w:bCs/>
          <w:szCs w:val="21"/>
        </w:rPr>
        <w:t>2.</w:t>
      </w:r>
      <w:r>
        <w:rPr>
          <w:rFonts w:hint="eastAsia" w:ascii="宋体" w:hAnsi="宋体" w:cs="宋体"/>
          <w:bCs/>
          <w:szCs w:val="21"/>
          <w:u w:val="single"/>
        </w:rPr>
        <w:t>（标的名称）</w:t>
      </w:r>
      <w:r>
        <w:rPr>
          <w:rFonts w:hint="eastAsia" w:ascii="宋体" w:hAnsi="宋体" w:cs="宋体"/>
          <w:bCs/>
          <w:szCs w:val="21"/>
        </w:rPr>
        <w:t>，属于</w:t>
      </w:r>
      <w:r>
        <w:rPr>
          <w:rFonts w:hint="eastAsia" w:ascii="宋体" w:hAnsi="宋体" w:cs="宋体"/>
          <w:bCs/>
          <w:szCs w:val="21"/>
          <w:u w:val="single"/>
        </w:rPr>
        <w:t>（采购文件中明确的所属行业）</w:t>
      </w:r>
      <w:r>
        <w:rPr>
          <w:rFonts w:hint="eastAsia" w:ascii="宋体" w:hAnsi="宋体" w:cs="宋体"/>
          <w:bCs/>
          <w:szCs w:val="21"/>
        </w:rPr>
        <w:t>；承建（承接）企业为</w:t>
      </w:r>
      <w:r>
        <w:rPr>
          <w:rFonts w:hint="eastAsia" w:ascii="宋体" w:hAnsi="宋体" w:cs="宋体"/>
          <w:bCs/>
          <w:szCs w:val="21"/>
          <w:u w:val="single"/>
        </w:rPr>
        <w:t>（企业名称）</w:t>
      </w:r>
      <w:r>
        <w:rPr>
          <w:rFonts w:hint="eastAsia" w:ascii="宋体" w:hAnsi="宋体" w:cs="宋体"/>
          <w:bCs/>
          <w:szCs w:val="21"/>
        </w:rPr>
        <w:t>，从业人员</w:t>
      </w:r>
      <w:r>
        <w:rPr>
          <w:rFonts w:hint="eastAsia" w:ascii="宋体" w:hAnsi="宋体" w:cs="宋体"/>
          <w:bCs/>
          <w:szCs w:val="21"/>
          <w:u w:val="single"/>
        </w:rPr>
        <w:t xml:space="preserve">     </w:t>
      </w:r>
      <w:r>
        <w:rPr>
          <w:rFonts w:hint="eastAsia" w:ascii="宋体" w:hAnsi="宋体" w:cs="宋体"/>
          <w:bCs/>
          <w:szCs w:val="21"/>
        </w:rPr>
        <w:t>人，营业收入为</w:t>
      </w:r>
      <w:r>
        <w:rPr>
          <w:rFonts w:hint="eastAsia" w:ascii="宋体" w:hAnsi="宋体" w:cs="宋体"/>
          <w:bCs/>
          <w:szCs w:val="21"/>
          <w:u w:val="single"/>
        </w:rPr>
        <w:t xml:space="preserve">     </w:t>
      </w:r>
      <w:r>
        <w:rPr>
          <w:rFonts w:hint="eastAsia" w:ascii="宋体" w:hAnsi="宋体" w:cs="宋体"/>
          <w:bCs/>
          <w:szCs w:val="21"/>
        </w:rPr>
        <w:t>万元，资产总额为</w:t>
      </w:r>
      <w:r>
        <w:rPr>
          <w:rFonts w:hint="eastAsia" w:ascii="宋体" w:hAnsi="宋体" w:cs="宋体"/>
          <w:bCs/>
          <w:szCs w:val="21"/>
          <w:u w:val="single"/>
        </w:rPr>
        <w:t xml:space="preserve">     </w:t>
      </w:r>
      <w:r>
        <w:rPr>
          <w:rFonts w:hint="eastAsia" w:ascii="宋体" w:hAnsi="宋体" w:cs="宋体"/>
          <w:bCs/>
          <w:szCs w:val="21"/>
        </w:rPr>
        <w:t>万元，属于</w:t>
      </w:r>
      <w:r>
        <w:rPr>
          <w:rFonts w:hint="eastAsia" w:ascii="宋体" w:hAnsi="宋体" w:cs="宋体"/>
          <w:bCs/>
          <w:szCs w:val="21"/>
          <w:u w:val="single"/>
        </w:rPr>
        <w:t>（中型企业、小型企业、微型企业）</w:t>
      </w:r>
      <w:r>
        <w:rPr>
          <w:rFonts w:hint="eastAsia" w:ascii="宋体" w:hAnsi="宋体" w:cs="宋体"/>
          <w:bCs/>
          <w:szCs w:val="21"/>
        </w:rPr>
        <w:t>；</w:t>
      </w:r>
    </w:p>
    <w:p>
      <w:pPr>
        <w:spacing w:line="360" w:lineRule="auto"/>
        <w:ind w:firstLine="420" w:firstLineChars="200"/>
        <w:jc w:val="left"/>
        <w:rPr>
          <w:rFonts w:ascii="宋体" w:hAnsi="宋体" w:cs="宋体"/>
          <w:bCs/>
          <w:szCs w:val="21"/>
        </w:rPr>
      </w:pPr>
      <w:r>
        <w:rPr>
          <w:rFonts w:hint="eastAsia" w:ascii="宋体" w:hAnsi="宋体" w:cs="宋体"/>
          <w:bCs/>
          <w:szCs w:val="21"/>
        </w:rPr>
        <w:t>……</w:t>
      </w:r>
    </w:p>
    <w:p>
      <w:pPr>
        <w:spacing w:line="360" w:lineRule="auto"/>
        <w:ind w:firstLine="420" w:firstLineChars="200"/>
        <w:jc w:val="left"/>
        <w:rPr>
          <w:rFonts w:ascii="宋体" w:hAnsi="宋体" w:cs="宋体"/>
          <w:bCs/>
          <w:szCs w:val="21"/>
        </w:rPr>
      </w:pPr>
      <w:r>
        <w:rPr>
          <w:rFonts w:hint="eastAsia" w:ascii="宋体" w:hAnsi="宋体" w:cs="宋体"/>
          <w:bCs/>
          <w:szCs w:val="21"/>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cs="宋体"/>
          <w:bCs/>
          <w:szCs w:val="21"/>
        </w:rPr>
      </w:pPr>
      <w:r>
        <w:rPr>
          <w:rFonts w:hint="eastAsia" w:ascii="宋体" w:hAnsi="宋体" w:cs="宋体"/>
          <w:bCs/>
          <w:szCs w:val="21"/>
        </w:rPr>
        <w:t xml:space="preserve">本企业对上述声明内容的真实性负责。如有虚假，将依法承担相应责任。 </w:t>
      </w:r>
    </w:p>
    <w:p>
      <w:pPr>
        <w:spacing w:line="360" w:lineRule="auto"/>
        <w:jc w:val="left"/>
        <w:rPr>
          <w:rFonts w:ascii="宋体" w:hAnsi="宋体" w:cs="宋体"/>
          <w:bCs/>
          <w:szCs w:val="21"/>
        </w:rPr>
      </w:pPr>
    </w:p>
    <w:p>
      <w:pPr>
        <w:pStyle w:val="30"/>
        <w:rPr>
          <w:rFonts w:ascii="宋体" w:hAnsi="宋体" w:cs="宋体"/>
          <w:b w:val="0"/>
          <w:sz w:val="21"/>
          <w:szCs w:val="21"/>
        </w:rPr>
      </w:pPr>
      <w:r>
        <w:rPr>
          <w:rFonts w:hint="eastAsia" w:ascii="宋体" w:hAnsi="宋体" w:cs="宋体"/>
          <w:b w:val="0"/>
          <w:sz w:val="21"/>
          <w:szCs w:val="21"/>
        </w:rPr>
        <w:t xml:space="preserve">                          </w:t>
      </w:r>
    </w:p>
    <w:p>
      <w:pPr>
        <w:pStyle w:val="30"/>
        <w:rPr>
          <w:rFonts w:ascii="宋体" w:hAnsi="宋体" w:cs="宋体"/>
          <w:b w:val="0"/>
          <w:sz w:val="21"/>
          <w:szCs w:val="21"/>
        </w:rPr>
      </w:pPr>
      <w:r>
        <w:rPr>
          <w:rFonts w:hint="eastAsia" w:ascii="宋体" w:hAnsi="宋体" w:cs="宋体"/>
          <w:b w:val="0"/>
          <w:sz w:val="21"/>
          <w:szCs w:val="21"/>
        </w:rPr>
        <w:t xml:space="preserve">                               单位名称（公章）：</w:t>
      </w:r>
    </w:p>
    <w:p>
      <w:pPr>
        <w:pStyle w:val="30"/>
        <w:rPr>
          <w:sz w:val="21"/>
          <w:szCs w:val="21"/>
          <w:lang w:val="en-US"/>
        </w:rPr>
        <w:sectPr>
          <w:footerReference r:id="rId9"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cs="宋体"/>
          <w:b w:val="0"/>
          <w:sz w:val="21"/>
          <w:szCs w:val="21"/>
        </w:rPr>
        <w:t xml:space="preserve">                       日 期</w:t>
      </w:r>
      <w:r>
        <w:rPr>
          <w:rFonts w:hint="eastAsia" w:ascii="宋体" w:hAnsi="宋体" w:cs="宋体"/>
          <w:b w:val="0"/>
          <w:sz w:val="21"/>
          <w:szCs w:val="21"/>
          <w:lang w:val="en-US"/>
        </w:rPr>
        <w:t>:</w:t>
      </w:r>
    </w:p>
    <w:p>
      <w:pPr>
        <w:rPr>
          <w:rFonts w:ascii="宋体" w:hAnsi="宋体" w:cs="宋体"/>
          <w:b/>
          <w:bCs/>
          <w:sz w:val="28"/>
          <w:szCs w:val="36"/>
          <w:lang w:val="zh-CN"/>
        </w:rPr>
      </w:pPr>
      <w:r>
        <w:rPr>
          <w:rFonts w:hint="eastAsia" w:ascii="宋体" w:hAnsi="宋体" w:cs="宋体"/>
          <w:b/>
          <w:bCs/>
          <w:sz w:val="28"/>
          <w:szCs w:val="36"/>
        </w:rPr>
        <w:t>附件9</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供应商基本情况表</w:t>
      </w:r>
    </w:p>
    <w:tbl>
      <w:tblPr>
        <w:tblStyle w:val="33"/>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809"/>
        <w:gridCol w:w="151"/>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880" w:type="dxa"/>
            <w:vAlign w:val="center"/>
          </w:tcPr>
          <w:p>
            <w:pPr>
              <w:pStyle w:val="81"/>
              <w:shd w:val="clear" w:color="auto" w:fill="FFFFFF"/>
              <w:spacing w:beforeAutospacing="0" w:afterAutospacing="0" w:line="360" w:lineRule="auto"/>
              <w:jc w:val="both"/>
              <w:rPr>
                <w:bCs/>
              </w:rPr>
            </w:pPr>
            <w:r>
              <w:rPr>
                <w:rFonts w:hint="eastAsia"/>
                <w:bCs/>
                <w:spacing w:val="27"/>
              </w:rPr>
              <w:t>企业名称</w:t>
            </w:r>
          </w:p>
        </w:tc>
        <w:tc>
          <w:tcPr>
            <w:tcW w:w="3765" w:type="dxa"/>
            <w:gridSpan w:val="6"/>
            <w:vAlign w:val="center"/>
          </w:tcPr>
          <w:p>
            <w:pPr>
              <w:pStyle w:val="81"/>
              <w:shd w:val="clear" w:color="auto" w:fill="FFFFFF"/>
              <w:spacing w:beforeAutospacing="0" w:afterAutospacing="0" w:line="360" w:lineRule="auto"/>
              <w:jc w:val="both"/>
              <w:rPr>
                <w:bCs/>
              </w:rPr>
            </w:pPr>
          </w:p>
        </w:tc>
        <w:tc>
          <w:tcPr>
            <w:tcW w:w="1560" w:type="dxa"/>
            <w:vAlign w:val="center"/>
          </w:tcPr>
          <w:p>
            <w:pPr>
              <w:pStyle w:val="81"/>
              <w:shd w:val="clear" w:color="auto" w:fill="FFFFFF"/>
              <w:spacing w:beforeAutospacing="0" w:afterAutospacing="0" w:line="360" w:lineRule="auto"/>
              <w:jc w:val="center"/>
              <w:rPr>
                <w:bCs/>
              </w:rPr>
            </w:pPr>
            <w:r>
              <w:rPr>
                <w:rFonts w:hint="eastAsia"/>
                <w:bCs/>
                <w:spacing w:val="16"/>
              </w:rPr>
              <w:t>法人代表</w:t>
            </w:r>
          </w:p>
        </w:tc>
        <w:tc>
          <w:tcPr>
            <w:tcW w:w="2608" w:type="dxa"/>
            <w:gridSpan w:val="3"/>
            <w:vAlign w:val="center"/>
          </w:tcPr>
          <w:p>
            <w:pPr>
              <w:pStyle w:val="81"/>
              <w:shd w:val="clear" w:color="auto" w:fill="FFFFFF"/>
              <w:spacing w:beforeAutospacing="0" w:afterAutospacing="0" w:line="360" w:lineRule="auto"/>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vAlign w:val="center"/>
          </w:tcPr>
          <w:p>
            <w:pPr>
              <w:pStyle w:val="81"/>
              <w:shd w:val="clear" w:color="auto" w:fill="FFFFFF"/>
              <w:spacing w:beforeAutospacing="0" w:afterAutospacing="0" w:line="360" w:lineRule="auto"/>
              <w:jc w:val="both"/>
              <w:rPr>
                <w:bCs/>
                <w:spacing w:val="16"/>
              </w:rPr>
            </w:pPr>
            <w:r>
              <w:rPr>
                <w:rFonts w:hint="eastAsia"/>
                <w:bCs/>
                <w:spacing w:val="27"/>
              </w:rPr>
              <w:t>地址</w:t>
            </w:r>
          </w:p>
        </w:tc>
        <w:tc>
          <w:tcPr>
            <w:tcW w:w="3765" w:type="dxa"/>
            <w:gridSpan w:val="6"/>
            <w:tcBorders>
              <w:bottom w:val="single" w:color="auto" w:sz="4" w:space="0"/>
            </w:tcBorders>
            <w:vAlign w:val="center"/>
          </w:tcPr>
          <w:p>
            <w:pPr>
              <w:pStyle w:val="81"/>
              <w:shd w:val="clear" w:color="auto" w:fill="FFFFFF"/>
              <w:spacing w:beforeAutospacing="0" w:afterAutospacing="0" w:line="360" w:lineRule="auto"/>
              <w:jc w:val="both"/>
              <w:rPr>
                <w:bCs/>
                <w:spacing w:val="16"/>
              </w:rPr>
            </w:pPr>
          </w:p>
        </w:tc>
        <w:tc>
          <w:tcPr>
            <w:tcW w:w="1560" w:type="dxa"/>
            <w:vAlign w:val="center"/>
          </w:tcPr>
          <w:p>
            <w:pPr>
              <w:pStyle w:val="81"/>
              <w:shd w:val="clear" w:color="auto" w:fill="FFFFFF"/>
              <w:spacing w:beforeAutospacing="0" w:afterAutospacing="0" w:line="360" w:lineRule="auto"/>
              <w:jc w:val="center"/>
              <w:rPr>
                <w:bCs/>
                <w:spacing w:val="16"/>
              </w:rPr>
            </w:pPr>
            <w:r>
              <w:rPr>
                <w:rFonts w:hint="eastAsia"/>
                <w:bCs/>
                <w:spacing w:val="16"/>
              </w:rPr>
              <w:t>企业性质</w:t>
            </w:r>
          </w:p>
        </w:tc>
        <w:tc>
          <w:tcPr>
            <w:tcW w:w="2608" w:type="dxa"/>
            <w:gridSpan w:val="3"/>
            <w:vAlign w:val="center"/>
          </w:tcPr>
          <w:p>
            <w:pPr>
              <w:pStyle w:val="81"/>
              <w:shd w:val="clear" w:color="auto" w:fill="FFFFFF"/>
              <w:spacing w:beforeAutospacing="0" w:afterAutospacing="0"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880" w:type="dxa"/>
            <w:tcBorders>
              <w:bottom w:val="single" w:color="auto" w:sz="4" w:space="0"/>
            </w:tcBorders>
            <w:vAlign w:val="center"/>
          </w:tcPr>
          <w:p>
            <w:pPr>
              <w:pStyle w:val="81"/>
              <w:shd w:val="clear" w:color="auto" w:fill="FFFFFF"/>
              <w:spacing w:beforeAutospacing="0" w:afterAutospacing="0" w:line="360" w:lineRule="auto"/>
              <w:jc w:val="both"/>
              <w:rPr>
                <w:bCs/>
                <w:spacing w:val="16"/>
              </w:rPr>
            </w:pPr>
            <w:r>
              <w:rPr>
                <w:rFonts w:hint="eastAsia"/>
                <w:bCs/>
                <w:spacing w:val="27"/>
              </w:rPr>
              <w:t>股东姓名</w:t>
            </w:r>
          </w:p>
        </w:tc>
        <w:tc>
          <w:tcPr>
            <w:tcW w:w="690" w:type="dxa"/>
            <w:tcBorders>
              <w:bottom w:val="single" w:color="auto" w:sz="4" w:space="0"/>
            </w:tcBorders>
            <w:vAlign w:val="center"/>
          </w:tcPr>
          <w:p>
            <w:pPr>
              <w:pStyle w:val="81"/>
              <w:shd w:val="clear" w:color="auto" w:fill="FFFFFF"/>
              <w:spacing w:before="0" w:beforeAutospacing="0" w:after="0" w:afterAutospacing="0" w:line="360" w:lineRule="auto"/>
              <w:jc w:val="both"/>
              <w:rPr>
                <w:bCs/>
                <w:spacing w:val="16"/>
              </w:rPr>
            </w:pPr>
          </w:p>
        </w:tc>
        <w:tc>
          <w:tcPr>
            <w:tcW w:w="960" w:type="dxa"/>
            <w:gridSpan w:val="2"/>
            <w:tcBorders>
              <w:bottom w:val="single" w:color="auto" w:sz="4" w:space="0"/>
            </w:tcBorders>
            <w:vAlign w:val="center"/>
          </w:tcPr>
          <w:p>
            <w:pPr>
              <w:pStyle w:val="81"/>
              <w:shd w:val="clear" w:color="auto" w:fill="FFFFFF"/>
              <w:spacing w:beforeAutospacing="0" w:afterAutospacing="0" w:line="360" w:lineRule="auto"/>
              <w:jc w:val="both"/>
              <w:rPr>
                <w:bCs/>
                <w:spacing w:val="16"/>
              </w:rPr>
            </w:pPr>
            <w:r>
              <w:rPr>
                <w:rFonts w:hint="eastAsia"/>
                <w:bCs/>
                <w:spacing w:val="16"/>
              </w:rPr>
              <w:t>股权结构（%）</w:t>
            </w:r>
          </w:p>
        </w:tc>
        <w:tc>
          <w:tcPr>
            <w:tcW w:w="2115" w:type="dxa"/>
            <w:gridSpan w:val="3"/>
            <w:tcBorders>
              <w:bottom w:val="single" w:color="auto" w:sz="4" w:space="0"/>
            </w:tcBorders>
            <w:vAlign w:val="center"/>
          </w:tcPr>
          <w:p>
            <w:pPr>
              <w:spacing w:line="360" w:lineRule="auto"/>
              <w:rPr>
                <w:rFonts w:ascii="宋体" w:hAnsi="宋体" w:cs="宋体"/>
                <w:bCs/>
                <w:spacing w:val="16"/>
                <w:kern w:val="0"/>
                <w:sz w:val="24"/>
              </w:rPr>
            </w:pPr>
          </w:p>
          <w:p>
            <w:pPr>
              <w:pStyle w:val="81"/>
              <w:shd w:val="clear" w:color="auto" w:fill="FFFFFF"/>
              <w:spacing w:beforeAutospacing="0" w:afterAutospacing="0" w:line="360" w:lineRule="auto"/>
              <w:jc w:val="both"/>
              <w:rPr>
                <w:bCs/>
                <w:spacing w:val="16"/>
              </w:rPr>
            </w:pPr>
          </w:p>
        </w:tc>
        <w:tc>
          <w:tcPr>
            <w:tcW w:w="1560" w:type="dxa"/>
            <w:vAlign w:val="center"/>
          </w:tcPr>
          <w:p>
            <w:pPr>
              <w:pStyle w:val="81"/>
              <w:shd w:val="clear" w:color="auto" w:fill="FFFFFF"/>
              <w:spacing w:beforeAutospacing="0" w:afterAutospacing="0" w:line="360" w:lineRule="auto"/>
              <w:ind w:left="107"/>
              <w:jc w:val="center"/>
              <w:rPr>
                <w:bCs/>
                <w:spacing w:val="16"/>
              </w:rPr>
            </w:pPr>
            <w:r>
              <w:rPr>
                <w:rFonts w:hint="eastAsia"/>
                <w:bCs/>
                <w:spacing w:val="16"/>
              </w:rPr>
              <w:t>股东关系</w:t>
            </w:r>
          </w:p>
        </w:tc>
        <w:tc>
          <w:tcPr>
            <w:tcW w:w="2608" w:type="dxa"/>
            <w:gridSpan w:val="3"/>
            <w:vAlign w:val="center"/>
          </w:tcPr>
          <w:p>
            <w:pPr>
              <w:pStyle w:val="81"/>
              <w:shd w:val="clear" w:color="auto" w:fill="FFFFFF"/>
              <w:spacing w:beforeAutospacing="0" w:afterAutospacing="0" w:line="360" w:lineRule="auto"/>
              <w:ind w:left="107"/>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vAlign w:val="center"/>
          </w:tcPr>
          <w:p>
            <w:pPr>
              <w:pStyle w:val="81"/>
              <w:shd w:val="clear" w:color="auto" w:fill="FFFFFF"/>
              <w:spacing w:beforeAutospacing="0" w:afterAutospacing="0" w:line="360" w:lineRule="auto"/>
              <w:jc w:val="both"/>
              <w:rPr>
                <w:bCs/>
                <w:spacing w:val="16"/>
              </w:rPr>
            </w:pPr>
            <w:r>
              <w:rPr>
                <w:rFonts w:hint="eastAsia"/>
                <w:bCs/>
                <w:spacing w:val="12"/>
              </w:rPr>
              <w:t>联系人</w:t>
            </w:r>
            <w:r>
              <w:rPr>
                <w:rFonts w:hint="eastAsia"/>
                <w:bCs/>
                <w:spacing w:val="27"/>
              </w:rPr>
              <w:t>姓名</w:t>
            </w:r>
          </w:p>
        </w:tc>
        <w:tc>
          <w:tcPr>
            <w:tcW w:w="690" w:type="dxa"/>
            <w:vMerge w:val="restart"/>
            <w:tcBorders>
              <w:top w:val="nil"/>
            </w:tcBorders>
            <w:vAlign w:val="center"/>
          </w:tcPr>
          <w:p>
            <w:pPr>
              <w:pStyle w:val="81"/>
              <w:shd w:val="clear" w:color="auto" w:fill="FFFFFF"/>
              <w:spacing w:beforeAutospacing="0" w:afterAutospacing="0" w:line="360" w:lineRule="auto"/>
              <w:jc w:val="both"/>
              <w:rPr>
                <w:bCs/>
                <w:spacing w:val="16"/>
              </w:rPr>
            </w:pPr>
          </w:p>
        </w:tc>
        <w:tc>
          <w:tcPr>
            <w:tcW w:w="960" w:type="dxa"/>
            <w:gridSpan w:val="2"/>
            <w:tcBorders>
              <w:top w:val="nil"/>
              <w:bottom w:val="single" w:color="auto" w:sz="4" w:space="0"/>
            </w:tcBorders>
            <w:vAlign w:val="center"/>
          </w:tcPr>
          <w:p>
            <w:pPr>
              <w:pStyle w:val="81"/>
              <w:shd w:val="clear" w:color="auto" w:fill="FFFFFF"/>
              <w:spacing w:beforeAutospacing="0" w:afterAutospacing="0" w:line="360" w:lineRule="auto"/>
              <w:jc w:val="both"/>
              <w:rPr>
                <w:bCs/>
                <w:spacing w:val="16"/>
              </w:rPr>
            </w:pPr>
            <w:r>
              <w:rPr>
                <w:rFonts w:hint="eastAsia"/>
                <w:bCs/>
                <w:spacing w:val="16"/>
              </w:rPr>
              <w:t>固定电话</w:t>
            </w:r>
          </w:p>
        </w:tc>
        <w:tc>
          <w:tcPr>
            <w:tcW w:w="2115" w:type="dxa"/>
            <w:gridSpan w:val="3"/>
            <w:tcBorders>
              <w:top w:val="nil"/>
              <w:bottom w:val="single" w:color="auto" w:sz="4" w:space="0"/>
            </w:tcBorders>
            <w:vAlign w:val="center"/>
          </w:tcPr>
          <w:p>
            <w:pPr>
              <w:spacing w:line="360" w:lineRule="auto"/>
              <w:rPr>
                <w:rFonts w:ascii="宋体" w:hAnsi="宋体" w:cs="宋体"/>
                <w:bCs/>
                <w:spacing w:val="16"/>
                <w:kern w:val="0"/>
                <w:sz w:val="24"/>
              </w:rPr>
            </w:pPr>
          </w:p>
          <w:p>
            <w:pPr>
              <w:pStyle w:val="81"/>
              <w:shd w:val="clear" w:color="auto" w:fill="FFFFFF"/>
              <w:spacing w:beforeAutospacing="0" w:afterAutospacing="0" w:line="360" w:lineRule="auto"/>
              <w:jc w:val="both"/>
              <w:rPr>
                <w:bCs/>
                <w:spacing w:val="16"/>
              </w:rPr>
            </w:pPr>
          </w:p>
        </w:tc>
        <w:tc>
          <w:tcPr>
            <w:tcW w:w="1560" w:type="dxa"/>
            <w:vMerge w:val="restart"/>
            <w:vAlign w:val="center"/>
          </w:tcPr>
          <w:p>
            <w:pPr>
              <w:pStyle w:val="81"/>
              <w:shd w:val="clear" w:color="auto" w:fill="FFFFFF"/>
              <w:spacing w:before="0" w:beforeAutospacing="0" w:after="0" w:afterAutospacing="0" w:line="360" w:lineRule="auto"/>
              <w:jc w:val="center"/>
              <w:rPr>
                <w:bCs/>
                <w:spacing w:val="16"/>
              </w:rPr>
            </w:pPr>
            <w:r>
              <w:rPr>
                <w:rFonts w:hint="eastAsia"/>
                <w:bCs/>
                <w:spacing w:val="16"/>
              </w:rPr>
              <w:t>传真</w:t>
            </w:r>
          </w:p>
        </w:tc>
        <w:tc>
          <w:tcPr>
            <w:tcW w:w="2608" w:type="dxa"/>
            <w:gridSpan w:val="3"/>
            <w:vMerge w:val="restart"/>
            <w:vAlign w:val="center"/>
          </w:tcPr>
          <w:p>
            <w:pPr>
              <w:pStyle w:val="81"/>
              <w:shd w:val="clear" w:color="auto" w:fill="FFFFFF"/>
              <w:spacing w:beforeAutospacing="0" w:afterAutospacing="0"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tcBorders>
              <w:bottom w:val="single" w:color="auto" w:sz="4" w:space="0"/>
            </w:tcBorders>
            <w:vAlign w:val="center"/>
          </w:tcPr>
          <w:p>
            <w:pPr>
              <w:pStyle w:val="81"/>
              <w:shd w:val="clear" w:color="auto" w:fill="FFFFFF"/>
              <w:spacing w:beforeAutospacing="0" w:afterAutospacing="0" w:line="360" w:lineRule="auto"/>
              <w:ind w:left="107"/>
              <w:jc w:val="both"/>
              <w:rPr>
                <w:bCs/>
              </w:rPr>
            </w:pPr>
          </w:p>
        </w:tc>
        <w:tc>
          <w:tcPr>
            <w:tcW w:w="690" w:type="dxa"/>
            <w:vMerge w:val="continue"/>
            <w:tcBorders>
              <w:bottom w:val="single" w:color="auto" w:sz="4" w:space="0"/>
            </w:tcBorders>
            <w:vAlign w:val="center"/>
          </w:tcPr>
          <w:p>
            <w:pPr>
              <w:pStyle w:val="81"/>
              <w:shd w:val="clear" w:color="auto" w:fill="FFFFFF"/>
              <w:spacing w:beforeAutospacing="0" w:afterAutospacing="0" w:line="360" w:lineRule="auto"/>
              <w:jc w:val="both"/>
              <w:rPr>
                <w:bCs/>
                <w:spacing w:val="16"/>
              </w:rPr>
            </w:pPr>
          </w:p>
        </w:tc>
        <w:tc>
          <w:tcPr>
            <w:tcW w:w="960" w:type="dxa"/>
            <w:gridSpan w:val="2"/>
            <w:tcBorders>
              <w:bottom w:val="single" w:color="auto" w:sz="4" w:space="0"/>
            </w:tcBorders>
            <w:vAlign w:val="center"/>
          </w:tcPr>
          <w:p>
            <w:pPr>
              <w:pStyle w:val="81"/>
              <w:shd w:val="clear" w:color="auto" w:fill="FFFFFF"/>
              <w:spacing w:beforeAutospacing="0" w:afterAutospacing="0" w:line="360" w:lineRule="auto"/>
              <w:jc w:val="both"/>
              <w:rPr>
                <w:bCs/>
                <w:spacing w:val="16"/>
              </w:rPr>
            </w:pPr>
            <w:r>
              <w:rPr>
                <w:rFonts w:hint="eastAsia"/>
                <w:bCs/>
                <w:spacing w:val="27"/>
              </w:rPr>
              <w:t>手机</w:t>
            </w:r>
          </w:p>
        </w:tc>
        <w:tc>
          <w:tcPr>
            <w:tcW w:w="2115" w:type="dxa"/>
            <w:gridSpan w:val="3"/>
            <w:tcBorders>
              <w:bottom w:val="single" w:color="auto" w:sz="4" w:space="0"/>
            </w:tcBorders>
            <w:vAlign w:val="center"/>
          </w:tcPr>
          <w:p>
            <w:pPr>
              <w:pStyle w:val="81"/>
              <w:shd w:val="clear" w:color="auto" w:fill="FFFFFF"/>
              <w:spacing w:beforeAutospacing="0" w:afterAutospacing="0" w:line="360" w:lineRule="auto"/>
              <w:jc w:val="both"/>
              <w:rPr>
                <w:bCs/>
                <w:spacing w:val="16"/>
              </w:rPr>
            </w:pPr>
          </w:p>
        </w:tc>
        <w:tc>
          <w:tcPr>
            <w:tcW w:w="1560" w:type="dxa"/>
            <w:vMerge w:val="continue"/>
            <w:vAlign w:val="center"/>
          </w:tcPr>
          <w:p>
            <w:pPr>
              <w:pStyle w:val="81"/>
              <w:shd w:val="clear" w:color="auto" w:fill="FFFFFF"/>
              <w:spacing w:beforeAutospacing="0" w:afterAutospacing="0" w:line="360" w:lineRule="auto"/>
              <w:jc w:val="center"/>
              <w:rPr>
                <w:bCs/>
                <w:spacing w:val="16"/>
              </w:rPr>
            </w:pPr>
          </w:p>
        </w:tc>
        <w:tc>
          <w:tcPr>
            <w:tcW w:w="2608" w:type="dxa"/>
            <w:gridSpan w:val="3"/>
            <w:vMerge w:val="continue"/>
            <w:vAlign w:val="center"/>
          </w:tcPr>
          <w:p>
            <w:pPr>
              <w:pStyle w:val="81"/>
              <w:shd w:val="clear" w:color="auto" w:fill="FFFFFF"/>
              <w:spacing w:beforeAutospacing="0" w:afterAutospacing="0"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vAlign w:val="center"/>
          </w:tcPr>
          <w:p>
            <w:pPr>
              <w:pStyle w:val="81"/>
              <w:shd w:val="clear" w:color="auto" w:fill="FFFFFF"/>
              <w:spacing w:beforeAutospacing="0" w:afterAutospacing="0" w:line="360" w:lineRule="auto"/>
              <w:ind w:left="107"/>
              <w:jc w:val="both"/>
              <w:rPr>
                <w:bCs/>
              </w:rPr>
            </w:pPr>
            <w:r>
              <w:rPr>
                <w:rFonts w:hint="eastAsia"/>
                <w:bCs/>
              </w:rPr>
              <w:t>1.</w:t>
            </w:r>
          </w:p>
          <w:p>
            <w:pPr>
              <w:pStyle w:val="81"/>
              <w:shd w:val="clear" w:color="auto" w:fill="FFFFFF"/>
              <w:spacing w:beforeAutospacing="0" w:afterAutospacing="0" w:line="360" w:lineRule="auto"/>
              <w:ind w:left="107"/>
              <w:jc w:val="both"/>
              <w:rPr>
                <w:bCs/>
              </w:rPr>
            </w:pPr>
            <w:r>
              <w:rPr>
                <w:rFonts w:hint="eastAsia"/>
                <w:bCs/>
              </w:rPr>
              <w:t>企</w:t>
            </w:r>
          </w:p>
          <w:p>
            <w:pPr>
              <w:pStyle w:val="81"/>
              <w:shd w:val="clear" w:color="auto" w:fill="FFFFFF"/>
              <w:spacing w:beforeAutospacing="0" w:afterAutospacing="0" w:line="360" w:lineRule="auto"/>
              <w:ind w:left="107"/>
              <w:jc w:val="both"/>
              <w:rPr>
                <w:bCs/>
              </w:rPr>
            </w:pPr>
            <w:r>
              <w:rPr>
                <w:rFonts w:hint="eastAsia"/>
                <w:bCs/>
              </w:rPr>
              <w:t>业</w:t>
            </w:r>
          </w:p>
          <w:p>
            <w:pPr>
              <w:pStyle w:val="81"/>
              <w:shd w:val="clear" w:color="auto" w:fill="FFFFFF"/>
              <w:spacing w:beforeAutospacing="0" w:afterAutospacing="0" w:line="360" w:lineRule="auto"/>
              <w:ind w:left="107"/>
              <w:jc w:val="both"/>
              <w:rPr>
                <w:bCs/>
                <w:spacing w:val="27"/>
              </w:rPr>
            </w:pPr>
            <w:r>
              <w:rPr>
                <w:rFonts w:hint="eastAsia"/>
                <w:bCs/>
                <w:spacing w:val="27"/>
              </w:rPr>
              <w:t>概</w:t>
            </w:r>
          </w:p>
          <w:p>
            <w:pPr>
              <w:pStyle w:val="81"/>
              <w:shd w:val="clear" w:color="auto" w:fill="FFFFFF"/>
              <w:spacing w:beforeAutospacing="0" w:afterAutospacing="0" w:line="360" w:lineRule="auto"/>
              <w:ind w:left="107"/>
              <w:jc w:val="both"/>
              <w:rPr>
                <w:bCs/>
              </w:rPr>
            </w:pPr>
            <w:r>
              <w:rPr>
                <w:rFonts w:hint="eastAsia"/>
                <w:bCs/>
                <w:spacing w:val="27"/>
              </w:rPr>
              <w:t>况</w:t>
            </w:r>
          </w:p>
        </w:tc>
        <w:tc>
          <w:tcPr>
            <w:tcW w:w="690" w:type="dxa"/>
            <w:tcBorders>
              <w:top w:val="nil"/>
            </w:tcBorders>
            <w:vAlign w:val="center"/>
          </w:tcPr>
          <w:p>
            <w:pPr>
              <w:pStyle w:val="81"/>
              <w:shd w:val="clear" w:color="auto" w:fill="FFFFFF"/>
              <w:spacing w:beforeAutospacing="0" w:afterAutospacing="0" w:line="360" w:lineRule="auto"/>
              <w:jc w:val="both"/>
              <w:rPr>
                <w:bCs/>
                <w:spacing w:val="16"/>
              </w:rPr>
            </w:pPr>
            <w:r>
              <w:rPr>
                <w:rFonts w:hint="eastAsia"/>
                <w:bCs/>
                <w:spacing w:val="16"/>
              </w:rPr>
              <w:t>职工人数</w:t>
            </w:r>
          </w:p>
        </w:tc>
        <w:tc>
          <w:tcPr>
            <w:tcW w:w="960" w:type="dxa"/>
            <w:gridSpan w:val="2"/>
            <w:tcBorders>
              <w:top w:val="nil"/>
            </w:tcBorders>
            <w:vAlign w:val="center"/>
          </w:tcPr>
          <w:p>
            <w:pPr>
              <w:pStyle w:val="81"/>
              <w:shd w:val="clear" w:color="auto" w:fill="FFFFFF"/>
              <w:spacing w:beforeAutospacing="0" w:afterAutospacing="0" w:line="360" w:lineRule="auto"/>
              <w:jc w:val="both"/>
              <w:rPr>
                <w:bCs/>
                <w:spacing w:val="16"/>
              </w:rPr>
            </w:pPr>
          </w:p>
        </w:tc>
        <w:tc>
          <w:tcPr>
            <w:tcW w:w="926" w:type="dxa"/>
            <w:tcBorders>
              <w:top w:val="nil"/>
            </w:tcBorders>
            <w:vAlign w:val="center"/>
          </w:tcPr>
          <w:p>
            <w:pPr>
              <w:pStyle w:val="81"/>
              <w:shd w:val="clear" w:color="auto" w:fill="FFFFFF"/>
              <w:spacing w:before="0" w:beforeAutospacing="0" w:after="0" w:afterAutospacing="0" w:line="360" w:lineRule="auto"/>
              <w:jc w:val="both"/>
              <w:rPr>
                <w:bCs/>
              </w:rPr>
            </w:pPr>
            <w:r>
              <w:rPr>
                <w:rFonts w:hint="eastAsia"/>
                <w:bCs/>
                <w:spacing w:val="18"/>
              </w:rPr>
              <w:t>具备大专以</w:t>
            </w:r>
            <w:r>
              <w:rPr>
                <w:rFonts w:hint="eastAsia"/>
                <w:bCs/>
                <w:spacing w:val="12"/>
              </w:rPr>
              <w:t>上学历人数</w:t>
            </w:r>
          </w:p>
        </w:tc>
        <w:tc>
          <w:tcPr>
            <w:tcW w:w="1189" w:type="dxa"/>
            <w:gridSpan w:val="2"/>
            <w:tcBorders>
              <w:top w:val="nil"/>
            </w:tcBorders>
            <w:vAlign w:val="center"/>
          </w:tcPr>
          <w:p>
            <w:pPr>
              <w:spacing w:line="360" w:lineRule="auto"/>
              <w:rPr>
                <w:rFonts w:ascii="宋体" w:hAnsi="宋体" w:cs="宋体"/>
                <w:bCs/>
                <w:spacing w:val="16"/>
                <w:kern w:val="0"/>
                <w:sz w:val="24"/>
              </w:rPr>
            </w:pPr>
          </w:p>
          <w:p>
            <w:pPr>
              <w:spacing w:line="360" w:lineRule="auto"/>
              <w:rPr>
                <w:rFonts w:ascii="宋体" w:hAnsi="宋体" w:cs="宋体"/>
                <w:bCs/>
                <w:spacing w:val="16"/>
                <w:kern w:val="0"/>
                <w:sz w:val="24"/>
              </w:rPr>
            </w:pPr>
          </w:p>
          <w:p>
            <w:pPr>
              <w:pStyle w:val="81"/>
              <w:shd w:val="clear" w:color="auto" w:fill="FFFFFF"/>
              <w:spacing w:beforeAutospacing="0" w:afterAutospacing="0" w:line="360" w:lineRule="auto"/>
              <w:jc w:val="both"/>
              <w:rPr>
                <w:bCs/>
                <w:spacing w:val="16"/>
              </w:rPr>
            </w:pPr>
          </w:p>
        </w:tc>
        <w:tc>
          <w:tcPr>
            <w:tcW w:w="1560" w:type="dxa"/>
            <w:vAlign w:val="center"/>
          </w:tcPr>
          <w:p>
            <w:pPr>
              <w:pStyle w:val="81"/>
              <w:shd w:val="clear" w:color="auto" w:fill="FFFFFF"/>
              <w:spacing w:beforeAutospacing="0" w:afterAutospacing="0" w:line="360" w:lineRule="auto"/>
              <w:jc w:val="center"/>
              <w:rPr>
                <w:bCs/>
                <w:spacing w:val="16"/>
              </w:rPr>
            </w:pPr>
            <w:r>
              <w:rPr>
                <w:rFonts w:hint="eastAsia"/>
                <w:bCs/>
                <w:spacing w:val="65"/>
              </w:rPr>
              <w:t>国家授予技</w:t>
            </w:r>
            <w:r>
              <w:rPr>
                <w:rFonts w:hint="eastAsia"/>
                <w:bCs/>
                <w:spacing w:val="12"/>
              </w:rPr>
              <w:t>术职称人数</w:t>
            </w:r>
          </w:p>
        </w:tc>
        <w:tc>
          <w:tcPr>
            <w:tcW w:w="2608" w:type="dxa"/>
            <w:gridSpan w:val="3"/>
            <w:vAlign w:val="center"/>
          </w:tcPr>
          <w:p>
            <w:pPr>
              <w:spacing w:line="360" w:lineRule="auto"/>
              <w:rPr>
                <w:rFonts w:ascii="宋体" w:hAnsi="宋体" w:cs="宋体"/>
                <w:bCs/>
                <w:spacing w:val="16"/>
                <w:kern w:val="0"/>
                <w:sz w:val="24"/>
              </w:rPr>
            </w:pPr>
          </w:p>
          <w:p>
            <w:pPr>
              <w:pStyle w:val="81"/>
              <w:shd w:val="clear" w:color="auto" w:fill="FFFFFF"/>
              <w:spacing w:beforeAutospacing="0" w:afterAutospacing="0"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vAlign w:val="center"/>
          </w:tcPr>
          <w:p>
            <w:pPr>
              <w:pStyle w:val="81"/>
              <w:shd w:val="clear" w:color="auto" w:fill="FFFFFF"/>
              <w:spacing w:beforeAutospacing="0" w:afterAutospacing="0" w:line="360" w:lineRule="auto"/>
              <w:ind w:left="107"/>
              <w:jc w:val="both"/>
              <w:rPr>
                <w:bCs/>
              </w:rPr>
            </w:pPr>
          </w:p>
        </w:tc>
        <w:tc>
          <w:tcPr>
            <w:tcW w:w="690" w:type="dxa"/>
            <w:vAlign w:val="center"/>
          </w:tcPr>
          <w:p>
            <w:pPr>
              <w:pStyle w:val="81"/>
              <w:shd w:val="clear" w:color="auto" w:fill="FFFFFF"/>
              <w:spacing w:beforeAutospacing="0" w:afterAutospacing="0" w:line="360" w:lineRule="auto"/>
              <w:jc w:val="both"/>
              <w:rPr>
                <w:bCs/>
              </w:rPr>
            </w:pPr>
            <w:r>
              <w:rPr>
                <w:rFonts w:hint="eastAsia"/>
                <w:bCs/>
                <w:spacing w:val="16"/>
              </w:rPr>
              <w:t>占地面积</w:t>
            </w:r>
          </w:p>
        </w:tc>
        <w:tc>
          <w:tcPr>
            <w:tcW w:w="960" w:type="dxa"/>
            <w:gridSpan w:val="2"/>
            <w:vAlign w:val="center"/>
          </w:tcPr>
          <w:p>
            <w:pPr>
              <w:pStyle w:val="81"/>
              <w:shd w:val="clear" w:color="auto" w:fill="FFFFFF"/>
              <w:spacing w:beforeAutospacing="0" w:afterAutospacing="0" w:line="360" w:lineRule="auto"/>
              <w:jc w:val="both"/>
              <w:rPr>
                <w:bCs/>
              </w:rPr>
            </w:pPr>
          </w:p>
        </w:tc>
        <w:tc>
          <w:tcPr>
            <w:tcW w:w="926" w:type="dxa"/>
            <w:vAlign w:val="center"/>
          </w:tcPr>
          <w:p>
            <w:pPr>
              <w:pStyle w:val="81"/>
              <w:shd w:val="clear" w:color="auto" w:fill="FFFFFF"/>
              <w:spacing w:beforeAutospacing="0" w:afterAutospacing="0" w:line="360" w:lineRule="auto"/>
              <w:jc w:val="both"/>
              <w:rPr>
                <w:bCs/>
              </w:rPr>
            </w:pPr>
            <w:r>
              <w:rPr>
                <w:rFonts w:hint="eastAsia"/>
                <w:bCs/>
                <w:spacing w:val="16"/>
              </w:rPr>
              <w:t>建筑面积</w:t>
            </w:r>
          </w:p>
        </w:tc>
        <w:tc>
          <w:tcPr>
            <w:tcW w:w="1189" w:type="dxa"/>
            <w:gridSpan w:val="2"/>
            <w:vAlign w:val="center"/>
          </w:tcPr>
          <w:p>
            <w:pPr>
              <w:pStyle w:val="81"/>
              <w:shd w:val="clear" w:color="auto" w:fill="FFFFFF"/>
              <w:spacing w:beforeAutospacing="0" w:afterAutospacing="0" w:line="360" w:lineRule="auto"/>
              <w:jc w:val="both"/>
              <w:rPr>
                <w:bCs/>
              </w:rPr>
            </w:pPr>
            <w:r>
              <w:rPr>
                <w:rFonts w:hint="eastAsia"/>
                <w:bCs/>
              </w:rPr>
              <w:t>平方米</w:t>
            </w:r>
          </w:p>
          <w:p>
            <w:pPr>
              <w:pStyle w:val="81"/>
              <w:shd w:val="clear" w:color="auto" w:fill="FFFFFF"/>
              <w:spacing w:beforeAutospacing="0" w:afterAutospacing="0" w:line="360" w:lineRule="auto"/>
              <w:jc w:val="both"/>
              <w:rPr>
                <w:bCs/>
              </w:rPr>
            </w:pPr>
            <w:r>
              <w:rPr>
                <w:rFonts w:hint="eastAsia"/>
                <w:bCs/>
                <w:spacing w:val="16"/>
              </w:rPr>
              <w:t>□自有□租赁</w:t>
            </w:r>
          </w:p>
        </w:tc>
        <w:tc>
          <w:tcPr>
            <w:tcW w:w="1560" w:type="dxa"/>
            <w:vAlign w:val="center"/>
          </w:tcPr>
          <w:p>
            <w:pPr>
              <w:pStyle w:val="81"/>
              <w:shd w:val="clear" w:color="auto" w:fill="FFFFFF"/>
              <w:spacing w:beforeAutospacing="0" w:afterAutospacing="0" w:line="360" w:lineRule="auto"/>
              <w:jc w:val="center"/>
              <w:rPr>
                <w:bCs/>
              </w:rPr>
            </w:pPr>
            <w:r>
              <w:rPr>
                <w:rFonts w:hint="eastAsia"/>
                <w:bCs/>
                <w:spacing w:val="16"/>
              </w:rPr>
              <w:t>生产经营场所及场所的设施与设备</w:t>
            </w:r>
          </w:p>
        </w:tc>
        <w:tc>
          <w:tcPr>
            <w:tcW w:w="2608" w:type="dxa"/>
            <w:gridSpan w:val="3"/>
            <w:vAlign w:val="center"/>
          </w:tcPr>
          <w:p>
            <w:pPr>
              <w:pStyle w:val="81"/>
              <w:shd w:val="clear" w:color="auto" w:fill="FFFFFF"/>
              <w:spacing w:before="0" w:beforeAutospacing="0" w:after="0" w:afterAutospacing="0"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vAlign w:val="center"/>
          </w:tcPr>
          <w:p>
            <w:pPr>
              <w:pStyle w:val="81"/>
              <w:shd w:val="clear" w:color="auto" w:fill="FFFFFF"/>
              <w:spacing w:beforeAutospacing="0" w:afterAutospacing="0" w:line="360" w:lineRule="auto"/>
              <w:ind w:left="107"/>
              <w:jc w:val="both"/>
              <w:rPr>
                <w:bCs/>
              </w:rPr>
            </w:pPr>
          </w:p>
        </w:tc>
        <w:tc>
          <w:tcPr>
            <w:tcW w:w="690" w:type="dxa"/>
            <w:vAlign w:val="center"/>
          </w:tcPr>
          <w:p>
            <w:pPr>
              <w:pStyle w:val="81"/>
              <w:shd w:val="clear" w:color="auto" w:fill="FFFFFF"/>
              <w:spacing w:beforeAutospacing="0" w:afterAutospacing="0" w:line="360" w:lineRule="auto"/>
              <w:ind w:left="2"/>
              <w:jc w:val="both"/>
              <w:rPr>
                <w:bCs/>
                <w:spacing w:val="16"/>
              </w:rPr>
            </w:pPr>
            <w:r>
              <w:rPr>
                <w:rFonts w:hint="eastAsia"/>
                <w:bCs/>
                <w:spacing w:val="16"/>
              </w:rPr>
              <w:t>注册资金</w:t>
            </w:r>
          </w:p>
        </w:tc>
        <w:tc>
          <w:tcPr>
            <w:tcW w:w="960" w:type="dxa"/>
            <w:gridSpan w:val="2"/>
            <w:vAlign w:val="center"/>
          </w:tcPr>
          <w:p>
            <w:pPr>
              <w:pStyle w:val="81"/>
              <w:shd w:val="clear" w:color="auto" w:fill="FFFFFF"/>
              <w:spacing w:beforeAutospacing="0" w:afterAutospacing="0" w:line="360" w:lineRule="auto"/>
              <w:ind w:left="2"/>
              <w:jc w:val="both"/>
              <w:rPr>
                <w:bCs/>
              </w:rPr>
            </w:pPr>
          </w:p>
        </w:tc>
        <w:tc>
          <w:tcPr>
            <w:tcW w:w="926" w:type="dxa"/>
            <w:vAlign w:val="center"/>
          </w:tcPr>
          <w:p>
            <w:pPr>
              <w:pStyle w:val="81"/>
              <w:shd w:val="clear" w:color="auto" w:fill="FFFFFF"/>
              <w:spacing w:beforeAutospacing="0" w:afterAutospacing="0" w:line="360" w:lineRule="auto"/>
              <w:ind w:left="107"/>
              <w:jc w:val="both"/>
              <w:rPr>
                <w:bCs/>
              </w:rPr>
            </w:pPr>
            <w:r>
              <w:rPr>
                <w:rFonts w:hint="eastAsia"/>
                <w:bCs/>
                <w:spacing w:val="16"/>
              </w:rPr>
              <w:t>注册发证</w:t>
            </w:r>
            <w:r>
              <w:rPr>
                <w:rFonts w:hint="eastAsia"/>
                <w:bCs/>
                <w:spacing w:val="27"/>
              </w:rPr>
              <w:t>机关</w:t>
            </w:r>
          </w:p>
        </w:tc>
        <w:tc>
          <w:tcPr>
            <w:tcW w:w="2749" w:type="dxa"/>
            <w:gridSpan w:val="3"/>
            <w:vAlign w:val="center"/>
          </w:tcPr>
          <w:p>
            <w:pPr>
              <w:spacing w:line="360" w:lineRule="auto"/>
              <w:rPr>
                <w:rFonts w:ascii="宋体" w:hAnsi="宋体" w:cs="宋体"/>
                <w:bCs/>
                <w:kern w:val="0"/>
                <w:sz w:val="24"/>
              </w:rPr>
            </w:pPr>
          </w:p>
          <w:p>
            <w:pPr>
              <w:pStyle w:val="81"/>
              <w:shd w:val="clear" w:color="auto" w:fill="FFFFFF"/>
              <w:spacing w:beforeAutospacing="0" w:afterAutospacing="0" w:line="360" w:lineRule="auto"/>
              <w:ind w:left="107"/>
              <w:jc w:val="both"/>
              <w:rPr>
                <w:bCs/>
              </w:rPr>
            </w:pPr>
          </w:p>
        </w:tc>
        <w:tc>
          <w:tcPr>
            <w:tcW w:w="1675" w:type="dxa"/>
            <w:gridSpan w:val="2"/>
            <w:vAlign w:val="center"/>
          </w:tcPr>
          <w:p>
            <w:pPr>
              <w:pStyle w:val="81"/>
              <w:shd w:val="clear" w:color="auto" w:fill="FFFFFF"/>
              <w:spacing w:beforeAutospacing="0" w:afterAutospacing="0" w:line="360" w:lineRule="auto"/>
              <w:ind w:left="107"/>
              <w:jc w:val="both"/>
              <w:rPr>
                <w:bCs/>
              </w:rPr>
            </w:pPr>
            <w:r>
              <w:rPr>
                <w:rFonts w:hint="eastAsia"/>
                <w:bCs/>
              </w:rPr>
              <w:t>公司成</w:t>
            </w:r>
            <w:r>
              <w:rPr>
                <w:rFonts w:hint="eastAsia"/>
                <w:bCs/>
                <w:spacing w:val="12"/>
              </w:rPr>
              <w:t>立时间</w:t>
            </w:r>
          </w:p>
        </w:tc>
        <w:tc>
          <w:tcPr>
            <w:tcW w:w="933" w:type="dxa"/>
            <w:vAlign w:val="center"/>
          </w:tcPr>
          <w:p>
            <w:pPr>
              <w:pStyle w:val="81"/>
              <w:shd w:val="clear" w:color="auto" w:fill="FFFFFF"/>
              <w:spacing w:beforeAutospacing="0" w:afterAutospacing="0" w:line="360" w:lineRule="auto"/>
              <w:ind w:left="107"/>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vAlign w:val="center"/>
          </w:tcPr>
          <w:p>
            <w:pPr>
              <w:pStyle w:val="81"/>
              <w:shd w:val="clear" w:color="auto" w:fill="FFFFFF"/>
              <w:spacing w:beforeAutospacing="0" w:afterAutospacing="0" w:line="360" w:lineRule="auto"/>
              <w:ind w:left="107"/>
              <w:jc w:val="both"/>
              <w:rPr>
                <w:bCs/>
              </w:rPr>
            </w:pPr>
          </w:p>
        </w:tc>
        <w:tc>
          <w:tcPr>
            <w:tcW w:w="690" w:type="dxa"/>
            <w:vAlign w:val="center"/>
          </w:tcPr>
          <w:p>
            <w:pPr>
              <w:pStyle w:val="81"/>
              <w:shd w:val="clear" w:color="auto" w:fill="FFFFFF"/>
              <w:spacing w:beforeAutospacing="0" w:afterAutospacing="0" w:line="360" w:lineRule="auto"/>
              <w:ind w:left="2"/>
              <w:jc w:val="both"/>
              <w:rPr>
                <w:bCs/>
              </w:rPr>
            </w:pPr>
            <w:r>
              <w:rPr>
                <w:rFonts w:hint="eastAsia"/>
                <w:bCs/>
              </w:rPr>
              <w:t>核准经营范围</w:t>
            </w:r>
          </w:p>
        </w:tc>
        <w:tc>
          <w:tcPr>
            <w:tcW w:w="7243" w:type="dxa"/>
            <w:gridSpan w:val="9"/>
            <w:vAlign w:val="center"/>
          </w:tcPr>
          <w:p>
            <w:pPr>
              <w:pStyle w:val="81"/>
              <w:shd w:val="clear" w:color="auto" w:fill="FFFFFF"/>
              <w:spacing w:beforeAutospacing="0" w:afterAutospacing="0" w:line="360" w:lineRule="auto"/>
              <w:ind w:left="107"/>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vAlign w:val="center"/>
          </w:tcPr>
          <w:p>
            <w:pPr>
              <w:pStyle w:val="81"/>
              <w:shd w:val="clear" w:color="auto" w:fill="FFFFFF"/>
              <w:spacing w:beforeAutospacing="0" w:afterAutospacing="0" w:line="360" w:lineRule="auto"/>
              <w:ind w:left="107"/>
              <w:jc w:val="both"/>
              <w:rPr>
                <w:bCs/>
              </w:rPr>
            </w:pPr>
          </w:p>
        </w:tc>
        <w:tc>
          <w:tcPr>
            <w:tcW w:w="7933" w:type="dxa"/>
            <w:gridSpan w:val="10"/>
            <w:vAlign w:val="center"/>
          </w:tcPr>
          <w:p>
            <w:pPr>
              <w:pStyle w:val="81"/>
              <w:shd w:val="clear" w:color="auto" w:fill="FFFFFF"/>
              <w:spacing w:beforeAutospacing="0" w:afterAutospacing="0" w:line="360" w:lineRule="auto"/>
              <w:jc w:val="both"/>
              <w:rPr>
                <w:bCs/>
                <w:spacing w:val="13"/>
              </w:rPr>
            </w:pPr>
            <w:r>
              <w:rPr>
                <w:rFonts w:hint="eastAsia"/>
                <w:bCs/>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vAlign w:val="center"/>
          </w:tcPr>
          <w:p>
            <w:pPr>
              <w:pStyle w:val="81"/>
              <w:shd w:val="clear" w:color="auto" w:fill="FFFFFF"/>
              <w:spacing w:beforeAutospacing="0" w:afterAutospacing="0" w:line="360" w:lineRule="auto"/>
              <w:ind w:left="107"/>
              <w:jc w:val="both"/>
              <w:rPr>
                <w:bCs/>
              </w:rPr>
            </w:pPr>
            <w:r>
              <w:rPr>
                <w:rFonts w:hint="eastAsia"/>
                <w:bCs/>
              </w:rPr>
              <w:t>2．</w:t>
            </w:r>
          </w:p>
          <w:p>
            <w:pPr>
              <w:pStyle w:val="81"/>
              <w:shd w:val="clear" w:color="auto" w:fill="FFFFFF"/>
              <w:spacing w:beforeAutospacing="0" w:afterAutospacing="0" w:line="360" w:lineRule="auto"/>
              <w:ind w:left="107"/>
              <w:jc w:val="both"/>
              <w:rPr>
                <w:bCs/>
                <w:spacing w:val="16"/>
              </w:rPr>
            </w:pPr>
            <w:r>
              <w:rPr>
                <w:rFonts w:hint="eastAsia"/>
                <w:bCs/>
              </w:rPr>
              <w:t>企</w:t>
            </w:r>
            <w:r>
              <w:rPr>
                <w:rFonts w:hint="eastAsia"/>
                <w:bCs/>
                <w:spacing w:val="12"/>
              </w:rPr>
              <w:t>业有关资质获证情况</w:t>
            </w:r>
          </w:p>
        </w:tc>
        <w:tc>
          <w:tcPr>
            <w:tcW w:w="1499" w:type="dxa"/>
            <w:gridSpan w:val="2"/>
            <w:vMerge w:val="restart"/>
            <w:vAlign w:val="center"/>
          </w:tcPr>
          <w:p>
            <w:pPr>
              <w:pStyle w:val="81"/>
              <w:shd w:val="clear" w:color="auto" w:fill="FFFFFF"/>
              <w:spacing w:before="0" w:beforeAutospacing="0" w:after="0" w:afterAutospacing="0" w:line="360" w:lineRule="auto"/>
              <w:jc w:val="both"/>
              <w:rPr>
                <w:bCs/>
                <w:spacing w:val="16"/>
              </w:rPr>
            </w:pPr>
            <w:r>
              <w:rPr>
                <w:rFonts w:hint="eastAsia"/>
                <w:bCs/>
                <w:spacing w:val="12"/>
              </w:rPr>
              <w:t>产品生产许可证情况</w:t>
            </w:r>
            <w:r>
              <w:rPr>
                <w:rFonts w:hint="eastAsia"/>
                <w:bCs/>
                <w:spacing w:val="41"/>
              </w:rPr>
              <w:t>（对需获得生产许可证的</w:t>
            </w:r>
            <w:r>
              <w:rPr>
                <w:rFonts w:hint="eastAsia"/>
                <w:bCs/>
                <w:spacing w:val="11"/>
              </w:rPr>
              <w:t>产品要填写此栏）</w:t>
            </w:r>
          </w:p>
        </w:tc>
        <w:tc>
          <w:tcPr>
            <w:tcW w:w="1189" w:type="dxa"/>
            <w:gridSpan w:val="3"/>
            <w:vAlign w:val="center"/>
          </w:tcPr>
          <w:p>
            <w:pPr>
              <w:pStyle w:val="81"/>
              <w:shd w:val="clear" w:color="auto" w:fill="FFFFFF"/>
              <w:spacing w:beforeAutospacing="0" w:afterAutospacing="0" w:line="360" w:lineRule="auto"/>
              <w:ind w:right="-78" w:rightChars="-37"/>
              <w:jc w:val="both"/>
              <w:rPr>
                <w:bCs/>
                <w:spacing w:val="16"/>
              </w:rPr>
            </w:pPr>
            <w:r>
              <w:rPr>
                <w:rFonts w:hint="eastAsia"/>
                <w:bCs/>
                <w:spacing w:val="16"/>
              </w:rPr>
              <w:t>产品名称</w:t>
            </w:r>
          </w:p>
        </w:tc>
        <w:tc>
          <w:tcPr>
            <w:tcW w:w="1077" w:type="dxa"/>
            <w:vAlign w:val="center"/>
          </w:tcPr>
          <w:p>
            <w:pPr>
              <w:pStyle w:val="81"/>
              <w:shd w:val="clear" w:color="auto" w:fill="FFFFFF"/>
              <w:spacing w:before="0" w:beforeAutospacing="0" w:after="0" w:afterAutospacing="0" w:line="360" w:lineRule="auto"/>
              <w:jc w:val="both"/>
              <w:rPr>
                <w:bCs/>
              </w:rPr>
            </w:pPr>
            <w:r>
              <w:rPr>
                <w:rFonts w:hint="eastAsia"/>
                <w:bCs/>
                <w:spacing w:val="16"/>
              </w:rPr>
              <w:t>发证机关</w:t>
            </w:r>
          </w:p>
        </w:tc>
        <w:tc>
          <w:tcPr>
            <w:tcW w:w="1617" w:type="dxa"/>
            <w:gridSpan w:val="2"/>
            <w:vAlign w:val="center"/>
          </w:tcPr>
          <w:p>
            <w:pPr>
              <w:pStyle w:val="81"/>
              <w:shd w:val="clear" w:color="auto" w:fill="FFFFFF"/>
              <w:spacing w:beforeAutospacing="0" w:afterAutospacing="0" w:line="360" w:lineRule="auto"/>
              <w:jc w:val="both"/>
              <w:rPr>
                <w:bCs/>
              </w:rPr>
            </w:pPr>
            <w:r>
              <w:rPr>
                <w:rFonts w:hint="eastAsia"/>
                <w:bCs/>
                <w:spacing w:val="27"/>
              </w:rPr>
              <w:t>编号</w:t>
            </w:r>
          </w:p>
        </w:tc>
        <w:tc>
          <w:tcPr>
            <w:tcW w:w="1618" w:type="dxa"/>
            <w:vAlign w:val="center"/>
          </w:tcPr>
          <w:p>
            <w:pPr>
              <w:pStyle w:val="81"/>
              <w:shd w:val="clear" w:color="auto" w:fill="FFFFFF"/>
              <w:spacing w:beforeAutospacing="0" w:afterAutospacing="0" w:line="360" w:lineRule="auto"/>
              <w:jc w:val="both"/>
              <w:rPr>
                <w:bCs/>
              </w:rPr>
            </w:pPr>
            <w:r>
              <w:rPr>
                <w:rFonts w:hint="eastAsia"/>
                <w:bCs/>
                <w:spacing w:val="16"/>
              </w:rPr>
              <w:t>发证时间</w:t>
            </w:r>
          </w:p>
        </w:tc>
        <w:tc>
          <w:tcPr>
            <w:tcW w:w="933" w:type="dxa"/>
            <w:vAlign w:val="center"/>
          </w:tcPr>
          <w:p>
            <w:pPr>
              <w:pStyle w:val="81"/>
              <w:shd w:val="clear" w:color="auto" w:fill="FFFFFF"/>
              <w:spacing w:before="0" w:beforeAutospacing="0" w:after="0" w:afterAutospacing="0" w:line="360" w:lineRule="auto"/>
              <w:jc w:val="both"/>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vAlign w:val="center"/>
          </w:tcPr>
          <w:p>
            <w:pPr>
              <w:pStyle w:val="81"/>
              <w:shd w:val="clear" w:color="auto" w:fill="FFFFFF"/>
              <w:spacing w:beforeAutospacing="0" w:afterAutospacing="0" w:line="360" w:lineRule="auto"/>
              <w:ind w:left="107"/>
              <w:jc w:val="both"/>
              <w:rPr>
                <w:bCs/>
              </w:rPr>
            </w:pPr>
          </w:p>
        </w:tc>
        <w:tc>
          <w:tcPr>
            <w:tcW w:w="1499" w:type="dxa"/>
            <w:gridSpan w:val="2"/>
            <w:vMerge w:val="continue"/>
            <w:vAlign w:val="center"/>
          </w:tcPr>
          <w:p>
            <w:pPr>
              <w:pStyle w:val="81"/>
              <w:shd w:val="clear" w:color="auto" w:fill="FFFFFF"/>
              <w:spacing w:beforeAutospacing="0" w:afterAutospacing="0" w:line="360" w:lineRule="auto"/>
              <w:jc w:val="both"/>
              <w:rPr>
                <w:bCs/>
              </w:rPr>
            </w:pPr>
          </w:p>
        </w:tc>
        <w:tc>
          <w:tcPr>
            <w:tcW w:w="1189" w:type="dxa"/>
            <w:gridSpan w:val="3"/>
            <w:vAlign w:val="center"/>
          </w:tcPr>
          <w:p>
            <w:pPr>
              <w:pStyle w:val="81"/>
              <w:shd w:val="clear" w:color="auto" w:fill="FFFFFF"/>
              <w:spacing w:beforeAutospacing="0" w:afterAutospacing="0" w:line="360" w:lineRule="auto"/>
              <w:jc w:val="both"/>
              <w:rPr>
                <w:bCs/>
              </w:rPr>
            </w:pPr>
          </w:p>
        </w:tc>
        <w:tc>
          <w:tcPr>
            <w:tcW w:w="1077" w:type="dxa"/>
            <w:vAlign w:val="center"/>
          </w:tcPr>
          <w:p>
            <w:pPr>
              <w:pStyle w:val="81"/>
              <w:shd w:val="clear" w:color="auto" w:fill="FFFFFF"/>
              <w:spacing w:beforeAutospacing="0" w:afterAutospacing="0" w:line="360" w:lineRule="auto"/>
              <w:jc w:val="both"/>
              <w:rPr>
                <w:bCs/>
              </w:rPr>
            </w:pPr>
          </w:p>
        </w:tc>
        <w:tc>
          <w:tcPr>
            <w:tcW w:w="1617" w:type="dxa"/>
            <w:gridSpan w:val="2"/>
            <w:vAlign w:val="center"/>
          </w:tcPr>
          <w:p>
            <w:pPr>
              <w:pStyle w:val="81"/>
              <w:shd w:val="clear" w:color="auto" w:fill="FFFFFF"/>
              <w:spacing w:beforeAutospacing="0" w:afterAutospacing="0" w:line="360" w:lineRule="auto"/>
              <w:jc w:val="both"/>
              <w:rPr>
                <w:bCs/>
              </w:rPr>
            </w:pPr>
          </w:p>
        </w:tc>
        <w:tc>
          <w:tcPr>
            <w:tcW w:w="2551" w:type="dxa"/>
            <w:gridSpan w:val="2"/>
            <w:vAlign w:val="center"/>
          </w:tcPr>
          <w:p>
            <w:pPr>
              <w:pStyle w:val="81"/>
              <w:shd w:val="clear" w:color="auto" w:fill="FFFFFF"/>
              <w:spacing w:beforeAutospacing="0" w:afterAutospacing="0" w:line="360" w:lineRule="auto"/>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vAlign w:val="center"/>
          </w:tcPr>
          <w:p>
            <w:pPr>
              <w:pStyle w:val="81"/>
              <w:shd w:val="clear" w:color="auto" w:fill="FFFFFF"/>
              <w:spacing w:beforeAutospacing="0" w:afterAutospacing="0" w:line="360" w:lineRule="auto"/>
              <w:ind w:left="107"/>
              <w:jc w:val="both"/>
              <w:rPr>
                <w:bCs/>
                <w:spacing w:val="16"/>
              </w:rPr>
            </w:pPr>
          </w:p>
        </w:tc>
        <w:tc>
          <w:tcPr>
            <w:tcW w:w="1499" w:type="dxa"/>
            <w:gridSpan w:val="2"/>
            <w:vAlign w:val="center"/>
          </w:tcPr>
          <w:p>
            <w:pPr>
              <w:pStyle w:val="81"/>
              <w:shd w:val="clear" w:color="auto" w:fill="FFFFFF"/>
              <w:spacing w:before="0" w:beforeAutospacing="0" w:after="0" w:afterAutospacing="0" w:line="360" w:lineRule="auto"/>
              <w:ind w:right="-107" w:rightChars="-51"/>
              <w:jc w:val="both"/>
              <w:rPr>
                <w:bCs/>
                <w:spacing w:val="41"/>
              </w:rPr>
            </w:pPr>
            <w:r>
              <w:rPr>
                <w:rFonts w:hint="eastAsia"/>
                <w:bCs/>
                <w:spacing w:val="41"/>
              </w:rPr>
              <w:t>企业通过质量体系、环保</w:t>
            </w:r>
            <w:r>
              <w:rPr>
                <w:rFonts w:hint="eastAsia"/>
                <w:bCs/>
                <w:spacing w:val="11"/>
              </w:rPr>
              <w:t>体系、计量等认证情况</w:t>
            </w:r>
          </w:p>
        </w:tc>
        <w:tc>
          <w:tcPr>
            <w:tcW w:w="6434" w:type="dxa"/>
            <w:gridSpan w:val="8"/>
            <w:vAlign w:val="center"/>
          </w:tcPr>
          <w:p>
            <w:pPr>
              <w:pStyle w:val="81"/>
              <w:shd w:val="clear" w:color="auto" w:fill="FFFFFF"/>
              <w:spacing w:beforeAutospacing="0" w:afterAutospacing="0"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vAlign w:val="center"/>
          </w:tcPr>
          <w:p>
            <w:pPr>
              <w:pStyle w:val="81"/>
              <w:shd w:val="clear" w:color="auto" w:fill="FFFFFF"/>
              <w:spacing w:beforeAutospacing="0" w:afterAutospacing="0" w:line="360" w:lineRule="auto"/>
              <w:ind w:left="107"/>
              <w:jc w:val="both"/>
              <w:rPr>
                <w:bCs/>
                <w:spacing w:val="27"/>
              </w:rPr>
            </w:pPr>
          </w:p>
        </w:tc>
        <w:tc>
          <w:tcPr>
            <w:tcW w:w="1499" w:type="dxa"/>
            <w:gridSpan w:val="2"/>
            <w:vAlign w:val="center"/>
          </w:tcPr>
          <w:p>
            <w:pPr>
              <w:pStyle w:val="81"/>
              <w:shd w:val="clear" w:color="auto" w:fill="FFFFFF"/>
              <w:spacing w:beforeAutospacing="0" w:afterAutospacing="0" w:line="360" w:lineRule="auto"/>
              <w:jc w:val="both"/>
              <w:rPr>
                <w:bCs/>
                <w:spacing w:val="16"/>
              </w:rPr>
            </w:pPr>
            <w:r>
              <w:rPr>
                <w:rFonts w:hint="eastAsia"/>
                <w:bCs/>
                <w:spacing w:val="10"/>
              </w:rPr>
              <w:t>企业获得专利情况</w:t>
            </w:r>
          </w:p>
        </w:tc>
        <w:tc>
          <w:tcPr>
            <w:tcW w:w="6434" w:type="dxa"/>
            <w:gridSpan w:val="8"/>
            <w:vAlign w:val="center"/>
          </w:tcPr>
          <w:p>
            <w:pPr>
              <w:pStyle w:val="81"/>
              <w:shd w:val="clear" w:color="auto" w:fill="FFFFFF"/>
              <w:spacing w:beforeAutospacing="0" w:afterAutospacing="0" w:line="360" w:lineRule="auto"/>
              <w:jc w:val="both"/>
              <w:rPr>
                <w:bCs/>
                <w:spacing w:val="16"/>
              </w:rPr>
            </w:pPr>
          </w:p>
        </w:tc>
      </w:tr>
    </w:tbl>
    <w:p>
      <w:pPr>
        <w:spacing w:line="360" w:lineRule="auto"/>
        <w:rPr>
          <w:rFonts w:ascii="宋体" w:hAnsi="宋体" w:cs="宋体"/>
          <w:b/>
          <w:bCs/>
          <w:sz w:val="24"/>
          <w:szCs w:val="32"/>
        </w:rPr>
      </w:pPr>
      <w:r>
        <w:rPr>
          <w:rFonts w:hint="eastAsia" w:ascii="宋体" w:hAnsi="宋体" w:cs="宋体"/>
          <w:b/>
          <w:bCs/>
          <w:sz w:val="24"/>
          <w:szCs w:val="32"/>
        </w:rPr>
        <w:t>要求：</w:t>
      </w:r>
    </w:p>
    <w:p>
      <w:pPr>
        <w:spacing w:line="360" w:lineRule="auto"/>
        <w:rPr>
          <w:rFonts w:ascii="宋体" w:hAnsi="宋体" w:cs="宋体"/>
          <w:sz w:val="24"/>
          <w:szCs w:val="32"/>
        </w:rPr>
      </w:pPr>
      <w:r>
        <w:rPr>
          <w:rFonts w:hint="eastAsia" w:ascii="宋体" w:hAnsi="宋体" w:cs="宋体"/>
          <w:sz w:val="24"/>
          <w:szCs w:val="32"/>
        </w:rPr>
        <w:t>1.姓名栏必须将所有股东都统计在内，若非股份公司此行（第三行）无需填写；</w:t>
      </w:r>
    </w:p>
    <w:p>
      <w:pPr>
        <w:spacing w:line="480" w:lineRule="auto"/>
        <w:rPr>
          <w:rFonts w:ascii="宋体" w:hAnsi="宋体" w:cs="宋体"/>
          <w:sz w:val="24"/>
        </w:rPr>
      </w:pPr>
      <w:r>
        <w:rPr>
          <w:rFonts w:hint="eastAsia" w:ascii="宋体" w:hAnsi="宋体" w:cs="宋体"/>
          <w:sz w:val="24"/>
        </w:rPr>
        <w:t>磋商供应商名称（盖章）：</w:t>
      </w:r>
      <w:r>
        <w:rPr>
          <w:rFonts w:hint="eastAsia" w:ascii="宋体" w:hAnsi="宋体" w:cs="宋体"/>
          <w:sz w:val="24"/>
          <w:u w:val="single"/>
        </w:rPr>
        <w:t xml:space="preserve">                         </w:t>
      </w:r>
    </w:p>
    <w:p>
      <w:pPr>
        <w:spacing w:line="480" w:lineRule="auto"/>
        <w:rPr>
          <w:rFonts w:ascii="宋体" w:hAnsi="宋体" w:cs="宋体"/>
          <w:sz w:val="24"/>
          <w:u w:val="single"/>
        </w:rPr>
      </w:pPr>
      <w:r>
        <w:rPr>
          <w:rFonts w:hint="eastAsia" w:ascii="宋体" w:hAnsi="宋体" w:cs="宋体"/>
          <w:sz w:val="24"/>
        </w:rPr>
        <w:t>授权委托代理人签字或盖章：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pacing w:line="360" w:lineRule="auto"/>
        <w:jc w:val="left"/>
        <w:outlineLvl w:val="0"/>
        <w:rPr>
          <w:rFonts w:ascii="宋体" w:hAnsi="宋体" w:cs="宋体"/>
          <w:b/>
          <w:bCs/>
          <w:sz w:val="28"/>
          <w:szCs w:val="36"/>
        </w:rPr>
      </w:pPr>
      <w:r>
        <w:rPr>
          <w:rFonts w:hint="eastAsia" w:ascii="宋体" w:hAnsi="宋体" w:cs="宋体"/>
          <w:b/>
          <w:bCs/>
          <w:sz w:val="28"/>
          <w:szCs w:val="36"/>
          <w:lang w:val="zh-CN"/>
        </w:rPr>
        <w:br w:type="textWrapping"/>
      </w:r>
      <w:r>
        <w:rPr>
          <w:rFonts w:hint="eastAsia" w:ascii="宋体" w:hAnsi="宋体" w:cs="宋体"/>
          <w:b/>
          <w:bCs/>
          <w:sz w:val="28"/>
          <w:szCs w:val="36"/>
          <w:lang w:val="zh-CN"/>
        </w:rPr>
        <w:t>附件</w:t>
      </w:r>
      <w:r>
        <w:rPr>
          <w:rFonts w:hint="eastAsia" w:ascii="宋体" w:hAnsi="宋体" w:cs="宋体"/>
          <w:b/>
          <w:bCs/>
          <w:sz w:val="28"/>
          <w:szCs w:val="36"/>
        </w:rPr>
        <w:t>10</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项目实施人员一览表</w:t>
      </w:r>
    </w:p>
    <w:p>
      <w:pPr>
        <w:spacing w:line="360" w:lineRule="auto"/>
        <w:jc w:val="center"/>
        <w:rPr>
          <w:rFonts w:ascii="宋体" w:hAnsi="宋体" w:cs="宋体"/>
          <w:sz w:val="24"/>
          <w:szCs w:val="32"/>
        </w:rPr>
      </w:pPr>
      <w:r>
        <w:rPr>
          <w:rFonts w:hint="eastAsia" w:ascii="宋体" w:hAnsi="宋体" w:cs="宋体"/>
          <w:sz w:val="24"/>
          <w:szCs w:val="32"/>
        </w:rPr>
        <w:t>（主要从业人员及其技术资格）</w:t>
      </w:r>
    </w:p>
    <w:tbl>
      <w:tblPr>
        <w:tblStyle w:val="33"/>
        <w:tblW w:w="8455"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903"/>
        <w:gridCol w:w="903"/>
        <w:gridCol w:w="1355"/>
        <w:gridCol w:w="1355"/>
        <w:gridCol w:w="903"/>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sz w:val="28"/>
                <w:szCs w:val="28"/>
              </w:rPr>
            </w:pPr>
            <w:r>
              <w:rPr>
                <w:rFonts w:hint="eastAsia" w:ascii="宋体" w:hAnsi="宋体" w:cs="宋体"/>
                <w:sz w:val="28"/>
                <w:szCs w:val="28"/>
              </w:rPr>
              <w:t>岗位</w:t>
            </w:r>
          </w:p>
        </w:tc>
        <w:tc>
          <w:tcPr>
            <w:tcW w:w="903" w:type="dxa"/>
            <w:vAlign w:val="center"/>
          </w:tcPr>
          <w:p>
            <w:pPr>
              <w:jc w:val="center"/>
              <w:rPr>
                <w:rFonts w:ascii="宋体" w:hAnsi="宋体" w:cs="宋体"/>
                <w:sz w:val="28"/>
                <w:szCs w:val="28"/>
              </w:rPr>
            </w:pPr>
            <w:r>
              <w:rPr>
                <w:rFonts w:hint="eastAsia" w:ascii="宋体" w:hAnsi="宋体" w:cs="宋体"/>
                <w:sz w:val="28"/>
                <w:szCs w:val="28"/>
              </w:rPr>
              <w:t>姓名</w:t>
            </w:r>
          </w:p>
        </w:tc>
        <w:tc>
          <w:tcPr>
            <w:tcW w:w="903" w:type="dxa"/>
            <w:vAlign w:val="center"/>
          </w:tcPr>
          <w:p>
            <w:pPr>
              <w:jc w:val="center"/>
              <w:rPr>
                <w:rFonts w:ascii="宋体" w:hAnsi="宋体" w:cs="宋体"/>
                <w:sz w:val="28"/>
                <w:szCs w:val="28"/>
              </w:rPr>
            </w:pPr>
            <w:r>
              <w:rPr>
                <w:rFonts w:hint="eastAsia" w:ascii="宋体" w:hAnsi="宋体" w:cs="宋体"/>
                <w:sz w:val="28"/>
                <w:szCs w:val="28"/>
              </w:rPr>
              <w:t>职称</w:t>
            </w:r>
          </w:p>
        </w:tc>
        <w:tc>
          <w:tcPr>
            <w:tcW w:w="1355" w:type="dxa"/>
            <w:vAlign w:val="center"/>
          </w:tcPr>
          <w:p>
            <w:pPr>
              <w:jc w:val="center"/>
              <w:rPr>
                <w:rFonts w:ascii="宋体" w:hAnsi="宋体" w:cs="宋体"/>
                <w:sz w:val="28"/>
                <w:szCs w:val="28"/>
              </w:rPr>
            </w:pPr>
            <w:r>
              <w:rPr>
                <w:rFonts w:hint="eastAsia" w:ascii="宋体" w:hAnsi="宋体" w:cs="宋体"/>
                <w:sz w:val="28"/>
                <w:szCs w:val="28"/>
              </w:rPr>
              <w:t>证书名称</w:t>
            </w:r>
          </w:p>
        </w:tc>
        <w:tc>
          <w:tcPr>
            <w:tcW w:w="1355" w:type="dxa"/>
            <w:vAlign w:val="center"/>
          </w:tcPr>
          <w:p>
            <w:pPr>
              <w:jc w:val="center"/>
              <w:rPr>
                <w:rFonts w:ascii="宋体" w:hAnsi="宋体" w:cs="宋体"/>
                <w:sz w:val="28"/>
                <w:szCs w:val="28"/>
              </w:rPr>
            </w:pPr>
            <w:r>
              <w:rPr>
                <w:rFonts w:hint="eastAsia" w:ascii="宋体" w:hAnsi="宋体" w:cs="宋体"/>
                <w:sz w:val="28"/>
                <w:szCs w:val="28"/>
              </w:rPr>
              <w:t>证号</w:t>
            </w:r>
          </w:p>
        </w:tc>
        <w:tc>
          <w:tcPr>
            <w:tcW w:w="903" w:type="dxa"/>
            <w:vAlign w:val="center"/>
          </w:tcPr>
          <w:p>
            <w:pPr>
              <w:jc w:val="center"/>
              <w:rPr>
                <w:rFonts w:ascii="宋体" w:hAnsi="宋体" w:cs="宋体"/>
                <w:sz w:val="28"/>
                <w:szCs w:val="28"/>
              </w:rPr>
            </w:pPr>
            <w:r>
              <w:rPr>
                <w:rFonts w:hint="eastAsia" w:ascii="宋体" w:hAnsi="宋体" w:cs="宋体"/>
                <w:sz w:val="28"/>
                <w:szCs w:val="28"/>
              </w:rPr>
              <w:t>专业</w:t>
            </w:r>
          </w:p>
        </w:tc>
        <w:tc>
          <w:tcPr>
            <w:tcW w:w="1280" w:type="dxa"/>
            <w:vAlign w:val="center"/>
          </w:tcPr>
          <w:p>
            <w:pPr>
              <w:jc w:val="center"/>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56"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56"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1355" w:type="dxa"/>
            <w:vAlign w:val="center"/>
          </w:tcPr>
          <w:p>
            <w:pPr>
              <w:jc w:val="center"/>
              <w:rPr>
                <w:rFonts w:ascii="宋体" w:hAnsi="宋体" w:cs="宋体"/>
                <w:sz w:val="28"/>
                <w:szCs w:val="28"/>
              </w:rPr>
            </w:pPr>
          </w:p>
        </w:tc>
        <w:tc>
          <w:tcPr>
            <w:tcW w:w="903" w:type="dxa"/>
            <w:vAlign w:val="center"/>
          </w:tcPr>
          <w:p>
            <w:pPr>
              <w:jc w:val="center"/>
              <w:rPr>
                <w:rFonts w:ascii="宋体" w:hAnsi="宋体" w:cs="宋体"/>
                <w:sz w:val="28"/>
                <w:szCs w:val="28"/>
              </w:rPr>
            </w:pPr>
          </w:p>
        </w:tc>
        <w:tc>
          <w:tcPr>
            <w:tcW w:w="1280" w:type="dxa"/>
            <w:vAlign w:val="center"/>
          </w:tcPr>
          <w:p>
            <w:pPr>
              <w:jc w:val="center"/>
              <w:rPr>
                <w:rFonts w:ascii="宋体" w:hAnsi="宋体" w:cs="宋体"/>
                <w:sz w:val="28"/>
                <w:szCs w:val="28"/>
              </w:rPr>
            </w:pPr>
          </w:p>
        </w:tc>
      </w:tr>
    </w:tbl>
    <w:p>
      <w:pPr>
        <w:spacing w:line="360" w:lineRule="auto"/>
        <w:jc w:val="left"/>
        <w:rPr>
          <w:rFonts w:ascii="宋体" w:hAnsi="宋体" w:cs="宋体"/>
          <w:b/>
          <w:bCs/>
          <w:sz w:val="24"/>
          <w:szCs w:val="32"/>
        </w:rPr>
      </w:pPr>
      <w:r>
        <w:rPr>
          <w:rFonts w:hint="eastAsia" w:ascii="宋体" w:hAnsi="宋体" w:cs="宋体"/>
          <w:b/>
          <w:bCs/>
          <w:sz w:val="24"/>
          <w:szCs w:val="32"/>
        </w:rPr>
        <w:t>要求：</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1.在填写时，如本表格不适合磋商供应商的实际情况，可根据本表格式自行划表填写。</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2.附人员证书复印件；</w:t>
      </w:r>
    </w:p>
    <w:p>
      <w:pPr>
        <w:spacing w:line="360" w:lineRule="auto"/>
        <w:jc w:val="left"/>
        <w:rPr>
          <w:rFonts w:ascii="宋体" w:hAnsi="宋体" w:cs="宋体"/>
          <w:sz w:val="24"/>
        </w:rPr>
      </w:pPr>
      <w:r>
        <w:rPr>
          <w:rFonts w:hint="eastAsia" w:ascii="宋体" w:hAnsi="宋体" w:cs="宋体"/>
          <w:sz w:val="24"/>
          <w:szCs w:val="32"/>
        </w:rPr>
        <w:t>　　</w:t>
      </w:r>
    </w:p>
    <w:p>
      <w:pPr>
        <w:spacing w:line="360" w:lineRule="auto"/>
        <w:rPr>
          <w:rFonts w:ascii="宋体" w:hAnsi="宋体" w:cs="宋体"/>
          <w:sz w:val="24"/>
        </w:rPr>
      </w:pPr>
      <w:r>
        <w:rPr>
          <w:rFonts w:hint="eastAsia" w:ascii="宋体" w:hAnsi="宋体" w:cs="宋体"/>
          <w:sz w:val="24"/>
        </w:rPr>
        <w:t>磋商供应商名称（盖章）：</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授权委托代理人签字或盖章：</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pacing w:line="360" w:lineRule="auto"/>
        <w:rPr>
          <w:rFonts w:ascii="宋体" w:hAnsi="宋体" w:cs="宋体"/>
          <w:b/>
          <w:sz w:val="28"/>
        </w:rPr>
      </w:pPr>
    </w:p>
    <w:p>
      <w:pPr>
        <w:spacing w:line="360" w:lineRule="auto"/>
        <w:outlineLvl w:val="0"/>
        <w:rPr>
          <w:rFonts w:ascii="宋体" w:hAnsi="宋体" w:cs="宋体"/>
          <w:b/>
          <w:sz w:val="28"/>
        </w:rPr>
      </w:pPr>
      <w:r>
        <w:rPr>
          <w:rFonts w:hint="eastAsia" w:ascii="宋体" w:hAnsi="宋体" w:cs="宋体"/>
          <w:b/>
          <w:sz w:val="28"/>
        </w:rPr>
        <w:br w:type="textWrapping"/>
      </w:r>
      <w:r>
        <w:rPr>
          <w:rFonts w:hint="eastAsia" w:ascii="宋体" w:hAnsi="宋体" w:cs="宋体"/>
          <w:b/>
          <w:sz w:val="28"/>
        </w:rPr>
        <w:t>附件11</w:t>
      </w:r>
    </w:p>
    <w:p>
      <w:pPr>
        <w:spacing w:before="156" w:beforeLines="50" w:after="156" w:afterLines="50" w:line="360" w:lineRule="auto"/>
        <w:ind w:right="-10"/>
        <w:jc w:val="center"/>
        <w:rPr>
          <w:rFonts w:ascii="宋体" w:hAnsi="宋体" w:cs="宋体"/>
          <w:b/>
          <w:bCs/>
          <w:sz w:val="32"/>
          <w:szCs w:val="32"/>
        </w:rPr>
      </w:pPr>
      <w:r>
        <w:rPr>
          <w:rFonts w:hint="eastAsia" w:ascii="宋体" w:hAnsi="宋体" w:cs="宋体"/>
          <w:b/>
          <w:bCs/>
          <w:sz w:val="32"/>
          <w:szCs w:val="32"/>
        </w:rPr>
        <w:t>项目负责人资格情况表</w:t>
      </w:r>
    </w:p>
    <w:p>
      <w:pPr>
        <w:spacing w:line="360" w:lineRule="auto"/>
        <w:rPr>
          <w:rFonts w:ascii="宋体" w:hAnsi="宋体" w:cs="宋体"/>
          <w:sz w:val="24"/>
          <w:szCs w:val="32"/>
        </w:rPr>
      </w:pPr>
      <w:r>
        <w:rPr>
          <w:rFonts w:hint="eastAsia" w:ascii="宋体" w:hAnsi="宋体" w:cs="宋体"/>
          <w:sz w:val="24"/>
          <w:szCs w:val="32"/>
        </w:rPr>
        <w:t>采购项目：                                        采购编号：</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r>
              <w:rPr>
                <w:rFonts w:hint="eastAsia" w:ascii="宋体" w:hAnsi="宋体" w:cs="宋体"/>
                <w:b/>
                <w:bCs/>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宋体"/>
                <w:b/>
                <w:bCs/>
                <w:sz w:val="24"/>
                <w:lang w:val="zh-CN"/>
              </w:rPr>
            </w:pPr>
          </w:p>
        </w:tc>
      </w:tr>
    </w:tbl>
    <w:p>
      <w:pPr>
        <w:spacing w:line="36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磋商供应商名称（盖章）：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授权委托代理人签字或盖章：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jc w:val="left"/>
        <w:outlineLvl w:val="0"/>
        <w:rPr>
          <w:rFonts w:ascii="宋体" w:hAnsi="宋体" w:cs="宋体"/>
          <w:b/>
          <w:bCs/>
          <w:sz w:val="28"/>
          <w:szCs w:val="36"/>
        </w:rPr>
      </w:pPr>
      <w:r>
        <w:rPr>
          <w:rFonts w:hint="eastAsia" w:ascii="宋体" w:hAnsi="宋体" w:cs="宋体"/>
          <w:b/>
          <w:bCs/>
          <w:sz w:val="28"/>
          <w:szCs w:val="36"/>
          <w:lang w:val="zh-CN"/>
        </w:rPr>
        <w:t>附件</w:t>
      </w:r>
      <w:r>
        <w:rPr>
          <w:rFonts w:hint="eastAsia" w:ascii="宋体" w:hAnsi="宋体" w:cs="宋体"/>
          <w:b/>
          <w:bCs/>
          <w:sz w:val="28"/>
          <w:szCs w:val="36"/>
        </w:rPr>
        <w:t>12</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类似项目实施情况一览表</w:t>
      </w:r>
    </w:p>
    <w:p>
      <w:pPr>
        <w:spacing w:line="360" w:lineRule="auto"/>
        <w:rPr>
          <w:rFonts w:ascii="宋体" w:hAnsi="宋体" w:cs="宋体"/>
          <w:b/>
          <w:bCs/>
          <w:sz w:val="24"/>
        </w:rPr>
      </w:pPr>
    </w:p>
    <w:tbl>
      <w:tblPr>
        <w:tblStyle w:val="3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64"/>
              <w:spacing w:line="360" w:lineRule="auto"/>
              <w:jc w:val="center"/>
              <w:rPr>
                <w:rFonts w:ascii="宋体" w:hAnsi="宋体" w:cs="宋体"/>
                <w:b/>
                <w:bCs/>
                <w:sz w:val="24"/>
              </w:rPr>
            </w:pPr>
            <w:r>
              <w:rPr>
                <w:rFonts w:hint="eastAsia" w:ascii="宋体" w:hAnsi="宋体" w:cs="宋体"/>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64"/>
              <w:spacing w:line="360" w:lineRule="auto"/>
              <w:jc w:val="center"/>
              <w:rPr>
                <w:rFonts w:ascii="宋体" w:hAnsi="宋体" w:cs="宋体"/>
                <w:b/>
                <w:bCs/>
                <w:sz w:val="24"/>
              </w:rPr>
            </w:pPr>
            <w:r>
              <w:rPr>
                <w:rFonts w:hint="eastAsia" w:ascii="宋体" w:hAnsi="宋体" w:cs="宋体"/>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64"/>
              <w:spacing w:line="360" w:lineRule="auto"/>
              <w:jc w:val="center"/>
              <w:rPr>
                <w:rFonts w:ascii="宋体" w:hAnsi="宋体" w:cs="宋体"/>
                <w:b/>
                <w:bCs/>
                <w:sz w:val="24"/>
              </w:rPr>
            </w:pPr>
            <w:r>
              <w:rPr>
                <w:rFonts w:hint="eastAsia" w:ascii="宋体" w:hAnsi="宋体" w:cs="宋体"/>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64"/>
              <w:spacing w:line="360" w:lineRule="auto"/>
              <w:jc w:val="center"/>
              <w:rPr>
                <w:rFonts w:ascii="宋体" w:hAnsi="宋体" w:cs="宋体"/>
                <w:b/>
                <w:bCs/>
                <w:sz w:val="24"/>
              </w:rPr>
            </w:pPr>
            <w:r>
              <w:rPr>
                <w:rFonts w:hint="eastAsia" w:ascii="宋体" w:hAnsi="宋体" w:cs="宋体"/>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64"/>
              <w:spacing w:line="360" w:lineRule="auto"/>
              <w:jc w:val="center"/>
              <w:rPr>
                <w:rFonts w:ascii="宋体" w:hAnsi="宋体" w:cs="宋体"/>
                <w:b/>
                <w:bCs/>
                <w:sz w:val="24"/>
              </w:rPr>
            </w:pPr>
            <w:r>
              <w:rPr>
                <w:rFonts w:hint="eastAsia" w:ascii="宋体" w:hAnsi="宋体" w:cs="宋体"/>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64"/>
              <w:spacing w:line="360" w:lineRule="auto"/>
              <w:jc w:val="center"/>
              <w:rPr>
                <w:rFonts w:ascii="宋体" w:hAnsi="宋体" w:cs="宋体"/>
                <w:b/>
                <w:bCs/>
                <w:sz w:val="24"/>
              </w:rPr>
            </w:pPr>
            <w:r>
              <w:rPr>
                <w:rFonts w:hint="eastAsia" w:ascii="宋体" w:hAnsi="宋体" w:cs="宋体"/>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64"/>
              <w:spacing w:line="360" w:lineRule="auto"/>
              <w:jc w:val="center"/>
              <w:rPr>
                <w:rFonts w:ascii="宋体" w:hAnsi="宋体" w:cs="宋体"/>
                <w:b/>
                <w:bCs/>
                <w:sz w:val="24"/>
              </w:rPr>
            </w:pPr>
            <w:r>
              <w:rPr>
                <w:rFonts w:hint="eastAsia" w:ascii="宋体" w:hAnsi="宋体" w:cs="宋体"/>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4"/>
              <w:spacing w:line="360" w:lineRule="auto"/>
              <w:jc w:val="center"/>
              <w:rPr>
                <w:rFonts w:ascii="宋体" w:hAnsi="宋体" w:cs="宋体"/>
                <w:sz w:val="24"/>
              </w:rPr>
            </w:pPr>
            <w:r>
              <w:rPr>
                <w:rFonts w:hint="eastAsia" w:ascii="宋体" w:hAnsi="宋体" w:cs="宋体"/>
                <w:sz w:val="24"/>
              </w:rPr>
              <w:t>1</w:t>
            </w:r>
          </w:p>
        </w:tc>
        <w:tc>
          <w:tcPr>
            <w:tcW w:w="129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4"/>
              <w:spacing w:line="360" w:lineRule="auto"/>
              <w:jc w:val="center"/>
              <w:rPr>
                <w:rFonts w:ascii="宋体" w:hAnsi="宋体" w:cs="宋体"/>
                <w:sz w:val="24"/>
              </w:rPr>
            </w:pPr>
            <w:r>
              <w:rPr>
                <w:rFonts w:hint="eastAsia" w:ascii="宋体" w:hAnsi="宋体" w:cs="宋体"/>
                <w:sz w:val="24"/>
              </w:rPr>
              <w:t>2</w:t>
            </w:r>
          </w:p>
        </w:tc>
        <w:tc>
          <w:tcPr>
            <w:tcW w:w="129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4"/>
              <w:spacing w:line="360" w:lineRule="auto"/>
              <w:jc w:val="center"/>
              <w:rPr>
                <w:rFonts w:ascii="宋体" w:hAnsi="宋体" w:cs="宋体"/>
                <w:sz w:val="24"/>
              </w:rPr>
            </w:pPr>
            <w:r>
              <w:rPr>
                <w:rFonts w:hint="eastAsia" w:ascii="宋体" w:hAnsi="宋体" w:cs="宋体"/>
                <w:sz w:val="24"/>
              </w:rPr>
              <w:t>3</w:t>
            </w:r>
          </w:p>
        </w:tc>
        <w:tc>
          <w:tcPr>
            <w:tcW w:w="129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r>
              <w:rPr>
                <w:rFonts w:hint="eastAsia" w:ascii="宋体" w:hAnsi="宋体" w:cs="宋体"/>
                <w:sz w:val="24"/>
              </w:rPr>
              <w:t>…</w:t>
            </w:r>
          </w:p>
        </w:tc>
        <w:tc>
          <w:tcPr>
            <w:tcW w:w="129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9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9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9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64"/>
              <w:spacing w:line="360" w:lineRule="auto"/>
              <w:rPr>
                <w:rFonts w:ascii="宋体" w:hAnsi="宋体" w:cs="宋体"/>
                <w:sz w:val="24"/>
              </w:rPr>
            </w:pPr>
          </w:p>
        </w:tc>
      </w:tr>
    </w:tbl>
    <w:p>
      <w:pPr>
        <w:spacing w:line="360" w:lineRule="auto"/>
        <w:rPr>
          <w:rFonts w:ascii="宋体" w:hAnsi="宋体" w:cs="宋体"/>
          <w:b/>
          <w:bCs/>
          <w:sz w:val="24"/>
        </w:rPr>
      </w:pPr>
      <w:r>
        <w:rPr>
          <w:rFonts w:hint="eastAsia" w:ascii="宋体" w:hAnsi="宋体" w:cs="宋体"/>
          <w:b/>
          <w:bCs/>
          <w:sz w:val="24"/>
        </w:rPr>
        <w:t>要求：</w:t>
      </w:r>
    </w:p>
    <w:p>
      <w:pPr>
        <w:spacing w:line="360" w:lineRule="auto"/>
        <w:ind w:firstLine="480" w:firstLineChars="200"/>
        <w:rPr>
          <w:rFonts w:ascii="宋体" w:hAnsi="宋体" w:cs="宋体"/>
          <w:sz w:val="24"/>
        </w:rPr>
      </w:pPr>
      <w:r>
        <w:rPr>
          <w:rFonts w:hint="eastAsia" w:ascii="宋体" w:hAnsi="宋体" w:cs="宋体"/>
          <w:sz w:val="24"/>
        </w:rPr>
        <w:t>1.业绩证明应提供证明材料；</w:t>
      </w:r>
    </w:p>
    <w:p>
      <w:pPr>
        <w:spacing w:line="360" w:lineRule="auto"/>
        <w:ind w:firstLine="480" w:firstLineChars="200"/>
        <w:rPr>
          <w:rFonts w:ascii="宋体" w:hAnsi="宋体" w:cs="宋体"/>
          <w:sz w:val="24"/>
        </w:rPr>
      </w:pPr>
      <w:r>
        <w:rPr>
          <w:rFonts w:hint="eastAsia" w:ascii="宋体" w:hAnsi="宋体" w:cs="宋体"/>
          <w:sz w:val="24"/>
        </w:rPr>
        <w:t>2.报价供应商可按此表格式复制。</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480" w:lineRule="auto"/>
        <w:rPr>
          <w:rFonts w:ascii="宋体" w:hAnsi="宋体" w:cs="宋体"/>
          <w:sz w:val="24"/>
        </w:rPr>
      </w:pPr>
      <w:r>
        <w:rPr>
          <w:rFonts w:hint="eastAsia" w:ascii="宋体" w:hAnsi="宋体" w:cs="宋体"/>
          <w:sz w:val="24"/>
        </w:rPr>
        <w:t>磋商供应商名称（盖章）：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授权委托代理人签字或盖章：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outlineLvl w:val="0"/>
        <w:rPr>
          <w:rFonts w:ascii="宋体" w:hAnsi="宋体" w:cs="宋体"/>
          <w:b/>
          <w:bCs/>
          <w:sz w:val="28"/>
          <w:szCs w:val="36"/>
        </w:rPr>
      </w:pPr>
      <w:r>
        <w:rPr>
          <w:rFonts w:hint="eastAsia" w:ascii="宋体" w:hAnsi="宋体" w:cs="宋体"/>
          <w:sz w:val="24"/>
        </w:rPr>
        <w:br w:type="page"/>
      </w:r>
      <w:r>
        <w:rPr>
          <w:rFonts w:hint="eastAsia" w:ascii="宋体" w:hAnsi="宋体" w:cs="宋体"/>
          <w:b/>
          <w:bCs/>
          <w:sz w:val="28"/>
          <w:szCs w:val="36"/>
          <w:lang w:val="zh-CN"/>
        </w:rPr>
        <w:t>附件</w:t>
      </w:r>
      <w:r>
        <w:rPr>
          <w:rFonts w:hint="eastAsia" w:ascii="宋体" w:hAnsi="宋体" w:cs="宋体"/>
          <w:b/>
          <w:bCs/>
          <w:sz w:val="28"/>
          <w:szCs w:val="36"/>
        </w:rPr>
        <w:t>13</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商务及技术需求响应表</w:t>
      </w:r>
      <w:r>
        <w:rPr>
          <w:rFonts w:hint="eastAsia" w:ascii="宋体" w:hAnsi="宋体" w:cs="宋体"/>
          <w:b/>
          <w:bCs/>
          <w:sz w:val="32"/>
          <w:szCs w:val="40"/>
        </w:rPr>
        <w:t xml:space="preserve"> </w:t>
      </w:r>
    </w:p>
    <w:p>
      <w:pPr>
        <w:spacing w:line="360" w:lineRule="auto"/>
        <w:rPr>
          <w:rFonts w:ascii="宋体" w:hAnsi="宋体" w:cs="宋体"/>
          <w:b/>
          <w:sz w:val="24"/>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120"/>
        <w:gridCol w:w="3185"/>
        <w:gridCol w:w="1365"/>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990" w:type="dxa"/>
            <w:vAlign w:val="center"/>
          </w:tcPr>
          <w:p>
            <w:pPr>
              <w:jc w:val="center"/>
              <w:rPr>
                <w:rFonts w:ascii="宋体" w:hAnsi="宋体" w:cs="宋体"/>
                <w:b/>
                <w:sz w:val="24"/>
              </w:rPr>
            </w:pPr>
            <w:r>
              <w:rPr>
                <w:rFonts w:hint="eastAsia" w:ascii="宋体" w:hAnsi="宋体" w:cs="宋体"/>
                <w:b/>
                <w:sz w:val="24"/>
              </w:rPr>
              <w:t>序号</w:t>
            </w:r>
          </w:p>
        </w:tc>
        <w:tc>
          <w:tcPr>
            <w:tcW w:w="1120" w:type="dxa"/>
            <w:vAlign w:val="center"/>
          </w:tcPr>
          <w:p>
            <w:pPr>
              <w:jc w:val="center"/>
              <w:rPr>
                <w:rFonts w:ascii="宋体" w:hAnsi="宋体" w:cs="宋体"/>
                <w:b/>
                <w:sz w:val="24"/>
              </w:rPr>
            </w:pPr>
            <w:r>
              <w:rPr>
                <w:rFonts w:hint="eastAsia" w:ascii="宋体" w:hAnsi="宋体" w:cs="宋体"/>
                <w:b/>
                <w:sz w:val="24"/>
              </w:rPr>
              <w:t>内容</w:t>
            </w:r>
          </w:p>
        </w:tc>
        <w:tc>
          <w:tcPr>
            <w:tcW w:w="3185" w:type="dxa"/>
            <w:vAlign w:val="center"/>
          </w:tcPr>
          <w:p>
            <w:pPr>
              <w:jc w:val="center"/>
              <w:rPr>
                <w:rFonts w:ascii="宋体" w:hAnsi="宋体" w:cs="宋体"/>
                <w:b/>
                <w:sz w:val="24"/>
              </w:rPr>
            </w:pPr>
            <w:r>
              <w:rPr>
                <w:rFonts w:hint="eastAsia" w:ascii="宋体" w:hAnsi="宋体" w:cs="宋体"/>
                <w:b/>
                <w:sz w:val="24"/>
              </w:rPr>
              <w:t>项目需求</w:t>
            </w:r>
          </w:p>
        </w:tc>
        <w:tc>
          <w:tcPr>
            <w:tcW w:w="1365" w:type="dxa"/>
            <w:vAlign w:val="center"/>
          </w:tcPr>
          <w:p>
            <w:pPr>
              <w:jc w:val="center"/>
              <w:rPr>
                <w:rFonts w:ascii="宋体" w:hAnsi="宋体" w:cs="宋体"/>
                <w:b/>
                <w:sz w:val="24"/>
              </w:rPr>
            </w:pPr>
            <w:r>
              <w:rPr>
                <w:rFonts w:hint="eastAsia" w:ascii="宋体" w:hAnsi="宋体" w:cs="宋体"/>
                <w:b/>
                <w:sz w:val="24"/>
              </w:rPr>
              <w:t>是否响应</w:t>
            </w:r>
          </w:p>
        </w:tc>
        <w:tc>
          <w:tcPr>
            <w:tcW w:w="1612" w:type="dxa"/>
            <w:vAlign w:val="center"/>
          </w:tcPr>
          <w:p>
            <w:pPr>
              <w:jc w:val="center"/>
              <w:rPr>
                <w:rFonts w:ascii="宋体" w:hAnsi="宋体" w:cs="宋体"/>
                <w:b/>
                <w:sz w:val="24"/>
              </w:rPr>
            </w:pPr>
            <w:r>
              <w:rPr>
                <w:rFonts w:hint="eastAsia" w:ascii="宋体" w:hAnsi="宋体" w:cs="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90" w:type="dxa"/>
            <w:vAlign w:val="center"/>
          </w:tcPr>
          <w:p>
            <w:pPr>
              <w:jc w:val="center"/>
              <w:rPr>
                <w:rFonts w:ascii="宋体" w:hAnsi="宋体" w:cs="宋体"/>
                <w:sz w:val="24"/>
              </w:rPr>
            </w:pPr>
          </w:p>
        </w:tc>
        <w:tc>
          <w:tcPr>
            <w:tcW w:w="1120" w:type="dxa"/>
            <w:vAlign w:val="center"/>
          </w:tcPr>
          <w:p>
            <w:pPr>
              <w:snapToGrid w:val="0"/>
              <w:jc w:val="center"/>
              <w:rPr>
                <w:rFonts w:ascii="宋体" w:hAnsi="宋体" w:cs="宋体"/>
                <w:sz w:val="24"/>
              </w:rPr>
            </w:pPr>
          </w:p>
        </w:tc>
        <w:tc>
          <w:tcPr>
            <w:tcW w:w="3185" w:type="dxa"/>
            <w:vAlign w:val="center"/>
          </w:tcPr>
          <w:p>
            <w:pPr>
              <w:jc w:val="left"/>
              <w:rPr>
                <w:rFonts w:ascii="宋体" w:hAnsi="宋体" w:cs="宋体"/>
                <w:sz w:val="24"/>
              </w:rPr>
            </w:pPr>
          </w:p>
        </w:tc>
        <w:tc>
          <w:tcPr>
            <w:tcW w:w="1365" w:type="dxa"/>
            <w:vAlign w:val="center"/>
          </w:tcPr>
          <w:p>
            <w:pPr>
              <w:jc w:val="center"/>
              <w:rPr>
                <w:rFonts w:ascii="宋体" w:hAnsi="宋体" w:cs="宋体"/>
                <w:sz w:val="24"/>
              </w:rPr>
            </w:pPr>
          </w:p>
        </w:tc>
        <w:tc>
          <w:tcPr>
            <w:tcW w:w="161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0" w:type="dxa"/>
            <w:vAlign w:val="center"/>
          </w:tcPr>
          <w:p>
            <w:pPr>
              <w:jc w:val="center"/>
              <w:rPr>
                <w:rFonts w:ascii="宋体" w:hAnsi="宋体" w:cs="宋体"/>
                <w:sz w:val="24"/>
              </w:rPr>
            </w:pPr>
          </w:p>
        </w:tc>
        <w:tc>
          <w:tcPr>
            <w:tcW w:w="1120" w:type="dxa"/>
            <w:vAlign w:val="center"/>
          </w:tcPr>
          <w:p>
            <w:pPr>
              <w:snapToGrid w:val="0"/>
              <w:jc w:val="center"/>
              <w:rPr>
                <w:rFonts w:ascii="宋体" w:hAnsi="宋体" w:cs="宋体"/>
                <w:sz w:val="24"/>
              </w:rPr>
            </w:pPr>
          </w:p>
        </w:tc>
        <w:tc>
          <w:tcPr>
            <w:tcW w:w="3185" w:type="dxa"/>
            <w:vAlign w:val="center"/>
          </w:tcPr>
          <w:p>
            <w:pPr>
              <w:jc w:val="left"/>
              <w:rPr>
                <w:rFonts w:ascii="宋体" w:hAnsi="宋体" w:cs="宋体"/>
                <w:sz w:val="24"/>
              </w:rPr>
            </w:pPr>
          </w:p>
        </w:tc>
        <w:tc>
          <w:tcPr>
            <w:tcW w:w="1365" w:type="dxa"/>
            <w:vAlign w:val="center"/>
          </w:tcPr>
          <w:p>
            <w:pPr>
              <w:jc w:val="center"/>
              <w:rPr>
                <w:rFonts w:ascii="宋体" w:hAnsi="宋体" w:cs="宋体"/>
                <w:sz w:val="24"/>
              </w:rPr>
            </w:pPr>
          </w:p>
        </w:tc>
        <w:tc>
          <w:tcPr>
            <w:tcW w:w="161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90" w:type="dxa"/>
            <w:vAlign w:val="center"/>
          </w:tcPr>
          <w:p>
            <w:pPr>
              <w:jc w:val="center"/>
              <w:rPr>
                <w:rFonts w:ascii="宋体" w:hAnsi="宋体" w:cs="宋体"/>
                <w:sz w:val="24"/>
              </w:rPr>
            </w:pPr>
          </w:p>
        </w:tc>
        <w:tc>
          <w:tcPr>
            <w:tcW w:w="1120" w:type="dxa"/>
            <w:vAlign w:val="center"/>
          </w:tcPr>
          <w:p>
            <w:pPr>
              <w:snapToGrid w:val="0"/>
              <w:jc w:val="center"/>
              <w:rPr>
                <w:rFonts w:ascii="宋体" w:hAnsi="宋体" w:cs="宋体"/>
                <w:sz w:val="24"/>
              </w:rPr>
            </w:pPr>
          </w:p>
        </w:tc>
        <w:tc>
          <w:tcPr>
            <w:tcW w:w="3185" w:type="dxa"/>
            <w:vAlign w:val="center"/>
          </w:tcPr>
          <w:p>
            <w:pPr>
              <w:jc w:val="center"/>
              <w:rPr>
                <w:rFonts w:ascii="宋体" w:hAnsi="宋体" w:cs="宋体"/>
                <w:sz w:val="24"/>
              </w:rPr>
            </w:pPr>
          </w:p>
        </w:tc>
        <w:tc>
          <w:tcPr>
            <w:tcW w:w="1365" w:type="dxa"/>
            <w:vAlign w:val="center"/>
          </w:tcPr>
          <w:p>
            <w:pPr>
              <w:jc w:val="center"/>
              <w:rPr>
                <w:rFonts w:ascii="宋体" w:hAnsi="宋体" w:cs="宋体"/>
                <w:sz w:val="24"/>
              </w:rPr>
            </w:pPr>
          </w:p>
        </w:tc>
        <w:tc>
          <w:tcPr>
            <w:tcW w:w="161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990" w:type="dxa"/>
            <w:vAlign w:val="center"/>
          </w:tcPr>
          <w:p>
            <w:pPr>
              <w:jc w:val="center"/>
              <w:rPr>
                <w:rFonts w:ascii="宋体" w:hAnsi="宋体" w:cs="宋体"/>
                <w:sz w:val="24"/>
              </w:rPr>
            </w:pPr>
          </w:p>
        </w:tc>
        <w:tc>
          <w:tcPr>
            <w:tcW w:w="1120" w:type="dxa"/>
            <w:vAlign w:val="center"/>
          </w:tcPr>
          <w:p>
            <w:pPr>
              <w:snapToGrid w:val="0"/>
              <w:jc w:val="center"/>
              <w:rPr>
                <w:rFonts w:ascii="宋体" w:hAnsi="宋体" w:cs="宋体"/>
                <w:sz w:val="24"/>
              </w:rPr>
            </w:pPr>
          </w:p>
        </w:tc>
        <w:tc>
          <w:tcPr>
            <w:tcW w:w="3185" w:type="dxa"/>
            <w:vAlign w:val="center"/>
          </w:tcPr>
          <w:p>
            <w:pPr>
              <w:jc w:val="center"/>
              <w:rPr>
                <w:rFonts w:ascii="宋体" w:hAnsi="宋体" w:cs="宋体"/>
                <w:sz w:val="24"/>
              </w:rPr>
            </w:pPr>
          </w:p>
        </w:tc>
        <w:tc>
          <w:tcPr>
            <w:tcW w:w="1365" w:type="dxa"/>
            <w:vAlign w:val="center"/>
          </w:tcPr>
          <w:p>
            <w:pPr>
              <w:jc w:val="center"/>
              <w:rPr>
                <w:rFonts w:ascii="宋体" w:hAnsi="宋体" w:cs="宋体"/>
                <w:sz w:val="24"/>
              </w:rPr>
            </w:pPr>
          </w:p>
        </w:tc>
        <w:tc>
          <w:tcPr>
            <w:tcW w:w="161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90" w:type="dxa"/>
            <w:vAlign w:val="center"/>
          </w:tcPr>
          <w:p>
            <w:pPr>
              <w:jc w:val="center"/>
              <w:rPr>
                <w:rFonts w:ascii="宋体" w:hAnsi="宋体" w:cs="宋体"/>
                <w:sz w:val="24"/>
              </w:rPr>
            </w:pPr>
          </w:p>
        </w:tc>
        <w:tc>
          <w:tcPr>
            <w:tcW w:w="1120" w:type="dxa"/>
            <w:vAlign w:val="center"/>
          </w:tcPr>
          <w:p>
            <w:pPr>
              <w:snapToGrid w:val="0"/>
              <w:jc w:val="center"/>
              <w:rPr>
                <w:rFonts w:ascii="宋体" w:hAnsi="宋体" w:cs="宋体"/>
                <w:sz w:val="24"/>
              </w:rPr>
            </w:pPr>
          </w:p>
        </w:tc>
        <w:tc>
          <w:tcPr>
            <w:tcW w:w="3185" w:type="dxa"/>
            <w:vAlign w:val="center"/>
          </w:tcPr>
          <w:p>
            <w:pPr>
              <w:jc w:val="center"/>
              <w:rPr>
                <w:rFonts w:ascii="宋体" w:hAnsi="宋体" w:cs="宋体"/>
                <w:sz w:val="24"/>
              </w:rPr>
            </w:pPr>
          </w:p>
        </w:tc>
        <w:tc>
          <w:tcPr>
            <w:tcW w:w="1365" w:type="dxa"/>
            <w:vAlign w:val="center"/>
          </w:tcPr>
          <w:p>
            <w:pPr>
              <w:jc w:val="center"/>
              <w:rPr>
                <w:rFonts w:ascii="宋体" w:hAnsi="宋体" w:cs="宋体"/>
                <w:sz w:val="24"/>
              </w:rPr>
            </w:pPr>
          </w:p>
        </w:tc>
        <w:tc>
          <w:tcPr>
            <w:tcW w:w="1612" w:type="dxa"/>
            <w:vAlign w:val="center"/>
          </w:tcPr>
          <w:p>
            <w:pPr>
              <w:jc w:val="center"/>
              <w:rPr>
                <w:rFonts w:ascii="宋体" w:hAnsi="宋体" w:cs="宋体"/>
                <w:sz w:val="24"/>
              </w:rPr>
            </w:pPr>
          </w:p>
        </w:tc>
      </w:tr>
    </w:tbl>
    <w:p>
      <w:pPr>
        <w:pStyle w:val="9"/>
        <w:overflowPunct w:val="0"/>
        <w:spacing w:line="360" w:lineRule="auto"/>
        <w:rPr>
          <w:rFonts w:ascii="宋体"/>
          <w:bCs/>
          <w:szCs w:val="21"/>
        </w:rPr>
      </w:pPr>
      <w:r>
        <w:rPr>
          <w:rFonts w:hint="eastAsia" w:ascii="宋体"/>
          <w:bCs/>
          <w:szCs w:val="21"/>
        </w:rPr>
        <w:t>注：1.如不填写，则视为完全响应。</w:t>
      </w:r>
    </w:p>
    <w:p>
      <w:pPr>
        <w:pStyle w:val="9"/>
        <w:overflowPunct w:val="0"/>
        <w:spacing w:line="360" w:lineRule="auto"/>
        <w:ind w:firstLine="840" w:firstLineChars="400"/>
        <w:rPr>
          <w:rFonts w:ascii="宋体"/>
          <w:bCs/>
          <w:szCs w:val="21"/>
        </w:rPr>
      </w:pPr>
      <w:r>
        <w:rPr>
          <w:rFonts w:hint="eastAsia" w:ascii="宋体"/>
          <w:bCs/>
          <w:szCs w:val="21"/>
        </w:rPr>
        <w:t>2. “偏离”系指“正负偏离”，负偏离系指非实质性偏离；若出现实质性负偏离则作废标处理。</w:t>
      </w:r>
    </w:p>
    <w:p>
      <w:pPr>
        <w:spacing w:line="360" w:lineRule="auto"/>
        <w:rPr>
          <w:rFonts w:ascii="宋体" w:hAnsi="宋体" w:cs="宋体"/>
          <w:b/>
          <w:sz w:val="24"/>
        </w:rPr>
      </w:pPr>
    </w:p>
    <w:p>
      <w:pPr>
        <w:spacing w:line="480" w:lineRule="auto"/>
        <w:rPr>
          <w:rFonts w:ascii="宋体" w:hAnsi="宋体" w:cs="宋体"/>
          <w:sz w:val="24"/>
        </w:rPr>
      </w:pPr>
      <w:r>
        <w:rPr>
          <w:rFonts w:hint="eastAsia" w:ascii="宋体" w:hAnsi="宋体" w:cs="宋体"/>
          <w:sz w:val="24"/>
        </w:rPr>
        <w:t>磋商供应商名称（盖章）：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授权委托代理人签字或盖章：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outlineLvl w:val="0"/>
        <w:rPr>
          <w:rFonts w:ascii="宋体" w:hAnsi="宋体" w:cs="宋体"/>
          <w:b/>
          <w:bCs/>
          <w:sz w:val="28"/>
          <w:szCs w:val="36"/>
        </w:rPr>
      </w:pPr>
      <w:r>
        <w:rPr>
          <w:rFonts w:hint="eastAsia" w:ascii="宋体" w:hAnsi="宋体" w:cs="宋体"/>
          <w:b/>
          <w:bCs/>
          <w:sz w:val="28"/>
          <w:szCs w:val="36"/>
          <w:lang w:val="zh-CN"/>
        </w:rPr>
        <w:t>附件1</w:t>
      </w:r>
      <w:r>
        <w:rPr>
          <w:rFonts w:hint="eastAsia" w:ascii="宋体" w:hAnsi="宋体" w:cs="宋体"/>
          <w:b/>
          <w:bCs/>
          <w:sz w:val="28"/>
          <w:szCs w:val="36"/>
        </w:rPr>
        <w:t>4</w:t>
      </w:r>
    </w:p>
    <w:p>
      <w:pPr>
        <w:spacing w:line="360" w:lineRule="auto"/>
        <w:ind w:left="-2" w:hanging="2"/>
        <w:jc w:val="center"/>
        <w:rPr>
          <w:rFonts w:ascii="宋体" w:hAnsi="宋体" w:cs="宋体"/>
          <w:b/>
          <w:sz w:val="32"/>
          <w:szCs w:val="32"/>
        </w:rPr>
      </w:pPr>
      <w:r>
        <w:rPr>
          <w:rFonts w:hint="eastAsia" w:ascii="宋体" w:hAnsi="宋体" w:cs="宋体"/>
          <w:b/>
          <w:sz w:val="32"/>
          <w:szCs w:val="32"/>
        </w:rPr>
        <w:t xml:space="preserve">首次报价一览表  </w:t>
      </w:r>
    </w:p>
    <w:p>
      <w:pPr>
        <w:spacing w:line="360" w:lineRule="auto"/>
        <w:jc w:val="left"/>
        <w:rPr>
          <w:rFonts w:ascii="宋体" w:hAnsi="宋体" w:cs="宋体"/>
          <w:sz w:val="24"/>
          <w:szCs w:val="32"/>
        </w:rPr>
      </w:pPr>
    </w:p>
    <w:p>
      <w:pPr>
        <w:spacing w:line="360" w:lineRule="auto"/>
        <w:jc w:val="left"/>
        <w:rPr>
          <w:rFonts w:ascii="宋体" w:hAnsi="宋体" w:cs="宋体"/>
          <w:b/>
          <w:bCs/>
          <w:sz w:val="24"/>
          <w:szCs w:val="32"/>
        </w:rPr>
      </w:pPr>
      <w:r>
        <w:rPr>
          <w:rFonts w:hint="eastAsia" w:ascii="宋体" w:hAnsi="宋体" w:cs="宋体"/>
          <w:b/>
          <w:bCs/>
          <w:sz w:val="24"/>
          <w:szCs w:val="32"/>
        </w:rPr>
        <w:t xml:space="preserve">项目编号：   </w:t>
      </w:r>
    </w:p>
    <w:p>
      <w:pPr>
        <w:spacing w:line="360" w:lineRule="auto"/>
        <w:jc w:val="left"/>
        <w:rPr>
          <w:rFonts w:ascii="宋体" w:hAnsi="宋体" w:cs="宋体"/>
          <w:b/>
          <w:bCs/>
          <w:sz w:val="24"/>
          <w:szCs w:val="32"/>
        </w:rPr>
      </w:pPr>
      <w:r>
        <w:rPr>
          <w:rFonts w:hint="eastAsia" w:ascii="宋体" w:hAnsi="宋体" w:cs="宋体"/>
          <w:b/>
          <w:bCs/>
          <w:sz w:val="24"/>
          <w:szCs w:val="32"/>
        </w:rPr>
        <w:t>项目名称：</w:t>
      </w:r>
      <w:r>
        <w:rPr>
          <w:rFonts w:hint="eastAsia" w:ascii="宋体" w:hAnsi="宋体" w:cs="宋体"/>
          <w:sz w:val="24"/>
          <w:szCs w:val="32"/>
        </w:rPr>
        <w:t xml:space="preserve">                                      [货币单位：人民币/元]</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hAnsi="宋体" w:cs="宋体"/>
                <w:sz w:val="24"/>
              </w:rPr>
            </w:pPr>
            <w:r>
              <w:rPr>
                <w:rFonts w:hint="eastAsia" w:ascii="宋体" w:hAnsi="宋体"/>
                <w:snapToGrid w:val="0"/>
                <w:kern w:val="0"/>
                <w:sz w:val="28"/>
                <w:szCs w:val="28"/>
              </w:rPr>
              <w:t>投标报价</w:t>
            </w:r>
            <w:r>
              <w:rPr>
                <w:rFonts w:hint="eastAsia" w:ascii="宋体" w:hAnsi="宋体" w:cs="宋体"/>
                <w:sz w:val="24"/>
              </w:rPr>
              <w:t>（元）</w:t>
            </w:r>
          </w:p>
        </w:tc>
        <w:tc>
          <w:tcPr>
            <w:tcW w:w="1349" w:type="dxa"/>
            <w:vAlign w:val="center"/>
          </w:tcPr>
          <w:p>
            <w:pPr>
              <w:autoSpaceDE w:val="0"/>
              <w:autoSpaceDN w:val="0"/>
              <w:spacing w:line="450" w:lineRule="exact"/>
              <w:jc w:val="center"/>
              <w:textAlignment w:val="bottom"/>
              <w:rPr>
                <w:rFonts w:ascii="宋体" w:hAnsi="宋体" w:cs="宋体"/>
                <w:sz w:val="24"/>
              </w:rPr>
            </w:pPr>
            <w:r>
              <w:rPr>
                <w:rFonts w:hint="eastAsia" w:ascii="宋体" w:hAnsi="宋体" w:cs="宋体"/>
                <w:sz w:val="24"/>
              </w:rPr>
              <w:t>大写</w:t>
            </w:r>
          </w:p>
        </w:tc>
        <w:tc>
          <w:tcPr>
            <w:tcW w:w="4629" w:type="dxa"/>
            <w:vAlign w:val="center"/>
          </w:tcPr>
          <w:p>
            <w:pPr>
              <w:autoSpaceDE w:val="0"/>
              <w:autoSpaceDN w:val="0"/>
              <w:spacing w:line="450" w:lineRule="exac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hAnsi="宋体" w:cs="宋体"/>
                <w:sz w:val="24"/>
              </w:rPr>
            </w:pPr>
          </w:p>
        </w:tc>
        <w:tc>
          <w:tcPr>
            <w:tcW w:w="1349" w:type="dxa"/>
            <w:vAlign w:val="center"/>
          </w:tcPr>
          <w:p>
            <w:pPr>
              <w:autoSpaceDE w:val="0"/>
              <w:autoSpaceDN w:val="0"/>
              <w:spacing w:line="450" w:lineRule="exact"/>
              <w:jc w:val="center"/>
              <w:textAlignment w:val="bottom"/>
              <w:rPr>
                <w:rFonts w:ascii="宋体" w:hAnsi="宋体" w:cs="宋体"/>
                <w:sz w:val="24"/>
              </w:rPr>
            </w:pPr>
            <w:r>
              <w:rPr>
                <w:rFonts w:hint="eastAsia" w:ascii="宋体" w:hAnsi="宋体" w:cs="宋体"/>
                <w:sz w:val="24"/>
              </w:rPr>
              <w:t>小写</w:t>
            </w:r>
          </w:p>
        </w:tc>
        <w:tc>
          <w:tcPr>
            <w:tcW w:w="4629" w:type="dxa"/>
            <w:vAlign w:val="center"/>
          </w:tcPr>
          <w:p>
            <w:pPr>
              <w:autoSpaceDE w:val="0"/>
              <w:autoSpaceDN w:val="0"/>
              <w:spacing w:line="450" w:lineRule="exact"/>
              <w:jc w:val="center"/>
              <w:textAlignment w:val="bottom"/>
              <w:rPr>
                <w:rFonts w:ascii="宋体" w:hAnsi="宋体" w:cs="宋体"/>
                <w:sz w:val="24"/>
              </w:rPr>
            </w:pPr>
          </w:p>
        </w:tc>
      </w:tr>
    </w:tbl>
    <w:p>
      <w:pPr>
        <w:spacing w:line="360" w:lineRule="auto"/>
        <w:jc w:val="left"/>
        <w:rPr>
          <w:rFonts w:ascii="宋体" w:hAnsi="宋体" w:cs="宋体"/>
          <w:b/>
          <w:bCs/>
          <w:sz w:val="24"/>
          <w:szCs w:val="32"/>
        </w:rPr>
      </w:pPr>
    </w:p>
    <w:p>
      <w:pPr>
        <w:spacing w:line="360" w:lineRule="auto"/>
        <w:jc w:val="left"/>
        <w:rPr>
          <w:rFonts w:ascii="宋体" w:hAnsi="宋体" w:cs="宋体"/>
          <w:b/>
          <w:bCs/>
          <w:sz w:val="24"/>
          <w:szCs w:val="32"/>
        </w:rPr>
      </w:pPr>
      <w:r>
        <w:rPr>
          <w:rFonts w:hint="eastAsia" w:ascii="宋体" w:hAnsi="宋体" w:cs="宋体"/>
          <w:b/>
          <w:bCs/>
          <w:sz w:val="24"/>
          <w:szCs w:val="32"/>
        </w:rPr>
        <w:t>填报要求：</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1.报价一经涂改，应在涂改处加盖单位公章，或者由法定代表人或全权代表签字或盖章，否则其响应无效。</w:t>
      </w:r>
    </w:p>
    <w:p>
      <w:pPr>
        <w:spacing w:line="360" w:lineRule="auto"/>
        <w:ind w:firstLine="480" w:firstLineChars="200"/>
        <w:jc w:val="left"/>
        <w:rPr>
          <w:rFonts w:ascii="宋体" w:hAnsi="宋体" w:cs="宋体"/>
          <w:sz w:val="24"/>
          <w:szCs w:val="32"/>
        </w:rPr>
      </w:pPr>
    </w:p>
    <w:p>
      <w:pPr>
        <w:spacing w:line="360" w:lineRule="auto"/>
        <w:ind w:firstLine="480" w:firstLineChars="200"/>
        <w:jc w:val="left"/>
        <w:rPr>
          <w:rFonts w:ascii="宋体" w:hAnsi="宋体" w:cs="宋体"/>
          <w:sz w:val="24"/>
          <w:szCs w:val="32"/>
        </w:rPr>
      </w:pPr>
    </w:p>
    <w:p>
      <w:pPr>
        <w:spacing w:line="360" w:lineRule="auto"/>
        <w:ind w:firstLine="480" w:firstLineChars="200"/>
        <w:jc w:val="left"/>
        <w:rPr>
          <w:rFonts w:ascii="宋体" w:hAnsi="宋体" w:cs="宋体"/>
          <w:sz w:val="24"/>
          <w:szCs w:val="32"/>
        </w:rPr>
      </w:pPr>
    </w:p>
    <w:p>
      <w:pPr>
        <w:spacing w:line="360" w:lineRule="auto"/>
        <w:ind w:firstLine="480" w:firstLineChars="200"/>
        <w:jc w:val="left"/>
        <w:rPr>
          <w:rFonts w:ascii="宋体" w:hAnsi="宋体" w:cs="宋体"/>
          <w:sz w:val="24"/>
          <w:szCs w:val="32"/>
        </w:rPr>
      </w:pPr>
    </w:p>
    <w:p>
      <w:pPr>
        <w:spacing w:line="480" w:lineRule="auto"/>
        <w:rPr>
          <w:rFonts w:ascii="宋体" w:hAnsi="宋体" w:cs="宋体"/>
          <w:sz w:val="24"/>
        </w:rPr>
      </w:pPr>
      <w:r>
        <w:rPr>
          <w:rFonts w:hint="eastAsia" w:ascii="宋体" w:hAnsi="宋体" w:cs="宋体"/>
          <w:sz w:val="24"/>
        </w:rPr>
        <w:t>磋商供应商名称（盖章）：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授权委托代理人签字或盖章：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szCs w:val="32"/>
        </w:rPr>
      </w:pPr>
    </w:p>
    <w:p>
      <w:pPr>
        <w:tabs>
          <w:tab w:val="left" w:pos="2460"/>
        </w:tabs>
        <w:spacing w:line="360" w:lineRule="auto"/>
        <w:outlineLvl w:val="0"/>
        <w:rPr>
          <w:rFonts w:ascii="宋体" w:hAnsi="宋体" w:cs="宋体"/>
          <w:b/>
          <w:sz w:val="28"/>
        </w:rPr>
      </w:pPr>
      <w:r>
        <w:rPr>
          <w:rFonts w:hint="eastAsia" w:ascii="宋体" w:hAnsi="宋体" w:cs="宋体"/>
          <w:sz w:val="24"/>
          <w:szCs w:val="32"/>
        </w:rPr>
        <w:br w:type="page"/>
      </w:r>
      <w:r>
        <w:rPr>
          <w:rFonts w:hint="eastAsia" w:ascii="宋体" w:hAnsi="宋体" w:cs="宋体"/>
          <w:b/>
          <w:sz w:val="28"/>
        </w:rPr>
        <w:t>附件15</w:t>
      </w:r>
    </w:p>
    <w:p>
      <w:pPr>
        <w:spacing w:line="360" w:lineRule="auto"/>
        <w:ind w:left="-2" w:hanging="2"/>
        <w:jc w:val="center"/>
        <w:rPr>
          <w:rFonts w:ascii="微软雅黑" w:hAnsi="微软雅黑" w:eastAsia="微软雅黑" w:cs="微软雅黑"/>
          <w:b/>
          <w:bCs/>
          <w:spacing w:val="21"/>
          <w:kern w:val="0"/>
          <w:sz w:val="32"/>
          <w:szCs w:val="32"/>
        </w:rPr>
      </w:pPr>
      <w:r>
        <w:rPr>
          <w:rFonts w:hint="eastAsia" w:ascii="微软雅黑" w:hAnsi="微软雅黑" w:eastAsia="微软雅黑" w:cs="微软雅黑"/>
          <w:b/>
          <w:bCs/>
          <w:spacing w:val="21"/>
          <w:kern w:val="0"/>
          <w:sz w:val="44"/>
          <w:szCs w:val="44"/>
        </w:rPr>
        <w:t>首次报价明细表</w:t>
      </w:r>
      <w:r>
        <w:rPr>
          <w:rFonts w:hint="eastAsia" w:ascii="微软雅黑" w:hAnsi="微软雅黑" w:eastAsia="微软雅黑" w:cs="微软雅黑"/>
          <w:b/>
          <w:bCs/>
          <w:spacing w:val="21"/>
          <w:kern w:val="0"/>
          <w:sz w:val="32"/>
          <w:szCs w:val="32"/>
        </w:rPr>
        <w:t xml:space="preserve">  </w:t>
      </w:r>
    </w:p>
    <w:tbl>
      <w:tblPr>
        <w:tblStyle w:val="33"/>
        <w:tblW w:w="88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49"/>
        <w:gridCol w:w="1292"/>
        <w:gridCol w:w="1662"/>
        <w:gridCol w:w="1292"/>
        <w:gridCol w:w="1218"/>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94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报价项目</w:t>
            </w:r>
          </w:p>
        </w:tc>
        <w:tc>
          <w:tcPr>
            <w:tcW w:w="1292" w:type="dxa"/>
            <w:vAlign w:val="center"/>
          </w:tcPr>
          <w:p>
            <w:pPr>
              <w:spacing w:line="360" w:lineRule="auto"/>
              <w:ind w:left="52"/>
              <w:jc w:val="center"/>
              <w:rPr>
                <w:rFonts w:ascii="宋体" w:hAnsi="宋体"/>
                <w:b/>
                <w:sz w:val="24"/>
              </w:rPr>
            </w:pPr>
            <w:r>
              <w:rPr>
                <w:rFonts w:hint="eastAsia" w:ascii="宋体" w:hAnsi="宋体"/>
                <w:b/>
                <w:sz w:val="24"/>
              </w:rPr>
              <w:t>服务要求</w:t>
            </w:r>
          </w:p>
        </w:tc>
        <w:tc>
          <w:tcPr>
            <w:tcW w:w="1662"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1292" w:type="dxa"/>
            <w:vAlign w:val="center"/>
          </w:tcPr>
          <w:p>
            <w:pPr>
              <w:spacing w:line="360" w:lineRule="auto"/>
              <w:jc w:val="center"/>
              <w:rPr>
                <w:rFonts w:ascii="宋体" w:hAnsi="宋体"/>
                <w:b/>
                <w:sz w:val="24"/>
              </w:rPr>
            </w:pPr>
            <w:r>
              <w:rPr>
                <w:rFonts w:hint="eastAsia" w:ascii="宋体" w:hAnsi="宋体"/>
                <w:b/>
                <w:sz w:val="24"/>
              </w:rPr>
              <w:t>单价</w:t>
            </w:r>
          </w:p>
        </w:tc>
        <w:tc>
          <w:tcPr>
            <w:tcW w:w="1218" w:type="dxa"/>
            <w:vAlign w:val="center"/>
          </w:tcPr>
          <w:p>
            <w:pPr>
              <w:spacing w:line="360" w:lineRule="auto"/>
              <w:jc w:val="center"/>
              <w:rPr>
                <w:rFonts w:ascii="宋体" w:hAnsi="宋体"/>
                <w:b/>
                <w:sz w:val="24"/>
              </w:rPr>
            </w:pPr>
            <w:r>
              <w:rPr>
                <w:rFonts w:hint="eastAsia" w:ascii="宋体" w:hAnsi="宋体"/>
                <w:b/>
                <w:sz w:val="24"/>
              </w:rPr>
              <w:t>小计</w:t>
            </w:r>
          </w:p>
        </w:tc>
        <w:tc>
          <w:tcPr>
            <w:tcW w:w="951"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949"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662"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218" w:type="dxa"/>
            <w:vAlign w:val="center"/>
          </w:tcPr>
          <w:p>
            <w:pPr>
              <w:spacing w:line="360" w:lineRule="auto"/>
              <w:rPr>
                <w:rFonts w:ascii="宋体" w:hAnsi="宋体"/>
                <w:sz w:val="24"/>
              </w:rPr>
            </w:pPr>
          </w:p>
        </w:tc>
        <w:tc>
          <w:tcPr>
            <w:tcW w:w="951"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949"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662"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218" w:type="dxa"/>
            <w:vAlign w:val="center"/>
          </w:tcPr>
          <w:p>
            <w:pPr>
              <w:spacing w:line="360" w:lineRule="auto"/>
              <w:rPr>
                <w:rFonts w:ascii="宋体" w:hAnsi="宋体"/>
                <w:sz w:val="24"/>
              </w:rPr>
            </w:pPr>
          </w:p>
        </w:tc>
        <w:tc>
          <w:tcPr>
            <w:tcW w:w="951"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949"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662"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218" w:type="dxa"/>
            <w:vAlign w:val="center"/>
          </w:tcPr>
          <w:p>
            <w:pPr>
              <w:spacing w:line="360" w:lineRule="auto"/>
              <w:rPr>
                <w:rFonts w:ascii="宋体" w:hAnsi="宋体"/>
                <w:sz w:val="24"/>
              </w:rPr>
            </w:pPr>
          </w:p>
        </w:tc>
        <w:tc>
          <w:tcPr>
            <w:tcW w:w="951"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525" w:type="dxa"/>
            <w:vAlign w:val="center"/>
          </w:tcPr>
          <w:p>
            <w:pPr>
              <w:spacing w:line="360" w:lineRule="auto"/>
              <w:rPr>
                <w:rFonts w:ascii="宋体" w:hAnsi="宋体"/>
                <w:sz w:val="24"/>
              </w:rPr>
            </w:pPr>
          </w:p>
        </w:tc>
        <w:tc>
          <w:tcPr>
            <w:tcW w:w="1949"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662"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218" w:type="dxa"/>
            <w:vAlign w:val="center"/>
          </w:tcPr>
          <w:p>
            <w:pPr>
              <w:spacing w:line="360" w:lineRule="auto"/>
              <w:rPr>
                <w:rFonts w:ascii="宋体" w:hAnsi="宋体"/>
                <w:sz w:val="24"/>
              </w:rPr>
            </w:pPr>
          </w:p>
        </w:tc>
        <w:tc>
          <w:tcPr>
            <w:tcW w:w="951"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949"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662"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218" w:type="dxa"/>
            <w:vAlign w:val="center"/>
          </w:tcPr>
          <w:p>
            <w:pPr>
              <w:spacing w:line="360" w:lineRule="auto"/>
              <w:rPr>
                <w:rFonts w:ascii="宋体" w:hAnsi="宋体"/>
                <w:sz w:val="24"/>
              </w:rPr>
            </w:pPr>
          </w:p>
        </w:tc>
        <w:tc>
          <w:tcPr>
            <w:tcW w:w="951"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949"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662"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218" w:type="dxa"/>
            <w:vAlign w:val="center"/>
          </w:tcPr>
          <w:p>
            <w:pPr>
              <w:spacing w:line="360" w:lineRule="auto"/>
              <w:rPr>
                <w:rFonts w:ascii="宋体" w:hAnsi="宋体"/>
                <w:sz w:val="24"/>
              </w:rPr>
            </w:pPr>
          </w:p>
        </w:tc>
        <w:tc>
          <w:tcPr>
            <w:tcW w:w="951"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949"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662" w:type="dxa"/>
            <w:vAlign w:val="center"/>
          </w:tcPr>
          <w:p>
            <w:pPr>
              <w:spacing w:line="360" w:lineRule="auto"/>
              <w:rPr>
                <w:rFonts w:ascii="宋体" w:hAnsi="宋体"/>
                <w:sz w:val="24"/>
              </w:rPr>
            </w:pPr>
          </w:p>
        </w:tc>
        <w:tc>
          <w:tcPr>
            <w:tcW w:w="1292" w:type="dxa"/>
            <w:vAlign w:val="center"/>
          </w:tcPr>
          <w:p>
            <w:pPr>
              <w:spacing w:line="360" w:lineRule="auto"/>
              <w:rPr>
                <w:rFonts w:ascii="宋体" w:hAnsi="宋体"/>
                <w:sz w:val="24"/>
              </w:rPr>
            </w:pPr>
          </w:p>
        </w:tc>
        <w:tc>
          <w:tcPr>
            <w:tcW w:w="1218" w:type="dxa"/>
            <w:vAlign w:val="center"/>
          </w:tcPr>
          <w:p>
            <w:pPr>
              <w:spacing w:line="360" w:lineRule="auto"/>
              <w:rPr>
                <w:rFonts w:ascii="宋体" w:hAnsi="宋体"/>
                <w:sz w:val="24"/>
              </w:rPr>
            </w:pPr>
          </w:p>
        </w:tc>
        <w:tc>
          <w:tcPr>
            <w:tcW w:w="951"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889" w:type="dxa"/>
            <w:gridSpan w:val="7"/>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ind w:firstLine="480" w:firstLineChars="200"/>
        <w:rPr>
          <w:rFonts w:ascii="宋体" w:hAnsi="宋体" w:cs="宋体"/>
          <w:sz w:val="24"/>
        </w:rPr>
      </w:pPr>
      <w:r>
        <w:rPr>
          <w:rFonts w:hint="eastAsia" w:ascii="宋体" w:hAnsi="宋体" w:cs="宋体"/>
          <w:sz w:val="24"/>
        </w:rPr>
        <w:t>注：1. 本表为《首次报价一览表》的报价明细表，如有缺项、漏项，视为磋商报价中已包含相关费用，采购人无需另外支付任何费用。</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“报价明细表”中的报价合计应与“首次报价一览表”中的总报价相一致，不一致时，以首次报价一览表为准。</w:t>
      </w:r>
    </w:p>
    <w:p>
      <w:pPr>
        <w:spacing w:line="360" w:lineRule="auto"/>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报价明细表所填内容按磋商文件采购要求为准。如有漏报的，视同已包含在磋商总价内或已作优惠处理。</w:t>
      </w:r>
      <w:r>
        <w:rPr>
          <w:rFonts w:hint="eastAsia"/>
          <w:b/>
        </w:rPr>
        <w:t>▲</w:t>
      </w:r>
      <w:r>
        <w:rPr>
          <w:rFonts w:hint="eastAsia" w:ascii="宋体" w:hAnsi="宋体" w:cs="宋体"/>
          <w:sz w:val="24"/>
          <w:lang w:val="zh-CN"/>
        </w:rPr>
        <w:t>有重大缺项的将作无效</w:t>
      </w:r>
      <w:r>
        <w:rPr>
          <w:rFonts w:hint="eastAsia" w:ascii="宋体" w:hAnsi="宋体" w:cs="宋体"/>
          <w:sz w:val="24"/>
        </w:rPr>
        <w:t>响应</w:t>
      </w:r>
      <w:r>
        <w:rPr>
          <w:rFonts w:hint="eastAsia" w:ascii="宋体" w:hAnsi="宋体" w:cs="宋体"/>
          <w:sz w:val="24"/>
          <w:lang w:val="zh-CN"/>
        </w:rPr>
        <w:t>处理。</w:t>
      </w:r>
    </w:p>
    <w:p>
      <w:pPr>
        <w:spacing w:line="360" w:lineRule="auto"/>
        <w:ind w:firstLine="480" w:firstLineChars="200"/>
        <w:rPr>
          <w:rFonts w:ascii="宋体" w:hAnsi="宋体" w:cs="宋体"/>
          <w:sz w:val="24"/>
          <w:lang w:val="zh-CN"/>
        </w:rPr>
      </w:pPr>
      <w:r>
        <w:rPr>
          <w:rFonts w:hint="eastAsia" w:ascii="宋体" w:hAnsi="宋体" w:cs="宋体"/>
          <w:sz w:val="24"/>
          <w:lang w:val="zh-CN"/>
        </w:rPr>
        <w:t>4.在填写时，如本表格不适合磋商供应商的实际情况，可根据本表格式自行划表填写。</w:t>
      </w:r>
    </w:p>
    <w:p>
      <w:pPr>
        <w:spacing w:line="480" w:lineRule="auto"/>
        <w:rPr>
          <w:rFonts w:ascii="宋体" w:hAnsi="宋体" w:cs="宋体"/>
          <w:sz w:val="24"/>
        </w:rPr>
      </w:pPr>
      <w:r>
        <w:rPr>
          <w:rFonts w:hint="eastAsia" w:ascii="宋体" w:hAnsi="宋体" w:cs="宋体"/>
          <w:sz w:val="24"/>
        </w:rPr>
        <w:t>磋商供应商名称（盖章）：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授权委托代理人签字或盖章：</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szCs w:val="32"/>
        </w:rPr>
      </w:pPr>
    </w:p>
    <w:p>
      <w:pPr>
        <w:pStyle w:val="30"/>
      </w:pPr>
    </w:p>
    <w:p>
      <w:pPr>
        <w:rPr>
          <w:rFonts w:ascii="宋体" w:hAnsi="宋体" w:cs="宋体"/>
          <w:b/>
          <w:sz w:val="28"/>
        </w:rPr>
      </w:pPr>
      <w:r>
        <w:rPr>
          <w:rFonts w:hint="eastAsia" w:ascii="宋体" w:hAnsi="宋体" w:cs="宋体"/>
          <w:b/>
          <w:sz w:val="28"/>
        </w:rPr>
        <w:br w:type="page"/>
      </w:r>
    </w:p>
    <w:p>
      <w:pPr>
        <w:outlineLvl w:val="0"/>
        <w:rPr>
          <w:rFonts w:ascii="宋体" w:hAnsi="宋体" w:cs="宋体"/>
          <w:b/>
          <w:sz w:val="28"/>
        </w:rPr>
      </w:pPr>
      <w:r>
        <w:rPr>
          <w:rFonts w:hint="eastAsia" w:ascii="宋体" w:hAnsi="宋体" w:cs="宋体"/>
          <w:b/>
          <w:sz w:val="28"/>
        </w:rPr>
        <w:t>附件16</w:t>
      </w:r>
    </w:p>
    <w:p>
      <w:pPr>
        <w:pStyle w:val="32"/>
      </w:pPr>
    </w:p>
    <w:p>
      <w:pPr>
        <w:pStyle w:val="78"/>
        <w:snapToGrid w:val="0"/>
        <w:spacing w:line="480" w:lineRule="auto"/>
        <w:jc w:val="center"/>
        <w:outlineLvl w:val="0"/>
        <w:rPr>
          <w:rFonts w:hint="default" w:ascii="黑体" w:hAnsi="黑体" w:eastAsia="黑体" w:cs="黑体"/>
          <w:kern w:val="0"/>
          <w:sz w:val="18"/>
          <w:szCs w:val="11"/>
        </w:rPr>
      </w:pPr>
      <w:r>
        <w:rPr>
          <w:rFonts w:ascii="黑体" w:hAnsi="黑体" w:eastAsia="黑体" w:cs="黑体"/>
          <w:sz w:val="28"/>
          <w:szCs w:val="28"/>
        </w:rPr>
        <w:t>政府采购活动现场确认声明书</w:t>
      </w:r>
    </w:p>
    <w:p>
      <w:pPr>
        <w:pStyle w:val="78"/>
        <w:snapToGrid w:val="0"/>
        <w:spacing w:line="420" w:lineRule="auto"/>
        <w:jc w:val="both"/>
        <w:rPr>
          <w:rFonts w:hint="default" w:ascii="黑体" w:hAnsi="黑体" w:eastAsia="黑体" w:cs="黑体"/>
          <w:b/>
          <w:sz w:val="20"/>
          <w:szCs w:val="15"/>
        </w:rPr>
      </w:pPr>
      <w:r>
        <w:rPr>
          <w:rFonts w:ascii="黑体" w:hAnsi="黑体" w:eastAsia="黑体" w:cs="黑体"/>
          <w:kern w:val="0"/>
          <w:sz w:val="20"/>
          <w:szCs w:val="13"/>
        </w:rPr>
        <w:t xml:space="preserve"> </w:t>
      </w:r>
      <w:r>
        <w:rPr>
          <w:rFonts w:ascii="黑体" w:hAnsi="黑体" w:eastAsia="黑体" w:cs="黑体"/>
          <w:kern w:val="0"/>
          <w:sz w:val="20"/>
          <w:szCs w:val="13"/>
          <w:u w:val="single"/>
        </w:rPr>
        <w:t xml:space="preserve">                                     </w:t>
      </w:r>
      <w:r>
        <w:rPr>
          <w:rFonts w:ascii="黑体" w:hAnsi="黑体" w:eastAsia="黑体" w:cs="黑体"/>
          <w:kern w:val="0"/>
          <w:sz w:val="20"/>
          <w:szCs w:val="15"/>
        </w:rPr>
        <w:t>（采购组织机构名称）：</w:t>
      </w:r>
    </w:p>
    <w:p>
      <w:pPr>
        <w:pStyle w:val="78"/>
        <w:snapToGrid w:val="0"/>
        <w:spacing w:line="420" w:lineRule="auto"/>
        <w:ind w:firstLine="424" w:firstLineChars="200"/>
        <w:jc w:val="both"/>
        <w:rPr>
          <w:rFonts w:hint="default" w:ascii="黑体" w:hAnsi="黑体" w:eastAsia="黑体" w:cs="黑体"/>
          <w:spacing w:val="6"/>
          <w:sz w:val="20"/>
          <w:szCs w:val="15"/>
        </w:rPr>
      </w:pPr>
      <w:r>
        <w:rPr>
          <w:rFonts w:ascii="黑体" w:hAnsi="黑体" w:eastAsia="黑体" w:cs="黑体"/>
          <w:spacing w:val="6"/>
          <w:sz w:val="20"/>
          <w:szCs w:val="15"/>
        </w:rPr>
        <w:t>本单位经由</w:t>
      </w:r>
      <w:r>
        <w:rPr>
          <w:rFonts w:ascii="黑体" w:hAnsi="黑体" w:eastAsia="黑体" w:cs="黑体"/>
          <w:spacing w:val="6"/>
          <w:sz w:val="20"/>
          <w:szCs w:val="15"/>
          <w:u w:val="single"/>
        </w:rPr>
        <w:t xml:space="preserve">                  （单位）</w:t>
      </w:r>
      <w:r>
        <w:rPr>
          <w:rFonts w:ascii="黑体" w:hAnsi="黑体" w:eastAsia="黑体" w:cs="黑体"/>
          <w:spacing w:val="6"/>
          <w:sz w:val="20"/>
          <w:szCs w:val="15"/>
        </w:rPr>
        <w:t>负责人</w:t>
      </w:r>
      <w:r>
        <w:rPr>
          <w:rFonts w:ascii="黑体" w:hAnsi="黑体" w:eastAsia="黑体" w:cs="黑体"/>
          <w:spacing w:val="6"/>
          <w:sz w:val="20"/>
          <w:szCs w:val="15"/>
          <w:u w:val="single"/>
        </w:rPr>
        <w:t xml:space="preserve">        （姓名）</w:t>
      </w:r>
      <w:r>
        <w:rPr>
          <w:rFonts w:ascii="黑体" w:hAnsi="黑体" w:eastAsia="黑体" w:cs="黑体"/>
          <w:spacing w:val="6"/>
          <w:sz w:val="20"/>
          <w:szCs w:val="15"/>
        </w:rPr>
        <w:t>合法授权参加</w:t>
      </w:r>
      <w:r>
        <w:rPr>
          <w:rFonts w:ascii="黑体" w:hAnsi="黑体" w:eastAsia="黑体" w:cs="黑体"/>
          <w:spacing w:val="6"/>
          <w:sz w:val="20"/>
          <w:szCs w:val="15"/>
          <w:u w:val="single"/>
        </w:rPr>
        <w:t>工矿企业购买第三方服务项目</w:t>
      </w:r>
      <w:r>
        <w:rPr>
          <w:rFonts w:ascii="黑体" w:hAnsi="黑体" w:eastAsia="黑体" w:cs="黑体"/>
          <w:spacing w:val="6"/>
          <w:sz w:val="20"/>
          <w:szCs w:val="15"/>
        </w:rPr>
        <w:t>采购</w:t>
      </w:r>
      <w:r>
        <w:rPr>
          <w:rFonts w:ascii="黑体" w:hAnsi="黑体" w:eastAsia="黑体" w:cs="黑体"/>
          <w:spacing w:val="6"/>
          <w:sz w:val="20"/>
          <w:szCs w:val="15"/>
          <w:u w:val="single"/>
        </w:rPr>
        <w:t xml:space="preserve">（编号：          </w:t>
      </w:r>
      <w:r>
        <w:rPr>
          <w:rFonts w:ascii="黑体" w:hAnsi="黑体" w:eastAsia="黑体" w:cs="黑体"/>
          <w:spacing w:val="6"/>
          <w:sz w:val="20"/>
          <w:szCs w:val="15"/>
        </w:rPr>
        <w:t xml:space="preserve">）政府采购活动，经与本单位法人代表（负责人）联系确认，现就有关公平竞争事项郑重声明如下： </w:t>
      </w:r>
    </w:p>
    <w:p>
      <w:pPr>
        <w:pStyle w:val="75"/>
        <w:numPr>
          <w:ilvl w:val="0"/>
          <w:numId w:val="12"/>
        </w:numPr>
        <w:snapToGrid w:val="0"/>
        <w:spacing w:line="420" w:lineRule="auto"/>
        <w:ind w:firstLine="378" w:firstLineChars="189"/>
        <w:rPr>
          <w:rFonts w:hint="default" w:ascii="黑体" w:hAnsi="黑体" w:eastAsia="黑体" w:cs="黑体"/>
          <w:kern w:val="0"/>
          <w:sz w:val="20"/>
          <w:szCs w:val="15"/>
        </w:rPr>
      </w:pPr>
      <w:r>
        <w:rPr>
          <w:rFonts w:ascii="黑体" w:hAnsi="黑体" w:eastAsia="黑体" w:cs="黑体"/>
          <w:kern w:val="0"/>
          <w:sz w:val="20"/>
          <w:szCs w:val="15"/>
        </w:rPr>
        <w:t xml:space="preserve">本单位与采购人之间 </w:t>
      </w:r>
      <w:r>
        <w:rPr>
          <w:rFonts w:ascii="黑体" w:hAnsi="黑体" w:eastAsia="黑体" w:cs="黑体"/>
          <w:kern w:val="0"/>
          <w:sz w:val="20"/>
          <w:szCs w:val="15"/>
        </w:rPr>
        <w:sym w:font="Wingdings 2" w:char="00A3"/>
      </w:r>
      <w:r>
        <w:rPr>
          <w:rFonts w:ascii="黑体" w:hAnsi="黑体" w:eastAsia="黑体" w:cs="黑体"/>
          <w:kern w:val="0"/>
          <w:sz w:val="20"/>
          <w:szCs w:val="15"/>
        </w:rPr>
        <w:t xml:space="preserve">不存在利害关系 </w:t>
      </w:r>
      <w:r>
        <w:rPr>
          <w:rFonts w:ascii="黑体" w:hAnsi="黑体" w:eastAsia="黑体" w:cs="黑体"/>
          <w:kern w:val="0"/>
          <w:sz w:val="20"/>
          <w:szCs w:val="15"/>
        </w:rPr>
        <w:sym w:font="Wingdings 2" w:char="0052"/>
      </w:r>
      <w:r>
        <w:rPr>
          <w:rFonts w:ascii="黑体" w:hAnsi="黑体" w:eastAsia="黑体" w:cs="黑体"/>
          <w:kern w:val="0"/>
          <w:sz w:val="20"/>
          <w:szCs w:val="15"/>
        </w:rPr>
        <w:t>存在下列利害关系</w:t>
      </w:r>
      <w:r>
        <w:rPr>
          <w:rFonts w:ascii="黑体" w:hAnsi="黑体" w:eastAsia="黑体" w:cs="黑体"/>
          <w:kern w:val="0"/>
          <w:sz w:val="20"/>
          <w:szCs w:val="15"/>
          <w:u w:val="single"/>
        </w:rPr>
        <w:t xml:space="preserve">           </w:t>
      </w:r>
      <w:r>
        <w:rPr>
          <w:rFonts w:ascii="黑体" w:hAnsi="黑体" w:eastAsia="黑体" w:cs="黑体"/>
          <w:kern w:val="0"/>
          <w:sz w:val="20"/>
          <w:szCs w:val="15"/>
        </w:rPr>
        <w:t>：</w:t>
      </w:r>
    </w:p>
    <w:p>
      <w:pPr>
        <w:pStyle w:val="75"/>
        <w:snapToGrid w:val="0"/>
        <w:spacing w:line="420" w:lineRule="auto"/>
        <w:rPr>
          <w:rFonts w:hint="default" w:ascii="黑体" w:hAnsi="黑体" w:eastAsia="黑体" w:cs="黑体"/>
          <w:kern w:val="0"/>
          <w:sz w:val="20"/>
          <w:szCs w:val="15"/>
        </w:rPr>
      </w:pPr>
      <w:r>
        <w:rPr>
          <w:rFonts w:ascii="黑体" w:hAnsi="黑体" w:eastAsia="黑体" w:cs="黑体"/>
          <w:kern w:val="0"/>
          <w:sz w:val="20"/>
          <w:szCs w:val="15"/>
        </w:rPr>
        <w:t xml:space="preserve">  A.投资关系    B.行政隶属关系    C.业务指导关系</w:t>
      </w:r>
    </w:p>
    <w:p>
      <w:pPr>
        <w:pStyle w:val="75"/>
        <w:snapToGrid w:val="0"/>
        <w:spacing w:line="420" w:lineRule="auto"/>
        <w:rPr>
          <w:rFonts w:hint="default" w:ascii="黑体" w:hAnsi="黑体" w:eastAsia="黑体" w:cs="黑体"/>
          <w:kern w:val="0"/>
          <w:sz w:val="20"/>
          <w:szCs w:val="15"/>
        </w:rPr>
      </w:pPr>
      <w:r>
        <w:rPr>
          <w:rFonts w:ascii="黑体" w:hAnsi="黑体" w:eastAsia="黑体" w:cs="黑体"/>
          <w:kern w:val="0"/>
          <w:sz w:val="20"/>
          <w:szCs w:val="15"/>
        </w:rPr>
        <w:t xml:space="preserve">  D.其他可能</w:t>
      </w:r>
      <w:r>
        <w:rPr>
          <w:rFonts w:ascii="黑体" w:hAnsi="黑体" w:eastAsia="黑体" w:cs="黑体"/>
          <w:sz w:val="20"/>
          <w:szCs w:val="15"/>
        </w:rPr>
        <w:t>影响采购公正的</w:t>
      </w:r>
      <w:r>
        <w:rPr>
          <w:rFonts w:ascii="黑体" w:hAnsi="黑体" w:eastAsia="黑体" w:cs="黑体"/>
          <w:kern w:val="0"/>
          <w:sz w:val="20"/>
          <w:szCs w:val="15"/>
        </w:rPr>
        <w:t>利害关系</w:t>
      </w:r>
      <w:r>
        <w:rPr>
          <w:rFonts w:ascii="黑体" w:hAnsi="黑体" w:eastAsia="黑体" w:cs="黑体"/>
          <w:kern w:val="0"/>
          <w:sz w:val="20"/>
          <w:szCs w:val="15"/>
          <w:u w:val="single"/>
        </w:rPr>
        <w:t xml:space="preserve">（如有，请如实说明）                 </w:t>
      </w:r>
      <w:r>
        <w:rPr>
          <w:rFonts w:ascii="黑体" w:hAnsi="黑体" w:eastAsia="黑体" w:cs="黑体"/>
          <w:kern w:val="0"/>
          <w:sz w:val="20"/>
          <w:szCs w:val="15"/>
        </w:rPr>
        <w:t>。</w:t>
      </w:r>
    </w:p>
    <w:p>
      <w:pPr>
        <w:pStyle w:val="75"/>
        <w:snapToGrid w:val="0"/>
        <w:spacing w:line="420" w:lineRule="auto"/>
        <w:rPr>
          <w:rFonts w:hint="default" w:ascii="黑体" w:hAnsi="黑体" w:eastAsia="黑体" w:cs="黑体"/>
          <w:kern w:val="0"/>
          <w:sz w:val="20"/>
          <w:szCs w:val="15"/>
        </w:rPr>
      </w:pPr>
      <w:r>
        <w:rPr>
          <w:rFonts w:ascii="黑体" w:hAnsi="黑体" w:eastAsia="黑体" w:cs="黑体"/>
          <w:spacing w:val="6"/>
          <w:sz w:val="20"/>
          <w:szCs w:val="15"/>
        </w:rPr>
        <w:t xml:space="preserve">  二、</w:t>
      </w:r>
      <w:r>
        <w:rPr>
          <w:rFonts w:ascii="黑体" w:hAnsi="黑体" w:eastAsia="黑体" w:cs="黑体"/>
          <w:kern w:val="0"/>
          <w:sz w:val="20"/>
          <w:szCs w:val="15"/>
        </w:rPr>
        <w:t xml:space="preserve">现已清楚知道参加本项目采购活动的其他所有供应商名称，本单位 □与其他所有供应商之间均不存在利害关系 </w:t>
      </w:r>
      <w:r>
        <w:rPr>
          <w:rFonts w:ascii="黑体" w:hAnsi="黑体" w:eastAsia="黑体" w:cs="黑体"/>
          <w:kern w:val="0"/>
          <w:sz w:val="20"/>
          <w:szCs w:val="15"/>
        </w:rPr>
        <w:sym w:font="Wingdings 2" w:char="00A3"/>
      </w:r>
      <w:r>
        <w:rPr>
          <w:rFonts w:ascii="黑体" w:hAnsi="黑体" w:eastAsia="黑体" w:cs="黑体"/>
          <w:kern w:val="0"/>
          <w:sz w:val="20"/>
          <w:szCs w:val="15"/>
        </w:rPr>
        <w:t>与</w:t>
      </w:r>
      <w:r>
        <w:rPr>
          <w:rFonts w:ascii="黑体" w:hAnsi="黑体" w:eastAsia="黑体" w:cs="黑体"/>
          <w:kern w:val="0"/>
          <w:sz w:val="20"/>
          <w:szCs w:val="15"/>
          <w:u w:val="single"/>
        </w:rPr>
        <w:t xml:space="preserve">           （供应商名称）</w:t>
      </w:r>
      <w:r>
        <w:rPr>
          <w:rFonts w:ascii="黑体" w:hAnsi="黑体" w:eastAsia="黑体" w:cs="黑体"/>
          <w:kern w:val="0"/>
          <w:sz w:val="20"/>
          <w:szCs w:val="15"/>
        </w:rPr>
        <w:t>之间存在下列利害关系</w:t>
      </w:r>
      <w:r>
        <w:rPr>
          <w:rFonts w:ascii="黑体" w:hAnsi="黑体" w:eastAsia="黑体" w:cs="黑体"/>
          <w:kern w:val="0"/>
          <w:sz w:val="20"/>
          <w:szCs w:val="15"/>
          <w:u w:val="single"/>
        </w:rPr>
        <w:t xml:space="preserve">          </w:t>
      </w:r>
      <w:r>
        <w:rPr>
          <w:rFonts w:ascii="黑体" w:hAnsi="黑体" w:eastAsia="黑体" w:cs="黑体"/>
          <w:kern w:val="0"/>
          <w:sz w:val="20"/>
          <w:szCs w:val="15"/>
        </w:rPr>
        <w:t>：</w:t>
      </w:r>
    </w:p>
    <w:p>
      <w:pPr>
        <w:pStyle w:val="78"/>
        <w:snapToGrid w:val="0"/>
        <w:spacing w:line="420" w:lineRule="auto"/>
        <w:jc w:val="both"/>
        <w:rPr>
          <w:rFonts w:hint="default" w:ascii="黑体" w:hAnsi="黑体" w:eastAsia="黑体" w:cs="黑体"/>
          <w:kern w:val="0"/>
          <w:sz w:val="20"/>
          <w:szCs w:val="15"/>
        </w:rPr>
      </w:pPr>
      <w:r>
        <w:rPr>
          <w:rFonts w:ascii="黑体" w:hAnsi="黑体" w:eastAsia="黑体" w:cs="黑体"/>
          <w:kern w:val="0"/>
          <w:sz w:val="20"/>
          <w:szCs w:val="15"/>
        </w:rPr>
        <w:t xml:space="preserve">  A.法定代表人或负责人或实际控制人是同一人</w:t>
      </w:r>
    </w:p>
    <w:p>
      <w:pPr>
        <w:pStyle w:val="78"/>
        <w:snapToGrid w:val="0"/>
        <w:spacing w:line="420" w:lineRule="auto"/>
        <w:jc w:val="both"/>
        <w:rPr>
          <w:rFonts w:hint="default" w:ascii="黑体" w:hAnsi="黑体" w:eastAsia="黑体" w:cs="黑体"/>
          <w:spacing w:val="6"/>
          <w:sz w:val="20"/>
          <w:szCs w:val="15"/>
        </w:rPr>
      </w:pPr>
      <w:r>
        <w:rPr>
          <w:rFonts w:ascii="黑体" w:hAnsi="黑体" w:eastAsia="黑体" w:cs="黑体"/>
          <w:kern w:val="0"/>
          <w:sz w:val="20"/>
          <w:szCs w:val="15"/>
        </w:rPr>
        <w:t xml:space="preserve">  B.法定代表人或负责人或实际控制人是夫妻关系</w:t>
      </w:r>
    </w:p>
    <w:p>
      <w:pPr>
        <w:pStyle w:val="78"/>
        <w:snapToGrid w:val="0"/>
        <w:spacing w:line="420" w:lineRule="auto"/>
        <w:jc w:val="both"/>
        <w:rPr>
          <w:rFonts w:hint="default" w:ascii="黑体" w:hAnsi="黑体" w:eastAsia="黑体" w:cs="黑体"/>
          <w:spacing w:val="6"/>
          <w:sz w:val="20"/>
          <w:szCs w:val="15"/>
        </w:rPr>
      </w:pPr>
      <w:r>
        <w:rPr>
          <w:rFonts w:ascii="黑体" w:hAnsi="黑体" w:eastAsia="黑体" w:cs="黑体"/>
          <w:kern w:val="0"/>
          <w:sz w:val="20"/>
          <w:szCs w:val="15"/>
        </w:rPr>
        <w:t xml:space="preserve">  C.法定代表人或负责人或实际控制人是直系血亲关系</w:t>
      </w:r>
    </w:p>
    <w:p>
      <w:pPr>
        <w:pStyle w:val="78"/>
        <w:snapToGrid w:val="0"/>
        <w:spacing w:line="420" w:lineRule="auto"/>
        <w:jc w:val="both"/>
        <w:rPr>
          <w:rFonts w:hint="default" w:ascii="黑体" w:hAnsi="黑体" w:eastAsia="黑体" w:cs="黑体"/>
          <w:spacing w:val="6"/>
          <w:sz w:val="20"/>
          <w:szCs w:val="15"/>
        </w:rPr>
      </w:pPr>
      <w:r>
        <w:rPr>
          <w:rFonts w:ascii="黑体" w:hAnsi="黑体" w:eastAsia="黑体" w:cs="黑体"/>
          <w:kern w:val="0"/>
          <w:sz w:val="20"/>
          <w:szCs w:val="15"/>
        </w:rPr>
        <w:t xml:space="preserve">  D.法定代表人或负责人或实际控制人存在三代以内旁系血亲关系</w:t>
      </w:r>
    </w:p>
    <w:p>
      <w:pPr>
        <w:pStyle w:val="78"/>
        <w:snapToGrid w:val="0"/>
        <w:spacing w:line="420" w:lineRule="auto"/>
        <w:jc w:val="both"/>
        <w:rPr>
          <w:rFonts w:hint="default" w:ascii="黑体" w:hAnsi="黑体" w:eastAsia="黑体" w:cs="黑体"/>
          <w:kern w:val="0"/>
          <w:sz w:val="20"/>
          <w:szCs w:val="15"/>
        </w:rPr>
      </w:pPr>
      <w:r>
        <w:rPr>
          <w:rFonts w:ascii="黑体" w:hAnsi="黑体" w:eastAsia="黑体" w:cs="黑体"/>
          <w:kern w:val="0"/>
          <w:sz w:val="20"/>
          <w:szCs w:val="15"/>
        </w:rPr>
        <w:t xml:space="preserve">  E.法定代表人或负责人或实际控制人存在近姻亲关系</w:t>
      </w:r>
    </w:p>
    <w:p>
      <w:pPr>
        <w:pStyle w:val="78"/>
        <w:snapToGrid w:val="0"/>
        <w:spacing w:line="420" w:lineRule="auto"/>
        <w:jc w:val="both"/>
        <w:rPr>
          <w:rFonts w:hint="default" w:ascii="黑体" w:hAnsi="黑体" w:eastAsia="黑体" w:cs="黑体"/>
          <w:kern w:val="0"/>
          <w:sz w:val="20"/>
          <w:szCs w:val="15"/>
        </w:rPr>
      </w:pPr>
      <w:r>
        <w:rPr>
          <w:rFonts w:ascii="黑体" w:hAnsi="黑体" w:eastAsia="黑体" w:cs="黑体"/>
          <w:kern w:val="0"/>
          <w:sz w:val="20"/>
          <w:szCs w:val="15"/>
        </w:rPr>
        <w:t xml:space="preserve">  F.法定代表人或负责人或实际控制人存在股份控制或实际控制关系</w:t>
      </w:r>
    </w:p>
    <w:p>
      <w:pPr>
        <w:pStyle w:val="78"/>
        <w:snapToGrid w:val="0"/>
        <w:spacing w:line="420" w:lineRule="auto"/>
        <w:jc w:val="both"/>
        <w:outlineLvl w:val="0"/>
        <w:rPr>
          <w:rFonts w:hint="default" w:ascii="黑体" w:hAnsi="黑体" w:eastAsia="黑体" w:cs="黑体"/>
          <w:kern w:val="0"/>
          <w:sz w:val="20"/>
          <w:szCs w:val="15"/>
        </w:rPr>
      </w:pPr>
      <w:r>
        <w:rPr>
          <w:rFonts w:ascii="黑体" w:hAnsi="黑体" w:eastAsia="黑体" w:cs="黑体"/>
          <w:kern w:val="0"/>
          <w:sz w:val="20"/>
          <w:szCs w:val="15"/>
        </w:rPr>
        <w:t xml:space="preserve">  G.存在共同直接或间接投资设立子公司、联营企业和合营企业情况</w:t>
      </w:r>
    </w:p>
    <w:p>
      <w:pPr>
        <w:pStyle w:val="78"/>
        <w:snapToGrid w:val="0"/>
        <w:spacing w:line="420" w:lineRule="auto"/>
        <w:jc w:val="both"/>
        <w:rPr>
          <w:rFonts w:hint="default" w:ascii="黑体" w:hAnsi="黑体" w:eastAsia="黑体" w:cs="黑体"/>
          <w:sz w:val="20"/>
          <w:szCs w:val="15"/>
        </w:rPr>
      </w:pPr>
      <w:r>
        <w:rPr>
          <w:rFonts w:ascii="黑体" w:hAnsi="黑体" w:eastAsia="黑体" w:cs="黑体"/>
          <w:kern w:val="0"/>
          <w:sz w:val="20"/>
          <w:szCs w:val="15"/>
        </w:rPr>
        <w:t xml:space="preserve">  H.存在分级代理或代销关系、同一生产制造商关系、</w:t>
      </w:r>
      <w:r>
        <w:rPr>
          <w:rFonts w:ascii="黑体" w:hAnsi="黑体" w:eastAsia="黑体" w:cs="黑体"/>
          <w:sz w:val="20"/>
          <w:szCs w:val="15"/>
        </w:rPr>
        <w:t>管理关系、重要业务（占主营业务收入50%以上）或重要财务往来关系（如融资）等其他实质性控制关系</w:t>
      </w:r>
    </w:p>
    <w:p>
      <w:pPr>
        <w:pStyle w:val="78"/>
        <w:snapToGrid w:val="0"/>
        <w:spacing w:line="420" w:lineRule="auto"/>
        <w:jc w:val="both"/>
        <w:outlineLvl w:val="0"/>
        <w:rPr>
          <w:rFonts w:hint="default" w:ascii="黑体" w:hAnsi="黑体" w:eastAsia="黑体" w:cs="黑体"/>
          <w:spacing w:val="6"/>
          <w:sz w:val="20"/>
          <w:szCs w:val="15"/>
        </w:rPr>
      </w:pPr>
      <w:r>
        <w:rPr>
          <w:rFonts w:ascii="黑体" w:hAnsi="黑体" w:eastAsia="黑体" w:cs="黑体"/>
          <w:sz w:val="20"/>
          <w:szCs w:val="15"/>
        </w:rPr>
        <w:t xml:space="preserve">    I</w:t>
      </w:r>
      <w:r>
        <w:rPr>
          <w:rFonts w:ascii="黑体" w:hAnsi="黑体" w:eastAsia="黑体" w:cs="黑体"/>
          <w:kern w:val="0"/>
          <w:sz w:val="20"/>
          <w:szCs w:val="15"/>
        </w:rPr>
        <w:t>.</w:t>
      </w:r>
      <w:r>
        <w:rPr>
          <w:rFonts w:ascii="黑体" w:hAnsi="黑体" w:eastAsia="黑体" w:cs="黑体"/>
          <w:sz w:val="20"/>
          <w:szCs w:val="15"/>
        </w:rPr>
        <w:t>其他利害关系情况</w:t>
      </w:r>
      <w:r>
        <w:rPr>
          <w:rFonts w:ascii="黑体" w:hAnsi="黑体" w:eastAsia="黑体" w:cs="黑体"/>
          <w:sz w:val="20"/>
          <w:szCs w:val="15"/>
          <w:u w:val="single"/>
        </w:rPr>
        <w:t xml:space="preserve">                              </w:t>
      </w:r>
      <w:r>
        <w:rPr>
          <w:rFonts w:ascii="黑体" w:hAnsi="黑体" w:eastAsia="黑体" w:cs="黑体"/>
          <w:kern w:val="0"/>
          <w:sz w:val="20"/>
          <w:szCs w:val="15"/>
        </w:rPr>
        <w:t>。</w:t>
      </w:r>
    </w:p>
    <w:p>
      <w:pPr>
        <w:pStyle w:val="75"/>
        <w:numPr>
          <w:ilvl w:val="0"/>
          <w:numId w:val="13"/>
        </w:numPr>
        <w:snapToGrid w:val="0"/>
        <w:spacing w:line="420" w:lineRule="auto"/>
        <w:ind w:firstLine="378" w:firstLineChars="189"/>
        <w:rPr>
          <w:rFonts w:hint="default" w:ascii="黑体" w:hAnsi="黑体" w:eastAsia="黑体" w:cs="黑体"/>
          <w:kern w:val="0"/>
          <w:sz w:val="20"/>
          <w:szCs w:val="15"/>
        </w:rPr>
      </w:pPr>
      <w:r>
        <w:rPr>
          <w:rFonts w:ascii="黑体" w:hAnsi="黑体" w:eastAsia="黑体" w:cs="黑体"/>
          <w:sz w:val="20"/>
          <w:szCs w:val="15"/>
        </w:rPr>
        <w:t>现已清楚知道并</w:t>
      </w:r>
      <w:r>
        <w:rPr>
          <w:rFonts w:ascii="黑体" w:hAnsi="黑体" w:eastAsia="黑体" w:cs="黑体"/>
          <w:kern w:val="0"/>
          <w:sz w:val="20"/>
          <w:szCs w:val="15"/>
        </w:rPr>
        <w:t>严格遵守政府采购法律法规和现场纪律。</w:t>
      </w:r>
    </w:p>
    <w:p>
      <w:pPr>
        <w:pStyle w:val="75"/>
        <w:numPr>
          <w:ilvl w:val="0"/>
          <w:numId w:val="13"/>
        </w:numPr>
        <w:snapToGrid w:val="0"/>
        <w:spacing w:line="420" w:lineRule="auto"/>
        <w:ind w:firstLine="378" w:firstLineChars="189"/>
        <w:jc w:val="left"/>
        <w:rPr>
          <w:rFonts w:hint="default" w:ascii="黑体" w:hAnsi="黑体" w:eastAsia="黑体" w:cs="黑体"/>
          <w:sz w:val="20"/>
          <w:szCs w:val="15"/>
        </w:rPr>
      </w:pPr>
      <w:r>
        <w:rPr>
          <w:rFonts w:ascii="黑体" w:hAnsi="黑体" w:eastAsia="黑体" w:cs="黑体"/>
          <w:kern w:val="0"/>
          <w:sz w:val="20"/>
          <w:szCs w:val="15"/>
        </w:rPr>
        <w:t>我发现</w:t>
      </w:r>
      <w:r>
        <w:rPr>
          <w:rFonts w:ascii="黑体" w:hAnsi="黑体" w:eastAsia="黑体" w:cs="黑体"/>
          <w:kern w:val="0"/>
          <w:sz w:val="20"/>
          <w:szCs w:val="15"/>
          <w:u w:val="single"/>
        </w:rPr>
        <w:t xml:space="preserve">                    </w:t>
      </w:r>
      <w:r>
        <w:rPr>
          <w:rFonts w:ascii="黑体" w:hAnsi="黑体" w:eastAsia="黑体" w:cs="黑体"/>
          <w:kern w:val="0"/>
          <w:sz w:val="20"/>
          <w:szCs w:val="15"/>
        </w:rPr>
        <w:t>供应商之间存在或可能存在上述第二条第</w:t>
      </w:r>
      <w:r>
        <w:rPr>
          <w:rFonts w:ascii="黑体" w:hAnsi="黑体" w:eastAsia="黑体" w:cs="黑体"/>
          <w:kern w:val="0"/>
          <w:sz w:val="20"/>
          <w:szCs w:val="15"/>
          <w:u w:val="single"/>
        </w:rPr>
        <w:t xml:space="preserve">        </w:t>
      </w:r>
      <w:r>
        <w:rPr>
          <w:rFonts w:ascii="黑体" w:hAnsi="黑体" w:eastAsia="黑体" w:cs="黑体"/>
          <w:kern w:val="0"/>
          <w:sz w:val="20"/>
          <w:szCs w:val="15"/>
        </w:rPr>
        <w:t>项利害关系。</w:t>
      </w:r>
      <w:r>
        <w:rPr>
          <w:rFonts w:ascii="黑体" w:hAnsi="黑体" w:eastAsia="黑体" w:cs="黑体"/>
          <w:sz w:val="20"/>
          <w:szCs w:val="15"/>
        </w:rPr>
        <w:t xml:space="preserve">                                            （供应商代表签名）</w:t>
      </w:r>
    </w:p>
    <w:p>
      <w:pPr>
        <w:pStyle w:val="13"/>
      </w:pPr>
      <w:r>
        <w:rPr>
          <w:rFonts w:hint="eastAsia" w:ascii="黑体" w:hAnsi="黑体" w:eastAsia="黑体" w:cs="黑体"/>
          <w:sz w:val="20"/>
          <w:szCs w:val="15"/>
        </w:rPr>
        <w:t xml:space="preserve">                                                                      年   月   日</w:t>
      </w:r>
    </w:p>
    <w:p/>
    <w:sectPr>
      <w:footerReference r:id="rId10"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源淏窪极潠极2.">
    <w:altName w:val="Segoe Print"/>
    <w:panose1 w:val="00000000000000000000"/>
    <w:charset w:val="00"/>
    <w:family w:val="swiss"/>
    <w:pitch w:val="default"/>
    <w:sig w:usb0="00000000" w:usb1="00000000" w:usb2="00000010" w:usb3="00000000" w:csb0="00100000" w:csb1="00000000"/>
  </w:font>
  <w:font w:name="方正书宋简体">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8TJYsAgAAV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23xMliwCAABV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3"/>
      </w:pPr>
      <w:r>
        <w:rPr>
          <w:rStyle w:val="39"/>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jc w:val="right"/>
      <w:rPr>
        <w:rFonts w:ascii="宋体" w:hAnsi="宋体"/>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rPr>
      <w:t xml:space="preserve"> 2020年椒江区三甲街道四分类宣传亭采购项目招标文件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D8F7B"/>
    <w:multiLevelType w:val="singleLevel"/>
    <w:tmpl w:val="AE2D8F7B"/>
    <w:lvl w:ilvl="0" w:tentative="0">
      <w:start w:val="1"/>
      <w:numFmt w:val="decimal"/>
      <w:pStyle w:val="8"/>
      <w:lvlText w:val="%1."/>
      <w:lvlJc w:val="left"/>
      <w:pPr>
        <w:tabs>
          <w:tab w:val="left" w:pos="360"/>
        </w:tabs>
        <w:ind w:left="360" w:hanging="360"/>
      </w:pPr>
      <w:rPr>
        <w:rFonts w:cs="Times New Roman"/>
      </w:rPr>
    </w:lvl>
  </w:abstractNum>
  <w:abstractNum w:abstractNumId="1">
    <w:nsid w:val="B219D11E"/>
    <w:multiLevelType w:val="singleLevel"/>
    <w:tmpl w:val="B219D11E"/>
    <w:lvl w:ilvl="0" w:tentative="0">
      <w:start w:val="1"/>
      <w:numFmt w:val="chineseCounting"/>
      <w:suff w:val="nothing"/>
      <w:lvlText w:val="（%1）"/>
      <w:lvlJc w:val="left"/>
      <w:rPr>
        <w:rFonts w:hint="eastAsia"/>
      </w:rPr>
    </w:lvl>
  </w:abstractNum>
  <w:abstractNum w:abstractNumId="2">
    <w:nsid w:val="F593622B"/>
    <w:multiLevelType w:val="singleLevel"/>
    <w:tmpl w:val="F593622B"/>
    <w:lvl w:ilvl="0" w:tentative="0">
      <w:start w:val="2"/>
      <w:numFmt w:val="decimal"/>
      <w:suff w:val="nothing"/>
      <w:lvlText w:val="%1、"/>
      <w:lvlJc w:val="left"/>
    </w:lvl>
  </w:abstractNum>
  <w:abstractNum w:abstractNumId="3">
    <w:nsid w:val="FF7F7344"/>
    <w:multiLevelType w:val="multilevel"/>
    <w:tmpl w:val="FF7F7344"/>
    <w:lvl w:ilvl="0" w:tentative="0">
      <w:start w:val="1"/>
      <w:numFmt w:val="chineseCounting"/>
      <w:pStyle w:val="105"/>
      <w:suff w:val="nothing"/>
      <w:lvlText w:val="%1、"/>
      <w:lvlJc w:val="left"/>
      <w:pPr>
        <w:tabs>
          <w:tab w:val="left" w:pos="0"/>
        </w:tabs>
        <w:ind w:left="0" w:firstLine="400"/>
      </w:pPr>
      <w:rPr>
        <w:rFonts w:hint="eastAsia" w:ascii="宋体" w:hAnsi="宋体" w:eastAsia="宋体" w:cs="宋体"/>
      </w:rPr>
    </w:lvl>
    <w:lvl w:ilvl="1" w:tentative="0">
      <w:start w:val="1"/>
      <w:numFmt w:val="chineseCounting"/>
      <w:pStyle w:val="107"/>
      <w:suff w:val="nothing"/>
      <w:lvlText w:val="（%2）"/>
      <w:lvlJc w:val="left"/>
      <w:pPr>
        <w:ind w:left="0" w:firstLine="400"/>
      </w:pPr>
      <w:rPr>
        <w:rFonts w:hint="eastAsia" w:ascii="宋体" w:hAnsi="宋体" w:eastAsia="宋体" w:cs="宋体"/>
      </w:rPr>
    </w:lvl>
    <w:lvl w:ilvl="2" w:tentative="0">
      <w:start w:val="1"/>
      <w:numFmt w:val="decimal"/>
      <w:suff w:val="nothing"/>
      <w:lvlText w:val="（%3）"/>
      <w:lvlJc w:val="left"/>
      <w:pPr>
        <w:ind w:left="0" w:firstLine="402"/>
      </w:pPr>
      <w:rPr>
        <w:rFonts w:hint="eastAsia" w:ascii="宋体" w:hAnsi="宋体" w:eastAsia="宋体" w:cs="宋体"/>
      </w:rPr>
    </w:lvl>
    <w:lvl w:ilvl="3" w:tentative="0">
      <w:start w:val="1"/>
      <w:numFmt w:val="none"/>
      <w:suff w:val="nothing"/>
      <w:lvlText w:val=" %4 "/>
      <w:lvlJc w:val="left"/>
      <w:pPr>
        <w:tabs>
          <w:tab w:val="left" w:pos="0"/>
        </w:tabs>
        <w:ind w:left="0" w:firstLine="402"/>
      </w:pPr>
      <w:rPr>
        <w:rFonts w:hint="eastAsia" w:ascii="宋体" w:hAnsi="宋体" w:eastAsia="宋体" w:cs="宋体"/>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4">
    <w:nsid w:val="00B31093"/>
    <w:multiLevelType w:val="multilevel"/>
    <w:tmpl w:val="00B31093"/>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4760388"/>
    <w:multiLevelType w:val="singleLevel"/>
    <w:tmpl w:val="04760388"/>
    <w:lvl w:ilvl="0" w:tentative="0">
      <w:start w:val="9"/>
      <w:numFmt w:val="chineseCounting"/>
      <w:suff w:val="nothing"/>
      <w:lvlText w:val="%1、"/>
      <w:lvlJc w:val="left"/>
      <w:rPr>
        <w:rFonts w:hint="eastAsia"/>
      </w:rPr>
    </w:lvl>
  </w:abstractNum>
  <w:abstractNum w:abstractNumId="6">
    <w:nsid w:val="0EC667FE"/>
    <w:multiLevelType w:val="multilevel"/>
    <w:tmpl w:val="0EC667FE"/>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08C3A62"/>
    <w:multiLevelType w:val="multilevel"/>
    <w:tmpl w:val="308C3A62"/>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969F691"/>
    <w:multiLevelType w:val="singleLevel"/>
    <w:tmpl w:val="4969F691"/>
    <w:lvl w:ilvl="0" w:tentative="0">
      <w:start w:val="2"/>
      <w:numFmt w:val="decimal"/>
      <w:suff w:val="nothing"/>
      <w:lvlText w:val="（%1）"/>
      <w:lvlJc w:val="left"/>
    </w:lvl>
  </w:abstractNum>
  <w:abstractNum w:abstractNumId="9">
    <w:nsid w:val="54F403B5"/>
    <w:multiLevelType w:val="singleLevel"/>
    <w:tmpl w:val="54F403B5"/>
    <w:lvl w:ilvl="0" w:tentative="0">
      <w:start w:val="1"/>
      <w:numFmt w:val="chineseCounting"/>
      <w:suff w:val="nothing"/>
      <w:lvlText w:val="%1、"/>
      <w:lvlJc w:val="left"/>
    </w:lvl>
  </w:abstractNum>
  <w:abstractNum w:abstractNumId="10">
    <w:nsid w:val="557FD3DA"/>
    <w:multiLevelType w:val="singleLevel"/>
    <w:tmpl w:val="557FD3DA"/>
    <w:lvl w:ilvl="0" w:tentative="0">
      <w:start w:val="3"/>
      <w:numFmt w:val="chineseCounting"/>
      <w:suff w:val="nothing"/>
      <w:lvlText w:val="%1、"/>
      <w:lvlJc w:val="left"/>
    </w:lvl>
  </w:abstractNum>
  <w:abstractNum w:abstractNumId="11">
    <w:nsid w:val="5A303F85"/>
    <w:multiLevelType w:val="multilevel"/>
    <w:tmpl w:val="5A303F85"/>
    <w:lvl w:ilvl="0" w:tentative="0">
      <w:start w:val="1"/>
      <w:numFmt w:val="decimal"/>
      <w:lvlText w:val="%1"/>
      <w:lvlJc w:val="left"/>
      <w:pPr>
        <w:ind w:left="432" w:hanging="432"/>
      </w:pPr>
    </w:lvl>
    <w:lvl w:ilvl="1" w:tentative="0">
      <w:start w:val="1"/>
      <w:numFmt w:val="decimal"/>
      <w:lvlText w:val="%1.%2"/>
      <w:lvlJc w:val="left"/>
      <w:pPr>
        <w:ind w:left="718" w:hanging="576"/>
      </w:pPr>
    </w:lvl>
    <w:lvl w:ilvl="2" w:tentative="0">
      <w:start w:val="1"/>
      <w:numFmt w:val="bullet"/>
      <w:lvlText w:val=""/>
      <w:lvlJc w:val="left"/>
      <w:pPr>
        <w:ind w:left="720" w:hanging="720"/>
      </w:pPr>
      <w:rPr>
        <w:rFonts w:hint="default" w:ascii="Wingdings" w:hAnsi="Wingdings"/>
      </w:rPr>
    </w:lvl>
    <w:lvl w:ilvl="3" w:tentative="0">
      <w:start w:val="1"/>
      <w:numFmt w:val="decimal"/>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2">
    <w:nsid w:val="79EF7457"/>
    <w:multiLevelType w:val="singleLevel"/>
    <w:tmpl w:val="79EF7457"/>
    <w:lvl w:ilvl="0" w:tentative="0">
      <w:start w:val="1"/>
      <w:numFmt w:val="decimal"/>
      <w:suff w:val="nothing"/>
      <w:lvlText w:val="%1."/>
      <w:lvlJc w:val="left"/>
      <w:pPr>
        <w:ind w:left="0" w:firstLine="400"/>
      </w:pPr>
      <w:rPr>
        <w:rFonts w:hint="default"/>
      </w:rPr>
    </w:lvl>
  </w:abstractNum>
  <w:num w:numId="1">
    <w:abstractNumId w:val="11"/>
  </w:num>
  <w:num w:numId="2">
    <w:abstractNumId w:val="0"/>
  </w:num>
  <w:num w:numId="3">
    <w:abstractNumId w:val="3"/>
  </w:num>
  <w:num w:numId="4">
    <w:abstractNumId w:val="5"/>
  </w:num>
  <w:num w:numId="5">
    <w:abstractNumId w:val="8"/>
  </w:num>
  <w:num w:numId="6">
    <w:abstractNumId w:val="12"/>
  </w:num>
  <w:num w:numId="7">
    <w:abstractNumId w:val="1"/>
  </w:num>
  <w:num w:numId="8">
    <w:abstractNumId w:val="2"/>
  </w:num>
  <w:num w:numId="9">
    <w:abstractNumId w:val="4"/>
  </w:num>
  <w:num w:numId="10">
    <w:abstractNumId w:val="6"/>
  </w:num>
  <w:num w:numId="11">
    <w:abstractNumId w:val="7"/>
  </w:num>
  <w:num w:numId="12">
    <w:abstractNumId w:val="9"/>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YzM3MzgzOWYxYWE3NWQyMTZmYWE1M2E5ZTY5NGYifQ=="/>
  </w:docVars>
  <w:rsids>
    <w:rsidRoot w:val="0E970358"/>
    <w:rsid w:val="00016260"/>
    <w:rsid w:val="0002035B"/>
    <w:rsid w:val="0002240C"/>
    <w:rsid w:val="000403F7"/>
    <w:rsid w:val="00054324"/>
    <w:rsid w:val="0006294D"/>
    <w:rsid w:val="00062AB3"/>
    <w:rsid w:val="000630DA"/>
    <w:rsid w:val="00070AD5"/>
    <w:rsid w:val="00082C5B"/>
    <w:rsid w:val="000C2D2A"/>
    <w:rsid w:val="000C6896"/>
    <w:rsid w:val="000D547F"/>
    <w:rsid w:val="000D7AC3"/>
    <w:rsid w:val="000E5434"/>
    <w:rsid w:val="00107BF6"/>
    <w:rsid w:val="001334F2"/>
    <w:rsid w:val="001358F3"/>
    <w:rsid w:val="00154E8F"/>
    <w:rsid w:val="00163338"/>
    <w:rsid w:val="00165F2A"/>
    <w:rsid w:val="00180836"/>
    <w:rsid w:val="001C1678"/>
    <w:rsid w:val="0020085F"/>
    <w:rsid w:val="00201D2F"/>
    <w:rsid w:val="00201D62"/>
    <w:rsid w:val="00203C2F"/>
    <w:rsid w:val="0021318F"/>
    <w:rsid w:val="00241352"/>
    <w:rsid w:val="002425E2"/>
    <w:rsid w:val="0026287A"/>
    <w:rsid w:val="00267F4F"/>
    <w:rsid w:val="00271612"/>
    <w:rsid w:val="0027247F"/>
    <w:rsid w:val="00277941"/>
    <w:rsid w:val="002841F5"/>
    <w:rsid w:val="00286DC1"/>
    <w:rsid w:val="002A1620"/>
    <w:rsid w:val="002B225D"/>
    <w:rsid w:val="002C6B40"/>
    <w:rsid w:val="002E5174"/>
    <w:rsid w:val="003043CF"/>
    <w:rsid w:val="003102FB"/>
    <w:rsid w:val="0033011F"/>
    <w:rsid w:val="00332E30"/>
    <w:rsid w:val="00333277"/>
    <w:rsid w:val="00342A86"/>
    <w:rsid w:val="00346CA5"/>
    <w:rsid w:val="00353DAF"/>
    <w:rsid w:val="00361222"/>
    <w:rsid w:val="00394F4B"/>
    <w:rsid w:val="003C020E"/>
    <w:rsid w:val="003C5E00"/>
    <w:rsid w:val="003D6256"/>
    <w:rsid w:val="003E51D6"/>
    <w:rsid w:val="003E6DE1"/>
    <w:rsid w:val="003F064B"/>
    <w:rsid w:val="003F127C"/>
    <w:rsid w:val="003F595C"/>
    <w:rsid w:val="003F78E0"/>
    <w:rsid w:val="0041526A"/>
    <w:rsid w:val="00441FAE"/>
    <w:rsid w:val="00446CEF"/>
    <w:rsid w:val="0045368C"/>
    <w:rsid w:val="00474165"/>
    <w:rsid w:val="00481241"/>
    <w:rsid w:val="00482A9E"/>
    <w:rsid w:val="00491BDF"/>
    <w:rsid w:val="004B230B"/>
    <w:rsid w:val="004B4165"/>
    <w:rsid w:val="004C444A"/>
    <w:rsid w:val="004E62DC"/>
    <w:rsid w:val="00501A00"/>
    <w:rsid w:val="00504DE8"/>
    <w:rsid w:val="00513F71"/>
    <w:rsid w:val="00531666"/>
    <w:rsid w:val="00542F87"/>
    <w:rsid w:val="005778EE"/>
    <w:rsid w:val="005B347A"/>
    <w:rsid w:val="005B709D"/>
    <w:rsid w:val="005C4B64"/>
    <w:rsid w:val="005D4B44"/>
    <w:rsid w:val="00605BFA"/>
    <w:rsid w:val="006135DB"/>
    <w:rsid w:val="00616E31"/>
    <w:rsid w:val="00636172"/>
    <w:rsid w:val="00646CA0"/>
    <w:rsid w:val="006472F5"/>
    <w:rsid w:val="006540F3"/>
    <w:rsid w:val="00655E3C"/>
    <w:rsid w:val="00674C42"/>
    <w:rsid w:val="006955C8"/>
    <w:rsid w:val="006E5A80"/>
    <w:rsid w:val="006F4DFE"/>
    <w:rsid w:val="0075349E"/>
    <w:rsid w:val="007569AB"/>
    <w:rsid w:val="00783370"/>
    <w:rsid w:val="00793C81"/>
    <w:rsid w:val="007949A2"/>
    <w:rsid w:val="007A2629"/>
    <w:rsid w:val="007B2675"/>
    <w:rsid w:val="007B7FA6"/>
    <w:rsid w:val="007C1005"/>
    <w:rsid w:val="007F5FAF"/>
    <w:rsid w:val="00802325"/>
    <w:rsid w:val="008154BD"/>
    <w:rsid w:val="00823978"/>
    <w:rsid w:val="00847BE5"/>
    <w:rsid w:val="0088066B"/>
    <w:rsid w:val="00880849"/>
    <w:rsid w:val="0089654B"/>
    <w:rsid w:val="008A4030"/>
    <w:rsid w:val="008D412A"/>
    <w:rsid w:val="008E781F"/>
    <w:rsid w:val="008F08B1"/>
    <w:rsid w:val="00912983"/>
    <w:rsid w:val="00944004"/>
    <w:rsid w:val="00961184"/>
    <w:rsid w:val="009B3E22"/>
    <w:rsid w:val="009F3459"/>
    <w:rsid w:val="009F36F6"/>
    <w:rsid w:val="00A12F71"/>
    <w:rsid w:val="00A17880"/>
    <w:rsid w:val="00A30B75"/>
    <w:rsid w:val="00A667AB"/>
    <w:rsid w:val="00A67D8D"/>
    <w:rsid w:val="00A730CA"/>
    <w:rsid w:val="00A73C92"/>
    <w:rsid w:val="00A84E41"/>
    <w:rsid w:val="00AD78FC"/>
    <w:rsid w:val="00AE6F40"/>
    <w:rsid w:val="00AF276E"/>
    <w:rsid w:val="00B0420E"/>
    <w:rsid w:val="00B0615B"/>
    <w:rsid w:val="00B113F6"/>
    <w:rsid w:val="00B13F6F"/>
    <w:rsid w:val="00B60A03"/>
    <w:rsid w:val="00B968A0"/>
    <w:rsid w:val="00BA0028"/>
    <w:rsid w:val="00BA5D3A"/>
    <w:rsid w:val="00BB7036"/>
    <w:rsid w:val="00BC6DAD"/>
    <w:rsid w:val="00BD0328"/>
    <w:rsid w:val="00BE0ADF"/>
    <w:rsid w:val="00BE77E1"/>
    <w:rsid w:val="00C368B7"/>
    <w:rsid w:val="00C44AFB"/>
    <w:rsid w:val="00C52E14"/>
    <w:rsid w:val="00C65C34"/>
    <w:rsid w:val="00C767D4"/>
    <w:rsid w:val="00CB0437"/>
    <w:rsid w:val="00CB5ACF"/>
    <w:rsid w:val="00CC094A"/>
    <w:rsid w:val="00CC232E"/>
    <w:rsid w:val="00CD1804"/>
    <w:rsid w:val="00D253ED"/>
    <w:rsid w:val="00D264AC"/>
    <w:rsid w:val="00D5269F"/>
    <w:rsid w:val="00D76C21"/>
    <w:rsid w:val="00DA25C4"/>
    <w:rsid w:val="00DB2B95"/>
    <w:rsid w:val="00DB6334"/>
    <w:rsid w:val="00E319E7"/>
    <w:rsid w:val="00E31EE0"/>
    <w:rsid w:val="00E372BC"/>
    <w:rsid w:val="00E72E6E"/>
    <w:rsid w:val="00EF2797"/>
    <w:rsid w:val="00F02207"/>
    <w:rsid w:val="00F127FF"/>
    <w:rsid w:val="00F64E95"/>
    <w:rsid w:val="00F74D1E"/>
    <w:rsid w:val="00F835F4"/>
    <w:rsid w:val="00F92598"/>
    <w:rsid w:val="00F94869"/>
    <w:rsid w:val="00FB454B"/>
    <w:rsid w:val="00FF5544"/>
    <w:rsid w:val="01052A39"/>
    <w:rsid w:val="011D469D"/>
    <w:rsid w:val="012340D0"/>
    <w:rsid w:val="0162067B"/>
    <w:rsid w:val="01721FCC"/>
    <w:rsid w:val="01935887"/>
    <w:rsid w:val="019515C6"/>
    <w:rsid w:val="01AF75B2"/>
    <w:rsid w:val="01D335CF"/>
    <w:rsid w:val="01DC6852"/>
    <w:rsid w:val="01E07B9D"/>
    <w:rsid w:val="01FA5BF6"/>
    <w:rsid w:val="021E5C1E"/>
    <w:rsid w:val="022F3D89"/>
    <w:rsid w:val="023F5195"/>
    <w:rsid w:val="0248373E"/>
    <w:rsid w:val="026B5F45"/>
    <w:rsid w:val="02706A0A"/>
    <w:rsid w:val="02E93C87"/>
    <w:rsid w:val="0326726B"/>
    <w:rsid w:val="035A3819"/>
    <w:rsid w:val="036211A4"/>
    <w:rsid w:val="03654AB0"/>
    <w:rsid w:val="03887300"/>
    <w:rsid w:val="03EF7CB2"/>
    <w:rsid w:val="042D2505"/>
    <w:rsid w:val="045E78E5"/>
    <w:rsid w:val="046717A7"/>
    <w:rsid w:val="047A3ADD"/>
    <w:rsid w:val="04A54663"/>
    <w:rsid w:val="04AE50DC"/>
    <w:rsid w:val="04BF23DC"/>
    <w:rsid w:val="04CC341D"/>
    <w:rsid w:val="04CE5ACF"/>
    <w:rsid w:val="04D22043"/>
    <w:rsid w:val="05137CD7"/>
    <w:rsid w:val="05575651"/>
    <w:rsid w:val="0595650C"/>
    <w:rsid w:val="05C4486D"/>
    <w:rsid w:val="05C67724"/>
    <w:rsid w:val="05E06B23"/>
    <w:rsid w:val="060B26E0"/>
    <w:rsid w:val="060B7070"/>
    <w:rsid w:val="06D55CFF"/>
    <w:rsid w:val="06F93554"/>
    <w:rsid w:val="071F0BF1"/>
    <w:rsid w:val="074A1689"/>
    <w:rsid w:val="077B0190"/>
    <w:rsid w:val="07B5460C"/>
    <w:rsid w:val="07BD5237"/>
    <w:rsid w:val="080B5969"/>
    <w:rsid w:val="081215E3"/>
    <w:rsid w:val="081F3C4E"/>
    <w:rsid w:val="084D10AD"/>
    <w:rsid w:val="086C0E69"/>
    <w:rsid w:val="088A6988"/>
    <w:rsid w:val="08E07EA9"/>
    <w:rsid w:val="08E45F63"/>
    <w:rsid w:val="093B70BC"/>
    <w:rsid w:val="097A796A"/>
    <w:rsid w:val="0987002A"/>
    <w:rsid w:val="09A0598E"/>
    <w:rsid w:val="09B74388"/>
    <w:rsid w:val="09E264A8"/>
    <w:rsid w:val="09F60C96"/>
    <w:rsid w:val="0A1C2CAC"/>
    <w:rsid w:val="0ADB4F19"/>
    <w:rsid w:val="0B256DAC"/>
    <w:rsid w:val="0BAA54A3"/>
    <w:rsid w:val="0BAF3171"/>
    <w:rsid w:val="0BC10186"/>
    <w:rsid w:val="0C091916"/>
    <w:rsid w:val="0C1E2BA0"/>
    <w:rsid w:val="0C765CB2"/>
    <w:rsid w:val="0C813290"/>
    <w:rsid w:val="0C8E523F"/>
    <w:rsid w:val="0CB977BD"/>
    <w:rsid w:val="0CBD5B3E"/>
    <w:rsid w:val="0CCE3D8B"/>
    <w:rsid w:val="0CD52B59"/>
    <w:rsid w:val="0CE04E3B"/>
    <w:rsid w:val="0D23670A"/>
    <w:rsid w:val="0D324E5F"/>
    <w:rsid w:val="0D8A2613"/>
    <w:rsid w:val="0DB81745"/>
    <w:rsid w:val="0DC4731C"/>
    <w:rsid w:val="0DD924D5"/>
    <w:rsid w:val="0E071BA1"/>
    <w:rsid w:val="0E081097"/>
    <w:rsid w:val="0E1A0B36"/>
    <w:rsid w:val="0E2F10B0"/>
    <w:rsid w:val="0E312C51"/>
    <w:rsid w:val="0E3419CF"/>
    <w:rsid w:val="0E830C01"/>
    <w:rsid w:val="0E970358"/>
    <w:rsid w:val="0EC35F79"/>
    <w:rsid w:val="0EC57A8F"/>
    <w:rsid w:val="0ED02FA1"/>
    <w:rsid w:val="0EF13921"/>
    <w:rsid w:val="0F38476A"/>
    <w:rsid w:val="10053DFB"/>
    <w:rsid w:val="10284C56"/>
    <w:rsid w:val="10392EAE"/>
    <w:rsid w:val="10706EC2"/>
    <w:rsid w:val="107B4FAC"/>
    <w:rsid w:val="10A41F38"/>
    <w:rsid w:val="10C727E6"/>
    <w:rsid w:val="11473ABE"/>
    <w:rsid w:val="114D620F"/>
    <w:rsid w:val="11547D40"/>
    <w:rsid w:val="11845E93"/>
    <w:rsid w:val="118C57AF"/>
    <w:rsid w:val="118F26A5"/>
    <w:rsid w:val="11A9394B"/>
    <w:rsid w:val="11B94A44"/>
    <w:rsid w:val="127549CB"/>
    <w:rsid w:val="12807280"/>
    <w:rsid w:val="12882DE7"/>
    <w:rsid w:val="12A23495"/>
    <w:rsid w:val="12B65388"/>
    <w:rsid w:val="12C82784"/>
    <w:rsid w:val="134A6C68"/>
    <w:rsid w:val="13977B1D"/>
    <w:rsid w:val="13E25493"/>
    <w:rsid w:val="13E8165F"/>
    <w:rsid w:val="13FC1BC3"/>
    <w:rsid w:val="140E09CC"/>
    <w:rsid w:val="142C10D4"/>
    <w:rsid w:val="147C341B"/>
    <w:rsid w:val="148463E6"/>
    <w:rsid w:val="14C4428B"/>
    <w:rsid w:val="14C9742C"/>
    <w:rsid w:val="14D20D9B"/>
    <w:rsid w:val="152F4DDC"/>
    <w:rsid w:val="15740760"/>
    <w:rsid w:val="157844FA"/>
    <w:rsid w:val="159A7FEA"/>
    <w:rsid w:val="15A72BED"/>
    <w:rsid w:val="15DF493D"/>
    <w:rsid w:val="160B08B0"/>
    <w:rsid w:val="1621170E"/>
    <w:rsid w:val="168B73C9"/>
    <w:rsid w:val="17BF0B73"/>
    <w:rsid w:val="18615680"/>
    <w:rsid w:val="18820261"/>
    <w:rsid w:val="18820ED2"/>
    <w:rsid w:val="18B91D2B"/>
    <w:rsid w:val="18C40414"/>
    <w:rsid w:val="18DC7A05"/>
    <w:rsid w:val="18E11A7C"/>
    <w:rsid w:val="19160192"/>
    <w:rsid w:val="19384CFD"/>
    <w:rsid w:val="197E76C3"/>
    <w:rsid w:val="1A053EBA"/>
    <w:rsid w:val="1A6A6D44"/>
    <w:rsid w:val="1A701D62"/>
    <w:rsid w:val="1A817123"/>
    <w:rsid w:val="1A943E3B"/>
    <w:rsid w:val="1AB36B66"/>
    <w:rsid w:val="1AC8084D"/>
    <w:rsid w:val="1AFF5975"/>
    <w:rsid w:val="1B272020"/>
    <w:rsid w:val="1B467708"/>
    <w:rsid w:val="1B553139"/>
    <w:rsid w:val="1B5A41B5"/>
    <w:rsid w:val="1B5C5FAA"/>
    <w:rsid w:val="1B674FFA"/>
    <w:rsid w:val="1BAA5D2F"/>
    <w:rsid w:val="1BFD55FF"/>
    <w:rsid w:val="1C093ECB"/>
    <w:rsid w:val="1C2A1FDB"/>
    <w:rsid w:val="1C614247"/>
    <w:rsid w:val="1C8170E0"/>
    <w:rsid w:val="1C8F75EE"/>
    <w:rsid w:val="1CC941B2"/>
    <w:rsid w:val="1CE4433A"/>
    <w:rsid w:val="1D12702D"/>
    <w:rsid w:val="1D256BFD"/>
    <w:rsid w:val="1D955145"/>
    <w:rsid w:val="1DAD49B4"/>
    <w:rsid w:val="1DC530BD"/>
    <w:rsid w:val="1E03081A"/>
    <w:rsid w:val="1E58234F"/>
    <w:rsid w:val="1EA90D6A"/>
    <w:rsid w:val="1EAC31D2"/>
    <w:rsid w:val="1EE84AA8"/>
    <w:rsid w:val="1EEB4BFE"/>
    <w:rsid w:val="1F031196"/>
    <w:rsid w:val="1F177F6F"/>
    <w:rsid w:val="1F7C61AA"/>
    <w:rsid w:val="1FBA217D"/>
    <w:rsid w:val="1FF43F91"/>
    <w:rsid w:val="207F16B7"/>
    <w:rsid w:val="2083583F"/>
    <w:rsid w:val="20B4365F"/>
    <w:rsid w:val="20EC135F"/>
    <w:rsid w:val="20F4416A"/>
    <w:rsid w:val="215E714D"/>
    <w:rsid w:val="216A4D27"/>
    <w:rsid w:val="21797530"/>
    <w:rsid w:val="218E3E77"/>
    <w:rsid w:val="219239C1"/>
    <w:rsid w:val="21937A2C"/>
    <w:rsid w:val="21DF3D4C"/>
    <w:rsid w:val="228447E5"/>
    <w:rsid w:val="23424F53"/>
    <w:rsid w:val="23571328"/>
    <w:rsid w:val="236E14E2"/>
    <w:rsid w:val="23B0386A"/>
    <w:rsid w:val="23C85557"/>
    <w:rsid w:val="23CA09F9"/>
    <w:rsid w:val="23DE3CEE"/>
    <w:rsid w:val="23F534B6"/>
    <w:rsid w:val="240E76D0"/>
    <w:rsid w:val="24222BEB"/>
    <w:rsid w:val="24436C56"/>
    <w:rsid w:val="246763FC"/>
    <w:rsid w:val="24F27DFF"/>
    <w:rsid w:val="250A50C0"/>
    <w:rsid w:val="251F063F"/>
    <w:rsid w:val="25245201"/>
    <w:rsid w:val="252E6833"/>
    <w:rsid w:val="25402402"/>
    <w:rsid w:val="256B13EC"/>
    <w:rsid w:val="256D7C64"/>
    <w:rsid w:val="25A03345"/>
    <w:rsid w:val="25BE056F"/>
    <w:rsid w:val="268A132E"/>
    <w:rsid w:val="26B033B6"/>
    <w:rsid w:val="26BE72FA"/>
    <w:rsid w:val="26F52CD5"/>
    <w:rsid w:val="26F8778C"/>
    <w:rsid w:val="2722443C"/>
    <w:rsid w:val="27351CB2"/>
    <w:rsid w:val="278E014E"/>
    <w:rsid w:val="27AE21C3"/>
    <w:rsid w:val="27AE64D7"/>
    <w:rsid w:val="27C17C06"/>
    <w:rsid w:val="27CE6BDE"/>
    <w:rsid w:val="27E24B4F"/>
    <w:rsid w:val="28076A74"/>
    <w:rsid w:val="281A1679"/>
    <w:rsid w:val="281C1616"/>
    <w:rsid w:val="285D342C"/>
    <w:rsid w:val="28674778"/>
    <w:rsid w:val="28793C99"/>
    <w:rsid w:val="28C64DD6"/>
    <w:rsid w:val="28D04E59"/>
    <w:rsid w:val="28D06A40"/>
    <w:rsid w:val="28D96F9C"/>
    <w:rsid w:val="28F84BEB"/>
    <w:rsid w:val="290603C1"/>
    <w:rsid w:val="291B4E46"/>
    <w:rsid w:val="292066CA"/>
    <w:rsid w:val="294D39FD"/>
    <w:rsid w:val="296F07A5"/>
    <w:rsid w:val="29803A90"/>
    <w:rsid w:val="29AB2725"/>
    <w:rsid w:val="29D148D0"/>
    <w:rsid w:val="29D74E40"/>
    <w:rsid w:val="29E91820"/>
    <w:rsid w:val="2A0A24C3"/>
    <w:rsid w:val="2A1C48C2"/>
    <w:rsid w:val="2A23163B"/>
    <w:rsid w:val="2A361F48"/>
    <w:rsid w:val="2A4A3882"/>
    <w:rsid w:val="2A65489B"/>
    <w:rsid w:val="2A7D56C7"/>
    <w:rsid w:val="2A9F2153"/>
    <w:rsid w:val="2AB56BAD"/>
    <w:rsid w:val="2AC803DC"/>
    <w:rsid w:val="2AF71430"/>
    <w:rsid w:val="2B1C0210"/>
    <w:rsid w:val="2B434FBF"/>
    <w:rsid w:val="2B520C88"/>
    <w:rsid w:val="2B5A03DB"/>
    <w:rsid w:val="2B8729D0"/>
    <w:rsid w:val="2BDA6088"/>
    <w:rsid w:val="2C0F1DFD"/>
    <w:rsid w:val="2C293182"/>
    <w:rsid w:val="2C5C383D"/>
    <w:rsid w:val="2C6042A5"/>
    <w:rsid w:val="2C8E6198"/>
    <w:rsid w:val="2C9C4FAB"/>
    <w:rsid w:val="2CD3653D"/>
    <w:rsid w:val="2D1229F6"/>
    <w:rsid w:val="2D26397D"/>
    <w:rsid w:val="2D4D5F9F"/>
    <w:rsid w:val="2DF16D1A"/>
    <w:rsid w:val="2E111374"/>
    <w:rsid w:val="2E1E658C"/>
    <w:rsid w:val="2E302827"/>
    <w:rsid w:val="2E37171D"/>
    <w:rsid w:val="2E375AC7"/>
    <w:rsid w:val="2E894A68"/>
    <w:rsid w:val="2EAA6FF4"/>
    <w:rsid w:val="2EB61F9D"/>
    <w:rsid w:val="2EE43AA3"/>
    <w:rsid w:val="2F1A5C3C"/>
    <w:rsid w:val="2F402F53"/>
    <w:rsid w:val="2F5C7C53"/>
    <w:rsid w:val="2F602AD9"/>
    <w:rsid w:val="2F8F3F29"/>
    <w:rsid w:val="2FA15DE1"/>
    <w:rsid w:val="2FF94070"/>
    <w:rsid w:val="30143D85"/>
    <w:rsid w:val="303A454C"/>
    <w:rsid w:val="30A54DEF"/>
    <w:rsid w:val="30EC5C85"/>
    <w:rsid w:val="31263D41"/>
    <w:rsid w:val="312E450C"/>
    <w:rsid w:val="314F3073"/>
    <w:rsid w:val="31752B09"/>
    <w:rsid w:val="31A658E8"/>
    <w:rsid w:val="31B37AA1"/>
    <w:rsid w:val="31F455EA"/>
    <w:rsid w:val="32150E63"/>
    <w:rsid w:val="329E5D7D"/>
    <w:rsid w:val="32BA27AF"/>
    <w:rsid w:val="32BE5662"/>
    <w:rsid w:val="32E25E30"/>
    <w:rsid w:val="32E74F8E"/>
    <w:rsid w:val="32FA30D8"/>
    <w:rsid w:val="33096DAB"/>
    <w:rsid w:val="33AE0718"/>
    <w:rsid w:val="33F875C8"/>
    <w:rsid w:val="341548E3"/>
    <w:rsid w:val="34263EBE"/>
    <w:rsid w:val="34462E27"/>
    <w:rsid w:val="34626893"/>
    <w:rsid w:val="34B726AE"/>
    <w:rsid w:val="34E25F30"/>
    <w:rsid w:val="353B229C"/>
    <w:rsid w:val="3562585B"/>
    <w:rsid w:val="35671120"/>
    <w:rsid w:val="35696E6D"/>
    <w:rsid w:val="35752D10"/>
    <w:rsid w:val="357E0252"/>
    <w:rsid w:val="359B739A"/>
    <w:rsid w:val="35BD094D"/>
    <w:rsid w:val="35CA4C7C"/>
    <w:rsid w:val="35CB4769"/>
    <w:rsid w:val="36623E0E"/>
    <w:rsid w:val="36747F99"/>
    <w:rsid w:val="36A71440"/>
    <w:rsid w:val="36EE5406"/>
    <w:rsid w:val="36F54273"/>
    <w:rsid w:val="36FF32E3"/>
    <w:rsid w:val="371C45D1"/>
    <w:rsid w:val="375B54CC"/>
    <w:rsid w:val="37712A39"/>
    <w:rsid w:val="383F52A0"/>
    <w:rsid w:val="387263F1"/>
    <w:rsid w:val="38867685"/>
    <w:rsid w:val="388C0899"/>
    <w:rsid w:val="38AC3AE8"/>
    <w:rsid w:val="38F83BD7"/>
    <w:rsid w:val="39585EB8"/>
    <w:rsid w:val="395A7356"/>
    <w:rsid w:val="39F45627"/>
    <w:rsid w:val="3A433B63"/>
    <w:rsid w:val="3A6B16A6"/>
    <w:rsid w:val="3A727427"/>
    <w:rsid w:val="3A80077E"/>
    <w:rsid w:val="3AB31919"/>
    <w:rsid w:val="3ACC6031"/>
    <w:rsid w:val="3AE04A29"/>
    <w:rsid w:val="3AE50133"/>
    <w:rsid w:val="3AE51BBA"/>
    <w:rsid w:val="3AE77717"/>
    <w:rsid w:val="3AF63F50"/>
    <w:rsid w:val="3B0A3744"/>
    <w:rsid w:val="3B345EA5"/>
    <w:rsid w:val="3BB17971"/>
    <w:rsid w:val="3BC04564"/>
    <w:rsid w:val="3BDB74B9"/>
    <w:rsid w:val="3C0464F0"/>
    <w:rsid w:val="3C3A7D94"/>
    <w:rsid w:val="3C721374"/>
    <w:rsid w:val="3C8C2286"/>
    <w:rsid w:val="3CD035D8"/>
    <w:rsid w:val="3CFA4927"/>
    <w:rsid w:val="3D1275D3"/>
    <w:rsid w:val="3D86440F"/>
    <w:rsid w:val="3DB531EC"/>
    <w:rsid w:val="3DBB71E5"/>
    <w:rsid w:val="3DF961C1"/>
    <w:rsid w:val="3E0B4868"/>
    <w:rsid w:val="3E340D7F"/>
    <w:rsid w:val="3E49245C"/>
    <w:rsid w:val="3EE66FD3"/>
    <w:rsid w:val="3EF05CF3"/>
    <w:rsid w:val="3F0F038E"/>
    <w:rsid w:val="3F1F3E52"/>
    <w:rsid w:val="3F58766C"/>
    <w:rsid w:val="3F9C3DDE"/>
    <w:rsid w:val="3F9F7211"/>
    <w:rsid w:val="3FAF0B15"/>
    <w:rsid w:val="3FBE62D3"/>
    <w:rsid w:val="3FCD2DD8"/>
    <w:rsid w:val="3FDE0D67"/>
    <w:rsid w:val="3FDE79F7"/>
    <w:rsid w:val="3FED78DC"/>
    <w:rsid w:val="3FFA5C7E"/>
    <w:rsid w:val="403D3BFD"/>
    <w:rsid w:val="40D83598"/>
    <w:rsid w:val="40F31238"/>
    <w:rsid w:val="41124A9D"/>
    <w:rsid w:val="41426B0B"/>
    <w:rsid w:val="41BF5C91"/>
    <w:rsid w:val="423D1C6F"/>
    <w:rsid w:val="428B15D7"/>
    <w:rsid w:val="42A151AD"/>
    <w:rsid w:val="42C9328A"/>
    <w:rsid w:val="42D55BA2"/>
    <w:rsid w:val="42DB1A41"/>
    <w:rsid w:val="43036342"/>
    <w:rsid w:val="431539F0"/>
    <w:rsid w:val="431C22C0"/>
    <w:rsid w:val="43346686"/>
    <w:rsid w:val="43486471"/>
    <w:rsid w:val="43D911A2"/>
    <w:rsid w:val="43DF1FE1"/>
    <w:rsid w:val="44530B29"/>
    <w:rsid w:val="449E0BCE"/>
    <w:rsid w:val="44DB069E"/>
    <w:rsid w:val="44E23928"/>
    <w:rsid w:val="44EE76D5"/>
    <w:rsid w:val="45220434"/>
    <w:rsid w:val="452C4D98"/>
    <w:rsid w:val="45457501"/>
    <w:rsid w:val="4563730C"/>
    <w:rsid w:val="456B496E"/>
    <w:rsid w:val="456C1C4C"/>
    <w:rsid w:val="46220AAB"/>
    <w:rsid w:val="4636435A"/>
    <w:rsid w:val="468A1BD1"/>
    <w:rsid w:val="468D28F7"/>
    <w:rsid w:val="470C7121"/>
    <w:rsid w:val="47327E7E"/>
    <w:rsid w:val="4751709D"/>
    <w:rsid w:val="476562C5"/>
    <w:rsid w:val="479B04C9"/>
    <w:rsid w:val="47A00BBC"/>
    <w:rsid w:val="47AB29C9"/>
    <w:rsid w:val="47AF0817"/>
    <w:rsid w:val="47CE7B10"/>
    <w:rsid w:val="47D45E65"/>
    <w:rsid w:val="47D63D9A"/>
    <w:rsid w:val="47F874A6"/>
    <w:rsid w:val="48387AE4"/>
    <w:rsid w:val="48694FA0"/>
    <w:rsid w:val="48775510"/>
    <w:rsid w:val="488E768B"/>
    <w:rsid w:val="48A112A7"/>
    <w:rsid w:val="48BC6558"/>
    <w:rsid w:val="48C21FC5"/>
    <w:rsid w:val="48E13CB5"/>
    <w:rsid w:val="493D2D15"/>
    <w:rsid w:val="494F7A4E"/>
    <w:rsid w:val="498A754F"/>
    <w:rsid w:val="49AD702E"/>
    <w:rsid w:val="49D53E67"/>
    <w:rsid w:val="49F41D5E"/>
    <w:rsid w:val="4A0A6613"/>
    <w:rsid w:val="4A7734F8"/>
    <w:rsid w:val="4AA266C8"/>
    <w:rsid w:val="4B036320"/>
    <w:rsid w:val="4B130424"/>
    <w:rsid w:val="4B1E31F7"/>
    <w:rsid w:val="4B40491C"/>
    <w:rsid w:val="4B4C15AE"/>
    <w:rsid w:val="4B7B1EF3"/>
    <w:rsid w:val="4B8D537B"/>
    <w:rsid w:val="4BAB506D"/>
    <w:rsid w:val="4BCB3573"/>
    <w:rsid w:val="4C1E1BF4"/>
    <w:rsid w:val="4C1F30D4"/>
    <w:rsid w:val="4C5B6C64"/>
    <w:rsid w:val="4C935B64"/>
    <w:rsid w:val="4C9F2527"/>
    <w:rsid w:val="4CA15C74"/>
    <w:rsid w:val="4CAF269B"/>
    <w:rsid w:val="4CC63325"/>
    <w:rsid w:val="4CE75373"/>
    <w:rsid w:val="4D2641AC"/>
    <w:rsid w:val="4D5934CA"/>
    <w:rsid w:val="4DBA747C"/>
    <w:rsid w:val="4DE4164C"/>
    <w:rsid w:val="4E332DC3"/>
    <w:rsid w:val="4E5A4D2D"/>
    <w:rsid w:val="4E650139"/>
    <w:rsid w:val="4EA028F0"/>
    <w:rsid w:val="4F26048F"/>
    <w:rsid w:val="4F31320E"/>
    <w:rsid w:val="4F3501F1"/>
    <w:rsid w:val="4F933E42"/>
    <w:rsid w:val="4F9A7527"/>
    <w:rsid w:val="4FAA7D90"/>
    <w:rsid w:val="4FDC6E61"/>
    <w:rsid w:val="50265F3B"/>
    <w:rsid w:val="50433538"/>
    <w:rsid w:val="505C0493"/>
    <w:rsid w:val="50757C26"/>
    <w:rsid w:val="50CC5698"/>
    <w:rsid w:val="50DD27D7"/>
    <w:rsid w:val="511052EE"/>
    <w:rsid w:val="51270248"/>
    <w:rsid w:val="5133600D"/>
    <w:rsid w:val="513D6EE9"/>
    <w:rsid w:val="515E4A1D"/>
    <w:rsid w:val="51776BB3"/>
    <w:rsid w:val="518B18A5"/>
    <w:rsid w:val="519F1808"/>
    <w:rsid w:val="51BC1926"/>
    <w:rsid w:val="52141AF7"/>
    <w:rsid w:val="521B17DF"/>
    <w:rsid w:val="52396854"/>
    <w:rsid w:val="524B1EE0"/>
    <w:rsid w:val="52F90DFB"/>
    <w:rsid w:val="53AF325A"/>
    <w:rsid w:val="53D864E9"/>
    <w:rsid w:val="541213B5"/>
    <w:rsid w:val="54194DD9"/>
    <w:rsid w:val="54232CFA"/>
    <w:rsid w:val="546A4DA1"/>
    <w:rsid w:val="546B06A3"/>
    <w:rsid w:val="54743630"/>
    <w:rsid w:val="54AA23A7"/>
    <w:rsid w:val="54B73456"/>
    <w:rsid w:val="54DF13F7"/>
    <w:rsid w:val="550B4D11"/>
    <w:rsid w:val="552D4CAD"/>
    <w:rsid w:val="553C0EA2"/>
    <w:rsid w:val="556B4DC2"/>
    <w:rsid w:val="559B4B26"/>
    <w:rsid w:val="55DD7CD7"/>
    <w:rsid w:val="56573672"/>
    <w:rsid w:val="566B0103"/>
    <w:rsid w:val="566D4B95"/>
    <w:rsid w:val="56C71528"/>
    <w:rsid w:val="571C7B55"/>
    <w:rsid w:val="572656D4"/>
    <w:rsid w:val="573218A4"/>
    <w:rsid w:val="573368AF"/>
    <w:rsid w:val="578671EF"/>
    <w:rsid w:val="578D0B51"/>
    <w:rsid w:val="57931F59"/>
    <w:rsid w:val="57951314"/>
    <w:rsid w:val="579C4755"/>
    <w:rsid w:val="57A674E7"/>
    <w:rsid w:val="57AC19DB"/>
    <w:rsid w:val="57FA48CB"/>
    <w:rsid w:val="5802292E"/>
    <w:rsid w:val="58065A21"/>
    <w:rsid w:val="580B7377"/>
    <w:rsid w:val="582B621F"/>
    <w:rsid w:val="586F7137"/>
    <w:rsid w:val="58760A67"/>
    <w:rsid w:val="587B6599"/>
    <w:rsid w:val="58A22484"/>
    <w:rsid w:val="58E75C5F"/>
    <w:rsid w:val="590D0113"/>
    <w:rsid w:val="59124845"/>
    <w:rsid w:val="59234CED"/>
    <w:rsid w:val="592475AC"/>
    <w:rsid w:val="594208FA"/>
    <w:rsid w:val="59472FD8"/>
    <w:rsid w:val="59647DA7"/>
    <w:rsid w:val="59AD06A4"/>
    <w:rsid w:val="59E908FE"/>
    <w:rsid w:val="59F21DA1"/>
    <w:rsid w:val="5A496238"/>
    <w:rsid w:val="5A4D586D"/>
    <w:rsid w:val="5A6249B0"/>
    <w:rsid w:val="5B0073CC"/>
    <w:rsid w:val="5B55023F"/>
    <w:rsid w:val="5B602232"/>
    <w:rsid w:val="5B8C769A"/>
    <w:rsid w:val="5C0520E4"/>
    <w:rsid w:val="5C64203C"/>
    <w:rsid w:val="5C8143E0"/>
    <w:rsid w:val="5C95407D"/>
    <w:rsid w:val="5C995E78"/>
    <w:rsid w:val="5CB645EA"/>
    <w:rsid w:val="5D0B2F67"/>
    <w:rsid w:val="5D2127AC"/>
    <w:rsid w:val="5D254ED0"/>
    <w:rsid w:val="5D4D2A4A"/>
    <w:rsid w:val="5D5174E0"/>
    <w:rsid w:val="5D8946F3"/>
    <w:rsid w:val="5DCB76A8"/>
    <w:rsid w:val="5DDF31CB"/>
    <w:rsid w:val="5DEA733B"/>
    <w:rsid w:val="5E566F5A"/>
    <w:rsid w:val="5E585D16"/>
    <w:rsid w:val="5E6937BE"/>
    <w:rsid w:val="5E961642"/>
    <w:rsid w:val="5EBE1B22"/>
    <w:rsid w:val="5EDD2CB5"/>
    <w:rsid w:val="5EE84C68"/>
    <w:rsid w:val="5F126870"/>
    <w:rsid w:val="5F49632A"/>
    <w:rsid w:val="5F547992"/>
    <w:rsid w:val="5F7DA664"/>
    <w:rsid w:val="5F9A0AD7"/>
    <w:rsid w:val="5FA703FC"/>
    <w:rsid w:val="5FB76437"/>
    <w:rsid w:val="602247B5"/>
    <w:rsid w:val="602463B0"/>
    <w:rsid w:val="6026592A"/>
    <w:rsid w:val="602A6804"/>
    <w:rsid w:val="60474655"/>
    <w:rsid w:val="60C34497"/>
    <w:rsid w:val="60DF30F7"/>
    <w:rsid w:val="60E07B05"/>
    <w:rsid w:val="60F56FE3"/>
    <w:rsid w:val="61CA18C3"/>
    <w:rsid w:val="62000941"/>
    <w:rsid w:val="621D5BA4"/>
    <w:rsid w:val="621F5FB6"/>
    <w:rsid w:val="623C0F16"/>
    <w:rsid w:val="62402606"/>
    <w:rsid w:val="624216C5"/>
    <w:rsid w:val="625642AF"/>
    <w:rsid w:val="62956A3C"/>
    <w:rsid w:val="62D67A7C"/>
    <w:rsid w:val="63023EDA"/>
    <w:rsid w:val="63197EAF"/>
    <w:rsid w:val="63222E63"/>
    <w:rsid w:val="632D538A"/>
    <w:rsid w:val="635B6748"/>
    <w:rsid w:val="635C7E27"/>
    <w:rsid w:val="63947A95"/>
    <w:rsid w:val="639C4C6B"/>
    <w:rsid w:val="63A969BA"/>
    <w:rsid w:val="63BA7EB3"/>
    <w:rsid w:val="63F97976"/>
    <w:rsid w:val="640A4C6C"/>
    <w:rsid w:val="64E07FAD"/>
    <w:rsid w:val="653F22BB"/>
    <w:rsid w:val="66860EDB"/>
    <w:rsid w:val="669358D0"/>
    <w:rsid w:val="6695304B"/>
    <w:rsid w:val="66C63050"/>
    <w:rsid w:val="67065132"/>
    <w:rsid w:val="671E13D8"/>
    <w:rsid w:val="673E586A"/>
    <w:rsid w:val="67B05ABC"/>
    <w:rsid w:val="67B167D1"/>
    <w:rsid w:val="67CC23F8"/>
    <w:rsid w:val="67CF7936"/>
    <w:rsid w:val="67DB0789"/>
    <w:rsid w:val="67F325C3"/>
    <w:rsid w:val="67F86A79"/>
    <w:rsid w:val="680C70C5"/>
    <w:rsid w:val="68236AC3"/>
    <w:rsid w:val="6836710B"/>
    <w:rsid w:val="685F1C50"/>
    <w:rsid w:val="686F5649"/>
    <w:rsid w:val="68E35854"/>
    <w:rsid w:val="69043D3A"/>
    <w:rsid w:val="69086C26"/>
    <w:rsid w:val="6926301F"/>
    <w:rsid w:val="695103C7"/>
    <w:rsid w:val="699022E9"/>
    <w:rsid w:val="69967687"/>
    <w:rsid w:val="69D427C7"/>
    <w:rsid w:val="69E25FA4"/>
    <w:rsid w:val="6A5820C5"/>
    <w:rsid w:val="6A634953"/>
    <w:rsid w:val="6A6830F7"/>
    <w:rsid w:val="6A714498"/>
    <w:rsid w:val="6A90464F"/>
    <w:rsid w:val="6A992FE3"/>
    <w:rsid w:val="6A9F7CF4"/>
    <w:rsid w:val="6AC91764"/>
    <w:rsid w:val="6B1F0CEF"/>
    <w:rsid w:val="6BB802EB"/>
    <w:rsid w:val="6C6B684E"/>
    <w:rsid w:val="6CAC6BB1"/>
    <w:rsid w:val="6CFD4FF5"/>
    <w:rsid w:val="6D3B46BA"/>
    <w:rsid w:val="6D466799"/>
    <w:rsid w:val="6D4A605D"/>
    <w:rsid w:val="6D7B3862"/>
    <w:rsid w:val="6D9734E4"/>
    <w:rsid w:val="6DFC3760"/>
    <w:rsid w:val="6E5D2BD1"/>
    <w:rsid w:val="6E6E7DD1"/>
    <w:rsid w:val="6F20780B"/>
    <w:rsid w:val="6F5A57AE"/>
    <w:rsid w:val="6F797C0C"/>
    <w:rsid w:val="6F985C71"/>
    <w:rsid w:val="6FA47E0C"/>
    <w:rsid w:val="6FD25404"/>
    <w:rsid w:val="701321F1"/>
    <w:rsid w:val="7042072B"/>
    <w:rsid w:val="705B3FE2"/>
    <w:rsid w:val="709E2955"/>
    <w:rsid w:val="70A17D52"/>
    <w:rsid w:val="70C66BD9"/>
    <w:rsid w:val="70CF5E82"/>
    <w:rsid w:val="7101732F"/>
    <w:rsid w:val="71127F06"/>
    <w:rsid w:val="716F328A"/>
    <w:rsid w:val="718C4F65"/>
    <w:rsid w:val="71D62D16"/>
    <w:rsid w:val="71EA4250"/>
    <w:rsid w:val="71FD53CA"/>
    <w:rsid w:val="72044A65"/>
    <w:rsid w:val="72227DEC"/>
    <w:rsid w:val="72455BA2"/>
    <w:rsid w:val="7252617E"/>
    <w:rsid w:val="725428C6"/>
    <w:rsid w:val="72697EB6"/>
    <w:rsid w:val="727151E7"/>
    <w:rsid w:val="728607C8"/>
    <w:rsid w:val="72994734"/>
    <w:rsid w:val="72A14D46"/>
    <w:rsid w:val="72C7706F"/>
    <w:rsid w:val="72FA0C86"/>
    <w:rsid w:val="72FF62EB"/>
    <w:rsid w:val="735C674E"/>
    <w:rsid w:val="73A81E18"/>
    <w:rsid w:val="73C66DBA"/>
    <w:rsid w:val="73D9304E"/>
    <w:rsid w:val="73DD59EC"/>
    <w:rsid w:val="74536AA5"/>
    <w:rsid w:val="745919C6"/>
    <w:rsid w:val="746131D1"/>
    <w:rsid w:val="74702A9A"/>
    <w:rsid w:val="74881988"/>
    <w:rsid w:val="749E52E3"/>
    <w:rsid w:val="749F5797"/>
    <w:rsid w:val="74B12855"/>
    <w:rsid w:val="74B16368"/>
    <w:rsid w:val="74C046C2"/>
    <w:rsid w:val="74EF3808"/>
    <w:rsid w:val="75745308"/>
    <w:rsid w:val="757E19F4"/>
    <w:rsid w:val="75873241"/>
    <w:rsid w:val="75DE2A84"/>
    <w:rsid w:val="761C2BBB"/>
    <w:rsid w:val="7643610B"/>
    <w:rsid w:val="7671701C"/>
    <w:rsid w:val="767E61E2"/>
    <w:rsid w:val="768431F6"/>
    <w:rsid w:val="77551482"/>
    <w:rsid w:val="776A1DE8"/>
    <w:rsid w:val="77716EBD"/>
    <w:rsid w:val="77AA6501"/>
    <w:rsid w:val="77C31850"/>
    <w:rsid w:val="78027C69"/>
    <w:rsid w:val="78110900"/>
    <w:rsid w:val="781D1C29"/>
    <w:rsid w:val="78561FC0"/>
    <w:rsid w:val="785D00CA"/>
    <w:rsid w:val="78B4104B"/>
    <w:rsid w:val="790B650A"/>
    <w:rsid w:val="795043F6"/>
    <w:rsid w:val="79C13E67"/>
    <w:rsid w:val="7A5C657A"/>
    <w:rsid w:val="7A8B0971"/>
    <w:rsid w:val="7AB4288F"/>
    <w:rsid w:val="7AFB2023"/>
    <w:rsid w:val="7B245A58"/>
    <w:rsid w:val="7B313837"/>
    <w:rsid w:val="7B7A469A"/>
    <w:rsid w:val="7BE30C65"/>
    <w:rsid w:val="7C1707DF"/>
    <w:rsid w:val="7C1E5FA7"/>
    <w:rsid w:val="7C9309CD"/>
    <w:rsid w:val="7CA26595"/>
    <w:rsid w:val="7CDC0326"/>
    <w:rsid w:val="7D492C8B"/>
    <w:rsid w:val="7D6C224B"/>
    <w:rsid w:val="7D6E784A"/>
    <w:rsid w:val="7DC63D69"/>
    <w:rsid w:val="7DDD6CEA"/>
    <w:rsid w:val="7DED0920"/>
    <w:rsid w:val="7E35138A"/>
    <w:rsid w:val="7E3A10B9"/>
    <w:rsid w:val="7E636E14"/>
    <w:rsid w:val="7E9968C2"/>
    <w:rsid w:val="7EA62057"/>
    <w:rsid w:val="7EAA6C75"/>
    <w:rsid w:val="7EAF3DC9"/>
    <w:rsid w:val="7EF94B31"/>
    <w:rsid w:val="7F1E0D24"/>
    <w:rsid w:val="7F541766"/>
    <w:rsid w:val="7F631961"/>
    <w:rsid w:val="7F942D07"/>
    <w:rsid w:val="7FB16F17"/>
    <w:rsid w:val="7FC060FD"/>
    <w:rsid w:val="7FD2405D"/>
    <w:rsid w:val="7FDF6760"/>
    <w:rsid w:val="EFFE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sdException w:qFormat="1" w:unhideWhenUsed="0" w:uiPriority="99" w:semiHidden="0" w:name="toc 2"/>
    <w:lsdException w:uiPriority="39" w:name="toc 3" w:locked="1"/>
    <w:lsdException w:uiPriority="39" w:name="toc 4" w:locked="1"/>
    <w:lsdException w:uiPriority="39" w:name="toc 5" w:locked="1"/>
    <w:lsdException w:qFormat="1" w:unhideWhenUsed="0" w:uiPriority="39" w:semiHidden="0" w:name="toc 6"/>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qFormat="1" w:uiPriority="99" w:semiHidden="0" w:name="table of figures"/>
    <w:lsdException w:uiPriority="99" w:name="envelope address" w:locked="1"/>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ocked="1"/>
    <w:lsdException w:uiPriority="99" w:name="Body Text 2" w:locked="1"/>
    <w:lsdException w:qFormat="1" w:unhideWhenUsed="0" w:uiPriority="0" w:semiHidden="0" w:name="Body Text 3"/>
    <w:lsdException w:uiPriority="99" w:name="Body Text Indent 2" w:locked="1"/>
    <w:lsdException w:qFormat="1" w:uiPriority="0" w:semiHidden="0" w:name="Body Text Indent 3"/>
    <w:lsdException w:qFormat="1" w:unhideWhenUsed="0" w:uiPriority="99" w:semiHidden="0" w:name="Block Text"/>
    <w:lsdException w:qFormat="1" w:uiPriority="0" w:semiHidden="0" w:name="Hyperlink"/>
    <w:lsdException w:uiPriority="99" w:name="FollowedHyperlink" w:locked="1"/>
    <w:lsdException w:qFormat="1" w:unhideWhenUsed="0" w:uiPriority="0"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0"/>
    <w:autoRedefine/>
    <w:qFormat/>
    <w:uiPriority w:val="99"/>
    <w:pPr>
      <w:spacing w:before="340" w:after="330" w:line="578" w:lineRule="auto"/>
      <w:outlineLvl w:val="0"/>
    </w:pPr>
    <w:rPr>
      <w:b/>
      <w:bCs/>
      <w:kern w:val="44"/>
      <w:sz w:val="44"/>
      <w:szCs w:val="44"/>
    </w:rPr>
  </w:style>
  <w:style w:type="paragraph" w:styleId="4">
    <w:name w:val="heading 2"/>
    <w:basedOn w:val="1"/>
    <w:next w:val="1"/>
    <w:link w:val="118"/>
    <w:autoRedefine/>
    <w:qFormat/>
    <w:uiPriority w:val="99"/>
    <w:pPr>
      <w:spacing w:before="260" w:after="260" w:line="416" w:lineRule="auto"/>
      <w:outlineLvl w:val="1"/>
    </w:pPr>
    <w:rPr>
      <w:rFonts w:ascii="Cambria" w:hAnsi="Cambria"/>
      <w:b/>
      <w:bCs/>
      <w:kern w:val="0"/>
      <w:sz w:val="32"/>
      <w:szCs w:val="32"/>
    </w:rPr>
  </w:style>
  <w:style w:type="paragraph" w:styleId="5">
    <w:name w:val="heading 3"/>
    <w:basedOn w:val="1"/>
    <w:next w:val="1"/>
    <w:link w:val="62"/>
    <w:autoRedefine/>
    <w:qFormat/>
    <w:uiPriority w:val="99"/>
    <w:pPr>
      <w:spacing w:before="260" w:after="260" w:line="416" w:lineRule="auto"/>
      <w:outlineLvl w:val="2"/>
    </w:pPr>
    <w:rPr>
      <w:b/>
      <w:bCs/>
      <w:kern w:val="0"/>
      <w:sz w:val="32"/>
      <w:szCs w:val="32"/>
    </w:rPr>
  </w:style>
  <w:style w:type="paragraph" w:styleId="6">
    <w:name w:val="heading 4"/>
    <w:basedOn w:val="1"/>
    <w:next w:val="1"/>
    <w:autoRedefine/>
    <w:qFormat/>
    <w:uiPriority w:val="0"/>
    <w:pPr>
      <w:spacing w:before="280" w:after="290" w:line="374" w:lineRule="auto"/>
      <w:outlineLvl w:val="3"/>
    </w:pPr>
    <w:rPr>
      <w:rFonts w:ascii="Arial" w:hAnsi="Arial" w:eastAsia="黑体"/>
      <w:b/>
      <w:bCs/>
      <w:sz w:val="28"/>
      <w:szCs w:val="28"/>
    </w:rPr>
  </w:style>
  <w:style w:type="paragraph" w:styleId="7">
    <w:name w:val="heading 5"/>
    <w:basedOn w:val="1"/>
    <w:next w:val="1"/>
    <w:autoRedefine/>
    <w:qFormat/>
    <w:uiPriority w:val="0"/>
    <w:pPr>
      <w:numPr>
        <w:ilvl w:val="4"/>
        <w:numId w:val="1"/>
      </w:numPr>
      <w:tabs>
        <w:tab w:val="left" w:pos="1008"/>
      </w:tabs>
      <w:spacing w:before="280" w:after="290" w:line="376" w:lineRule="auto"/>
      <w:jc w:val="left"/>
      <w:outlineLvl w:val="4"/>
    </w:pPr>
    <w:rPr>
      <w:b/>
      <w:bCs/>
      <w:kern w:val="0"/>
      <w:sz w:val="28"/>
      <w:szCs w:val="28"/>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unhideWhenUsed/>
    <w:qFormat/>
    <w:uiPriority w:val="39"/>
    <w:pPr>
      <w:jc w:val="left"/>
    </w:pPr>
    <w:rPr>
      <w:rFonts w:cs="宋体"/>
      <w:b/>
      <w:color w:val="000000" w:themeColor="text1"/>
      <w:kern w:val="0"/>
      <w:sz w:val="28"/>
      <w14:textFill>
        <w14:solidFill>
          <w14:schemeClr w14:val="tx1"/>
        </w14:solidFill>
      </w14:textFill>
    </w:rPr>
  </w:style>
  <w:style w:type="paragraph" w:styleId="8">
    <w:name w:val="List Number"/>
    <w:basedOn w:val="1"/>
    <w:autoRedefine/>
    <w:qFormat/>
    <w:uiPriority w:val="99"/>
    <w:pPr>
      <w:numPr>
        <w:ilvl w:val="0"/>
        <w:numId w:val="2"/>
      </w:numPr>
    </w:pPr>
  </w:style>
  <w:style w:type="paragraph" w:styleId="9">
    <w:name w:val="Normal Indent"/>
    <w:basedOn w:val="1"/>
    <w:autoRedefine/>
    <w:qFormat/>
    <w:uiPriority w:val="99"/>
    <w:pPr>
      <w:ind w:firstLine="420"/>
    </w:pPr>
    <w:rPr>
      <w:szCs w:val="20"/>
    </w:rPr>
  </w:style>
  <w:style w:type="paragraph" w:styleId="10">
    <w:name w:val="Document Map"/>
    <w:basedOn w:val="1"/>
    <w:autoRedefine/>
    <w:semiHidden/>
    <w:qFormat/>
    <w:uiPriority w:val="99"/>
    <w:pPr>
      <w:shd w:val="clear" w:color="auto" w:fill="000080"/>
    </w:pPr>
    <w:rPr>
      <w:sz w:val="24"/>
      <w:szCs w:val="20"/>
    </w:rPr>
  </w:style>
  <w:style w:type="paragraph" w:styleId="11">
    <w:name w:val="annotation text"/>
    <w:basedOn w:val="1"/>
    <w:link w:val="57"/>
    <w:autoRedefine/>
    <w:qFormat/>
    <w:uiPriority w:val="0"/>
    <w:pPr>
      <w:jc w:val="left"/>
    </w:pPr>
    <w:rPr>
      <w:sz w:val="24"/>
    </w:rPr>
  </w:style>
  <w:style w:type="paragraph" w:styleId="12">
    <w:name w:val="Body Text 3"/>
    <w:basedOn w:val="1"/>
    <w:autoRedefine/>
    <w:qFormat/>
    <w:uiPriority w:val="0"/>
    <w:rPr>
      <w:rFonts w:ascii="宋体"/>
      <w:sz w:val="24"/>
      <w:szCs w:val="20"/>
    </w:rPr>
  </w:style>
  <w:style w:type="paragraph" w:styleId="13">
    <w:name w:val="Body Text"/>
    <w:basedOn w:val="1"/>
    <w:next w:val="14"/>
    <w:link w:val="48"/>
    <w:autoRedefine/>
    <w:qFormat/>
    <w:uiPriority w:val="99"/>
    <w:pPr>
      <w:spacing w:line="360" w:lineRule="exact"/>
    </w:pPr>
    <w:rPr>
      <w:kern w:val="0"/>
      <w:sz w:val="24"/>
    </w:rPr>
  </w:style>
  <w:style w:type="paragraph" w:styleId="14">
    <w:name w:val="Body Text First Indent"/>
    <w:basedOn w:val="13"/>
    <w:next w:val="1"/>
    <w:autoRedefine/>
    <w:qFormat/>
    <w:uiPriority w:val="99"/>
    <w:pPr>
      <w:ind w:firstLine="420"/>
    </w:pPr>
    <w:rPr>
      <w:rFonts w:ascii="Times New Roman"/>
      <w:sz w:val="21"/>
    </w:rPr>
  </w:style>
  <w:style w:type="paragraph" w:styleId="15">
    <w:name w:val="Body Text Indent"/>
    <w:basedOn w:val="1"/>
    <w:link w:val="56"/>
    <w:autoRedefine/>
    <w:qFormat/>
    <w:uiPriority w:val="99"/>
    <w:pPr>
      <w:spacing w:after="120"/>
      <w:ind w:left="420" w:leftChars="200"/>
    </w:pPr>
    <w:rPr>
      <w:sz w:val="24"/>
    </w:rPr>
  </w:style>
  <w:style w:type="paragraph" w:styleId="16">
    <w:name w:val="Block Text"/>
    <w:basedOn w:val="1"/>
    <w:autoRedefine/>
    <w:qFormat/>
    <w:uiPriority w:val="99"/>
    <w:pPr>
      <w:adjustRightInd w:val="0"/>
      <w:spacing w:line="300" w:lineRule="auto"/>
      <w:ind w:left="958" w:right="-120" w:rightChars="-120"/>
      <w:jc w:val="left"/>
    </w:pPr>
    <w:rPr>
      <w:rFonts w:ascii="宋体" w:hAnsi="宋体"/>
      <w:sz w:val="28"/>
    </w:rPr>
  </w:style>
  <w:style w:type="paragraph" w:styleId="17">
    <w:name w:val="Plain Text"/>
    <w:basedOn w:val="1"/>
    <w:next w:val="18"/>
    <w:link w:val="52"/>
    <w:autoRedefine/>
    <w:qFormat/>
    <w:uiPriority w:val="99"/>
    <w:rPr>
      <w:rFonts w:ascii="宋体" w:hAnsi="Courier New"/>
      <w:kern w:val="0"/>
      <w:szCs w:val="21"/>
    </w:rPr>
  </w:style>
  <w:style w:type="paragraph" w:styleId="18">
    <w:name w:val="Date"/>
    <w:basedOn w:val="1"/>
    <w:next w:val="1"/>
    <w:link w:val="49"/>
    <w:autoRedefine/>
    <w:qFormat/>
    <w:uiPriority w:val="99"/>
    <w:pPr>
      <w:ind w:left="2500" w:leftChars="2500"/>
    </w:pPr>
    <w:rPr>
      <w:kern w:val="0"/>
      <w:sz w:val="24"/>
    </w:rPr>
  </w:style>
  <w:style w:type="paragraph" w:styleId="19">
    <w:name w:val="Balloon Text"/>
    <w:basedOn w:val="1"/>
    <w:link w:val="58"/>
    <w:autoRedefine/>
    <w:qFormat/>
    <w:uiPriority w:val="99"/>
    <w:rPr>
      <w:sz w:val="18"/>
      <w:szCs w:val="18"/>
    </w:rPr>
  </w:style>
  <w:style w:type="paragraph" w:styleId="20">
    <w:name w:val="footer"/>
    <w:basedOn w:val="1"/>
    <w:link w:val="61"/>
    <w:autoRedefine/>
    <w:qFormat/>
    <w:uiPriority w:val="99"/>
    <w:pPr>
      <w:tabs>
        <w:tab w:val="center" w:pos="4153"/>
        <w:tab w:val="right" w:pos="8306"/>
      </w:tabs>
      <w:snapToGrid w:val="0"/>
      <w:jc w:val="left"/>
    </w:pPr>
    <w:rPr>
      <w:kern w:val="0"/>
      <w:sz w:val="18"/>
      <w:szCs w:val="18"/>
    </w:rPr>
  </w:style>
  <w:style w:type="paragraph" w:styleId="21">
    <w:name w:val="envelope return"/>
    <w:basedOn w:val="1"/>
    <w:autoRedefine/>
    <w:qFormat/>
    <w:uiPriority w:val="0"/>
    <w:pPr>
      <w:snapToGrid w:val="0"/>
      <w:spacing w:line="400" w:lineRule="exact"/>
    </w:pPr>
    <w:rPr>
      <w:rFonts w:ascii="Arial" w:hAnsi="Arial"/>
      <w:szCs w:val="20"/>
    </w:rPr>
  </w:style>
  <w:style w:type="paragraph" w:styleId="22">
    <w:name w:val="header"/>
    <w:basedOn w:val="1"/>
    <w:link w:val="54"/>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23">
    <w:name w:val="footnote text"/>
    <w:basedOn w:val="1"/>
    <w:autoRedefine/>
    <w:qFormat/>
    <w:uiPriority w:val="0"/>
    <w:pPr>
      <w:snapToGrid w:val="0"/>
      <w:jc w:val="left"/>
    </w:pPr>
    <w:rPr>
      <w:rFonts w:eastAsia="仿宋_GB2312"/>
      <w:sz w:val="18"/>
      <w:szCs w:val="20"/>
    </w:rPr>
  </w:style>
  <w:style w:type="paragraph" w:styleId="24">
    <w:name w:val="toc 6"/>
    <w:basedOn w:val="1"/>
    <w:next w:val="1"/>
    <w:autoRedefine/>
    <w:qFormat/>
    <w:uiPriority w:val="39"/>
    <w:pPr>
      <w:ind w:left="1000"/>
      <w:jc w:val="left"/>
    </w:pPr>
    <w:rPr>
      <w:kern w:val="0"/>
      <w:sz w:val="18"/>
      <w:szCs w:val="20"/>
    </w:rPr>
  </w:style>
  <w:style w:type="paragraph" w:styleId="25">
    <w:name w:val="Body Text Indent 3"/>
    <w:basedOn w:val="1"/>
    <w:link w:val="97"/>
    <w:autoRedefine/>
    <w:unhideWhenUsed/>
    <w:qFormat/>
    <w:uiPriority w:val="0"/>
    <w:pPr>
      <w:autoSpaceDE w:val="0"/>
      <w:autoSpaceDN w:val="0"/>
      <w:spacing w:line="400" w:lineRule="atLeast"/>
      <w:ind w:firstLine="443"/>
    </w:pPr>
    <w:rPr>
      <w:rFonts w:eastAsia="黑体"/>
      <w:color w:val="000000"/>
      <w:sz w:val="24"/>
    </w:rPr>
  </w:style>
  <w:style w:type="paragraph" w:styleId="26">
    <w:name w:val="table of figures"/>
    <w:basedOn w:val="1"/>
    <w:next w:val="1"/>
    <w:autoRedefine/>
    <w:unhideWhenUsed/>
    <w:qFormat/>
    <w:uiPriority w:val="99"/>
    <w:pPr>
      <w:ind w:left="200" w:leftChars="200" w:hanging="200" w:hangingChars="200"/>
    </w:pPr>
  </w:style>
  <w:style w:type="paragraph" w:styleId="27">
    <w:name w:val="toc 2"/>
    <w:basedOn w:val="1"/>
    <w:next w:val="1"/>
    <w:autoRedefine/>
    <w:qFormat/>
    <w:uiPriority w:val="99"/>
    <w:pPr>
      <w:ind w:left="420" w:leftChars="200"/>
    </w:pPr>
  </w:style>
  <w:style w:type="paragraph" w:styleId="28">
    <w:name w:val="Message Header"/>
    <w:basedOn w:val="1"/>
    <w:autoRedefine/>
    <w:qFormat/>
    <w:uiPriority w:val="0"/>
    <w:pPr>
      <w:ind w:left="500" w:leftChars="500" w:hanging="1080" w:hangingChars="500"/>
    </w:pPr>
    <w:rPr>
      <w:rFonts w:ascii="Arial" w:hAnsi="Arial"/>
      <w:sz w:val="24"/>
    </w:rPr>
  </w:style>
  <w:style w:type="paragraph" w:styleId="29">
    <w:name w:val="Normal (Web)"/>
    <w:basedOn w:val="1"/>
    <w:autoRedefine/>
    <w:qFormat/>
    <w:uiPriority w:val="99"/>
    <w:pPr>
      <w:spacing w:before="100" w:beforeAutospacing="1" w:after="100" w:afterAutospacing="1"/>
      <w:jc w:val="left"/>
    </w:pPr>
    <w:rPr>
      <w:rFonts w:ascii="宋体" w:hAnsi="宋体"/>
      <w:kern w:val="0"/>
      <w:sz w:val="24"/>
    </w:rPr>
  </w:style>
  <w:style w:type="paragraph" w:styleId="30">
    <w:name w:val="Title"/>
    <w:basedOn w:val="1"/>
    <w:autoRedefine/>
    <w:qFormat/>
    <w:uiPriority w:val="0"/>
    <w:pPr>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31">
    <w:name w:val="annotation subject"/>
    <w:basedOn w:val="11"/>
    <w:next w:val="11"/>
    <w:link w:val="53"/>
    <w:autoRedefine/>
    <w:qFormat/>
    <w:uiPriority w:val="99"/>
    <w:rPr>
      <w:b/>
      <w:bCs/>
    </w:rPr>
  </w:style>
  <w:style w:type="paragraph" w:styleId="32">
    <w:name w:val="Body Text First Indent 2"/>
    <w:basedOn w:val="15"/>
    <w:autoRedefine/>
    <w:qFormat/>
    <w:uiPriority w:val="0"/>
    <w:pPr>
      <w:ind w:firstLine="420"/>
    </w:pPr>
    <w:rPr>
      <w:sz w:val="21"/>
    </w:rPr>
  </w:style>
  <w:style w:type="table" w:styleId="34">
    <w:name w:val="Table Grid"/>
    <w:basedOn w:val="3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autoRedefine/>
    <w:qFormat/>
    <w:uiPriority w:val="0"/>
    <w:rPr>
      <w:b/>
    </w:rPr>
  </w:style>
  <w:style w:type="character" w:styleId="37">
    <w:name w:val="Hyperlink"/>
    <w:autoRedefine/>
    <w:unhideWhenUsed/>
    <w:qFormat/>
    <w:uiPriority w:val="0"/>
    <w:rPr>
      <w:color w:val="0000FF"/>
      <w:u w:val="single"/>
    </w:rPr>
  </w:style>
  <w:style w:type="character" w:styleId="38">
    <w:name w:val="annotation reference"/>
    <w:autoRedefine/>
    <w:qFormat/>
    <w:uiPriority w:val="99"/>
    <w:rPr>
      <w:rFonts w:cs="Times New Roman"/>
      <w:sz w:val="21"/>
      <w:szCs w:val="21"/>
    </w:rPr>
  </w:style>
  <w:style w:type="character" w:styleId="39">
    <w:name w:val="footnote reference"/>
    <w:basedOn w:val="35"/>
    <w:autoRedefine/>
    <w:qFormat/>
    <w:uiPriority w:val="0"/>
    <w:rPr>
      <w:vertAlign w:val="superscript"/>
    </w:rPr>
  </w:style>
  <w:style w:type="paragraph" w:customStyle="1" w:styleId="40">
    <w:name w:val="无间隔1"/>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41">
    <w:name w:val="_Style 3"/>
    <w:basedOn w:val="1"/>
    <w:next w:val="1"/>
    <w:autoRedefine/>
    <w:qFormat/>
    <w:uiPriority w:val="34"/>
    <w:pPr>
      <w:spacing w:line="360" w:lineRule="auto"/>
      <w:ind w:firstLine="420" w:firstLineChars="200"/>
    </w:pPr>
    <w:rPr>
      <w:szCs w:val="22"/>
    </w:rPr>
  </w:style>
  <w:style w:type="paragraph" w:customStyle="1" w:styleId="42">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 Indent1"/>
    <w:basedOn w:val="1"/>
    <w:autoRedefine/>
    <w:qFormat/>
    <w:uiPriority w:val="0"/>
    <w:pPr>
      <w:ind w:firstLine="420" w:firstLineChars="200"/>
    </w:pPr>
  </w:style>
  <w:style w:type="paragraph" w:customStyle="1" w:styleId="44">
    <w:name w:val="首行缩进"/>
    <w:basedOn w:val="1"/>
    <w:autoRedefine/>
    <w:qFormat/>
    <w:uiPriority w:val="0"/>
    <w:pPr>
      <w:ind w:firstLine="480"/>
      <w:jc w:val="left"/>
    </w:pPr>
    <w:rPr>
      <w:rFonts w:ascii="宋体" w:hAnsi="宋体" w:cs="宋体"/>
      <w:kern w:val="0"/>
      <w:lang w:val="zh-CN"/>
    </w:rPr>
  </w:style>
  <w:style w:type="paragraph" w:customStyle="1" w:styleId="45">
    <w:name w:val="[Normal]"/>
    <w:autoRedefine/>
    <w:qFormat/>
    <w:uiPriority w:val="0"/>
    <w:rPr>
      <w:rFonts w:ascii="宋体" w:hAnsi="宋体" w:eastAsia="宋体" w:cs="Times New Roman"/>
      <w:sz w:val="24"/>
      <w:szCs w:val="22"/>
      <w:lang w:val="zh-CN" w:eastAsia="zh-CN" w:bidi="ar-SA"/>
    </w:rPr>
  </w:style>
  <w:style w:type="paragraph" w:customStyle="1" w:styleId="46">
    <w:name w:val="签发人"/>
    <w:basedOn w:val="1"/>
    <w:autoRedefine/>
    <w:qFormat/>
    <w:uiPriority w:val="0"/>
    <w:rPr>
      <w:rFonts w:eastAsia="楷体"/>
      <w:sz w:val="32"/>
    </w:rPr>
  </w:style>
  <w:style w:type="paragraph" w:customStyle="1" w:styleId="47">
    <w:name w:val="表格文字"/>
    <w:basedOn w:val="1"/>
    <w:autoRedefine/>
    <w:qFormat/>
    <w:uiPriority w:val="99"/>
    <w:pPr>
      <w:adjustRightInd w:val="0"/>
      <w:spacing w:line="420" w:lineRule="atLeast"/>
      <w:jc w:val="left"/>
      <w:textAlignment w:val="baseline"/>
    </w:pPr>
    <w:rPr>
      <w:kern w:val="0"/>
    </w:rPr>
  </w:style>
  <w:style w:type="character" w:customStyle="1" w:styleId="48">
    <w:name w:val="正文文本 Char"/>
    <w:link w:val="13"/>
    <w:autoRedefine/>
    <w:semiHidden/>
    <w:qFormat/>
    <w:uiPriority w:val="99"/>
    <w:rPr>
      <w:rFonts w:cs="Times New Roman"/>
      <w:sz w:val="24"/>
      <w:szCs w:val="24"/>
    </w:rPr>
  </w:style>
  <w:style w:type="character" w:customStyle="1" w:styleId="49">
    <w:name w:val="日期 Char"/>
    <w:link w:val="18"/>
    <w:autoRedefine/>
    <w:semiHidden/>
    <w:qFormat/>
    <w:uiPriority w:val="99"/>
    <w:rPr>
      <w:rFonts w:cs="Times New Roman"/>
      <w:sz w:val="24"/>
      <w:szCs w:val="24"/>
    </w:rPr>
  </w:style>
  <w:style w:type="character" w:customStyle="1" w:styleId="50">
    <w:name w:val="标题 2 字符"/>
    <w:autoRedefine/>
    <w:semiHidden/>
    <w:qFormat/>
    <w:uiPriority w:val="99"/>
    <w:rPr>
      <w:rFonts w:ascii="Cambria" w:hAnsi="Cambria" w:eastAsia="宋体" w:cs="Times New Roman"/>
      <w:b/>
      <w:bCs/>
      <w:sz w:val="32"/>
      <w:szCs w:val="32"/>
    </w:rPr>
  </w:style>
  <w:style w:type="character" w:customStyle="1" w:styleId="51">
    <w:name w:val="font31"/>
    <w:autoRedefine/>
    <w:qFormat/>
    <w:uiPriority w:val="0"/>
    <w:rPr>
      <w:rFonts w:hint="eastAsia" w:ascii="宋体" w:hAnsi="宋体" w:eastAsia="宋体" w:cs="宋体"/>
      <w:color w:val="000000"/>
      <w:sz w:val="24"/>
      <w:szCs w:val="24"/>
      <w:u w:val="none"/>
    </w:rPr>
  </w:style>
  <w:style w:type="character" w:customStyle="1" w:styleId="52">
    <w:name w:val="纯文本 Char"/>
    <w:link w:val="17"/>
    <w:autoRedefine/>
    <w:semiHidden/>
    <w:qFormat/>
    <w:uiPriority w:val="99"/>
    <w:rPr>
      <w:rFonts w:ascii="宋体" w:hAnsi="Courier New" w:cs="Courier New"/>
      <w:sz w:val="21"/>
      <w:szCs w:val="21"/>
    </w:rPr>
  </w:style>
  <w:style w:type="character" w:customStyle="1" w:styleId="53">
    <w:name w:val="批注主题 Char"/>
    <w:link w:val="31"/>
    <w:autoRedefine/>
    <w:qFormat/>
    <w:uiPriority w:val="99"/>
    <w:rPr>
      <w:rFonts w:ascii="Times New Roman" w:hAnsi="Times New Roman" w:eastAsia="宋体" w:cs="Times New Roman"/>
      <w:b/>
      <w:bCs/>
      <w:kern w:val="2"/>
      <w:sz w:val="24"/>
      <w:szCs w:val="24"/>
    </w:rPr>
  </w:style>
  <w:style w:type="character" w:customStyle="1" w:styleId="54">
    <w:name w:val="页眉 Char"/>
    <w:link w:val="22"/>
    <w:autoRedefine/>
    <w:semiHidden/>
    <w:qFormat/>
    <w:uiPriority w:val="99"/>
    <w:rPr>
      <w:rFonts w:cs="Times New Roman"/>
      <w:sz w:val="18"/>
      <w:szCs w:val="18"/>
    </w:rPr>
  </w:style>
  <w:style w:type="character" w:customStyle="1" w:styleId="55">
    <w:name w:val="font01"/>
    <w:autoRedefine/>
    <w:qFormat/>
    <w:uiPriority w:val="0"/>
    <w:rPr>
      <w:rFonts w:hint="eastAsia" w:ascii="宋体" w:hAnsi="宋体" w:eastAsia="宋体" w:cs="宋体"/>
      <w:color w:val="000000"/>
      <w:sz w:val="24"/>
      <w:szCs w:val="24"/>
      <w:u w:val="none"/>
    </w:rPr>
  </w:style>
  <w:style w:type="character" w:customStyle="1" w:styleId="56">
    <w:name w:val="正文文本缩进 Char"/>
    <w:link w:val="15"/>
    <w:autoRedefine/>
    <w:qFormat/>
    <w:uiPriority w:val="99"/>
    <w:rPr>
      <w:rFonts w:cs="Times New Roman"/>
      <w:kern w:val="2"/>
      <w:sz w:val="24"/>
      <w:szCs w:val="24"/>
    </w:rPr>
  </w:style>
  <w:style w:type="character" w:customStyle="1" w:styleId="57">
    <w:name w:val="批注文字 Char"/>
    <w:link w:val="11"/>
    <w:autoRedefine/>
    <w:qFormat/>
    <w:uiPriority w:val="99"/>
    <w:rPr>
      <w:rFonts w:ascii="Times New Roman" w:hAnsi="Times New Roman" w:eastAsia="宋体" w:cs="Times New Roman"/>
      <w:kern w:val="2"/>
      <w:sz w:val="24"/>
      <w:szCs w:val="24"/>
    </w:rPr>
  </w:style>
  <w:style w:type="character" w:customStyle="1" w:styleId="58">
    <w:name w:val="批注框文本 Char"/>
    <w:link w:val="19"/>
    <w:autoRedefine/>
    <w:qFormat/>
    <w:uiPriority w:val="99"/>
    <w:rPr>
      <w:rFonts w:ascii="Times New Roman" w:hAnsi="Times New Roman" w:eastAsia="宋体" w:cs="Times New Roman"/>
      <w:kern w:val="2"/>
      <w:sz w:val="18"/>
      <w:szCs w:val="18"/>
    </w:rPr>
  </w:style>
  <w:style w:type="character" w:customStyle="1" w:styleId="59">
    <w:name w:val="font11"/>
    <w:autoRedefine/>
    <w:qFormat/>
    <w:uiPriority w:val="0"/>
    <w:rPr>
      <w:rFonts w:hint="default" w:ascii="Times New Roman" w:hAnsi="Times New Roman" w:cs="Times New Roman"/>
      <w:color w:val="000000"/>
      <w:sz w:val="24"/>
      <w:szCs w:val="24"/>
      <w:u w:val="none"/>
    </w:rPr>
  </w:style>
  <w:style w:type="character" w:customStyle="1" w:styleId="60">
    <w:name w:val="标题 1 Char"/>
    <w:link w:val="3"/>
    <w:autoRedefine/>
    <w:qFormat/>
    <w:uiPriority w:val="99"/>
    <w:rPr>
      <w:rFonts w:ascii="Times New Roman" w:hAnsi="Times New Roman" w:cs="Times New Roman"/>
      <w:b/>
      <w:bCs/>
      <w:kern w:val="44"/>
      <w:sz w:val="44"/>
      <w:szCs w:val="44"/>
    </w:rPr>
  </w:style>
  <w:style w:type="character" w:customStyle="1" w:styleId="61">
    <w:name w:val="页脚 Char"/>
    <w:link w:val="20"/>
    <w:autoRedefine/>
    <w:semiHidden/>
    <w:qFormat/>
    <w:uiPriority w:val="99"/>
    <w:rPr>
      <w:rFonts w:cs="Times New Roman"/>
      <w:sz w:val="18"/>
      <w:szCs w:val="18"/>
    </w:rPr>
  </w:style>
  <w:style w:type="character" w:customStyle="1" w:styleId="62">
    <w:name w:val="标题 3 Char"/>
    <w:link w:val="5"/>
    <w:autoRedefine/>
    <w:semiHidden/>
    <w:qFormat/>
    <w:uiPriority w:val="99"/>
    <w:rPr>
      <w:rFonts w:cs="Times New Roman"/>
      <w:b/>
      <w:bCs/>
      <w:sz w:val="32"/>
      <w:szCs w:val="32"/>
    </w:rPr>
  </w:style>
  <w:style w:type="paragraph" w:customStyle="1" w:styleId="63">
    <w:name w:val="页眉与页脚"/>
    <w:autoRedefine/>
    <w:qFormat/>
    <w:uiPriority w:val="99"/>
    <w:pPr>
      <w:tabs>
        <w:tab w:val="right" w:pos="9020"/>
      </w:tabs>
    </w:pPr>
    <w:rPr>
      <w:rFonts w:ascii="Helvetica" w:hAnsi="Helvetica" w:eastAsia="宋体" w:cs="Arial Unicode MS"/>
      <w:color w:val="000000"/>
      <w:sz w:val="24"/>
      <w:szCs w:val="24"/>
      <w:lang w:val="en-US" w:eastAsia="zh-CN" w:bidi="ar-SA"/>
    </w:rPr>
  </w:style>
  <w:style w:type="paragraph" w:customStyle="1" w:styleId="64">
    <w:name w:val="正文_4"/>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65">
    <w:name w:val="列出段落1"/>
    <w:basedOn w:val="1"/>
    <w:autoRedefine/>
    <w:qFormat/>
    <w:uiPriority w:val="99"/>
    <w:pPr>
      <w:ind w:firstLine="420" w:firstLineChars="200"/>
    </w:pPr>
    <w:rPr>
      <w:kern w:val="0"/>
      <w:szCs w:val="20"/>
    </w:rPr>
  </w:style>
  <w:style w:type="paragraph" w:customStyle="1" w:styleId="66">
    <w:name w:val="正文1"/>
    <w:basedOn w:val="10"/>
    <w:autoRedefine/>
    <w:qFormat/>
    <w:uiPriority w:val="0"/>
    <w:pPr>
      <w:adjustRightInd w:val="0"/>
      <w:spacing w:line="240" w:lineRule="atLeast"/>
    </w:pPr>
    <w:rPr>
      <w:rFonts w:ascii="宋体" w:hAnsi="Times New Roman"/>
      <w:sz w:val="34"/>
    </w:rPr>
  </w:style>
  <w:style w:type="paragraph" w:customStyle="1" w:styleId="67">
    <w:name w:val="正文_6"/>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68">
    <w:name w:val="正文_14"/>
    <w:autoRedefine/>
    <w:qFormat/>
    <w:uiPriority w:val="99"/>
    <w:rPr>
      <w:rFonts w:ascii="Calibri" w:hAnsi="Calibri" w:eastAsia="宋体" w:cs="Times New Roman"/>
      <w:sz w:val="21"/>
      <w:szCs w:val="22"/>
      <w:lang w:val="en-US" w:eastAsia="zh-CN" w:bidi="ar-SA"/>
    </w:rPr>
  </w:style>
  <w:style w:type="paragraph" w:customStyle="1" w:styleId="69">
    <w:name w:val="Default"/>
    <w:autoRedefine/>
    <w:qFormat/>
    <w:uiPriority w:val="0"/>
    <w:pPr>
      <w:widowControl w:val="0"/>
      <w:autoSpaceDE w:val="0"/>
      <w:autoSpaceDN w:val="0"/>
      <w:adjustRightInd w:val="0"/>
      <w:spacing w:line="360" w:lineRule="auto"/>
      <w:jc w:val="both"/>
    </w:pPr>
    <w:rPr>
      <w:rFonts w:ascii="源淏窪极潠极2." w:hAnsi="Calibri" w:eastAsia="源淏窪极潠极2." w:cs="源淏窪极潠极2."/>
      <w:color w:val="000000"/>
      <w:sz w:val="24"/>
      <w:szCs w:val="24"/>
      <w:lang w:val="en-US" w:eastAsia="zh-CN" w:bidi="ar-SA"/>
    </w:rPr>
  </w:style>
  <w:style w:type="paragraph" w:customStyle="1" w:styleId="70">
    <w:name w:val="正文_10"/>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71">
    <w:name w:val="Normal_15"/>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2">
    <w:name w:val="表内文字"/>
    <w:basedOn w:val="1"/>
    <w:autoRedefine/>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73">
    <w:name w:val="正文（首行缩进2字符）"/>
    <w:basedOn w:val="1"/>
    <w:autoRedefine/>
    <w:qFormat/>
    <w:uiPriority w:val="0"/>
    <w:pPr>
      <w:spacing w:line="360" w:lineRule="auto"/>
      <w:ind w:firstLine="420" w:firstLineChars="200"/>
    </w:pPr>
    <w:rPr>
      <w:szCs w:val="21"/>
    </w:rPr>
  </w:style>
  <w:style w:type="paragraph" w:customStyle="1" w:styleId="74">
    <w:name w:val="纯文本_3"/>
    <w:basedOn w:val="70"/>
    <w:autoRedefine/>
    <w:qFormat/>
    <w:uiPriority w:val="99"/>
    <w:pPr>
      <w:jc w:val="left"/>
    </w:pPr>
    <w:rPr>
      <w:rFonts w:ascii="宋体" w:hAnsi="Courier New"/>
      <w:szCs w:val="21"/>
    </w:rPr>
  </w:style>
  <w:style w:type="paragraph" w:customStyle="1" w:styleId="75">
    <w:name w:val="正文3"/>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76">
    <w:name w:val="_Style 1"/>
    <w:autoRedefine/>
    <w:qFormat/>
    <w:uiPriority w:val="99"/>
    <w:rPr>
      <w:rFonts w:ascii="Calibri" w:hAnsi="Calibri" w:eastAsia="宋体" w:cs="Times New Roman"/>
      <w:kern w:val="2"/>
      <w:sz w:val="28"/>
      <w:szCs w:val="22"/>
      <w:lang w:val="en-US" w:eastAsia="zh-CN" w:bidi="ar-SA"/>
    </w:rPr>
  </w:style>
  <w:style w:type="paragraph" w:customStyle="1" w:styleId="77">
    <w:name w:val="正文_17"/>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78">
    <w:name w:val="纯文本2"/>
    <w:basedOn w:val="75"/>
    <w:autoRedefine/>
    <w:qFormat/>
    <w:uiPriority w:val="0"/>
    <w:pPr>
      <w:jc w:val="left"/>
    </w:pPr>
    <w:rPr>
      <w:rFonts w:ascii="宋体" w:hAnsi="Courier New"/>
    </w:rPr>
  </w:style>
  <w:style w:type="paragraph" w:customStyle="1" w:styleId="79">
    <w:name w:val="无间隔11"/>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80">
    <w:name w:val="正文_2_0"/>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1">
    <w:name w:val="reader-word-layer"/>
    <w:basedOn w:val="1"/>
    <w:autoRedefine/>
    <w:qFormat/>
    <w:uiPriority w:val="99"/>
    <w:pPr>
      <w:spacing w:before="100" w:beforeAutospacing="1" w:after="100" w:afterAutospacing="1"/>
      <w:jc w:val="left"/>
    </w:pPr>
    <w:rPr>
      <w:rFonts w:ascii="宋体" w:hAnsi="宋体" w:cs="宋体"/>
      <w:kern w:val="0"/>
      <w:sz w:val="24"/>
    </w:rPr>
  </w:style>
  <w:style w:type="paragraph" w:customStyle="1" w:styleId="82">
    <w:name w:val="纯文本_0_1"/>
    <w:basedOn w:val="1"/>
    <w:autoRedefine/>
    <w:qFormat/>
    <w:uiPriority w:val="99"/>
    <w:pPr>
      <w:jc w:val="left"/>
    </w:pPr>
    <w:rPr>
      <w:rFonts w:ascii="宋体" w:hAnsi="Courier New"/>
      <w:szCs w:val="21"/>
    </w:rPr>
  </w:style>
  <w:style w:type="paragraph" w:customStyle="1" w:styleId="83">
    <w:name w:val="正文 A"/>
    <w:autoRedefine/>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84">
    <w:name w:val="正文2"/>
    <w:basedOn w:val="1"/>
    <w:autoRedefine/>
    <w:qFormat/>
    <w:uiPriority w:val="0"/>
    <w:pPr>
      <w:spacing w:before="156" w:line="360" w:lineRule="auto"/>
      <w:ind w:firstLine="510" w:firstLineChars="200"/>
    </w:pPr>
    <w:rPr>
      <w:sz w:val="24"/>
      <w:szCs w:val="20"/>
    </w:rPr>
  </w:style>
  <w:style w:type="paragraph" w:customStyle="1" w:styleId="85">
    <w:name w:val="正文_3_0"/>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6">
    <w:name w:val="样式 表格正文 + 两端对齐"/>
    <w:basedOn w:val="1"/>
    <w:autoRedefine/>
    <w:qFormat/>
    <w:uiPriority w:val="99"/>
    <w:pPr>
      <w:spacing w:line="300" w:lineRule="auto"/>
    </w:pPr>
  </w:style>
  <w:style w:type="paragraph" w:customStyle="1" w:styleId="87">
    <w:name w:val="列出段落2"/>
    <w:basedOn w:val="1"/>
    <w:autoRedefine/>
    <w:qFormat/>
    <w:uiPriority w:val="99"/>
    <w:pPr>
      <w:ind w:firstLine="420" w:firstLineChars="200"/>
    </w:pPr>
    <w:rPr>
      <w:szCs w:val="22"/>
    </w:rPr>
  </w:style>
  <w:style w:type="paragraph" w:customStyle="1" w:styleId="88">
    <w:name w:val="正文_5"/>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9">
    <w:name w:val="4、正文"/>
    <w:basedOn w:val="1"/>
    <w:autoRedefine/>
    <w:qFormat/>
    <w:uiPriority w:val="0"/>
    <w:pPr>
      <w:ind w:firstLine="200" w:firstLineChars="200"/>
    </w:pPr>
    <w:rPr>
      <w:rFonts w:ascii="宋体" w:hAnsi="宋体" w:cs="宋体"/>
      <w:sz w:val="24"/>
    </w:rPr>
  </w:style>
  <w:style w:type="paragraph" w:customStyle="1" w:styleId="90">
    <w:name w:val="zw"/>
    <w:basedOn w:val="1"/>
    <w:autoRedefine/>
    <w:qFormat/>
    <w:uiPriority w:val="99"/>
    <w:pPr>
      <w:spacing w:before="30"/>
      <w:ind w:left="100" w:right="100"/>
    </w:pPr>
    <w:rPr>
      <w:rFonts w:ascii="方正书宋简体" w:hAnsi="宋体" w:eastAsia="方正书宋简体"/>
      <w:color w:val="000000"/>
      <w:kern w:val="0"/>
      <w:szCs w:val="21"/>
    </w:rPr>
  </w:style>
  <w:style w:type="paragraph" w:customStyle="1" w:styleId="91">
    <w:name w:val="Table Paragraph"/>
    <w:basedOn w:val="1"/>
    <w:autoRedefine/>
    <w:qFormat/>
    <w:uiPriority w:val="1"/>
  </w:style>
  <w:style w:type="character" w:customStyle="1" w:styleId="92">
    <w:name w:val="无"/>
    <w:autoRedefine/>
    <w:qFormat/>
    <w:uiPriority w:val="99"/>
  </w:style>
  <w:style w:type="paragraph" w:customStyle="1" w:styleId="93">
    <w:name w:val="列表段落1"/>
    <w:basedOn w:val="1"/>
    <w:autoRedefine/>
    <w:qFormat/>
    <w:uiPriority w:val="99"/>
    <w:pPr>
      <w:ind w:firstLine="420" w:firstLineChars="200"/>
    </w:pPr>
    <w:rPr>
      <w:szCs w:val="22"/>
    </w:rPr>
  </w:style>
  <w:style w:type="paragraph" w:customStyle="1" w:styleId="94">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95">
    <w:name w:val="附表正文"/>
    <w:basedOn w:val="1"/>
    <w:autoRedefine/>
    <w:qFormat/>
    <w:uiPriority w:val="0"/>
    <w:pPr>
      <w:spacing w:line="400" w:lineRule="exact"/>
    </w:pPr>
    <w:rPr>
      <w:rFonts w:ascii="宋体" w:hAnsi="宋体"/>
      <w:szCs w:val="21"/>
    </w:rPr>
  </w:style>
  <w:style w:type="paragraph" w:customStyle="1" w:styleId="96">
    <w:name w:val="中等深浅网格 1 - 强调文字颜色 21"/>
    <w:basedOn w:val="1"/>
    <w:autoRedefine/>
    <w:qFormat/>
    <w:uiPriority w:val="0"/>
    <w:pPr>
      <w:adjustRightInd w:val="0"/>
      <w:spacing w:line="360" w:lineRule="auto"/>
      <w:ind w:firstLine="200" w:firstLineChars="200"/>
    </w:pPr>
    <w:rPr>
      <w:rFonts w:ascii="Times New Roman" w:hAnsi="Times New Roman" w:eastAsia="楷体_GB2312" w:cs="Lucida Sans"/>
      <w:sz w:val="24"/>
    </w:rPr>
  </w:style>
  <w:style w:type="character" w:customStyle="1" w:styleId="97">
    <w:name w:val="正文文本缩进 3 Char"/>
    <w:link w:val="25"/>
    <w:autoRedefine/>
    <w:qFormat/>
    <w:uiPriority w:val="0"/>
    <w:rPr>
      <w:rFonts w:eastAsia="黑体"/>
      <w:color w:val="000000"/>
      <w:sz w:val="24"/>
    </w:rPr>
  </w:style>
  <w:style w:type="paragraph" w:customStyle="1" w:styleId="98">
    <w:name w:val="正文缩进1"/>
    <w:basedOn w:val="1"/>
    <w:autoRedefine/>
    <w:qFormat/>
    <w:uiPriority w:val="0"/>
    <w:pPr>
      <w:ind w:firstLine="420"/>
    </w:pPr>
    <w:rPr>
      <w:szCs w:val="20"/>
    </w:rPr>
  </w:style>
  <w:style w:type="paragraph" w:customStyle="1" w:styleId="99">
    <w:name w:val="NormalIndent"/>
    <w:basedOn w:val="1"/>
    <w:autoRedefine/>
    <w:qFormat/>
    <w:uiPriority w:val="0"/>
    <w:pPr>
      <w:ind w:firstLine="420"/>
    </w:pPr>
    <w:rPr>
      <w:szCs w:val="20"/>
    </w:rPr>
  </w:style>
  <w:style w:type="paragraph" w:customStyle="1" w:styleId="100">
    <w:name w:val="样式 样式1 + 首行缩进:  2 字符"/>
    <w:basedOn w:val="1"/>
    <w:autoRedefine/>
    <w:qFormat/>
    <w:uiPriority w:val="0"/>
    <w:pPr>
      <w:spacing w:line="360" w:lineRule="exact"/>
      <w:ind w:firstLine="420" w:firstLineChars="200"/>
    </w:pPr>
    <w:rPr>
      <w:rFonts w:ascii="Arial" w:hAnsi="Arial" w:cs="宋体"/>
      <w:szCs w:val="20"/>
    </w:rPr>
  </w:style>
  <w:style w:type="character" w:customStyle="1" w:styleId="101">
    <w:name w:val="style11"/>
    <w:autoRedefine/>
    <w:qFormat/>
    <w:uiPriority w:val="0"/>
    <w:rPr>
      <w:b/>
      <w:bCs/>
      <w:color w:val="D54F2B"/>
      <w:sz w:val="21"/>
      <w:szCs w:val="21"/>
    </w:rPr>
  </w:style>
  <w:style w:type="paragraph" w:customStyle="1" w:styleId="102">
    <w:name w:val="p0"/>
    <w:basedOn w:val="1"/>
    <w:autoRedefine/>
    <w:qFormat/>
    <w:uiPriority w:val="0"/>
    <w:rPr>
      <w:kern w:val="0"/>
      <w:szCs w:val="21"/>
    </w:rPr>
  </w:style>
  <w:style w:type="paragraph" w:customStyle="1" w:styleId="103">
    <w:name w:val="xl24"/>
    <w:basedOn w:val="1"/>
    <w:autoRedefine/>
    <w:qFormat/>
    <w:uiPriority w:val="0"/>
    <w:pPr>
      <w:spacing w:before="100" w:beforeAutospacing="1" w:after="100" w:afterAutospacing="1"/>
      <w:jc w:val="center"/>
      <w:textAlignment w:val="center"/>
    </w:pPr>
    <w:rPr>
      <w:rFonts w:ascii="宋体" w:hAnsi="宋体"/>
      <w:kern w:val="0"/>
      <w:sz w:val="24"/>
    </w:rPr>
  </w:style>
  <w:style w:type="paragraph" w:customStyle="1" w:styleId="104">
    <w:name w:val="修订1"/>
    <w:autoRedefine/>
    <w:semiHidden/>
    <w:qFormat/>
    <w:uiPriority w:val="99"/>
    <w:rPr>
      <w:rFonts w:ascii="Calibri" w:hAnsi="Calibri" w:eastAsia="宋体" w:cs="Times New Roman"/>
      <w:kern w:val="2"/>
      <w:sz w:val="21"/>
      <w:szCs w:val="24"/>
      <w:lang w:val="en-US" w:eastAsia="zh-CN" w:bidi="ar-SA"/>
    </w:rPr>
  </w:style>
  <w:style w:type="paragraph" w:customStyle="1" w:styleId="105">
    <w:name w:val="大标一"/>
    <w:basedOn w:val="1"/>
    <w:autoRedefine/>
    <w:qFormat/>
    <w:uiPriority w:val="0"/>
    <w:pPr>
      <w:numPr>
        <w:ilvl w:val="0"/>
        <w:numId w:val="3"/>
      </w:numPr>
      <w:spacing w:line="560" w:lineRule="exact"/>
    </w:pPr>
    <w:rPr>
      <w:rFonts w:eastAsia="仿宋_GB2312"/>
      <w:b/>
      <w:sz w:val="32"/>
    </w:rPr>
  </w:style>
  <w:style w:type="paragraph" w:customStyle="1" w:styleId="106">
    <w:name w:val="正缩2"/>
    <w:basedOn w:val="1"/>
    <w:autoRedefine/>
    <w:qFormat/>
    <w:uiPriority w:val="0"/>
    <w:pPr>
      <w:spacing w:line="560" w:lineRule="exact"/>
      <w:ind w:firstLine="984" w:firstLineChars="200"/>
    </w:pPr>
    <w:rPr>
      <w:rFonts w:eastAsia="仿宋_GB2312"/>
      <w:sz w:val="32"/>
    </w:rPr>
  </w:style>
  <w:style w:type="paragraph" w:customStyle="1" w:styleId="107">
    <w:name w:val="标二"/>
    <w:basedOn w:val="1"/>
    <w:autoRedefine/>
    <w:qFormat/>
    <w:uiPriority w:val="0"/>
    <w:pPr>
      <w:numPr>
        <w:ilvl w:val="1"/>
        <w:numId w:val="3"/>
      </w:numPr>
    </w:pPr>
    <w:rPr>
      <w:rFonts w:eastAsia="仿宋_GB2312"/>
      <w:b/>
      <w:sz w:val="32"/>
    </w:rPr>
  </w:style>
  <w:style w:type="paragraph" w:customStyle="1" w:styleId="108">
    <w:name w:val="标题 3Chapter X.X.X. + 段后: 0.5 行 + 段后: 0.5 行 + 段后: 0.5 行1"/>
    <w:basedOn w:val="109"/>
    <w:autoRedefine/>
    <w:qFormat/>
    <w:uiPriority w:val="0"/>
  </w:style>
  <w:style w:type="paragraph" w:customStyle="1" w:styleId="109">
    <w:name w:val="样式 样式 标题 3Chapter X.X.X. + 段后: 0.5 行 + 段后: 0.5 行"/>
    <w:basedOn w:val="110"/>
    <w:autoRedefine/>
    <w:qFormat/>
    <w:uiPriority w:val="0"/>
  </w:style>
  <w:style w:type="paragraph" w:customStyle="1" w:styleId="110">
    <w:name w:val="样式 标题 3Chapter X.X.X. + 段后: 0.5 行"/>
    <w:basedOn w:val="5"/>
    <w:autoRedefine/>
    <w:qFormat/>
    <w:uiPriority w:val="0"/>
    <w:pPr>
      <w:spacing w:before="120" w:afterLines="50" w:line="240" w:lineRule="auto"/>
      <w:jc w:val="left"/>
    </w:pPr>
    <w:rPr>
      <w:rFonts w:ascii="宋体" w:cs="宋体"/>
      <w:snapToGrid w:val="0"/>
      <w:sz w:val="24"/>
      <w:szCs w:val="20"/>
    </w:rPr>
  </w:style>
  <w:style w:type="paragraph" w:customStyle="1" w:styleId="111">
    <w:name w:val="列表段落2"/>
    <w:basedOn w:val="1"/>
    <w:autoRedefine/>
    <w:qFormat/>
    <w:uiPriority w:val="99"/>
    <w:pPr>
      <w:ind w:firstLine="420" w:firstLineChars="200"/>
    </w:pPr>
    <w:rPr>
      <w:szCs w:val="22"/>
    </w:rPr>
  </w:style>
  <w:style w:type="paragraph" w:customStyle="1" w:styleId="112">
    <w:name w:val="Char"/>
    <w:basedOn w:val="1"/>
    <w:autoRedefine/>
    <w:qFormat/>
    <w:uiPriority w:val="0"/>
    <w:pPr>
      <w:tabs>
        <w:tab w:val="left" w:pos="432"/>
      </w:tabs>
      <w:spacing w:beforeLines="50" w:afterLines="50"/>
      <w:ind w:left="432" w:hanging="432"/>
    </w:pPr>
    <w:rPr>
      <w:rFonts w:ascii="仿宋_GB2312" w:eastAsia="仿宋_GB2312"/>
      <w:sz w:val="24"/>
    </w:rPr>
  </w:style>
  <w:style w:type="paragraph" w:customStyle="1" w:styleId="113">
    <w:name w:val="修订2"/>
    <w:autoRedefine/>
    <w:semiHidden/>
    <w:qFormat/>
    <w:uiPriority w:val="99"/>
    <w:rPr>
      <w:rFonts w:ascii="Calibri" w:hAnsi="Calibri" w:eastAsia="宋体" w:cs="Times New Roman"/>
      <w:kern w:val="2"/>
      <w:sz w:val="21"/>
      <w:szCs w:val="24"/>
      <w:lang w:val="en-US" w:eastAsia="zh-CN" w:bidi="ar-SA"/>
    </w:rPr>
  </w:style>
  <w:style w:type="paragraph" w:customStyle="1" w:styleId="114">
    <w:name w:val="修订3"/>
    <w:autoRedefine/>
    <w:semiHidden/>
    <w:qFormat/>
    <w:uiPriority w:val="99"/>
    <w:rPr>
      <w:rFonts w:ascii="Calibri" w:hAnsi="Calibri" w:eastAsia="宋体" w:cs="Times New Roman"/>
      <w:kern w:val="2"/>
      <w:sz w:val="21"/>
      <w:szCs w:val="24"/>
      <w:lang w:val="en-US" w:eastAsia="zh-CN" w:bidi="ar-SA"/>
    </w:rPr>
  </w:style>
  <w:style w:type="character" w:customStyle="1" w:styleId="115">
    <w:name w:val="NormalCharacter"/>
    <w:autoRedefine/>
    <w:semiHidden/>
    <w:qFormat/>
    <w:uiPriority w:val="0"/>
  </w:style>
  <w:style w:type="paragraph" w:customStyle="1" w:styleId="116">
    <w:name w:val="修订4"/>
    <w:autoRedefine/>
    <w:semiHidden/>
    <w:qFormat/>
    <w:uiPriority w:val="99"/>
    <w:rPr>
      <w:rFonts w:ascii="Calibri" w:hAnsi="Calibri" w:eastAsia="宋体" w:cs="Times New Roman"/>
      <w:kern w:val="2"/>
      <w:sz w:val="21"/>
      <w:szCs w:val="24"/>
      <w:lang w:val="en-US" w:eastAsia="zh-CN" w:bidi="ar-SA"/>
    </w:rPr>
  </w:style>
  <w:style w:type="paragraph" w:customStyle="1" w:styleId="117">
    <w:name w:val="纯文本1"/>
    <w:basedOn w:val="1"/>
    <w:autoRedefine/>
    <w:qFormat/>
    <w:uiPriority w:val="0"/>
    <w:rPr>
      <w:rFonts w:ascii="楷体_GB2312" w:hAnsi="Courier New" w:eastAsia="楷体_GB2312"/>
    </w:rPr>
  </w:style>
  <w:style w:type="character" w:customStyle="1" w:styleId="118">
    <w:name w:val="标题 2 Char"/>
    <w:link w:val="4"/>
    <w:autoRedefine/>
    <w:qFormat/>
    <w:uiPriority w:val="0"/>
    <w:rPr>
      <w:rFonts w:ascii="Arial" w:hAnsi="Arial" w:eastAsia="黑体"/>
      <w:b/>
      <w:bCs/>
      <w:sz w:val="32"/>
      <w:szCs w:val="32"/>
    </w:rPr>
  </w:style>
  <w:style w:type="character" w:customStyle="1" w:styleId="119">
    <w:name w:val="批注文字 Char4"/>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5083</Words>
  <Characters>28976</Characters>
  <Lines>241</Lines>
  <Paragraphs>67</Paragraphs>
  <TotalTime>9</TotalTime>
  <ScaleCrop>false</ScaleCrop>
  <LinksUpToDate>false</LinksUpToDate>
  <CharactersWithSpaces>33992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2020-11-02T17:58:00Z</dcterms:created>
  <dc:creator>S-mile</dc:creator>
  <cp:lastModifiedBy>Administrator</cp:lastModifiedBy>
  <dcterms:modified xsi:type="dcterms:W3CDTF">2024-04-19T03:04:27Z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F67D49681CE04DBEA858FAFD5FBA24CE_13</vt:lpwstr>
  </property>
</Properties>
</file>