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BFAB1">
      <w:pPr>
        <w:widowControl/>
        <w:jc w:val="left"/>
        <w:rPr>
          <w:rStyle w:val="45"/>
          <w:color w:val="auto"/>
          <w:highlight w:val="none"/>
        </w:rPr>
      </w:pPr>
    </w:p>
    <w:p w14:paraId="54F16FC8">
      <w:pPr>
        <w:spacing w:line="360" w:lineRule="auto"/>
        <w:ind w:left="170"/>
        <w:rPr>
          <w:rFonts w:ascii="宋体" w:hAnsi="宋体"/>
          <w:b/>
          <w:color w:val="auto"/>
          <w:sz w:val="72"/>
          <w:szCs w:val="22"/>
          <w:highlight w:val="none"/>
        </w:rPr>
      </w:pPr>
    </w:p>
    <w:p w14:paraId="79EE2DE8">
      <w:pPr>
        <w:jc w:val="center"/>
        <w:rPr>
          <w:rFonts w:ascii="隶书" w:hAnsi="宋体" w:eastAsia="隶书"/>
          <w:b/>
          <w:color w:val="auto"/>
          <w:sz w:val="84"/>
          <w:szCs w:val="84"/>
          <w:highlight w:val="none"/>
        </w:rPr>
      </w:pPr>
    </w:p>
    <w:p w14:paraId="5BB18B26">
      <w:pPr>
        <w:jc w:val="center"/>
        <w:rPr>
          <w:rFonts w:ascii="宋体" w:hAnsi="宋体"/>
          <w:b/>
          <w:color w:val="auto"/>
          <w:sz w:val="96"/>
          <w:szCs w:val="96"/>
          <w:highlight w:val="none"/>
        </w:rPr>
      </w:pPr>
      <w:r>
        <w:rPr>
          <w:rFonts w:hint="eastAsia" w:ascii="宋体" w:hAnsi="宋体"/>
          <w:b/>
          <w:color w:val="auto"/>
          <w:sz w:val="96"/>
          <w:szCs w:val="96"/>
          <w:highlight w:val="none"/>
        </w:rPr>
        <w:t>招标文件</w:t>
      </w:r>
    </w:p>
    <w:p w14:paraId="449C67AB">
      <w:pPr>
        <w:jc w:val="center"/>
        <w:rPr>
          <w:rFonts w:ascii="宋体" w:hAnsi="宋体"/>
          <w:b/>
          <w:color w:val="auto"/>
          <w:sz w:val="96"/>
          <w:szCs w:val="96"/>
          <w:highlight w:val="none"/>
        </w:rPr>
      </w:pPr>
    </w:p>
    <w:p w14:paraId="4E191742">
      <w:pPr>
        <w:jc w:val="center"/>
        <w:rPr>
          <w:rFonts w:ascii="宋体" w:hAnsi="宋体"/>
          <w:b/>
          <w:color w:val="auto"/>
          <w:sz w:val="84"/>
          <w:szCs w:val="84"/>
          <w:highlight w:val="none"/>
        </w:rPr>
      </w:pPr>
      <w:r>
        <w:rPr>
          <w:rFonts w:hint="eastAsia" w:ascii="宋体" w:hAnsi="宋体"/>
          <w:b/>
          <w:color w:val="auto"/>
          <w:sz w:val="84"/>
          <w:szCs w:val="84"/>
          <w:highlight w:val="none"/>
        </w:rPr>
        <w:t>政府采购</w:t>
      </w:r>
    </w:p>
    <w:p w14:paraId="48537866">
      <w:pPr>
        <w:rPr>
          <w:rFonts w:ascii="宋体" w:hAnsi="宋体"/>
          <w:b/>
          <w:color w:val="auto"/>
          <w:sz w:val="36"/>
          <w:szCs w:val="36"/>
          <w:highlight w:val="none"/>
        </w:rPr>
      </w:pPr>
    </w:p>
    <w:p w14:paraId="14ECB51F">
      <w:pPr>
        <w:rPr>
          <w:rFonts w:ascii="宋体" w:hAnsi="宋体"/>
          <w:b/>
          <w:color w:val="auto"/>
          <w:sz w:val="36"/>
          <w:szCs w:val="36"/>
          <w:highlight w:val="none"/>
        </w:rPr>
      </w:pPr>
    </w:p>
    <w:p w14:paraId="40489869">
      <w:pPr>
        <w:spacing w:line="640" w:lineRule="exact"/>
        <w:rPr>
          <w:rFonts w:ascii="宋体" w:hAnsi="宋体"/>
          <w:b/>
          <w:color w:val="auto"/>
          <w:sz w:val="36"/>
          <w:szCs w:val="36"/>
          <w:highlight w:val="none"/>
        </w:rPr>
      </w:pPr>
    </w:p>
    <w:p w14:paraId="554E970C">
      <w:pPr>
        <w:spacing w:line="640" w:lineRule="exact"/>
        <w:rPr>
          <w:rFonts w:ascii="宋体" w:hAnsi="宋体"/>
          <w:b/>
          <w:color w:val="auto"/>
          <w:sz w:val="36"/>
          <w:szCs w:val="36"/>
          <w:highlight w:val="none"/>
        </w:rPr>
      </w:pPr>
    </w:p>
    <w:p w14:paraId="2BC5A68B">
      <w:pPr>
        <w:spacing w:line="640" w:lineRule="exact"/>
        <w:rPr>
          <w:rFonts w:ascii="宋体" w:hAnsi="宋体"/>
          <w:b/>
          <w:color w:val="auto"/>
          <w:sz w:val="36"/>
          <w:szCs w:val="36"/>
          <w:highlight w:val="none"/>
        </w:rPr>
      </w:pPr>
    </w:p>
    <w:p w14:paraId="672767C7">
      <w:pPr>
        <w:widowControl/>
        <w:autoSpaceDE w:val="0"/>
        <w:autoSpaceDN w:val="0"/>
        <w:adjustRightInd w:val="0"/>
        <w:spacing w:line="360" w:lineRule="auto"/>
        <w:ind w:right="-28"/>
        <w:jc w:val="left"/>
        <w:textAlignment w:val="bottom"/>
        <w:rPr>
          <w:rFonts w:ascii="宋体" w:hAnsi="宋体"/>
          <w:b/>
          <w:color w:val="auto"/>
          <w:kern w:val="0"/>
          <w:sz w:val="28"/>
          <w:szCs w:val="28"/>
          <w:highlight w:val="none"/>
        </w:rPr>
      </w:pPr>
      <w:bookmarkStart w:id="0" w:name="OLE_LINK4"/>
      <w:r>
        <w:rPr>
          <w:rFonts w:hint="eastAsia" w:ascii="宋体" w:hAnsi="宋体"/>
          <w:b/>
          <w:color w:val="auto"/>
          <w:kern w:val="0"/>
          <w:sz w:val="28"/>
          <w:szCs w:val="28"/>
          <w:highlight w:val="none"/>
        </w:rPr>
        <w:t>项目名称：</w:t>
      </w:r>
      <w:r>
        <w:rPr>
          <w:rFonts w:hint="eastAsia" w:ascii="宋体" w:hAnsi="宋体"/>
          <w:b/>
          <w:color w:val="auto"/>
          <w:kern w:val="0"/>
          <w:sz w:val="28"/>
          <w:szCs w:val="28"/>
          <w:highlight w:val="none"/>
          <w:lang w:val="en-US" w:eastAsia="zh-CN"/>
        </w:rPr>
        <w:t>高质量发展—学科进位—运动心理与健康研究中心采购项目</w:t>
      </w:r>
      <w:r>
        <w:rPr>
          <w:rFonts w:hint="eastAsia" w:ascii="宋体" w:hAnsi="宋体"/>
          <w:b/>
          <w:color w:val="auto"/>
          <w:kern w:val="0"/>
          <w:sz w:val="28"/>
          <w:szCs w:val="28"/>
          <w:highlight w:val="none"/>
        </w:rPr>
        <w:t xml:space="preserve">       </w:t>
      </w:r>
    </w:p>
    <w:p w14:paraId="15A964CC">
      <w:pPr>
        <w:widowControl/>
        <w:autoSpaceDE w:val="0"/>
        <w:autoSpaceDN w:val="0"/>
        <w:adjustRightInd w:val="0"/>
        <w:spacing w:line="360" w:lineRule="auto"/>
        <w:ind w:right="-28"/>
        <w:jc w:val="left"/>
        <w:textAlignment w:val="bottom"/>
        <w:rPr>
          <w:rFonts w:ascii="宋体" w:hAnsi="宋体"/>
          <w:b/>
          <w:color w:val="auto"/>
          <w:kern w:val="0"/>
          <w:sz w:val="28"/>
          <w:szCs w:val="28"/>
          <w:highlight w:val="none"/>
        </w:rPr>
      </w:pPr>
      <w:r>
        <w:rPr>
          <w:rFonts w:hint="eastAsia" w:ascii="宋体" w:hAnsi="宋体"/>
          <w:b/>
          <w:color w:val="auto"/>
          <w:kern w:val="0"/>
          <w:sz w:val="28"/>
          <w:szCs w:val="28"/>
          <w:highlight w:val="none"/>
        </w:rPr>
        <w:t>项目编号：</w:t>
      </w:r>
      <w:r>
        <w:rPr>
          <w:rFonts w:hint="eastAsia" w:ascii="宋体" w:hAnsi="宋体"/>
          <w:b/>
          <w:color w:val="auto"/>
          <w:kern w:val="0"/>
          <w:sz w:val="28"/>
          <w:szCs w:val="28"/>
          <w:highlight w:val="none"/>
          <w:lang w:eastAsia="zh-CN"/>
        </w:rPr>
        <w:t>0773-2541GNJLHWGK1377</w:t>
      </w:r>
      <w:r>
        <w:rPr>
          <w:rFonts w:hint="eastAsia" w:ascii="宋体" w:hAnsi="宋体"/>
          <w:b/>
          <w:color w:val="auto"/>
          <w:kern w:val="0"/>
          <w:sz w:val="28"/>
          <w:szCs w:val="28"/>
          <w:highlight w:val="none"/>
        </w:rPr>
        <w:t xml:space="preserve"> </w:t>
      </w:r>
    </w:p>
    <w:p w14:paraId="1B0E67E8">
      <w:pPr>
        <w:widowControl/>
        <w:autoSpaceDE w:val="0"/>
        <w:autoSpaceDN w:val="0"/>
        <w:adjustRightInd w:val="0"/>
        <w:spacing w:line="360" w:lineRule="auto"/>
        <w:ind w:right="-28"/>
        <w:jc w:val="left"/>
        <w:textAlignment w:val="bottom"/>
        <w:rPr>
          <w:rFonts w:ascii="宋体" w:hAnsi="宋体"/>
          <w:b/>
          <w:color w:val="auto"/>
          <w:kern w:val="0"/>
          <w:sz w:val="28"/>
          <w:szCs w:val="28"/>
          <w:highlight w:val="none"/>
        </w:rPr>
      </w:pPr>
      <w:r>
        <w:rPr>
          <w:rFonts w:hint="eastAsia" w:ascii="宋体" w:hAnsi="宋体"/>
          <w:b/>
          <w:color w:val="auto"/>
          <w:kern w:val="0"/>
          <w:sz w:val="28"/>
          <w:szCs w:val="28"/>
          <w:highlight w:val="none"/>
        </w:rPr>
        <w:t>采购方式：公开招标</w:t>
      </w:r>
    </w:p>
    <w:p w14:paraId="6A08CDA7">
      <w:pPr>
        <w:widowControl/>
        <w:autoSpaceDE w:val="0"/>
        <w:autoSpaceDN w:val="0"/>
        <w:adjustRightInd w:val="0"/>
        <w:spacing w:line="360" w:lineRule="auto"/>
        <w:ind w:right="-28"/>
        <w:jc w:val="left"/>
        <w:textAlignment w:val="bottom"/>
        <w:rPr>
          <w:rFonts w:hint="eastAsia" w:ascii="宋体" w:hAnsi="宋体" w:eastAsia="宋体"/>
          <w:b/>
          <w:color w:val="auto"/>
          <w:kern w:val="0"/>
          <w:sz w:val="28"/>
          <w:szCs w:val="28"/>
          <w:highlight w:val="none"/>
          <w:lang w:eastAsia="zh-CN"/>
        </w:rPr>
      </w:pPr>
      <w:r>
        <w:rPr>
          <w:rFonts w:hint="eastAsia" w:ascii="宋体" w:hAnsi="宋体"/>
          <w:b/>
          <w:color w:val="auto"/>
          <w:kern w:val="0"/>
          <w:sz w:val="28"/>
          <w:szCs w:val="28"/>
          <w:highlight w:val="none"/>
        </w:rPr>
        <w:t>采购人：</w:t>
      </w:r>
      <w:r>
        <w:rPr>
          <w:rFonts w:hint="eastAsia" w:ascii="宋体" w:hAnsi="宋体"/>
          <w:b/>
          <w:color w:val="auto"/>
          <w:kern w:val="0"/>
          <w:sz w:val="28"/>
          <w:szCs w:val="28"/>
          <w:highlight w:val="none"/>
          <w:lang w:eastAsia="zh-CN"/>
        </w:rPr>
        <w:t>吉林体育学院</w:t>
      </w:r>
    </w:p>
    <w:p w14:paraId="7411A03F">
      <w:pPr>
        <w:spacing w:line="360" w:lineRule="auto"/>
        <w:ind w:firstLine="562"/>
        <w:rPr>
          <w:rFonts w:ascii="宋体" w:hAnsi="宋体"/>
          <w:b/>
          <w:color w:val="auto"/>
          <w:kern w:val="0"/>
          <w:sz w:val="28"/>
          <w:szCs w:val="28"/>
          <w:highlight w:val="none"/>
        </w:rPr>
      </w:pPr>
    </w:p>
    <w:p w14:paraId="2B72231B">
      <w:pPr>
        <w:spacing w:line="360" w:lineRule="auto"/>
        <w:ind w:firstLine="562"/>
        <w:rPr>
          <w:rFonts w:ascii="宋体" w:hAnsi="宋体"/>
          <w:b/>
          <w:color w:val="auto"/>
          <w:kern w:val="0"/>
          <w:sz w:val="28"/>
          <w:szCs w:val="28"/>
          <w:highlight w:val="none"/>
        </w:rPr>
      </w:pPr>
    </w:p>
    <w:p w14:paraId="34AC5B44">
      <w:pPr>
        <w:spacing w:line="360" w:lineRule="auto"/>
        <w:ind w:firstLine="562"/>
        <w:rPr>
          <w:rFonts w:ascii="宋体" w:hAnsi="宋体"/>
          <w:b/>
          <w:color w:val="auto"/>
          <w:kern w:val="0"/>
          <w:sz w:val="28"/>
          <w:szCs w:val="28"/>
          <w:highlight w:val="none"/>
        </w:rPr>
      </w:pPr>
    </w:p>
    <w:p w14:paraId="2D765DB7">
      <w:pPr>
        <w:pStyle w:val="33"/>
        <w:rPr>
          <w:color w:val="auto"/>
          <w:highlight w:val="none"/>
        </w:rPr>
      </w:pPr>
    </w:p>
    <w:p w14:paraId="09EEB3B5">
      <w:pPr>
        <w:spacing w:line="360" w:lineRule="auto"/>
        <w:ind w:firstLine="562"/>
        <w:rPr>
          <w:rFonts w:ascii="宋体" w:hAnsi="宋体"/>
          <w:b/>
          <w:color w:val="auto"/>
          <w:kern w:val="0"/>
          <w:sz w:val="28"/>
          <w:szCs w:val="28"/>
          <w:highlight w:val="none"/>
        </w:rPr>
      </w:pPr>
    </w:p>
    <w:p w14:paraId="091D9344">
      <w:pPr>
        <w:pStyle w:val="9"/>
        <w:rPr>
          <w:color w:val="auto"/>
          <w:highlight w:val="none"/>
        </w:rPr>
      </w:pPr>
    </w:p>
    <w:p w14:paraId="259DA09F">
      <w:pPr>
        <w:spacing w:line="360" w:lineRule="auto"/>
        <w:jc w:val="center"/>
        <w:rPr>
          <w:rFonts w:ascii="宋体" w:hAnsi="宋体"/>
          <w:b/>
          <w:color w:val="auto"/>
          <w:kern w:val="0"/>
          <w:sz w:val="44"/>
          <w:szCs w:val="44"/>
          <w:highlight w:val="none"/>
        </w:rPr>
      </w:pPr>
      <w:r>
        <w:rPr>
          <w:rFonts w:hint="eastAsia" w:ascii="宋体" w:hAnsi="宋体"/>
          <w:b/>
          <w:color w:val="auto"/>
          <w:kern w:val="0"/>
          <w:sz w:val="44"/>
          <w:szCs w:val="44"/>
          <w:highlight w:val="none"/>
        </w:rPr>
        <w:t>目录</w:t>
      </w:r>
    </w:p>
    <w:p w14:paraId="05614457">
      <w:pPr>
        <w:pStyle w:val="4"/>
        <w:spacing w:line="360" w:lineRule="auto"/>
        <w:ind w:firstLine="562"/>
        <w:rPr>
          <w:rFonts w:ascii="宋体" w:hAnsi="宋体" w:cs="宋体"/>
          <w:b/>
          <w:bCs/>
          <w:color w:val="auto"/>
          <w:sz w:val="28"/>
          <w:szCs w:val="28"/>
          <w:highlight w:val="none"/>
        </w:rPr>
      </w:pPr>
    </w:p>
    <w:p w14:paraId="7ECDC00D">
      <w:pPr>
        <w:pStyle w:val="4"/>
        <w:spacing w:line="480" w:lineRule="auto"/>
        <w:ind w:firstLine="562"/>
        <w:rPr>
          <w:rFonts w:ascii="宋体" w:hAnsi="宋体" w:cs="宋体"/>
          <w:b/>
          <w:bCs/>
          <w:color w:val="auto"/>
          <w:sz w:val="28"/>
          <w:szCs w:val="28"/>
          <w:highlight w:val="none"/>
        </w:rPr>
      </w:pPr>
      <w:r>
        <w:rPr>
          <w:rFonts w:hint="eastAsia" w:ascii="宋体" w:hAnsi="宋体" w:cs="宋体"/>
          <w:b/>
          <w:bCs/>
          <w:color w:val="auto"/>
          <w:sz w:val="28"/>
          <w:szCs w:val="28"/>
          <w:highlight w:val="none"/>
        </w:rPr>
        <w:t>第一章  投标邀请</w:t>
      </w:r>
    </w:p>
    <w:p w14:paraId="28D008DB">
      <w:pPr>
        <w:spacing w:line="48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第二章  投标人须知</w:t>
      </w:r>
    </w:p>
    <w:p w14:paraId="462533D0">
      <w:pPr>
        <w:spacing w:line="48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第三章  评标办法</w:t>
      </w:r>
    </w:p>
    <w:p w14:paraId="45ECF6CB">
      <w:pPr>
        <w:spacing w:line="48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第四章  合同条款</w:t>
      </w:r>
    </w:p>
    <w:p w14:paraId="454456D9">
      <w:pPr>
        <w:spacing w:line="48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第五章  采购需求</w:t>
      </w:r>
    </w:p>
    <w:p w14:paraId="33AB42BE">
      <w:pPr>
        <w:spacing w:line="480" w:lineRule="auto"/>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第六章  投标文件构成及格式</w:t>
      </w:r>
    </w:p>
    <w:p w14:paraId="3CDB4BE3">
      <w:pPr>
        <w:spacing w:line="360" w:lineRule="auto"/>
        <w:jc w:val="center"/>
        <w:rPr>
          <w:rFonts w:ascii="宋体" w:hAnsi="宋体"/>
          <w:b/>
          <w:color w:val="auto"/>
          <w:kern w:val="0"/>
          <w:sz w:val="44"/>
          <w:szCs w:val="44"/>
          <w:highlight w:val="none"/>
        </w:rPr>
      </w:pPr>
    </w:p>
    <w:bookmarkEnd w:id="0"/>
    <w:p w14:paraId="05B1BEBB">
      <w:pPr>
        <w:spacing w:line="360" w:lineRule="auto"/>
        <w:ind w:firstLine="622" w:firstLineChars="295"/>
        <w:rPr>
          <w:rFonts w:ascii="宋体" w:hAnsi="宋体"/>
          <w:b/>
          <w:color w:val="auto"/>
          <w:highlight w:val="none"/>
        </w:rPr>
      </w:pPr>
    </w:p>
    <w:p w14:paraId="67970A3D">
      <w:pPr>
        <w:spacing w:line="640" w:lineRule="exact"/>
        <w:rPr>
          <w:rFonts w:ascii="隶书" w:eastAsia="隶书"/>
          <w:b/>
          <w:color w:val="auto"/>
          <w:sz w:val="44"/>
          <w:szCs w:val="44"/>
          <w:highlight w:val="none"/>
        </w:rPr>
      </w:pPr>
    </w:p>
    <w:p w14:paraId="559FDC9F">
      <w:pPr>
        <w:spacing w:line="360" w:lineRule="auto"/>
        <w:ind w:firstLine="2667" w:firstLineChars="738"/>
        <w:rPr>
          <w:rFonts w:ascii="黑体" w:eastAsia="黑体"/>
          <w:b/>
          <w:color w:val="auto"/>
          <w:sz w:val="36"/>
          <w:szCs w:val="36"/>
          <w:highlight w:val="none"/>
        </w:rPr>
        <w:sectPr>
          <w:footerReference r:id="rId3" w:type="default"/>
          <w:footerReference r:id="rId4" w:type="even"/>
          <w:pgSz w:w="11906" w:h="16838"/>
          <w:pgMar w:top="1134" w:right="1134" w:bottom="1134" w:left="1417" w:header="680" w:footer="680" w:gutter="0"/>
          <w:cols w:space="720" w:num="1"/>
          <w:docGrid w:linePitch="312" w:charSpace="0"/>
        </w:sectPr>
      </w:pPr>
    </w:p>
    <w:p w14:paraId="16622169">
      <w:pPr>
        <w:spacing w:line="360" w:lineRule="auto"/>
        <w:ind w:firstLine="2667" w:firstLineChars="738"/>
        <w:rPr>
          <w:rFonts w:ascii="华文中宋" w:hAnsi="华文中宋" w:eastAsia="黑体"/>
          <w:color w:val="auto"/>
          <w:highlight w:val="none"/>
        </w:rPr>
      </w:pPr>
      <w:r>
        <w:rPr>
          <w:rFonts w:hint="eastAsia" w:ascii="黑体" w:eastAsia="黑体"/>
          <w:b/>
          <w:color w:val="auto"/>
          <w:sz w:val="36"/>
          <w:szCs w:val="36"/>
          <w:highlight w:val="none"/>
        </w:rPr>
        <w:t>第一章   投标邀请</w:t>
      </w:r>
    </w:p>
    <w:p w14:paraId="1270B61A">
      <w:pPr>
        <w:pBdr>
          <w:top w:val="single" w:color="auto" w:sz="4" w:space="1"/>
          <w:left w:val="single" w:color="auto" w:sz="4" w:space="4"/>
          <w:bottom w:val="single" w:color="auto" w:sz="4" w:space="1"/>
          <w:right w:val="single" w:color="auto" w:sz="4" w:space="4"/>
        </w:pBdr>
        <w:spacing w:line="360" w:lineRule="exact"/>
        <w:rPr>
          <w:rFonts w:ascii="宋体" w:hAnsi="宋体" w:cs="宋体"/>
          <w:color w:val="auto"/>
          <w:sz w:val="24"/>
          <w:highlight w:val="none"/>
        </w:rPr>
      </w:pPr>
      <w:r>
        <w:rPr>
          <w:rFonts w:hint="eastAsia" w:ascii="宋体" w:hAnsi="宋体" w:cs="宋体"/>
          <w:color w:val="auto"/>
          <w:sz w:val="24"/>
          <w:highlight w:val="none"/>
        </w:rPr>
        <w:t>项目概况</w:t>
      </w:r>
    </w:p>
    <w:p w14:paraId="41A00EFB">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高质量发展—学科进位—运动心理与健康研究中心采购项目</w:t>
      </w:r>
      <w:r>
        <w:rPr>
          <w:rFonts w:hint="eastAsia" w:ascii="宋体" w:hAnsi="宋体" w:cs="宋体"/>
          <w:color w:val="auto"/>
          <w:sz w:val="24"/>
          <w:highlight w:val="none"/>
        </w:rPr>
        <w:t>的潜在投标人应在政采云平台（https://www.zcygov.cn/）获取招标文件，并于202</w:t>
      </w:r>
      <w:r>
        <w:rPr>
          <w:rFonts w:hint="eastAsia" w:ascii="宋体" w:hAnsi="宋体" w:cs="宋体"/>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点</w:t>
      </w:r>
      <w:r>
        <w:rPr>
          <w:rFonts w:hint="eastAsia" w:ascii="宋体" w:hAnsi="宋体" w:cs="宋体"/>
          <w:bCs/>
          <w:color w:val="auto"/>
          <w:sz w:val="24"/>
          <w:highlight w:val="none"/>
          <w:lang w:val="en-US" w:eastAsia="zh-CN"/>
        </w:rPr>
        <w:t>00</w:t>
      </w:r>
      <w:r>
        <w:rPr>
          <w:rFonts w:hint="eastAsia" w:ascii="宋体" w:hAnsi="宋体" w:cs="宋体"/>
          <w:bCs/>
          <w:color w:val="auto"/>
          <w:sz w:val="24"/>
          <w:highlight w:val="none"/>
        </w:rPr>
        <w:t>分（北京时间）前递交投标文件</w:t>
      </w:r>
      <w:r>
        <w:rPr>
          <w:rFonts w:hint="eastAsia" w:ascii="宋体" w:hAnsi="宋体" w:cs="宋体"/>
          <w:color w:val="auto"/>
          <w:sz w:val="24"/>
          <w:highlight w:val="none"/>
        </w:rPr>
        <w:t>。</w:t>
      </w:r>
    </w:p>
    <w:p w14:paraId="4CAF2D2D">
      <w:pPr>
        <w:pStyle w:val="3"/>
        <w:spacing w:line="360" w:lineRule="auto"/>
        <w:rPr>
          <w:rFonts w:hint="default" w:ascii="黑体" w:hAnsi="黑体" w:cs="宋体"/>
          <w:b w:val="0"/>
          <w:color w:val="auto"/>
          <w:sz w:val="28"/>
          <w:szCs w:val="28"/>
          <w:highlight w:val="none"/>
        </w:rPr>
      </w:pPr>
      <w:r>
        <w:rPr>
          <w:rFonts w:ascii="宋体" w:hAnsi="宋体" w:eastAsia="宋体" w:cs="宋体"/>
          <w:bCs w:val="0"/>
          <w:color w:val="auto"/>
          <w:sz w:val="24"/>
          <w:szCs w:val="24"/>
          <w:highlight w:val="none"/>
        </w:rPr>
        <w:t>一、项目基本情况</w:t>
      </w:r>
    </w:p>
    <w:p w14:paraId="4EE50EEF">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1.项目编号：</w:t>
      </w:r>
      <w:r>
        <w:rPr>
          <w:rFonts w:hint="eastAsia" w:asciiTheme="minorEastAsia" w:hAnsiTheme="minorEastAsia" w:eastAsiaTheme="minorEastAsia" w:cstheme="minorEastAsia"/>
          <w:color w:val="auto"/>
          <w:sz w:val="24"/>
          <w:highlight w:val="none"/>
          <w:lang w:eastAsia="zh-CN"/>
        </w:rPr>
        <w:t>0773-2541GNJLHWGK1377</w:t>
      </w:r>
    </w:p>
    <w:p w14:paraId="2F6A7D2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采购编号：采购计划-[2025]-06206号</w:t>
      </w:r>
    </w:p>
    <w:p w14:paraId="4BD813F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val="en-US" w:eastAsia="zh-CN"/>
        </w:rPr>
        <w:t>高质量发展—学科进位—运动心理与健康研究中心采购项目</w:t>
      </w:r>
    </w:p>
    <w:p w14:paraId="53FCCCB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预算金额（人民币）</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406万元</w:t>
      </w:r>
    </w:p>
    <w:p w14:paraId="1C138A46">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采购需求（详见招标文件第五章</w:t>
      </w:r>
      <w:r>
        <w:rPr>
          <w:rFonts w:hint="eastAsia" w:ascii="宋体" w:hAnsi="宋体" w:eastAsia="宋体" w:cs="宋体"/>
          <w:color w:val="auto"/>
          <w:sz w:val="24"/>
          <w:highlight w:val="none"/>
          <w:lang w:val="en-US" w:eastAsia="zh-CN"/>
        </w:rPr>
        <w:t>采购需求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人机环境同步平台（核心产品）、可穿戴眼动追踪系统、表面肌电测量系统等。</w:t>
      </w:r>
    </w:p>
    <w:p w14:paraId="1C883B3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合同履行期限（交货时间）：</w:t>
      </w:r>
      <w:r>
        <w:rPr>
          <w:rFonts w:hint="eastAsia" w:asciiTheme="minorEastAsia" w:hAnsiTheme="minorEastAsia" w:eastAsiaTheme="minorEastAsia" w:cstheme="minorEastAsia"/>
          <w:color w:val="auto"/>
          <w:sz w:val="24"/>
          <w:highlight w:val="none"/>
          <w:lang w:eastAsia="zh-CN"/>
        </w:rPr>
        <w:t>合同签订后30日内交货并安装、调试验收合格</w:t>
      </w:r>
      <w:r>
        <w:rPr>
          <w:rFonts w:hint="eastAsia" w:asciiTheme="minorEastAsia" w:hAnsiTheme="minorEastAsia" w:eastAsiaTheme="minorEastAsia" w:cstheme="minorEastAsia"/>
          <w:color w:val="auto"/>
          <w:sz w:val="24"/>
          <w:highlight w:val="none"/>
        </w:rPr>
        <w:t>。</w:t>
      </w:r>
    </w:p>
    <w:p w14:paraId="5E102F3C">
      <w:pPr>
        <w:spacing w:line="360" w:lineRule="auto"/>
        <w:rPr>
          <w:rFonts w:ascii="仿宋" w:hAnsi="仿宋" w:eastAsia="仿宋"/>
          <w:color w:val="auto"/>
          <w:sz w:val="28"/>
          <w:szCs w:val="28"/>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本项目不接受联合体投标</w:t>
      </w:r>
      <w:r>
        <w:rPr>
          <w:rFonts w:hint="eastAsia" w:ascii="仿宋" w:hAnsi="仿宋" w:eastAsia="仿宋"/>
          <w:color w:val="auto"/>
          <w:sz w:val="28"/>
          <w:szCs w:val="28"/>
          <w:highlight w:val="none"/>
        </w:rPr>
        <w:t>。</w:t>
      </w:r>
    </w:p>
    <w:p w14:paraId="47270D8E">
      <w:pPr>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80C3AC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满足《中华人民共和国政府采购法》第二十二条规定；</w:t>
      </w:r>
    </w:p>
    <w:p w14:paraId="4AD623B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（一）具有独立承担民事责任的能力；</w:t>
      </w:r>
    </w:p>
    <w:p w14:paraId="5A770C7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（二）具有良好的商业信誉和健全的财务会计制度；</w:t>
      </w:r>
    </w:p>
    <w:p w14:paraId="3ACC9B0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（三）具有履行合同所必需的设备和专业技术能力；</w:t>
      </w:r>
    </w:p>
    <w:p w14:paraId="58624D9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（四）有依法缴纳税收和社会保障资金的良好记录；</w:t>
      </w:r>
    </w:p>
    <w:p w14:paraId="441A649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（五）参加政府采购活动前三年内，在经营活动中没有重大违法记录；</w:t>
      </w:r>
    </w:p>
    <w:p w14:paraId="512A6B1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（六）法律、行政法规规定的其他条件；</w:t>
      </w:r>
    </w:p>
    <w:p w14:paraId="04C5AB7C">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2.落实政府采购政策需满足的资格要求：本项目</w:t>
      </w:r>
      <w:r>
        <w:rPr>
          <w:rFonts w:hint="eastAsia" w:asciiTheme="minorEastAsia" w:hAnsiTheme="minorEastAsia" w:eastAsiaTheme="minorEastAsia" w:cstheme="minorEastAsia"/>
          <w:b/>
          <w:bCs/>
          <w:color w:val="auto"/>
          <w:sz w:val="24"/>
          <w:highlight w:val="none"/>
          <w:lang w:val="en-US" w:eastAsia="zh-CN"/>
        </w:rPr>
        <w:t>非专门</w:t>
      </w:r>
      <w:r>
        <w:rPr>
          <w:rFonts w:hint="eastAsia" w:asciiTheme="minorEastAsia" w:hAnsiTheme="minorEastAsia" w:eastAsiaTheme="minorEastAsia" w:cstheme="minorEastAsia"/>
          <w:b/>
          <w:bCs/>
          <w:color w:val="auto"/>
          <w:sz w:val="24"/>
          <w:highlight w:val="none"/>
        </w:rPr>
        <w:t>面向中小企业采购</w:t>
      </w:r>
    </w:p>
    <w:p w14:paraId="0B8838BC">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本项目特定的资格要求：</w:t>
      </w:r>
      <w:r>
        <w:rPr>
          <w:rFonts w:hint="eastAsia" w:asciiTheme="minorEastAsia" w:hAnsiTheme="minorEastAsia" w:eastAsiaTheme="minorEastAsia" w:cstheme="minorEastAsia"/>
          <w:color w:val="auto"/>
          <w:sz w:val="24"/>
          <w:highlight w:val="none"/>
          <w:lang w:val="en-US" w:eastAsia="zh-CN"/>
        </w:rPr>
        <w:t>无</w:t>
      </w:r>
    </w:p>
    <w:p w14:paraId="3DDD7DA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4.未</w:t>
      </w:r>
      <w:r>
        <w:rPr>
          <w:rFonts w:hint="eastAsia" w:asciiTheme="minorEastAsia" w:hAnsiTheme="minorEastAsia" w:eastAsiaTheme="minorEastAsia" w:cstheme="minorEastAsia"/>
          <w:color w:val="auto"/>
          <w:sz w:val="24"/>
          <w:highlight w:val="none"/>
        </w:rPr>
        <w:t>列入失信被执行人、重大税收违法案件当事人名单、政府采购严重违法失信行为记录名单的投标人，拒绝其参与政府采购活动。查询通道：“信用中国”网站（www.creditchina.gov.cn）、中国政府采购网（www.ccgp.gov.cn）等。截止时点：本项目招标公告发布之日起到投标截止时间期间；</w:t>
      </w:r>
    </w:p>
    <w:p w14:paraId="11CBDE2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单位负责人为同一人或存在直接控股、管理关系的不同投标人，不得参加同一合同项下的政府采购活动；</w:t>
      </w:r>
    </w:p>
    <w:p w14:paraId="15DB7B2A">
      <w:pPr>
        <w:adjustRightInd w:val="0"/>
        <w:spacing w:line="360" w:lineRule="auto"/>
        <w:rPr>
          <w:rFonts w:ascii="黑体" w:hAnsi="黑体" w:eastAsia="黑体" w:cs="宋体"/>
          <w:bCs/>
          <w:color w:val="auto"/>
          <w:sz w:val="28"/>
          <w:szCs w:val="28"/>
          <w:highlight w:val="none"/>
        </w:rPr>
      </w:pPr>
      <w:r>
        <w:rPr>
          <w:rFonts w:hint="eastAsia" w:ascii="宋体" w:hAnsi="宋体" w:cs="宋体"/>
          <w:b/>
          <w:color w:val="auto"/>
          <w:sz w:val="24"/>
          <w:highlight w:val="none"/>
        </w:rPr>
        <w:t>三、获取招标文件</w:t>
      </w:r>
    </w:p>
    <w:p w14:paraId="4DC3031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时间：202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日至202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22</w:t>
      </w:r>
      <w:r>
        <w:rPr>
          <w:rFonts w:hint="eastAsia" w:asciiTheme="minorEastAsia" w:hAnsiTheme="minorEastAsia" w:eastAsiaTheme="minorEastAsia" w:cstheme="minorEastAsia"/>
          <w:color w:val="auto"/>
          <w:sz w:val="24"/>
          <w:highlight w:val="none"/>
        </w:rPr>
        <w:t>日23:59分（北京时间，节假日除外）</w:t>
      </w:r>
    </w:p>
    <w:p w14:paraId="6737A00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地点：政采云平台（</w:t>
      </w: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HYPERLINK "https://www.zcygov.cn/"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https://www.zcygov.cn/</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 xml:space="preserve">） </w:t>
      </w:r>
    </w:p>
    <w:p w14:paraId="6AE46B3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3.方式：</w:t>
      </w:r>
      <w:r>
        <w:rPr>
          <w:rFonts w:hint="eastAsia" w:asciiTheme="minorEastAsia" w:hAnsiTheme="minorEastAsia" w:eastAsiaTheme="minorEastAsia" w:cstheme="minorEastAsia"/>
          <w:color w:val="auto"/>
          <w:sz w:val="24"/>
          <w:highlight w:val="none"/>
          <w:lang w:val="zh-CN"/>
        </w:rPr>
        <w:t>潜在投标人自行登录政府采购云平台（网址：http:// www.zcygov.cn）按要求下载采购文件（操作路径：登录“政采云”平台-项目采购-获取采购文件-找到本项目-点击“申请获取采购文件”），其他途径获取的采购文件开标时一律按无效</w:t>
      </w:r>
      <w:r>
        <w:rPr>
          <w:rFonts w:hint="eastAsia" w:asciiTheme="minorEastAsia" w:hAnsiTheme="minorEastAsia" w:eastAsiaTheme="minorEastAsia" w:cstheme="minorEastAsia"/>
          <w:color w:val="auto"/>
          <w:sz w:val="24"/>
          <w:highlight w:val="none"/>
        </w:rPr>
        <w:t>响应</w:t>
      </w:r>
      <w:r>
        <w:rPr>
          <w:rFonts w:hint="eastAsia" w:asciiTheme="minorEastAsia" w:hAnsiTheme="minorEastAsia" w:eastAsiaTheme="minorEastAsia" w:cstheme="minorEastAsia"/>
          <w:color w:val="auto"/>
          <w:sz w:val="24"/>
          <w:highlight w:val="none"/>
          <w:lang w:val="zh-CN"/>
        </w:rPr>
        <w:t>处理；</w:t>
      </w:r>
    </w:p>
    <w:p w14:paraId="34B3564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售价：0元。</w:t>
      </w:r>
    </w:p>
    <w:p w14:paraId="74C1AC09">
      <w:pPr>
        <w:adjustRightInd w:val="0"/>
        <w:spacing w:line="360" w:lineRule="auto"/>
        <w:rPr>
          <w:rFonts w:ascii="黑体" w:hAnsi="黑体" w:eastAsia="黑体" w:cs="宋体"/>
          <w:bCs/>
          <w:color w:val="auto"/>
          <w:sz w:val="28"/>
          <w:szCs w:val="28"/>
          <w:highlight w:val="none"/>
        </w:rPr>
      </w:pPr>
      <w:r>
        <w:rPr>
          <w:rFonts w:hint="eastAsia" w:ascii="宋体" w:hAnsi="宋体" w:cs="宋体"/>
          <w:b/>
          <w:color w:val="auto"/>
          <w:sz w:val="24"/>
          <w:highlight w:val="none"/>
        </w:rPr>
        <w:t>四、提交投标文件截止时间、开标时间和地点</w:t>
      </w:r>
    </w:p>
    <w:p w14:paraId="7C29A89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提交投标文件截止时间、开标时间：202</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08</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日</w:t>
      </w: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rPr>
        <w:t>点</w:t>
      </w:r>
      <w:r>
        <w:rPr>
          <w:rFonts w:hint="eastAsia" w:asciiTheme="minorEastAsia" w:hAnsiTheme="minorEastAsia" w:eastAsiaTheme="minorEastAsia" w:cstheme="minorEastAsia"/>
          <w:color w:val="auto"/>
          <w:sz w:val="24"/>
          <w:highlight w:val="none"/>
          <w:lang w:val="en-US" w:eastAsia="zh-CN"/>
        </w:rPr>
        <w:t>00</w:t>
      </w:r>
      <w:r>
        <w:rPr>
          <w:rFonts w:hint="eastAsia" w:asciiTheme="minorEastAsia" w:hAnsiTheme="minorEastAsia" w:eastAsiaTheme="minorEastAsia" w:cstheme="minorEastAsia"/>
          <w:color w:val="auto"/>
          <w:sz w:val="24"/>
          <w:highlight w:val="none"/>
        </w:rPr>
        <w:t>分（北京时间）</w:t>
      </w:r>
    </w:p>
    <w:p w14:paraId="6B18A15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地点：政采云平台（https://www.zcygov.cn/）。</w:t>
      </w:r>
    </w:p>
    <w:p w14:paraId="55DDEF1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投标文件的提交方式：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46062732">
      <w:pPr>
        <w:spacing w:line="360" w:lineRule="auto"/>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4.开标地点：</w:t>
      </w:r>
      <w:r>
        <w:rPr>
          <w:rFonts w:hint="eastAsia" w:asciiTheme="minorEastAsia" w:hAnsiTheme="minorEastAsia" w:eastAsiaTheme="minorEastAsia" w:cstheme="minorEastAsia"/>
          <w:color w:val="auto"/>
          <w:sz w:val="24"/>
          <w:highlight w:val="none"/>
        </w:rPr>
        <w:t>长春市高新区鸿达街248号吉林日报副楼4楼吉利招平台第</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rPr>
        <w:t>开标室</w:t>
      </w:r>
      <w:r>
        <w:rPr>
          <w:rFonts w:asciiTheme="minorEastAsia" w:hAnsiTheme="minorEastAsia" w:eastAsiaTheme="minorEastAsia" w:cstheme="minorEastAsia"/>
          <w:color w:val="auto"/>
          <w:sz w:val="24"/>
          <w:highlight w:val="none"/>
        </w:rPr>
        <w:t>。</w:t>
      </w:r>
    </w:p>
    <w:p w14:paraId="495A4A98">
      <w:pPr>
        <w:pStyle w:val="3"/>
        <w:spacing w:line="360" w:lineRule="auto"/>
        <w:rPr>
          <w:rFonts w:hint="default" w:ascii="宋体" w:hAnsi="宋体" w:eastAsia="宋体" w:cs="宋体"/>
          <w:bCs w:val="0"/>
          <w:color w:val="auto"/>
          <w:sz w:val="24"/>
          <w:szCs w:val="24"/>
          <w:highlight w:val="none"/>
        </w:rPr>
      </w:pPr>
      <w:r>
        <w:rPr>
          <w:rFonts w:ascii="宋体" w:hAnsi="宋体" w:eastAsia="宋体" w:cs="宋体"/>
          <w:bCs w:val="0"/>
          <w:color w:val="auto"/>
          <w:sz w:val="24"/>
          <w:szCs w:val="24"/>
          <w:highlight w:val="none"/>
        </w:rPr>
        <w:t>五、公告期限</w:t>
      </w:r>
    </w:p>
    <w:p w14:paraId="5563118F">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自本公告发布之日起5个工作日。</w:t>
      </w:r>
    </w:p>
    <w:p w14:paraId="5DFEB662">
      <w:pPr>
        <w:pStyle w:val="3"/>
        <w:spacing w:line="360" w:lineRule="auto"/>
        <w:rPr>
          <w:rFonts w:hint="default" w:ascii="黑体" w:hAnsi="黑体" w:cs="宋体"/>
          <w:b w:val="0"/>
          <w:color w:val="auto"/>
          <w:sz w:val="28"/>
          <w:szCs w:val="28"/>
          <w:highlight w:val="none"/>
        </w:rPr>
      </w:pPr>
      <w:r>
        <w:rPr>
          <w:rFonts w:ascii="宋体" w:hAnsi="宋体" w:eastAsia="宋体" w:cs="宋体"/>
          <w:bCs w:val="0"/>
          <w:color w:val="auto"/>
          <w:sz w:val="24"/>
          <w:szCs w:val="24"/>
          <w:highlight w:val="none"/>
        </w:rPr>
        <w:t>六、其他补充事宜</w:t>
      </w:r>
    </w:p>
    <w:p w14:paraId="5BBC848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采购项目需要落实的政府采购政策:《中华人民共和国政府采购法》、《中华人民共和国政府采购法实施条例》、《政府采购货物和服务招标投标管理办法》、《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36D0862">
      <w:pPr>
        <w:pStyle w:val="55"/>
        <w:widowControl w:val="0"/>
        <w:spacing w:beforeAutospacing="0" w:afterAutospacing="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zh-CN" w:eastAsia="zh-CN" w:bidi="ar-SA"/>
        </w:rPr>
        <w:t>本项目实行网上招标、网上投标，须通过政府采购云平台（网址：http://www.zcygov.cn）递交电子版响应文件。投标操作流程：投标人在政府采购云平台网注册入库成为正式投标人后，在平台上进行投标操作。</w:t>
      </w:r>
    </w:p>
    <w:p w14:paraId="3254E3F7">
      <w:pPr>
        <w:autoSpaceDE w:val="0"/>
        <w:autoSpaceDN w:val="0"/>
        <w:spacing w:line="360" w:lineRule="auto"/>
        <w:jc w:val="left"/>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kern w:val="2"/>
          <w:sz w:val="24"/>
          <w:szCs w:val="24"/>
          <w:highlight w:val="none"/>
          <w:lang w:val="zh-CN" w:eastAsia="zh-CN" w:bidi="ar-SA"/>
        </w:rPr>
        <w:t>CA锁办理：请投标人自行办理CA锁，收到 CA锁以后在“政采云”登录界面，点击CA登录-CA驱动下载-下载并安装政采云投标客户端和驱动，账号绑定CA后才能进行响应文件制作。</w:t>
      </w:r>
    </w:p>
    <w:p w14:paraId="50A6BAC7">
      <w:pPr>
        <w:autoSpaceDE w:val="0"/>
        <w:autoSpaceDN w:val="0"/>
        <w:spacing w:line="360" w:lineRule="auto"/>
        <w:jc w:val="lef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4.投标保证金金额：</w:t>
      </w:r>
      <w:r>
        <w:rPr>
          <w:rFonts w:hint="eastAsia" w:asciiTheme="minorEastAsia" w:hAnsiTheme="minorEastAsia" w:eastAsiaTheme="minorEastAsia" w:cstheme="minorEastAsia"/>
          <w:color w:val="auto"/>
          <w:kern w:val="2"/>
          <w:sz w:val="24"/>
          <w:szCs w:val="24"/>
          <w:highlight w:val="none"/>
          <w:lang w:val="zh-CN" w:eastAsia="zh-CN" w:bidi="ar-SA"/>
        </w:rPr>
        <w:t>人民币</w:t>
      </w:r>
      <w:r>
        <w:rPr>
          <w:rFonts w:hint="eastAsia" w:asciiTheme="minorEastAsia" w:hAnsiTheme="minorEastAsia" w:eastAsiaTheme="minorEastAsia" w:cstheme="minorEastAsia"/>
          <w:color w:val="auto"/>
          <w:kern w:val="2"/>
          <w:sz w:val="24"/>
          <w:szCs w:val="24"/>
          <w:highlight w:val="none"/>
          <w:lang w:val="en-US" w:eastAsia="zh-CN" w:bidi="ar-SA"/>
        </w:rPr>
        <w:t>400</w:t>
      </w:r>
      <w:r>
        <w:rPr>
          <w:rFonts w:hint="eastAsia" w:asciiTheme="minorEastAsia" w:hAnsiTheme="minorEastAsia" w:eastAsiaTheme="minorEastAsia" w:cstheme="minorEastAsia"/>
          <w:color w:val="auto"/>
          <w:kern w:val="2"/>
          <w:sz w:val="24"/>
          <w:szCs w:val="24"/>
          <w:highlight w:val="none"/>
          <w:lang w:val="zh-CN" w:eastAsia="zh-CN" w:bidi="ar-SA"/>
        </w:rPr>
        <w:t>00元</w:t>
      </w:r>
    </w:p>
    <w:p w14:paraId="04ABABC3">
      <w:pPr>
        <w:pStyle w:val="55"/>
        <w:widowControl w:val="0"/>
        <w:spacing w:beforeAutospacing="0" w:afterAutospacing="0" w:line="360" w:lineRule="auto"/>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s="宋体"/>
          <w:b/>
          <w:color w:val="auto"/>
          <w:sz w:val="24"/>
          <w:highlight w:val="none"/>
        </w:rPr>
        <w:t>七、公示媒介</w:t>
      </w:r>
      <w:r>
        <w:rPr>
          <w:rFonts w:hint="eastAsia" w:ascii="宋体" w:hAnsi="宋体" w:cs="宋体"/>
          <w:bCs/>
          <w:color w:val="auto"/>
          <w:sz w:val="28"/>
          <w:szCs w:val="28"/>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《政采云平台（https://www.zcygov.cn/）》（同步推送到吉林省政府采购网）和采购与招标网。</w:t>
      </w:r>
    </w:p>
    <w:p w14:paraId="099BEE3D">
      <w:pPr>
        <w:pStyle w:val="3"/>
        <w:spacing w:line="360" w:lineRule="auto"/>
        <w:rPr>
          <w:rFonts w:hint="default" w:ascii="黑体" w:hAnsi="黑体" w:cs="宋体"/>
          <w:b w:val="0"/>
          <w:color w:val="auto"/>
          <w:sz w:val="28"/>
          <w:szCs w:val="28"/>
          <w:highlight w:val="none"/>
        </w:rPr>
      </w:pPr>
      <w:r>
        <w:rPr>
          <w:rFonts w:ascii="宋体" w:hAnsi="宋体" w:eastAsia="宋体" w:cs="宋体"/>
          <w:bCs w:val="0"/>
          <w:color w:val="auto"/>
          <w:sz w:val="24"/>
          <w:szCs w:val="24"/>
          <w:highlight w:val="none"/>
        </w:rPr>
        <w:t>八、对本次招标提出询问，请按以下方式联系。</w:t>
      </w:r>
    </w:p>
    <w:p w14:paraId="138E811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采购人信息</w:t>
      </w:r>
    </w:p>
    <w:p w14:paraId="30DE54C9">
      <w:pPr>
        <w:spacing w:line="360" w:lineRule="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采购人：吉林体育学院</w:t>
      </w:r>
    </w:p>
    <w:p w14:paraId="61D7623D">
      <w:pPr>
        <w:spacing w:line="360" w:lineRule="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地址：吉林省长春市南关区自由大路2476号</w:t>
      </w:r>
    </w:p>
    <w:p w14:paraId="6318B25F">
      <w:pPr>
        <w:spacing w:line="360" w:lineRule="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联系人：王永玲</w:t>
      </w:r>
    </w:p>
    <w:p w14:paraId="665FC82A">
      <w:pPr>
        <w:spacing w:line="360" w:lineRule="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联系方式：0431-85267883</w:t>
      </w:r>
    </w:p>
    <w:p w14:paraId="0147451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采购代理机构信息</w:t>
      </w:r>
    </w:p>
    <w:p w14:paraId="27C556B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名称：中金招标有限责任公司</w:t>
      </w:r>
    </w:p>
    <w:p w14:paraId="4EC2A1B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地址：长春市净月区生态大街3682号伟峰东樾11号楼2303室</w:t>
      </w:r>
    </w:p>
    <w:p w14:paraId="11BED04B">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lang w:eastAsia="zh-CN"/>
        </w:rPr>
        <w:t>武娜、高欢</w:t>
      </w:r>
    </w:p>
    <w:p w14:paraId="4001FDC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联系方式：0431-81150785</w:t>
      </w:r>
    </w:p>
    <w:p w14:paraId="77AB177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项目联系方式</w:t>
      </w:r>
    </w:p>
    <w:p w14:paraId="671F7C77">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采购代理机构联系人：</w:t>
      </w:r>
      <w:r>
        <w:rPr>
          <w:rFonts w:hint="eastAsia" w:asciiTheme="minorEastAsia" w:hAnsiTheme="minorEastAsia" w:eastAsiaTheme="minorEastAsia" w:cstheme="minorEastAsia"/>
          <w:color w:val="auto"/>
          <w:sz w:val="24"/>
          <w:highlight w:val="none"/>
          <w:lang w:eastAsia="zh-CN"/>
        </w:rPr>
        <w:t>武娜、高欢</w:t>
      </w:r>
    </w:p>
    <w:p w14:paraId="7F723AED">
      <w:pPr>
        <w:spacing w:line="360" w:lineRule="auto"/>
        <w:rPr>
          <w:rFonts w:ascii="黑体" w:eastAsia="黑体"/>
          <w:b/>
          <w:color w:val="auto"/>
          <w:sz w:val="36"/>
          <w:szCs w:val="36"/>
          <w:highlight w:val="none"/>
        </w:rPr>
      </w:pPr>
      <w:r>
        <w:rPr>
          <w:rFonts w:hint="eastAsia" w:asciiTheme="minorEastAsia" w:hAnsiTheme="minorEastAsia" w:eastAsiaTheme="minorEastAsia" w:cstheme="minorEastAsia"/>
          <w:color w:val="auto"/>
          <w:sz w:val="24"/>
          <w:highlight w:val="none"/>
        </w:rPr>
        <w:t>电话：0431-81150785</w:t>
      </w:r>
    </w:p>
    <w:p w14:paraId="0B1EF079">
      <w:pPr>
        <w:rPr>
          <w:rFonts w:ascii="黑体" w:eastAsia="黑体"/>
          <w:b/>
          <w:color w:val="auto"/>
          <w:sz w:val="36"/>
          <w:szCs w:val="36"/>
          <w:highlight w:val="none"/>
        </w:rPr>
      </w:pPr>
      <w:r>
        <w:rPr>
          <w:rFonts w:hint="eastAsia" w:ascii="黑体" w:eastAsia="黑体"/>
          <w:b/>
          <w:color w:val="auto"/>
          <w:sz w:val="36"/>
          <w:szCs w:val="36"/>
          <w:highlight w:val="none"/>
        </w:rPr>
        <w:br w:type="page"/>
      </w:r>
    </w:p>
    <w:p w14:paraId="4CD61B27">
      <w:pPr>
        <w:spacing w:line="360" w:lineRule="auto"/>
        <w:jc w:val="center"/>
        <w:rPr>
          <w:rFonts w:ascii="黑体" w:eastAsia="黑体"/>
          <w:b/>
          <w:color w:val="auto"/>
          <w:sz w:val="36"/>
          <w:szCs w:val="36"/>
          <w:highlight w:val="none"/>
        </w:rPr>
      </w:pPr>
      <w:r>
        <w:rPr>
          <w:rFonts w:hint="eastAsia" w:ascii="黑体" w:eastAsia="黑体"/>
          <w:b/>
          <w:color w:val="auto"/>
          <w:sz w:val="36"/>
          <w:szCs w:val="36"/>
          <w:highlight w:val="none"/>
        </w:rPr>
        <w:t>第二章 投标人须知</w:t>
      </w:r>
    </w:p>
    <w:p w14:paraId="5CD076E9">
      <w:pPr>
        <w:pStyle w:val="3"/>
        <w:spacing w:line="360" w:lineRule="auto"/>
        <w:jc w:val="center"/>
        <w:rPr>
          <w:rFonts w:hint="default" w:ascii="宋体" w:hAnsi="宋体" w:eastAsia="宋体" w:cs="宋体"/>
          <w:bCs w:val="0"/>
          <w:color w:val="auto"/>
          <w:sz w:val="24"/>
          <w:highlight w:val="none"/>
        </w:rPr>
      </w:pPr>
      <w:r>
        <w:rPr>
          <w:rFonts w:ascii="宋体" w:hAnsi="宋体" w:eastAsia="宋体" w:cs="宋体"/>
          <w:bCs w:val="0"/>
          <w:color w:val="auto"/>
          <w:sz w:val="24"/>
          <w:highlight w:val="none"/>
        </w:rPr>
        <w:t>一、总  则</w:t>
      </w:r>
    </w:p>
    <w:p w14:paraId="7B40E2D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1、资金</w:t>
      </w:r>
      <w:r>
        <w:rPr>
          <w:rFonts w:hint="eastAsia" w:ascii="宋体" w:hAnsi="宋体" w:cs="宋体"/>
          <w:b/>
          <w:color w:val="auto"/>
          <w:sz w:val="24"/>
          <w:highlight w:val="none"/>
          <w:lang w:val="en-US" w:eastAsia="zh-CN"/>
        </w:rPr>
        <w:t>已落实</w:t>
      </w:r>
      <w:r>
        <w:rPr>
          <w:rFonts w:hint="eastAsia" w:ascii="宋体" w:hAnsi="宋体" w:cs="宋体"/>
          <w:b/>
          <w:color w:val="auto"/>
          <w:sz w:val="24"/>
          <w:highlight w:val="none"/>
        </w:rPr>
        <w:t>。</w:t>
      </w:r>
    </w:p>
    <w:p w14:paraId="74C6909E">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2、采购人、采购代理机构、投标人</w:t>
      </w:r>
    </w:p>
    <w:p w14:paraId="165BB8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2.1“采购人”是指：项目采购单位，合同的需方。</w:t>
      </w:r>
    </w:p>
    <w:p w14:paraId="128170F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2.2“采购代理机构”是指：中金招标有限责任公司。</w:t>
      </w:r>
    </w:p>
    <w:p w14:paraId="3520BE5D">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2.3“投标人</w:t>
      </w:r>
      <w:r>
        <w:rPr>
          <w:rFonts w:ascii="宋体" w:hAnsi="宋体" w:cs="宋体"/>
          <w:color w:val="auto"/>
          <w:sz w:val="24"/>
          <w:highlight w:val="none"/>
        </w:rPr>
        <w:t>（也称</w:t>
      </w:r>
      <w:r>
        <w:rPr>
          <w:rFonts w:hint="eastAsia" w:ascii="宋体" w:hAnsi="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申请人</w:t>
      </w:r>
      <w:r>
        <w:rPr>
          <w:rFonts w:hint="eastAsia" w:ascii="宋体" w:hAnsi="宋体" w:cs="宋体"/>
          <w:color w:val="auto"/>
          <w:sz w:val="24"/>
          <w:highlight w:val="none"/>
        </w:rPr>
        <w:t>”</w:t>
      </w:r>
      <w:r>
        <w:rPr>
          <w:rFonts w:ascii="宋体" w:hAnsi="宋体" w:cs="宋体"/>
          <w:color w:val="auto"/>
          <w:sz w:val="24"/>
          <w:highlight w:val="none"/>
        </w:rPr>
        <w:t>）</w:t>
      </w:r>
      <w:r>
        <w:rPr>
          <w:rFonts w:hint="eastAsia" w:ascii="宋体" w:hAnsi="宋体" w:cs="宋体"/>
          <w:color w:val="auto"/>
          <w:sz w:val="24"/>
          <w:highlight w:val="none"/>
        </w:rPr>
        <w:t>”是指响应招标、参加投标竞争的法人、其他组织或者自然人。</w:t>
      </w:r>
    </w:p>
    <w:p w14:paraId="40DD0FBC">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3、合格投标人</w:t>
      </w:r>
    </w:p>
    <w:p w14:paraId="41AA69D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3.1应符合投标邀请中申请人资格要求中的全部条件，并同时将资料的复印件装订到投标文件中，证明其资格满足资格要求：</w:t>
      </w:r>
    </w:p>
    <w:p w14:paraId="1C67E5B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.1.1具有独立承担民事责任的能力；</w:t>
      </w:r>
    </w:p>
    <w:p w14:paraId="1DD774B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.1.1.1</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为企业（包括合伙企业）的，应提供有效的“营业执照”；</w:t>
      </w:r>
    </w:p>
    <w:p w14:paraId="2DC791D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.1.1.2</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为事业单位的，应提供有效的“事业单位法人证书”；</w:t>
      </w:r>
    </w:p>
    <w:p w14:paraId="3EF4D58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.1.1.3</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是非企业机构的，应提供有效的“执业许可证”、“登记证书”等证明文件；</w:t>
      </w:r>
    </w:p>
    <w:p w14:paraId="200036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.1.1.4</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是个体工商户的，应提供有效的“个体工商户营业执照”；</w:t>
      </w:r>
    </w:p>
    <w:p w14:paraId="4B70089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.1.1.5</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是自然人的，应提供有效的自然人身份证明。</w:t>
      </w:r>
    </w:p>
    <w:p w14:paraId="6AA70C4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.1.2具有良好的商业信誉和健全的财务会计制度（提供202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年度第三方审计机构出具的审计报告</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提供</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基本户开户银行出具的资信证明）；</w:t>
      </w:r>
    </w:p>
    <w:p w14:paraId="6FCE0F8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.1.3具有履行合同所必需的设备和专业技术能力的证明材料（提供承诺书，格式自拟）；</w:t>
      </w:r>
    </w:p>
    <w:p w14:paraId="5D70194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.1.4有依法缴纳税收和社会保障资金的良好记录（提供202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年内任意一个月的依法缴纳税收和社会保障资金的相关材料，依法免税或不需要缴纳社会保障资金的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，应提供文件证明其依法免税或不需要缴纳社会保障资金）；</w:t>
      </w:r>
    </w:p>
    <w:p w14:paraId="1AC7859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.1.5参加政府采购活动前三年内，在经营活动中没有重大违法记录（提供书面声明，格式自拟）；</w:t>
      </w:r>
    </w:p>
    <w:p w14:paraId="3AE7BF4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.1.6未列入失信被执行人、重大税收违法案件当事人名单、政府采购严重违法失信行为记录名单承诺书（格式自拟）；</w:t>
      </w:r>
    </w:p>
    <w:p w14:paraId="3F85A45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.1.7单位负责人为同一人或存在直接控股、管理关系的不同</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，不得参加同一合同项下的政府采购活动（提供书面声明，格式自拟）。</w:t>
      </w:r>
    </w:p>
    <w:p w14:paraId="02532911">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注：分支机构参加投标的，应提供该分支机构及其所属法人/其他组织的相应证明文件；同时还应提供其所属法人/其他组织出具的授权其参与本项目的授权书（格式自拟，须加盖所属法人/其他组织的公章）；属于银行、保险、石油石化、电力、电信等行业的，允许该行业法人的分支机构参加投标（报价），提供分支机构的相关证件。</w:t>
      </w:r>
    </w:p>
    <w:p w14:paraId="4E65278B">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4、投标费用</w:t>
      </w:r>
    </w:p>
    <w:p w14:paraId="35CDF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投标人应承担所有与编写和提交投标文件有关的费用，无论投标的结果如何，采购人和采购代理机构在任何情况下均无义务和责任承担这些费用。</w:t>
      </w:r>
    </w:p>
    <w:p w14:paraId="3E6954AD">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5、政府采购政策（包括但不限于下列具体政策要求）</w:t>
      </w:r>
    </w:p>
    <w:p w14:paraId="22E7E8F0">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5.1采购本国货物、工程和服务 </w:t>
      </w:r>
    </w:p>
    <w:p w14:paraId="3D80D5CB">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5.1.1政府采购应当采购本国货物、工程和服务。但有《中华人民共和国政府采购法》第十条规定情形的除外。 </w:t>
      </w:r>
    </w:p>
    <w:p w14:paraId="2CCE3725">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15D32050">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5.1.3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618D8D0A">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5.2政府采购节能产品、环境标志产品</w:t>
      </w:r>
    </w:p>
    <w:p w14:paraId="7AC39314">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7D1859FA">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 〔2019〕9 号）。</w:t>
      </w:r>
    </w:p>
    <w:p w14:paraId="727CA5A1">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5.2.3 如本项目采购产品属于实施政府强制采购品目清单范围的节能产品，则投标人所报产品必须获得国家确定的认证机构出具的、处于有效期之内的节能产品认证证书，否则投标无效； </w:t>
      </w:r>
    </w:p>
    <w:p w14:paraId="6C977195">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5.2.4 非政府强制采购的节能产品或环境标志产品，依据品目清单和认证证书实施政府优先采购。优先采购的具体规定见第三章《评标办法》。</w:t>
      </w:r>
    </w:p>
    <w:p w14:paraId="2DD67FD2">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5.3 正版软件 </w:t>
      </w:r>
    </w:p>
    <w:p w14:paraId="2CCBD6AF">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5.3.1 依据《财政部国家发展改革委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06B4FE9B">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 《国务院办公厅关于进一步做好政府机关使用正版软件工作的通知》 （国办发〔2010〕47号）、《财政部关于进一步做好政府机关使用正版软件工作的通知》（财预〔2010〕536号）。</w:t>
      </w:r>
    </w:p>
    <w:p w14:paraId="77DFD0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二、招标文件</w:t>
      </w:r>
    </w:p>
    <w:p w14:paraId="1CE9D52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6、招标文件</w:t>
      </w:r>
    </w:p>
    <w:p w14:paraId="199EF6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6.1招标文件的构成</w:t>
      </w:r>
    </w:p>
    <w:p w14:paraId="193E33B8">
      <w:pPr>
        <w:pStyle w:val="4"/>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第一章  投标邀请</w:t>
      </w:r>
    </w:p>
    <w:p w14:paraId="661AEA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第二章  投标人须知</w:t>
      </w:r>
    </w:p>
    <w:p w14:paraId="0281A0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评标办法</w:t>
      </w:r>
    </w:p>
    <w:p w14:paraId="05B5A6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第四章  合同条款</w:t>
      </w:r>
    </w:p>
    <w:p w14:paraId="22792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第五章  采购需求</w:t>
      </w:r>
    </w:p>
    <w:p w14:paraId="73C65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第六章  投标文件构成及格式</w:t>
      </w:r>
    </w:p>
    <w:p w14:paraId="518F9F00">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6.2</w:t>
      </w:r>
      <w:r>
        <w:rPr>
          <w:rFonts w:ascii="宋体" w:hAnsi="宋体" w:cs="宋体"/>
          <w:color w:val="auto"/>
          <w:sz w:val="24"/>
          <w:highlight w:val="none"/>
        </w:rPr>
        <w:t>投标人应认真阅读招标文件的全部内容。投标人应按照招标文件要求</w:t>
      </w:r>
      <w:r>
        <w:rPr>
          <w:rFonts w:hint="eastAsia" w:ascii="宋体" w:hAnsi="宋体" w:cs="宋体"/>
          <w:color w:val="auto"/>
          <w:sz w:val="24"/>
          <w:highlight w:val="none"/>
        </w:rPr>
        <w:t>提</w:t>
      </w:r>
      <w:r>
        <w:rPr>
          <w:rFonts w:ascii="宋体" w:hAnsi="宋体" w:cs="宋体"/>
          <w:color w:val="auto"/>
          <w:sz w:val="24"/>
          <w:highlight w:val="none"/>
        </w:rPr>
        <w:t>交投标文件并保证所</w:t>
      </w:r>
      <w:r>
        <w:rPr>
          <w:rFonts w:hint="eastAsia" w:ascii="宋体" w:hAnsi="宋体" w:cs="宋体"/>
          <w:color w:val="auto"/>
          <w:sz w:val="24"/>
          <w:highlight w:val="none"/>
        </w:rPr>
        <w:t>提</w:t>
      </w:r>
      <w:r>
        <w:rPr>
          <w:rFonts w:ascii="宋体" w:hAnsi="宋体" w:cs="宋体"/>
          <w:color w:val="auto"/>
          <w:sz w:val="24"/>
          <w:highlight w:val="none"/>
        </w:rPr>
        <w:t>供的全部资料的真实性，并对招标文件做出实质性响应</w:t>
      </w:r>
      <w:r>
        <w:rPr>
          <w:rFonts w:hint="eastAsia" w:ascii="宋体" w:hAnsi="宋体" w:cs="宋体"/>
          <w:color w:val="auto"/>
          <w:sz w:val="24"/>
          <w:highlight w:val="none"/>
        </w:rPr>
        <w:t>，</w:t>
      </w:r>
      <w:r>
        <w:rPr>
          <w:rFonts w:ascii="宋体" w:hAnsi="宋体" w:cs="宋体"/>
          <w:color w:val="auto"/>
          <w:sz w:val="24"/>
          <w:highlight w:val="none"/>
        </w:rPr>
        <w:t>否则</w:t>
      </w:r>
      <w:r>
        <w:rPr>
          <w:rFonts w:ascii="宋体" w:hAnsi="宋体" w:cs="宋体"/>
          <w:b/>
          <w:bCs/>
          <w:color w:val="auto"/>
          <w:sz w:val="24"/>
          <w:highlight w:val="none"/>
        </w:rPr>
        <w:t>投标无效。</w:t>
      </w:r>
    </w:p>
    <w:p w14:paraId="718EC1D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7、招标文件的澄清和修改</w:t>
      </w:r>
    </w:p>
    <w:p w14:paraId="442230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46F8C2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14:paraId="2FE105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澄清或者修改的内容可能影响投标文件编制的，采购人或者采购代理机构将在投标截止时间15日前，以书面形式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14:paraId="0B56A3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7.3本项目不召开答疑会。</w:t>
      </w:r>
    </w:p>
    <w:p w14:paraId="4382E7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三、投标文件</w:t>
      </w:r>
    </w:p>
    <w:p w14:paraId="7FC4DB2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8、投标范围、投标语言及投标文件中计量单位的使用</w:t>
      </w:r>
    </w:p>
    <w:p w14:paraId="5D0C05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w:t>
      </w:r>
      <w:r>
        <w:rPr>
          <w:rFonts w:ascii="宋体" w:hAnsi="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1D5D9A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w:t>
      </w:r>
      <w:r>
        <w:rPr>
          <w:rFonts w:ascii="宋体" w:hAnsi="宋体" w:cs="宋体"/>
          <w:color w:val="auto"/>
          <w:sz w:val="24"/>
          <w:highlight w:val="none"/>
        </w:rPr>
        <w:t>除专用术语外，投标文件及来往函电均应使用中文书写。必要时专用术语应附有中文解释。投标人</w:t>
      </w:r>
      <w:r>
        <w:rPr>
          <w:rFonts w:hint="eastAsia" w:ascii="宋体" w:hAnsi="宋体" w:cs="宋体"/>
          <w:color w:val="auto"/>
          <w:sz w:val="24"/>
          <w:highlight w:val="none"/>
        </w:rPr>
        <w:t>提</w:t>
      </w:r>
      <w:r>
        <w:rPr>
          <w:rFonts w:ascii="宋体" w:hAnsi="宋体" w:cs="宋体"/>
          <w:color w:val="auto"/>
          <w:sz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4AC4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除招标文件有特殊要求外，本项目投标所使用的计量单位，应采用中华人民共和国法定计量单位</w:t>
      </w:r>
      <w:r>
        <w:rPr>
          <w:rFonts w:hint="eastAsia" w:ascii="宋体" w:hAnsi="宋体" w:cs="宋体"/>
          <w:color w:val="auto"/>
          <w:sz w:val="24"/>
          <w:highlight w:val="none"/>
        </w:rPr>
        <w:t>。</w:t>
      </w:r>
    </w:p>
    <w:p w14:paraId="50D6F6B6">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9、投标文件构成</w:t>
      </w:r>
    </w:p>
    <w:p w14:paraId="57C43D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ascii="宋体" w:hAnsi="宋体" w:cs="宋体"/>
          <w:color w:val="auto"/>
          <w:sz w:val="24"/>
          <w:highlight w:val="none"/>
        </w:rPr>
        <w:t>投标人应当按照招标文件的要求编制投标文件。投标文件的部分格式要求，见第</w:t>
      </w:r>
      <w:r>
        <w:rPr>
          <w:rFonts w:hint="eastAsia" w:ascii="宋体" w:hAnsi="宋体" w:cs="宋体"/>
          <w:color w:val="auto"/>
          <w:sz w:val="24"/>
          <w:highlight w:val="none"/>
        </w:rPr>
        <w:t>六</w:t>
      </w:r>
      <w:r>
        <w:rPr>
          <w:rFonts w:ascii="宋体" w:hAnsi="宋体" w:cs="宋体"/>
          <w:color w:val="auto"/>
          <w:sz w:val="24"/>
          <w:highlight w:val="none"/>
        </w:rPr>
        <w:t>章《</w:t>
      </w:r>
      <w:r>
        <w:rPr>
          <w:rFonts w:hint="eastAsia" w:ascii="宋体" w:hAnsi="宋体" w:cs="宋体"/>
          <w:color w:val="auto"/>
          <w:sz w:val="24"/>
          <w:highlight w:val="none"/>
        </w:rPr>
        <w:t>投标文件构成及格式</w:t>
      </w:r>
      <w:r>
        <w:rPr>
          <w:rFonts w:ascii="宋体" w:hAnsi="宋体" w:cs="宋体"/>
          <w:color w:val="auto"/>
          <w:sz w:val="24"/>
          <w:highlight w:val="none"/>
        </w:rPr>
        <w:t>》。</w:t>
      </w:r>
    </w:p>
    <w:p w14:paraId="2F4B2F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9.2投标文件应编制文件目录，准确标明文件内容所在位置。投标文件应包含但不限于：</w:t>
      </w:r>
    </w:p>
    <w:p w14:paraId="014B92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1、投标文件目录及页码</w:t>
      </w:r>
    </w:p>
    <w:p w14:paraId="5CC592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2、开标一览表</w:t>
      </w:r>
    </w:p>
    <w:p w14:paraId="01143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3、投标函</w:t>
      </w:r>
    </w:p>
    <w:p w14:paraId="0BDF5F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4、投标报价明细表</w:t>
      </w:r>
    </w:p>
    <w:p w14:paraId="0EC4A1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5、采购需求偏离表</w:t>
      </w:r>
    </w:p>
    <w:p w14:paraId="365549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6、售后服务承诺书</w:t>
      </w:r>
    </w:p>
    <w:p w14:paraId="5838CB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7、法定代表人（单位负责人）身份证明</w:t>
      </w:r>
    </w:p>
    <w:p w14:paraId="6313B5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8、授权委托书</w:t>
      </w:r>
    </w:p>
    <w:p w14:paraId="1BE906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9、中标服务费承诺书</w:t>
      </w:r>
    </w:p>
    <w:p w14:paraId="47F234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10、招标文件要求提供的其他资质证明文件</w:t>
      </w:r>
    </w:p>
    <w:p w14:paraId="13D14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11、招标文件要求提供的其他文件资料</w:t>
      </w:r>
    </w:p>
    <w:p w14:paraId="558935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12、投标人认为对其投标有利的其他文件资料</w:t>
      </w:r>
    </w:p>
    <w:p w14:paraId="11B47B1C">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ascii="宋体" w:hAnsi="宋体" w:eastAsia="宋体" w:cs="宋体"/>
          <w:color w:val="auto"/>
          <w:sz w:val="24"/>
          <w:szCs w:val="24"/>
          <w:highlight w:val="none"/>
        </w:rPr>
        <w:t>第</w:t>
      </w:r>
      <w:r>
        <w:rPr>
          <w:rFonts w:hint="eastAsia" w:ascii="宋体" w:hAnsi="宋体" w:eastAsia="宋体" w:cs="宋体"/>
          <w:color w:val="auto"/>
          <w:sz w:val="24"/>
          <w:szCs w:val="24"/>
          <w:highlight w:val="none"/>
        </w:rPr>
        <w:t>三</w:t>
      </w:r>
      <w:r>
        <w:rPr>
          <w:rFonts w:ascii="宋体" w:hAnsi="宋体" w:eastAsia="宋体" w:cs="宋体"/>
          <w:color w:val="auto"/>
          <w:sz w:val="24"/>
          <w:szCs w:val="24"/>
          <w:highlight w:val="none"/>
        </w:rPr>
        <w:t>章《评标</w:t>
      </w:r>
      <w:r>
        <w:rPr>
          <w:rFonts w:hint="eastAsia" w:ascii="宋体" w:hAnsi="宋体" w:eastAsia="宋体" w:cs="宋体"/>
          <w:color w:val="auto"/>
          <w:sz w:val="24"/>
          <w:szCs w:val="24"/>
          <w:highlight w:val="none"/>
        </w:rPr>
        <w:t>办法</w:t>
      </w:r>
      <w:r>
        <w:rPr>
          <w:rFonts w:ascii="宋体" w:hAnsi="宋体" w:eastAsia="宋体" w:cs="宋体"/>
          <w:color w:val="auto"/>
          <w:sz w:val="24"/>
          <w:szCs w:val="24"/>
          <w:highlight w:val="none"/>
        </w:rPr>
        <w:t>》中涉及的证明文件</w:t>
      </w:r>
      <w:r>
        <w:rPr>
          <w:rFonts w:hint="eastAsia" w:ascii="宋体" w:hAnsi="宋体" w:eastAsia="宋体" w:cs="宋体"/>
          <w:color w:val="auto"/>
          <w:sz w:val="24"/>
          <w:szCs w:val="24"/>
          <w:highlight w:val="none"/>
        </w:rPr>
        <w:t>。</w:t>
      </w:r>
    </w:p>
    <w:p w14:paraId="7F9103E2">
      <w:pPr>
        <w:pStyle w:val="14"/>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9.4</w:t>
      </w:r>
      <w:r>
        <w:rPr>
          <w:rFonts w:ascii="宋体" w:hAnsi="宋体" w:cs="宋体"/>
          <w:color w:val="auto"/>
          <w:szCs w:val="24"/>
          <w:highlight w:val="none"/>
        </w:rPr>
        <w:t>对照第五章《采购需求》，说明所供货物和服务已对第五章《采购需求》做出了响应，或申明与第五章《采购需求》的偏差和例外。如第五章《采购需求》中要求</w:t>
      </w:r>
      <w:r>
        <w:rPr>
          <w:rFonts w:hint="eastAsia" w:ascii="宋体" w:hAnsi="宋体" w:cs="宋体"/>
          <w:color w:val="auto"/>
          <w:szCs w:val="24"/>
          <w:highlight w:val="none"/>
        </w:rPr>
        <w:t>提</w:t>
      </w:r>
      <w:r>
        <w:rPr>
          <w:rFonts w:ascii="宋体" w:hAnsi="宋体" w:cs="宋体"/>
          <w:color w:val="auto"/>
          <w:szCs w:val="24"/>
          <w:highlight w:val="none"/>
        </w:rPr>
        <w:t>供证明文件的，投标人应当按具体要求</w:t>
      </w:r>
      <w:r>
        <w:rPr>
          <w:rFonts w:hint="eastAsia" w:ascii="宋体" w:hAnsi="宋体" w:cs="宋体"/>
          <w:color w:val="auto"/>
          <w:szCs w:val="24"/>
          <w:highlight w:val="none"/>
        </w:rPr>
        <w:t>提</w:t>
      </w:r>
      <w:r>
        <w:rPr>
          <w:rFonts w:ascii="宋体" w:hAnsi="宋体" w:cs="宋体"/>
          <w:color w:val="auto"/>
          <w:szCs w:val="24"/>
          <w:highlight w:val="none"/>
        </w:rPr>
        <w:t>供证明文件。</w:t>
      </w:r>
    </w:p>
    <w:p w14:paraId="24132D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w:t>
      </w:r>
      <w:r>
        <w:rPr>
          <w:rFonts w:ascii="宋体" w:hAnsi="宋体" w:cs="宋体"/>
          <w:color w:val="auto"/>
          <w:sz w:val="24"/>
          <w:highlight w:val="none"/>
        </w:rPr>
        <w:t>投标人认为应附的其他材料</w:t>
      </w:r>
      <w:r>
        <w:rPr>
          <w:rFonts w:hint="eastAsia" w:ascii="宋体" w:hAnsi="宋体" w:cs="宋体"/>
          <w:color w:val="auto"/>
          <w:sz w:val="24"/>
          <w:highlight w:val="none"/>
        </w:rPr>
        <w:t>。</w:t>
      </w:r>
    </w:p>
    <w:p w14:paraId="363C02D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10、投标报价</w:t>
      </w:r>
    </w:p>
    <w:p w14:paraId="08FE91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10.1报价原则：所有投标均以人民币报价。</w:t>
      </w:r>
    </w:p>
    <w:p w14:paraId="6BB32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10.2投标人</w:t>
      </w:r>
      <w:r>
        <w:rPr>
          <w:rFonts w:ascii="宋体" w:hAnsi="宋体" w:cs="宋体"/>
          <w:color w:val="auto"/>
          <w:sz w:val="24"/>
          <w:highlight w:val="none"/>
        </w:rPr>
        <w:t>的报价应包括为完成本项目所发生的一切费用和税费，采购人将不再支付报价以外的任何费用。</w:t>
      </w:r>
    </w:p>
    <w:p w14:paraId="217A53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10.2.1投标</w:t>
      </w:r>
      <w:r>
        <w:rPr>
          <w:rFonts w:ascii="宋体" w:hAnsi="宋体" w:cs="宋体"/>
          <w:color w:val="auto"/>
          <w:sz w:val="24"/>
          <w:highlight w:val="none"/>
        </w:rPr>
        <w:t>货物</w:t>
      </w:r>
      <w:r>
        <w:rPr>
          <w:rFonts w:hint="eastAsia" w:ascii="宋体" w:hAnsi="宋体" w:cs="宋体"/>
          <w:color w:val="auto"/>
          <w:sz w:val="24"/>
          <w:highlight w:val="none"/>
        </w:rPr>
        <w:t xml:space="preserve">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34CC83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10.2.2 按照招标文件要求完成本项目的全部相关费用。</w:t>
      </w:r>
    </w:p>
    <w:p w14:paraId="0C8B2F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10.3投标人所报的价格在合同执行过程中是固定不变的，不得以任何理由予以变更。以可调整的价格提交的，</w:t>
      </w:r>
      <w:r>
        <w:rPr>
          <w:rFonts w:ascii="宋体" w:hAnsi="宋体" w:cs="宋体"/>
          <w:color w:val="auto"/>
          <w:sz w:val="24"/>
          <w:highlight w:val="none"/>
        </w:rPr>
        <w:t>其</w:t>
      </w:r>
      <w:r>
        <w:rPr>
          <w:rFonts w:ascii="宋体" w:hAnsi="宋体" w:cs="宋体"/>
          <w:b/>
          <w:bCs/>
          <w:color w:val="auto"/>
          <w:sz w:val="24"/>
          <w:highlight w:val="none"/>
        </w:rPr>
        <w:t>投标无效</w:t>
      </w:r>
      <w:r>
        <w:rPr>
          <w:rFonts w:ascii="宋体" w:hAnsi="宋体" w:cs="宋体"/>
          <w:color w:val="auto"/>
          <w:sz w:val="24"/>
          <w:highlight w:val="none"/>
        </w:rPr>
        <w:t>。</w:t>
      </w:r>
    </w:p>
    <w:p w14:paraId="3AFE1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10.4采购人不得向投标人索要或者接受其给予的赠品、回扣或者与采购无关的其他商品、服务。</w:t>
      </w:r>
    </w:p>
    <w:p w14:paraId="73A4225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11、投标保证金</w:t>
      </w:r>
    </w:p>
    <w:p w14:paraId="2AA69B54">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11.1投标保证金：投标人应在投标截止时间前将投标保证金采用电汇、转账、支票、汇票、本票或者金融机构、担保机构出具的保函等非现金形式交纳，投标保证金应当从</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的基本账户（并提供基本账户的基本存款账户信息或开户许可证，否则投标无效）转出，保证金的交纳时间以到账时间为准。</w:t>
      </w:r>
    </w:p>
    <w:p w14:paraId="7489C687">
      <w:pPr>
        <w:spacing w:line="360" w:lineRule="auto"/>
        <w:ind w:left="840" w:leftChars="228" w:hanging="361" w:hangingChars="150"/>
        <w:rPr>
          <w:rFonts w:ascii="宋体" w:hAnsi="宋体" w:cs="宋体"/>
          <w:b/>
          <w:bCs/>
          <w:color w:val="auto"/>
          <w:sz w:val="24"/>
          <w:highlight w:val="none"/>
        </w:rPr>
      </w:pPr>
      <w:r>
        <w:rPr>
          <w:rFonts w:hint="eastAsia" w:ascii="宋体" w:hAnsi="宋体" w:cs="宋体"/>
          <w:b/>
          <w:bCs/>
          <w:color w:val="auto"/>
          <w:sz w:val="24"/>
          <w:highlight w:val="none"/>
        </w:rPr>
        <w:t>收款人：中金招标有限责任公司吉林省分公司</w:t>
      </w:r>
    </w:p>
    <w:p w14:paraId="58BE7D96">
      <w:pPr>
        <w:spacing w:line="360" w:lineRule="auto"/>
        <w:ind w:left="840" w:leftChars="228" w:hanging="361" w:hangingChars="150"/>
        <w:rPr>
          <w:rFonts w:ascii="宋体" w:hAnsi="宋体" w:cs="宋体"/>
          <w:b/>
          <w:bCs/>
          <w:color w:val="auto"/>
          <w:sz w:val="24"/>
          <w:highlight w:val="none"/>
        </w:rPr>
      </w:pPr>
      <w:r>
        <w:rPr>
          <w:rFonts w:hint="eastAsia" w:ascii="宋体" w:hAnsi="宋体" w:cs="宋体"/>
          <w:b/>
          <w:bCs/>
          <w:color w:val="auto"/>
          <w:sz w:val="24"/>
          <w:highlight w:val="none"/>
        </w:rPr>
        <w:t>开户行：招商银行长春分行营业部</w:t>
      </w:r>
    </w:p>
    <w:p w14:paraId="452C86D2">
      <w:pPr>
        <w:spacing w:line="360" w:lineRule="auto"/>
        <w:ind w:left="840" w:leftChars="228" w:hanging="361" w:hangingChars="150"/>
        <w:rPr>
          <w:rFonts w:ascii="宋体" w:hAnsi="宋体" w:cs="宋体"/>
          <w:b/>
          <w:bCs/>
          <w:color w:val="auto"/>
          <w:sz w:val="24"/>
          <w:highlight w:val="none"/>
        </w:rPr>
      </w:pPr>
      <w:r>
        <w:rPr>
          <w:rFonts w:hint="eastAsia" w:ascii="宋体" w:hAnsi="宋体" w:cs="宋体"/>
          <w:b/>
          <w:bCs/>
          <w:color w:val="auto"/>
          <w:sz w:val="24"/>
          <w:highlight w:val="none"/>
        </w:rPr>
        <w:t>账号：431901478010801</w:t>
      </w:r>
    </w:p>
    <w:p w14:paraId="0DA955D7">
      <w:pPr>
        <w:spacing w:line="360" w:lineRule="auto"/>
        <w:ind w:left="840" w:leftChars="228" w:hanging="361" w:hangingChars="150"/>
        <w:rPr>
          <w:rFonts w:ascii="宋体" w:hAnsi="宋体" w:cs="宋体"/>
          <w:b/>
          <w:bCs/>
          <w:color w:val="auto"/>
          <w:sz w:val="24"/>
          <w:highlight w:val="none"/>
        </w:rPr>
      </w:pPr>
      <w:r>
        <w:rPr>
          <w:rFonts w:hint="eastAsia" w:ascii="宋体" w:hAnsi="宋体" w:cs="宋体"/>
          <w:b/>
          <w:bCs/>
          <w:color w:val="auto"/>
          <w:sz w:val="24"/>
          <w:highlight w:val="none"/>
        </w:rPr>
        <w:t>行号：308241000039</w:t>
      </w:r>
    </w:p>
    <w:p w14:paraId="62D1E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11.2投标保证金是投标文件的一个组成部分，没有按要求提交投标保证金的，</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1787D6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w:t>
      </w:r>
      <w:r>
        <w:rPr>
          <w:rFonts w:ascii="宋体" w:hAnsi="宋体" w:cs="宋体"/>
          <w:color w:val="auto"/>
          <w:sz w:val="24"/>
          <w:highlight w:val="none"/>
        </w:rPr>
        <w:t xml:space="preserve">采购人、采购代理机构将及时退还投标人的投标保证金，采用银行保函、担保机构担保函等形式递交的投标保证金，经投标人同意后采购人、采购代理机构可以不再退还，但因投标人自身原因导致无法及时退还的除外： </w:t>
      </w:r>
    </w:p>
    <w:p w14:paraId="2797C6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w:t>
      </w:r>
      <w:r>
        <w:rPr>
          <w:rFonts w:ascii="宋体" w:hAnsi="宋体" w:cs="宋体"/>
          <w:color w:val="auto"/>
          <w:sz w:val="24"/>
          <w:highlight w:val="none"/>
        </w:rPr>
        <w:t>.1投标人在投标截止时间前撤回已</w:t>
      </w:r>
      <w:r>
        <w:rPr>
          <w:rFonts w:hint="eastAsia" w:ascii="宋体" w:hAnsi="宋体" w:cs="宋体"/>
          <w:color w:val="auto"/>
          <w:sz w:val="24"/>
          <w:highlight w:val="none"/>
        </w:rPr>
        <w:t>提</w:t>
      </w:r>
      <w:r>
        <w:rPr>
          <w:rFonts w:ascii="宋体" w:hAnsi="宋体" w:cs="宋体"/>
          <w:color w:val="auto"/>
          <w:sz w:val="24"/>
          <w:highlight w:val="none"/>
        </w:rPr>
        <w:t xml:space="preserve">交的投标文件的，自收到投标人书面撤回通知之日起5个工作日内退还已收取的投标保证金； </w:t>
      </w:r>
    </w:p>
    <w:p w14:paraId="13ADA4F2">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11.3</w:t>
      </w:r>
      <w:r>
        <w:rPr>
          <w:rFonts w:ascii="宋体" w:hAnsi="宋体" w:cs="宋体"/>
          <w:color w:val="auto"/>
          <w:sz w:val="24"/>
          <w:highlight w:val="none"/>
        </w:rPr>
        <w:t xml:space="preserve">.2中标人的投标保证金，自采购合同签订之日起5个工作日内退还中标人； </w:t>
      </w:r>
      <w:r>
        <w:rPr>
          <w:rFonts w:hint="eastAsia" w:ascii="宋体" w:hAnsi="宋体" w:cs="宋体"/>
          <w:color w:val="auto"/>
          <w:sz w:val="24"/>
          <w:highlight w:val="none"/>
        </w:rPr>
        <w:t>11.3</w:t>
      </w:r>
      <w:r>
        <w:rPr>
          <w:rFonts w:ascii="宋体" w:hAnsi="宋体" w:cs="宋体"/>
          <w:color w:val="auto"/>
          <w:sz w:val="24"/>
          <w:highlight w:val="none"/>
        </w:rPr>
        <w:t>.3未中标投标人的投标保证金，自中标通知书发出之日起5个工作日内退还未</w:t>
      </w:r>
    </w:p>
    <w:p w14:paraId="02B64E1C">
      <w:pPr>
        <w:spacing w:line="360" w:lineRule="auto"/>
        <w:rPr>
          <w:rFonts w:ascii="宋体" w:hAnsi="宋体" w:cs="宋体"/>
          <w:color w:val="auto"/>
          <w:sz w:val="24"/>
          <w:highlight w:val="none"/>
        </w:rPr>
      </w:pPr>
      <w:r>
        <w:rPr>
          <w:rFonts w:ascii="宋体" w:hAnsi="宋体" w:cs="宋体"/>
          <w:color w:val="auto"/>
          <w:sz w:val="24"/>
          <w:highlight w:val="none"/>
        </w:rPr>
        <w:t>中标人；</w:t>
      </w:r>
    </w:p>
    <w:p w14:paraId="6919CE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w:t>
      </w:r>
      <w:r>
        <w:rPr>
          <w:rFonts w:ascii="宋体" w:hAnsi="宋体" w:cs="宋体"/>
          <w:color w:val="auto"/>
          <w:sz w:val="24"/>
          <w:highlight w:val="none"/>
        </w:rPr>
        <w:t>.4终止招标项目已经收取投标保证金的，自终止采购活动后5个工作日内退还</w:t>
      </w:r>
    </w:p>
    <w:p w14:paraId="59D53FB3">
      <w:pPr>
        <w:spacing w:line="360" w:lineRule="auto"/>
        <w:rPr>
          <w:rFonts w:ascii="宋体" w:hAnsi="宋体" w:cs="宋体"/>
          <w:color w:val="auto"/>
          <w:sz w:val="24"/>
          <w:highlight w:val="none"/>
        </w:rPr>
      </w:pPr>
      <w:r>
        <w:rPr>
          <w:rFonts w:ascii="宋体" w:hAnsi="宋体" w:cs="宋体"/>
          <w:color w:val="auto"/>
          <w:sz w:val="24"/>
          <w:highlight w:val="none"/>
        </w:rPr>
        <w:t>已收取的投标保证金。</w:t>
      </w:r>
    </w:p>
    <w:p w14:paraId="2C715E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11.4中标人有下列情况之一的，采购人和采购代理机构不予退还其交纳的投标保证金：</w:t>
      </w:r>
    </w:p>
    <w:p w14:paraId="70AC7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（1）投标人在招标文件规定的投标有效期内撤回其投标；</w:t>
      </w:r>
    </w:p>
    <w:p w14:paraId="57EEAA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（2）中标人未按规定提交履约保证金的；</w:t>
      </w:r>
    </w:p>
    <w:p w14:paraId="24BA3B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（3）中标人未按规定时间、地点与采购人签订合同的；</w:t>
      </w:r>
    </w:p>
    <w:p w14:paraId="6EF3DB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（4）投标人存在严重违法行为：如提供虚假材料谋取中标，恶意串通，以及行贿或者提供其他不正当利益等；</w:t>
      </w:r>
    </w:p>
    <w:p w14:paraId="222541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（5）招标文件规定不予退还投标保证金的其他情形。</w:t>
      </w:r>
    </w:p>
    <w:p w14:paraId="60DFA39F">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12、投标有效期</w:t>
      </w:r>
    </w:p>
    <w:p w14:paraId="7D075C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12.1投标有效期为自开标之时起90天，投标文件在这个规定期限内应保持有效。</w:t>
      </w:r>
      <w:r>
        <w:rPr>
          <w:rFonts w:ascii="宋体" w:hAnsi="宋体" w:cs="宋体"/>
          <w:color w:val="auto"/>
          <w:sz w:val="24"/>
          <w:highlight w:val="none"/>
        </w:rPr>
        <w:t>投标有效期少于招标文件规定期限的，其</w:t>
      </w:r>
      <w:r>
        <w:rPr>
          <w:rFonts w:ascii="宋体" w:hAnsi="宋体" w:cs="宋体"/>
          <w:b/>
          <w:bCs/>
          <w:color w:val="auto"/>
          <w:sz w:val="24"/>
          <w:highlight w:val="none"/>
        </w:rPr>
        <w:t>投标无效</w:t>
      </w:r>
      <w:r>
        <w:rPr>
          <w:rFonts w:ascii="宋体" w:hAnsi="宋体" w:cs="宋体"/>
          <w:color w:val="auto"/>
          <w:sz w:val="24"/>
          <w:highlight w:val="none"/>
        </w:rPr>
        <w:t>。</w:t>
      </w:r>
    </w:p>
    <w:p w14:paraId="5EACB9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14:paraId="26FBFDC7">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13、投标文件的式样和签署</w:t>
      </w:r>
    </w:p>
    <w:p w14:paraId="5E89EF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 投标人应按照本须知的要求编制投标文件，逐项逐条响应招标文件并使用下载的政采云投标客户端制作并上传。</w:t>
      </w:r>
    </w:p>
    <w:p w14:paraId="425AA45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28E11C8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13.3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 </w:t>
      </w:r>
    </w:p>
    <w:p w14:paraId="5FFC4C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13.4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24954F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13.5评标前准备 </w:t>
      </w:r>
    </w:p>
    <w:p w14:paraId="21D3B3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13.5.1本项目实行网上评审，采用电子投标文件。 </w:t>
      </w:r>
    </w:p>
    <w:p w14:paraId="6A20860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13.5.2各投标人在响应文件提交截止时间前应确保成为政采云平台正式注册入库投标人，并完成CA数字证书申领。因未注册入库、未办理CA数字证书等原因造成无法投标或投标失败等后果由投标人自行承担。 </w:t>
      </w:r>
    </w:p>
    <w:p w14:paraId="62EE0F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13.5.3投标人将政采云电子交易客户端下载、安装完成后，可通过登录客户端进行响应文件制作。客户端请至网站下载专区查看，如有问题可拨打政采云客户服务热线95763进行咨询。</w:t>
      </w:r>
    </w:p>
    <w:p w14:paraId="2E31B0C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13.6其他说明</w:t>
      </w:r>
    </w:p>
    <w:p w14:paraId="5D7CD5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13.6.1投标人应先安装“政采云投标客户端”（请自行前往政采云平台进行下载https://customer.zcygov.cn/CA-driver-download?utm=web-login-front.52cebfa2.0.0.04df4040034511edaac705fda12edb43），通过账号密码或CA登录客户端制作投标文件。</w:t>
      </w:r>
    </w:p>
    <w:p w14:paraId="5A8EEF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13.6.2投标文件按照招标文件第六章投标文件构成及格式要求在规定位置进行签署、盖章。投标人的投标文件未按照招标文件要求签署、盖章的，</w:t>
      </w:r>
      <w:r>
        <w:rPr>
          <w:rFonts w:hint="eastAsia" w:ascii="宋体" w:hAnsi="宋体" w:cs="宋体"/>
          <w:b/>
          <w:bCs/>
          <w:color w:val="auto"/>
          <w:sz w:val="24"/>
          <w:highlight w:val="none"/>
        </w:rPr>
        <w:t>其投标无效</w:t>
      </w:r>
      <w:r>
        <w:rPr>
          <w:rFonts w:hint="eastAsia" w:ascii="宋体" w:hAnsi="宋体" w:cs="宋体"/>
          <w:color w:val="auto"/>
          <w:sz w:val="24"/>
          <w:highlight w:val="none"/>
        </w:rPr>
        <w:t>。</w:t>
      </w:r>
    </w:p>
    <w:p w14:paraId="15D2BD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13.6.3为确保网上操作合法、有效和安全，投标人应当在投标文件递交截止时间前完成在政采云平台的身份认证，确保在电子投标过程中能够对相关数据电文进行加密和使用电子签名。</w:t>
      </w:r>
    </w:p>
    <w:p w14:paraId="29A4F4A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13.6.4投标文件中标注的投标人名称应与主体资格证明（如营业执照、事业单位法人证书、执业许可证、个体工商户营业执照、自然人身份证等）和公章/电子签章一致，</w:t>
      </w:r>
      <w:r>
        <w:rPr>
          <w:rFonts w:hint="eastAsia" w:ascii="宋体" w:hAnsi="宋体" w:cs="宋体"/>
          <w:b/>
          <w:bCs/>
          <w:color w:val="auto"/>
          <w:sz w:val="24"/>
          <w:highlight w:val="none"/>
        </w:rPr>
        <w:t>否则作无效投标处理。</w:t>
      </w:r>
    </w:p>
    <w:p w14:paraId="4DC260C6">
      <w:pPr>
        <w:spacing w:line="360" w:lineRule="auto"/>
        <w:ind w:firstLine="472" w:firstLineChars="196"/>
        <w:outlineLvl w:val="0"/>
        <w:rPr>
          <w:rFonts w:ascii="宋体" w:hAnsi="宋体" w:cs="宋体"/>
          <w:b/>
          <w:color w:val="auto"/>
          <w:sz w:val="24"/>
          <w:highlight w:val="none"/>
        </w:rPr>
      </w:pPr>
      <w:r>
        <w:rPr>
          <w:rFonts w:hint="eastAsia" w:ascii="宋体" w:hAnsi="宋体" w:cs="宋体"/>
          <w:b/>
          <w:color w:val="auto"/>
          <w:sz w:val="24"/>
          <w:highlight w:val="none"/>
        </w:rPr>
        <w:t>14、投标文件的修改和撤回</w:t>
      </w:r>
    </w:p>
    <w:p w14:paraId="54FCEC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投标人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https://www.zcygov.cn/）将拒收。</w:t>
      </w:r>
    </w:p>
    <w:p w14:paraId="36540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14.2在投标文件提交截止时间前，除投标人补充、修改或者撤回投标文件外，任何单位和个人不得解密或提取投标文件。</w:t>
      </w:r>
    </w:p>
    <w:p w14:paraId="5B9ABB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14.3在投标截止时间（开标时间）之后，投标人不得对其投标文件做任何修改。</w:t>
      </w:r>
    </w:p>
    <w:p w14:paraId="7735A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从开标之时起，至投标有效期期满之间的这段时间内，投标人不得撤回其投标，否则根据投标人须知的规定，其投标保证金将被没收。与其他投标人恶意串通而撤回投标的，按照《中华人民共和国政府采购法》第七十七条的规定处理。</w:t>
      </w:r>
    </w:p>
    <w:p w14:paraId="137D095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15、投标</w:t>
      </w:r>
    </w:p>
    <w:p w14:paraId="5E9293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投标人应当在招标文件要求提交投标文件的截止时间前，提交电子版投标文件。电子投标文件应在制作完成后，在投标文件提交截止时间前通过有效数字证书（CA认证锁）进行电子签章、加密，然后通过网络将加密的电子投标文件递交至政采云平台（https://www.zcygov.cn/）。未在规定时间内提交或者未按照采购文件要求签章、加密的电子响应文件，政采云平台（https://www.zcygov.cn/）将拒收。</w:t>
      </w:r>
    </w:p>
    <w:p w14:paraId="150C03C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四、开标、资格性审查及评标</w:t>
      </w:r>
    </w:p>
    <w:p w14:paraId="0A74B97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16、开标</w:t>
      </w:r>
    </w:p>
    <w:p w14:paraId="3EED8E28">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16.1采购代理机构将在投标邀请中规定的时间和地点组织公开开标，邀请投标人线上通过政采云平台参加。</w:t>
      </w:r>
    </w:p>
    <w:p w14:paraId="5F9DB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16.2开标会由采购代理机构组织并主持。本项目开标使用</w:t>
      </w:r>
      <w:r>
        <w:rPr>
          <w:rFonts w:hint="eastAsia" w:asciiTheme="minorEastAsia" w:hAnsiTheme="minorEastAsia" w:eastAsiaTheme="minorEastAsia" w:cstheme="minorEastAsia"/>
          <w:color w:val="auto"/>
          <w:sz w:val="24"/>
          <w:highlight w:val="none"/>
        </w:rPr>
        <w:t>政采云平台（https://www.zcygov.cn/）</w:t>
      </w:r>
      <w:r>
        <w:rPr>
          <w:rFonts w:hint="eastAsia" w:ascii="宋体" w:hAnsi="宋体" w:cs="宋体"/>
          <w:color w:val="auto"/>
          <w:sz w:val="24"/>
          <w:highlight w:val="none"/>
        </w:rPr>
        <w:t>。</w:t>
      </w:r>
    </w:p>
    <w:p w14:paraId="57D216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16.3投标人不足3家的，不开标。</w:t>
      </w:r>
    </w:p>
    <w:p w14:paraId="54A328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16.4开标过程将使用</w:t>
      </w:r>
      <w:r>
        <w:rPr>
          <w:rFonts w:hint="eastAsia" w:asciiTheme="minorEastAsia" w:hAnsiTheme="minorEastAsia" w:eastAsiaTheme="minorEastAsia" w:cstheme="minorEastAsia"/>
          <w:color w:val="auto"/>
          <w:sz w:val="24"/>
          <w:highlight w:val="none"/>
        </w:rPr>
        <w:t>政采云平台（https://www.zcygov.cn/）</w:t>
      </w:r>
      <w:r>
        <w:rPr>
          <w:rFonts w:hint="eastAsia" w:ascii="宋体" w:hAnsi="宋体" w:cs="宋体"/>
          <w:color w:val="auto"/>
          <w:sz w:val="24"/>
          <w:highlight w:val="none"/>
        </w:rPr>
        <w:t>宣布投标人名称、投标价格和招标文件规定的需要宣布的其他内容并进行记录，并由参加开标的各投标人确认。投标人未在规定时间内确认一览表的，视同认可开标结果。</w:t>
      </w:r>
    </w:p>
    <w:p w14:paraId="77AB3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16.5按照规定，提交了可接受的“撤回”通知的投标将不予开封。撤回的投标文件将原封退回投标人。</w:t>
      </w:r>
    </w:p>
    <w:p w14:paraId="048382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7986B2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16.7开标时有下列情形之一的，采购人有权宣布本项目废标：</w:t>
      </w:r>
    </w:p>
    <w:p w14:paraId="34788B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（1）交货期/合同履行期限符合招标文件要求的投标人不足三家的； </w:t>
      </w:r>
    </w:p>
    <w:p w14:paraId="405345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（2）所有投标人的报价均超过采购项目预算，采购人不能支付的。</w:t>
      </w:r>
    </w:p>
    <w:p w14:paraId="6299B7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16.8投标文件解密</w:t>
      </w:r>
    </w:p>
    <w:p w14:paraId="72DE92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16.8.1投标人应当在招标文件规定的投标文件解密时间内对已上传的加密投标文件进行现场解密。如无特殊情况，解密工作须在投标截止时间后30分钟内完成。</w:t>
      </w:r>
    </w:p>
    <w:p w14:paraId="1CD1E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16.8.2投标人授权代表解密时应当使用制作加密电子投标文件的同一把数字证书对已上传的投标文件进行解密。</w:t>
      </w:r>
    </w:p>
    <w:p w14:paraId="623A28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16.8.3因投标人自身原因，逾期未能成功解密的，视为逾期未提交投标文件，其</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09ECBF7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17、资格性审查</w:t>
      </w:r>
    </w:p>
    <w:p w14:paraId="7662FB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17.1开标结束后，采购人或采购代理机构将依法对投标人的资格进行审查，并详细填写下表。合格投标人不足3家的，不进行评标。</w:t>
      </w:r>
    </w:p>
    <w:p w14:paraId="36F738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资格性审查表</w:t>
      </w:r>
    </w:p>
    <w:tbl>
      <w:tblPr>
        <w:tblStyle w:val="26"/>
        <w:tblW w:w="9610" w:type="dxa"/>
        <w:jc w:val="center"/>
        <w:tblLayout w:type="fixed"/>
        <w:tblCellMar>
          <w:top w:w="0" w:type="dxa"/>
          <w:left w:w="108" w:type="dxa"/>
          <w:bottom w:w="0" w:type="dxa"/>
          <w:right w:w="108" w:type="dxa"/>
        </w:tblCellMar>
      </w:tblPr>
      <w:tblGrid>
        <w:gridCol w:w="720"/>
        <w:gridCol w:w="1164"/>
        <w:gridCol w:w="2146"/>
        <w:gridCol w:w="5580"/>
      </w:tblGrid>
      <w:tr w14:paraId="4B45947C">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6" w:space="0"/>
              <w:bottom w:val="single" w:color="auto" w:sz="6" w:space="0"/>
              <w:right w:val="single" w:color="auto" w:sz="4" w:space="0"/>
            </w:tcBorders>
            <w:noWrap w:val="0"/>
            <w:vAlign w:val="center"/>
          </w:tcPr>
          <w:p w14:paraId="7F3E4B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164" w:type="dxa"/>
            <w:tcBorders>
              <w:top w:val="single" w:color="auto" w:sz="6" w:space="0"/>
              <w:left w:val="single" w:color="auto" w:sz="4" w:space="0"/>
              <w:bottom w:val="single" w:color="auto" w:sz="6" w:space="0"/>
              <w:right w:val="single" w:color="auto" w:sz="4" w:space="0"/>
            </w:tcBorders>
            <w:noWrap w:val="0"/>
            <w:vAlign w:val="center"/>
          </w:tcPr>
          <w:p w14:paraId="57138E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类型</w:t>
            </w:r>
          </w:p>
        </w:tc>
        <w:tc>
          <w:tcPr>
            <w:tcW w:w="2146" w:type="dxa"/>
            <w:tcBorders>
              <w:top w:val="single" w:color="auto" w:sz="6" w:space="0"/>
              <w:left w:val="single" w:color="auto" w:sz="4" w:space="0"/>
              <w:bottom w:val="single" w:color="auto" w:sz="6" w:space="0"/>
              <w:right w:val="single" w:color="auto" w:sz="6" w:space="0"/>
            </w:tcBorders>
            <w:noWrap w:val="0"/>
            <w:vAlign w:val="center"/>
          </w:tcPr>
          <w:p w14:paraId="1873C4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审查内容</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4B393C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要求说明</w:t>
            </w:r>
          </w:p>
        </w:tc>
      </w:tr>
      <w:tr w14:paraId="39E3A3A1">
        <w:tblPrEx>
          <w:tblCellMar>
            <w:top w:w="0" w:type="dxa"/>
            <w:left w:w="108" w:type="dxa"/>
            <w:bottom w:w="0" w:type="dxa"/>
            <w:right w:w="108" w:type="dxa"/>
          </w:tblCellMar>
        </w:tblPrEx>
        <w:trPr>
          <w:trHeight w:val="397" w:hRule="atLeast"/>
          <w:jc w:val="center"/>
        </w:trPr>
        <w:tc>
          <w:tcPr>
            <w:tcW w:w="720" w:type="dxa"/>
            <w:tcBorders>
              <w:top w:val="single" w:color="auto" w:sz="6" w:space="0"/>
              <w:left w:val="single" w:color="auto" w:sz="6" w:space="0"/>
              <w:bottom w:val="single" w:color="auto" w:sz="4" w:space="0"/>
              <w:right w:val="single" w:color="auto" w:sz="4" w:space="0"/>
            </w:tcBorders>
            <w:noWrap w:val="0"/>
            <w:vAlign w:val="center"/>
          </w:tcPr>
          <w:p w14:paraId="759A82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64" w:type="dxa"/>
            <w:tcBorders>
              <w:top w:val="single" w:color="auto" w:sz="6" w:space="0"/>
              <w:left w:val="single" w:color="auto" w:sz="4" w:space="0"/>
              <w:bottom w:val="single" w:color="auto" w:sz="4" w:space="0"/>
              <w:right w:val="single" w:color="auto" w:sz="4" w:space="0"/>
            </w:tcBorders>
            <w:noWrap w:val="0"/>
            <w:vAlign w:val="center"/>
          </w:tcPr>
          <w:p w14:paraId="3895D6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基本资质1</w:t>
            </w:r>
          </w:p>
        </w:tc>
        <w:tc>
          <w:tcPr>
            <w:tcW w:w="2146" w:type="dxa"/>
            <w:tcBorders>
              <w:top w:val="single" w:color="auto" w:sz="6" w:space="0"/>
              <w:left w:val="single" w:color="auto" w:sz="4" w:space="0"/>
              <w:bottom w:val="single" w:color="auto" w:sz="4" w:space="0"/>
              <w:right w:val="single" w:color="auto" w:sz="6" w:space="0"/>
            </w:tcBorders>
            <w:noWrap w:val="0"/>
            <w:vAlign w:val="center"/>
          </w:tcPr>
          <w:p w14:paraId="6831AE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具有独立承担民事责任的能力</w:t>
            </w:r>
            <w:r>
              <w:rPr>
                <w:rFonts w:hint="eastAsia" w:ascii="宋体" w:hAnsi="宋体" w:cs="宋体"/>
                <w:color w:val="auto"/>
                <w:sz w:val="24"/>
                <w:highlight w:val="none"/>
                <w:lang w:eastAsia="zh-CN"/>
              </w:rPr>
              <w:t>；</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71ACDC1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为企业（包括合伙企业）的，应提供有效的“营业执照”；</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为事业单位的，应提供有效的“事业单位法人证书”；</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是非企业机构的，应提供有效的“执业许可证”、“登记证书”等证明文件；</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是个体工商户的，应提供有效的“个体工商户营业执照”；</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是自然人的，应提供有效的自然人身份证明；</w:t>
            </w:r>
          </w:p>
        </w:tc>
      </w:tr>
      <w:tr w14:paraId="43F8B563">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bottom w:val="single" w:color="auto" w:sz="4" w:space="0"/>
              <w:right w:val="single" w:color="auto" w:sz="4" w:space="0"/>
            </w:tcBorders>
            <w:noWrap w:val="0"/>
            <w:vAlign w:val="center"/>
          </w:tcPr>
          <w:p w14:paraId="4D1DE2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32534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基本资质2</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471AB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具有良好的商业信誉和健全的财务会计制度；</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038DC2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年度第三方审计机构出具的审计报告</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rPr>
              <w:t>提供</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基本户开户银行出具的资信证明。</w:t>
            </w:r>
          </w:p>
        </w:tc>
      </w:tr>
      <w:tr w14:paraId="1CE9B7FC">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bottom w:val="single" w:color="auto" w:sz="4" w:space="0"/>
              <w:right w:val="single" w:color="auto" w:sz="4" w:space="0"/>
            </w:tcBorders>
            <w:noWrap w:val="0"/>
            <w:vAlign w:val="center"/>
          </w:tcPr>
          <w:p w14:paraId="62F64B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3D2A17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基本资质3</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7A832D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具有履行合同所必需的设备和专业技术能力的证明材料；</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7DE024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提供承诺书，格式自拟。</w:t>
            </w:r>
          </w:p>
        </w:tc>
      </w:tr>
      <w:tr w14:paraId="71E43DFD">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bottom w:val="single" w:color="auto" w:sz="4" w:space="0"/>
              <w:right w:val="single" w:color="auto" w:sz="4" w:space="0"/>
            </w:tcBorders>
            <w:noWrap w:val="0"/>
            <w:vAlign w:val="center"/>
          </w:tcPr>
          <w:p w14:paraId="441E91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64A9B9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基本资质4</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5634C2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有依法缴纳税收和社会保障资金的良好记录；</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173388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年内任意一个月的依法缴纳税收和社会保障资金的相关材料，依法免税或不需要缴纳社会保障资金的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，应提供文件证明其依法免税或不需要缴纳社会保障资金。</w:t>
            </w:r>
          </w:p>
        </w:tc>
      </w:tr>
      <w:tr w14:paraId="3758E0F4">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bottom w:val="single" w:color="auto" w:sz="4" w:space="0"/>
              <w:right w:val="single" w:color="auto" w:sz="4" w:space="0"/>
            </w:tcBorders>
            <w:noWrap w:val="0"/>
            <w:vAlign w:val="center"/>
          </w:tcPr>
          <w:p w14:paraId="3F4A3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A25F5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基本资质5</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77C2FD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参加政府采购活动前3年内在经营活动中没有重大违法记录的书面声明；</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012698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提供书面声明，格式自拟。</w:t>
            </w:r>
          </w:p>
        </w:tc>
      </w:tr>
      <w:tr w14:paraId="61A372C1">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right w:val="single" w:color="auto" w:sz="4" w:space="0"/>
            </w:tcBorders>
            <w:noWrap w:val="0"/>
            <w:vAlign w:val="center"/>
          </w:tcPr>
          <w:p w14:paraId="442E5C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164" w:type="dxa"/>
            <w:tcBorders>
              <w:top w:val="single" w:color="auto" w:sz="4" w:space="0"/>
              <w:left w:val="single" w:color="auto" w:sz="4" w:space="0"/>
              <w:right w:val="single" w:color="auto" w:sz="4" w:space="0"/>
            </w:tcBorders>
            <w:noWrap w:val="0"/>
            <w:vAlign w:val="center"/>
          </w:tcPr>
          <w:p w14:paraId="6177B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基本资质6</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20B8CB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为未被列入失信被执行人、重大税收违法案件当事人名单、政府采购严重违法失信行为记录名单的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4FCFC08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提供承诺书，格式自拟。</w:t>
            </w:r>
          </w:p>
        </w:tc>
      </w:tr>
      <w:tr w14:paraId="34950C65">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bottom w:val="single" w:color="auto" w:sz="4" w:space="0"/>
              <w:right w:val="single" w:color="auto" w:sz="4" w:space="0"/>
            </w:tcBorders>
            <w:noWrap w:val="0"/>
            <w:vAlign w:val="center"/>
          </w:tcPr>
          <w:p w14:paraId="485886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1B62C6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基本资质7</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0AC3F5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单位负责人为同一人或存在直接控股、管理关系的不同</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，不得参加同一合同项下的政府采购活动；</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60F007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提供书面声明，格式自拟。</w:t>
            </w:r>
          </w:p>
        </w:tc>
      </w:tr>
      <w:tr w14:paraId="18EA04C0">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bottom w:val="single" w:color="auto" w:sz="4" w:space="0"/>
              <w:right w:val="single" w:color="auto" w:sz="4" w:space="0"/>
            </w:tcBorders>
            <w:noWrap w:val="0"/>
            <w:vAlign w:val="center"/>
          </w:tcPr>
          <w:p w14:paraId="40B543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575E7A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基本资质</w:t>
            </w:r>
            <w:r>
              <w:rPr>
                <w:rFonts w:hint="eastAsia" w:ascii="宋体" w:hAnsi="宋体" w:eastAsia="宋体" w:cs="宋体"/>
                <w:color w:val="auto"/>
                <w:sz w:val="24"/>
                <w:highlight w:val="none"/>
                <w:lang w:val="en-US" w:eastAsia="zh-CN"/>
              </w:rPr>
              <w:t>8</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3CF46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不接受联合体；</w:t>
            </w:r>
          </w:p>
        </w:tc>
        <w:tc>
          <w:tcPr>
            <w:tcW w:w="5580" w:type="dxa"/>
            <w:tcBorders>
              <w:top w:val="single" w:color="auto" w:sz="6" w:space="0"/>
              <w:left w:val="single" w:color="auto" w:sz="6" w:space="0"/>
              <w:bottom w:val="single" w:color="auto" w:sz="6" w:space="0"/>
              <w:right w:val="single" w:color="auto" w:sz="4" w:space="0"/>
            </w:tcBorders>
            <w:noWrap w:val="0"/>
            <w:vAlign w:val="center"/>
          </w:tcPr>
          <w:p w14:paraId="6DB8B9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非联合体。</w:t>
            </w:r>
          </w:p>
        </w:tc>
      </w:tr>
      <w:tr w14:paraId="1E7F56FE">
        <w:tblPrEx>
          <w:tblCellMar>
            <w:top w:w="0" w:type="dxa"/>
            <w:left w:w="108" w:type="dxa"/>
            <w:bottom w:w="0" w:type="dxa"/>
            <w:right w:w="108" w:type="dxa"/>
          </w:tblCellMar>
        </w:tblPrEx>
        <w:trPr>
          <w:trHeight w:val="397" w:hRule="atLeast"/>
          <w:jc w:val="center"/>
        </w:trPr>
        <w:tc>
          <w:tcPr>
            <w:tcW w:w="720" w:type="dxa"/>
            <w:tcBorders>
              <w:top w:val="single" w:color="auto" w:sz="4" w:space="0"/>
              <w:left w:val="single" w:color="auto" w:sz="6" w:space="0"/>
              <w:bottom w:val="single" w:color="auto" w:sz="4" w:space="0"/>
              <w:right w:val="single" w:color="auto" w:sz="4" w:space="0"/>
            </w:tcBorders>
            <w:noWrap w:val="0"/>
            <w:vAlign w:val="center"/>
          </w:tcPr>
          <w:p w14:paraId="453180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285D3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基本资质</w:t>
            </w:r>
            <w:r>
              <w:rPr>
                <w:rFonts w:hint="eastAsia" w:ascii="宋体" w:hAnsi="宋体" w:cs="宋体"/>
                <w:color w:val="auto"/>
                <w:sz w:val="24"/>
                <w:highlight w:val="none"/>
                <w:lang w:val="en-US" w:eastAsia="zh-CN"/>
              </w:rPr>
              <w:t>9</w:t>
            </w:r>
          </w:p>
        </w:tc>
        <w:tc>
          <w:tcPr>
            <w:tcW w:w="2146" w:type="dxa"/>
            <w:tcBorders>
              <w:top w:val="single" w:color="auto" w:sz="4" w:space="0"/>
              <w:left w:val="single" w:color="auto" w:sz="4" w:space="0"/>
              <w:bottom w:val="single" w:color="auto" w:sz="4" w:space="0"/>
              <w:right w:val="single" w:color="auto" w:sz="6" w:space="0"/>
            </w:tcBorders>
            <w:noWrap w:val="0"/>
            <w:vAlign w:val="center"/>
          </w:tcPr>
          <w:p w14:paraId="7986AE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文件中的要求提交了</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cs="宋体"/>
                <w:color w:val="auto"/>
                <w:sz w:val="24"/>
                <w:highlight w:val="none"/>
                <w:lang w:eastAsia="zh-CN"/>
              </w:rPr>
              <w:t>。</w:t>
            </w:r>
          </w:p>
        </w:tc>
        <w:tc>
          <w:tcPr>
            <w:tcW w:w="5580" w:type="dxa"/>
            <w:tcBorders>
              <w:top w:val="single" w:color="auto" w:sz="6" w:space="0"/>
              <w:left w:val="single" w:color="auto" w:sz="6" w:space="0"/>
              <w:bottom w:val="single" w:color="auto" w:sz="4" w:space="0"/>
              <w:right w:val="single" w:color="auto" w:sz="4" w:space="0"/>
            </w:tcBorders>
            <w:noWrap w:val="0"/>
            <w:vAlign w:val="center"/>
          </w:tcPr>
          <w:p w14:paraId="7A241A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保证金金额和形式符合</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文件要求。</w:t>
            </w:r>
          </w:p>
        </w:tc>
      </w:tr>
    </w:tbl>
    <w:p w14:paraId="13F15EB9">
      <w:pPr>
        <w:spacing w:line="360" w:lineRule="auto"/>
        <w:rPr>
          <w:rFonts w:ascii="宋体" w:hAnsi="宋体" w:cs="宋体"/>
          <w:color w:val="auto"/>
          <w:sz w:val="24"/>
          <w:highlight w:val="none"/>
        </w:rPr>
      </w:pPr>
      <w:r>
        <w:rPr>
          <w:rFonts w:hint="eastAsia" w:ascii="宋体" w:hAnsi="宋体" w:cs="宋体"/>
          <w:color w:val="auto"/>
          <w:sz w:val="24"/>
          <w:highlight w:val="none"/>
        </w:rPr>
        <w:t>注：本表中符合评审内容要求的写“√”，不符合评审内容要求的写“×”。结论为“合格”或“不合格”。</w:t>
      </w:r>
    </w:p>
    <w:p w14:paraId="0C0C0D05">
      <w:pPr>
        <w:spacing w:line="360" w:lineRule="auto"/>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18、评标过程的保密性</w:t>
      </w:r>
    </w:p>
    <w:p w14:paraId="3CE5B12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18.1公开开标后，直至向中标的投标人授予合同时止，除按招标文件规定予以公开的评标结果外，凡与审查、澄清、评价和比较投标有关的资料以及授标意见等，均不得向投标人及与评标无关的其他人透露。</w:t>
      </w:r>
    </w:p>
    <w:p w14:paraId="28F4322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19、评标</w:t>
      </w:r>
    </w:p>
    <w:p w14:paraId="549F44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19.1采购代理机构负责组织评标工作，并履行下列职责：</w:t>
      </w:r>
    </w:p>
    <w:p w14:paraId="74A0F38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（一）核对评审专家身份和采购人代表授权函，对评审专家在政府采购活动中的职责履行情况予以记录，并及时将有关违法违规行为向财政部门报告；</w:t>
      </w:r>
    </w:p>
    <w:p w14:paraId="40B22FB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（二）宣布评标纪律；</w:t>
      </w:r>
    </w:p>
    <w:p w14:paraId="51D9B5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（三）公布投标人名单，告知评审专家应当回避的情形；</w:t>
      </w:r>
    </w:p>
    <w:p w14:paraId="44201F6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（四）组织评标委员会推选评标组长，采购人代表不得担任组长；</w:t>
      </w:r>
    </w:p>
    <w:p w14:paraId="0240A64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（五）在评标期间采取必要的通讯管理措施，保证评标活动不受外界干扰；</w:t>
      </w:r>
    </w:p>
    <w:p w14:paraId="497961B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（六）根据评标委员会的要求介绍政府采购相关政策法规、招标文件；</w:t>
      </w:r>
    </w:p>
    <w:p w14:paraId="21A29C8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（七）维护评标秩序，监督评标委员会依照招标文件规定的评标程序、方法和标准进行独立评审，及时制止和纠正采购人代表、评审专家的倾向性言论或者违法违规行为；</w:t>
      </w:r>
    </w:p>
    <w:p w14:paraId="1828160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（八）评标委员会根据有关法律法规和招标文件规定的方法和标准独立评标，负责完成评标的全过程直至评定预中标人。招标代理机构只负责评标组织工作，不参加评标。</w:t>
      </w:r>
    </w:p>
    <w:p w14:paraId="574BB0E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九）核对评标结果，有《政府采购货物和服务招标投标管理办法》（中华人民共和国财政部令第87号）规定情形的，要求评标委员会复核或者书面说明理由，评标委员会拒绝的，应予记录并向本级财政部门报告；</w:t>
      </w:r>
    </w:p>
    <w:p w14:paraId="735C537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（十）评审工作完成后，按照规定向评审专家支付劳务报酬和异地评审差旅费，不得向评审专家以外的其他人员支付评审劳务报酬；</w:t>
      </w:r>
    </w:p>
    <w:p w14:paraId="51F003D2">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（十一）处理与评标有关的其他事项。</w:t>
      </w:r>
    </w:p>
    <w:p w14:paraId="28F79F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19.2采购人可以在评标前说明项目背景和采购需求，说明内容不得含有歧视性、倾向性意见，不得超出招标文件所述范围。说明应当提交书面材料，并随采购文件一并存档。</w:t>
      </w:r>
    </w:p>
    <w:p w14:paraId="4EAD8E6C">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19.3</w:t>
      </w:r>
      <w:r>
        <w:rPr>
          <w:rFonts w:hint="eastAsia" w:ascii="宋体" w:hAnsi="宋体" w:eastAsia="宋体" w:cs="宋体"/>
          <w:color w:val="auto"/>
          <w:sz w:val="24"/>
          <w:highlight w:val="none"/>
          <w:lang w:val="zh-CN"/>
        </w:rPr>
        <w:t>评标委员会由</w:t>
      </w:r>
      <w:r>
        <w:rPr>
          <w:rFonts w:hint="eastAsia" w:ascii="宋体" w:hAnsi="宋体" w:eastAsia="宋体" w:cs="宋体"/>
          <w:color w:val="auto"/>
          <w:sz w:val="24"/>
          <w:highlight w:val="none"/>
          <w:lang w:val="en-US" w:eastAsia="zh-CN"/>
        </w:rPr>
        <w:t>采购人代表和</w:t>
      </w:r>
      <w:r>
        <w:rPr>
          <w:rFonts w:hint="eastAsia" w:ascii="宋体" w:hAnsi="宋体" w:eastAsia="宋体" w:cs="宋体"/>
          <w:color w:val="auto"/>
          <w:sz w:val="24"/>
          <w:highlight w:val="none"/>
          <w:lang w:val="zh-CN"/>
        </w:rPr>
        <w:t>评审专家组成，专家成员从</w:t>
      </w:r>
      <w:r>
        <w:rPr>
          <w:rFonts w:hint="eastAsia" w:ascii="宋体" w:hAnsi="宋体" w:eastAsia="宋体" w:cs="宋体"/>
          <w:color w:val="auto"/>
          <w:sz w:val="24"/>
          <w:highlight w:val="none"/>
        </w:rPr>
        <w:t>政采云平台</w:t>
      </w:r>
      <w:r>
        <w:rPr>
          <w:rFonts w:hint="eastAsia" w:ascii="宋体" w:hAnsi="宋体" w:eastAsia="宋体" w:cs="宋体"/>
          <w:color w:val="auto"/>
          <w:sz w:val="24"/>
          <w:highlight w:val="none"/>
          <w:lang w:val="zh-CN"/>
        </w:rPr>
        <w:t>专家库中随机抽取产生。</w:t>
      </w:r>
      <w:r>
        <w:rPr>
          <w:rFonts w:hint="eastAsia" w:ascii="宋体" w:hAnsi="宋体" w:cs="宋体"/>
          <w:color w:val="auto"/>
          <w:sz w:val="24"/>
          <w:highlight w:val="none"/>
        </w:rPr>
        <w:t>评标委员会根据有关法律法规和招标文件规定的方法和标准独立评标，负责完成评标的全过程直至评定预中标人，成员人数应当为5人以上单数，其中随机抽取的评审专家不得少于成员总数的三分之二。</w:t>
      </w:r>
    </w:p>
    <w:p w14:paraId="1F8255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19.4采购项目符合下列情形之一的，评标委员会成员人数应当为7人以上单数：</w:t>
      </w:r>
    </w:p>
    <w:p w14:paraId="673260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（一）采购预算金额在1000万元以上；</w:t>
      </w:r>
    </w:p>
    <w:p w14:paraId="3C0C57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（二）技术复杂；</w:t>
      </w:r>
    </w:p>
    <w:p w14:paraId="31AE39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（三）社会影响较大。</w:t>
      </w:r>
    </w:p>
    <w:p w14:paraId="15413B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19.5评标委员会负责具体评标事物，并独立履行下列职责：</w:t>
      </w:r>
    </w:p>
    <w:p w14:paraId="734A0EE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（一）审查、评价投标文件是否符合招标文件的商务、技术等实质性要求；</w:t>
      </w:r>
    </w:p>
    <w:p w14:paraId="33CC4E2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（二）要求投标人对投标文件有关事项作出澄清或者说明；</w:t>
      </w:r>
    </w:p>
    <w:p w14:paraId="768452B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（三）对投标文件进行比较和评价；</w:t>
      </w:r>
    </w:p>
    <w:p w14:paraId="52504D2A">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（四）确定中标候选人名单；</w:t>
      </w:r>
    </w:p>
    <w:p w14:paraId="31256C55">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（五）向采购人、采购代理机构或者有关部门报告评标中发现的违法行为。</w:t>
      </w:r>
    </w:p>
    <w:p w14:paraId="08D1B6EA">
      <w:pPr>
        <w:pStyle w:val="3"/>
        <w:spacing w:line="360" w:lineRule="auto"/>
        <w:ind w:firstLine="480" w:firstLineChars="200"/>
        <w:rPr>
          <w:rFonts w:hint="default" w:ascii="宋体" w:hAnsi="宋体" w:cs="宋体"/>
          <w:color w:val="auto"/>
          <w:sz w:val="24"/>
          <w:highlight w:val="none"/>
        </w:rPr>
      </w:pPr>
      <w:r>
        <w:rPr>
          <w:rFonts w:ascii="宋体" w:hAnsi="宋体" w:eastAsia="宋体" w:cs="宋体"/>
          <w:b w:val="0"/>
          <w:bCs w:val="0"/>
          <w:color w:val="auto"/>
          <w:sz w:val="24"/>
          <w:szCs w:val="24"/>
          <w:highlight w:val="none"/>
        </w:rPr>
        <w:t>19.6评标委员会对投标文件的判定，只依据投标文件内容本身，不依据任何外来证明。</w:t>
      </w:r>
    </w:p>
    <w:p w14:paraId="5BE043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五、确定中标</w:t>
      </w:r>
    </w:p>
    <w:p w14:paraId="6A3011F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w:t>
      </w:r>
      <w:bookmarkStart w:id="1" w:name="OLE_LINK3"/>
      <w:r>
        <w:rPr>
          <w:rFonts w:hint="eastAsia" w:ascii="宋体" w:hAnsi="宋体" w:cs="宋体"/>
          <w:b/>
          <w:color w:val="auto"/>
          <w:sz w:val="24"/>
          <w:highlight w:val="none"/>
        </w:rPr>
        <w:t>中标</w:t>
      </w:r>
    </w:p>
    <w:p w14:paraId="029860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20.1采购代理机构将在评标结束后2个工作日内将评标报告送采购人。</w:t>
      </w:r>
    </w:p>
    <w:p w14:paraId="460029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20.2采购人将自收到评标报告之日起5个工作日内，在评标报告确定的中标候选人名单中按顺序确定中标人。中标候选人并列的，采购人将采取随机抽取的方式确定。</w:t>
      </w:r>
    </w:p>
    <w:p w14:paraId="1F6C5D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20.3采购人在收到评标报告5个工作日内未按评标报告推荐的中标候选人顺序确定中标人，又不能说明合法理由的，视同按评标报告推荐的顺序确定排名第一的中标候选人为中标人。</w:t>
      </w:r>
    </w:p>
    <w:p w14:paraId="47B2D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20.4采购代理机构将自中标人确定之日起2个工作日内，在</w:t>
      </w:r>
      <w:r>
        <w:rPr>
          <w:rFonts w:hint="eastAsia" w:ascii="宋体" w:hAnsi="宋体" w:cs="宋体"/>
          <w:color w:val="auto"/>
          <w:sz w:val="24"/>
          <w:highlight w:val="none"/>
          <w:lang w:val="en-US" w:eastAsia="zh-CN"/>
        </w:rPr>
        <w:t>市级政府采购</w:t>
      </w:r>
      <w:r>
        <w:rPr>
          <w:rFonts w:hint="eastAsia" w:ascii="宋体" w:hAnsi="宋体" w:cs="宋体"/>
          <w:color w:val="auto"/>
          <w:sz w:val="24"/>
          <w:highlight w:val="none"/>
        </w:rPr>
        <w:t>媒</w:t>
      </w:r>
      <w:r>
        <w:rPr>
          <w:rFonts w:hint="eastAsia" w:ascii="宋体" w:hAnsi="宋体" w:cs="宋体"/>
          <w:color w:val="auto"/>
          <w:sz w:val="24"/>
          <w:highlight w:val="none"/>
          <w:lang w:val="en-US" w:eastAsia="zh-CN"/>
        </w:rPr>
        <w:t>介</w:t>
      </w:r>
      <w:r>
        <w:rPr>
          <w:rFonts w:hint="eastAsia" w:ascii="宋体" w:hAnsi="宋体" w:cs="宋体"/>
          <w:color w:val="auto"/>
          <w:sz w:val="24"/>
          <w:highlight w:val="none"/>
        </w:rPr>
        <w:t>上公告中标结果，招标文件应当随中标结果同时公告。中标公告期限为1个工作日。</w:t>
      </w:r>
    </w:p>
    <w:p w14:paraId="6AE43AFF">
      <w:pPr>
        <w:spacing w:line="360" w:lineRule="auto"/>
        <w:ind w:firstLine="480" w:firstLineChars="200"/>
        <w:rPr>
          <w:color w:val="auto"/>
          <w:highlight w:val="none"/>
        </w:rPr>
      </w:pPr>
      <w:r>
        <w:rPr>
          <w:rFonts w:hint="eastAsia" w:ascii="宋体" w:hAnsi="宋体" w:cs="宋体"/>
          <w:color w:val="auto"/>
          <w:sz w:val="24"/>
          <w:highlight w:val="none"/>
        </w:rPr>
        <w:t>20.5在公告中标结果的同时，采购代理机构向中标人发出中标通知书；对未通过资格审查的投标人，将告知其未通过的原因；采用综合评分法评审的，还将告知未中标人本人的评审得分与排序。</w:t>
      </w:r>
    </w:p>
    <w:bookmarkEnd w:id="1"/>
    <w:p w14:paraId="4B49E4A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21、签订合同</w:t>
      </w:r>
    </w:p>
    <w:p w14:paraId="69DF6BD1">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21.1中标通知书发出后，采购人不得违法改变中标结果，中标人无正当理由不得放弃中标。</w:t>
      </w:r>
    </w:p>
    <w:p w14:paraId="05B67AF5">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21.2采购人应当自中标通知书发出之日起30日内，按照招标文件和中标人投标文件的规定，与中标人签订书面合同。所签订的合同不得对招标文件确定的事项和中标人投标文件作实质性修改。</w:t>
      </w:r>
    </w:p>
    <w:p w14:paraId="129933E7">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21.3采购人不得向中标人提出任何不合理的要求作为签订合同的条件。</w:t>
      </w:r>
    </w:p>
    <w:p w14:paraId="281F690F">
      <w:pPr>
        <w:pStyle w:val="9"/>
        <w:spacing w:line="360" w:lineRule="auto"/>
        <w:ind w:firstLine="480" w:firstLineChars="200"/>
        <w:rPr>
          <w:color w:val="auto"/>
          <w:highlight w:val="none"/>
        </w:rPr>
      </w:pPr>
      <w:r>
        <w:rPr>
          <w:rFonts w:hint="eastAsia" w:ascii="宋体" w:hAnsi="宋体" w:eastAsia="宋体" w:cs="宋体"/>
          <w:color w:val="auto"/>
          <w:sz w:val="24"/>
          <w:szCs w:val="24"/>
          <w:highlight w:val="none"/>
        </w:rPr>
        <w:t>21.4</w:t>
      </w:r>
      <w:r>
        <w:rPr>
          <w:rFonts w:ascii="宋体" w:hAnsi="宋体" w:eastAsia="宋体" w:cs="宋体"/>
          <w:color w:val="auto"/>
          <w:sz w:val="24"/>
          <w:szCs w:val="24"/>
          <w:highlight w:val="none"/>
        </w:rPr>
        <w:t>中标人拒绝与采购人签订合同的，采购人可以按照评标报告推荐的中标候选人名单排序，确定下一候选人为中标人，也可以重新开展政府采购活动。</w:t>
      </w:r>
    </w:p>
    <w:p w14:paraId="60690935">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21.5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14:paraId="2A261423">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21.6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14:paraId="75D75ADF">
      <w:pPr>
        <w:pStyle w:val="9"/>
        <w:spacing w:line="360" w:lineRule="auto"/>
        <w:ind w:firstLine="480" w:firstLineChars="200"/>
        <w:rPr>
          <w:color w:val="auto"/>
          <w:highlight w:val="none"/>
        </w:rPr>
      </w:pPr>
      <w:r>
        <w:rPr>
          <w:rFonts w:hint="eastAsia" w:ascii="宋体" w:hAnsi="宋体" w:eastAsia="宋体" w:cs="宋体"/>
          <w:color w:val="auto"/>
          <w:sz w:val="24"/>
          <w:szCs w:val="24"/>
          <w:highlight w:val="none"/>
        </w:rPr>
        <w:t>21.7</w:t>
      </w:r>
      <w:r>
        <w:rPr>
          <w:rFonts w:ascii="宋体" w:hAnsi="宋体" w:eastAsia="宋体" w:cs="宋体"/>
          <w:color w:val="auto"/>
          <w:sz w:val="24"/>
          <w:szCs w:val="24"/>
          <w:highlight w:val="none"/>
        </w:rPr>
        <w:t>政府采购合同不能转包。</w:t>
      </w:r>
    </w:p>
    <w:p w14:paraId="0DF3833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22、保密和披露</w:t>
      </w:r>
    </w:p>
    <w:p w14:paraId="3DBF5516">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22.1投标人自购买招标文件之日起，须承诺承担本招标项目下的保密义务，不得将因本次招标获得的信息向第三人外传。</w:t>
      </w:r>
    </w:p>
    <w:p w14:paraId="1E95DA37">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22.2采购人有权将投标人提供的所有资料向其他政府部门或有关的非政府机构负责评审标书的人员或与评标有关的人员披露。</w:t>
      </w:r>
    </w:p>
    <w:p w14:paraId="795C2323">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63685D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23、质疑和投诉</w:t>
      </w:r>
    </w:p>
    <w:p w14:paraId="05D482D0">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highlight w:val="none"/>
          <w:lang w:val="en-US" w:eastAsia="zh-CN"/>
        </w:rPr>
        <w:t>武娜</w:t>
      </w:r>
      <w:r>
        <w:rPr>
          <w:rFonts w:hint="eastAsia" w:ascii="宋体" w:hAnsi="宋体" w:eastAsia="宋体" w:cs="宋体"/>
          <w:color w:val="auto"/>
          <w:sz w:val="24"/>
          <w:szCs w:val="24"/>
          <w:highlight w:val="none"/>
        </w:rPr>
        <w:t>0431-81150785）投标人对采购人的质疑答复不满意或者采购人未在规定时间内作出答复的，可以在答复期满后十五个工作日内向同级采购监管部门投诉。</w:t>
      </w:r>
    </w:p>
    <w:p w14:paraId="4A2D9F9B">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23.2质疑书、投诉书均应明确阐述招标文件、招标过程和中标结果中使自己合法权益受到损害的实质性内容，提供相关事实、依据和证据及其来源或线索，便于有关单位调查、答复和处理。</w:t>
      </w:r>
    </w:p>
    <w:p w14:paraId="22E91C0C">
      <w:pPr>
        <w:pStyle w:val="9"/>
        <w:spacing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24、中标服务费</w:t>
      </w:r>
    </w:p>
    <w:p w14:paraId="2B14FD02">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24.1中标人在接到中标通知书后，应向采购代理机构足额交纳中标服务费，</w:t>
      </w:r>
      <w:r>
        <w:rPr>
          <w:rFonts w:hint="eastAsia" w:ascii="宋体" w:hAnsi="宋体" w:eastAsia="宋体" w:cs="宋体"/>
          <w:color w:val="auto"/>
          <w:sz w:val="24"/>
          <w:szCs w:val="24"/>
          <w:highlight w:val="none"/>
          <w:lang w:val="en-US" w:eastAsia="zh-CN"/>
        </w:rPr>
        <w:t>执行计价格[2002]1980号-招标代理服务收费标准，固定折扣0.686收取</w:t>
      </w:r>
      <w:r>
        <w:rPr>
          <w:rFonts w:hint="eastAsia" w:ascii="宋体" w:hAnsi="宋体" w:eastAsia="宋体" w:cs="宋体"/>
          <w:color w:val="auto"/>
          <w:sz w:val="24"/>
          <w:szCs w:val="24"/>
          <w:highlight w:val="none"/>
        </w:rPr>
        <w:t>。</w:t>
      </w:r>
    </w:p>
    <w:p w14:paraId="7D7B2B32">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收款人：中金招标有限责任公司吉林省分公司</w:t>
      </w:r>
    </w:p>
    <w:p w14:paraId="1DEDFBE5">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开户行：招商银行长春分行营业部</w:t>
      </w:r>
    </w:p>
    <w:p w14:paraId="21896E62">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账号：431901478010801</w:t>
      </w:r>
    </w:p>
    <w:p w14:paraId="058C8AEE">
      <w:pPr>
        <w:pStyle w:val="9"/>
        <w:spacing w:line="360" w:lineRule="auto"/>
        <w:ind w:firstLine="480" w:firstLineChars="200"/>
        <w:rPr>
          <w:color w:val="auto"/>
          <w:highlight w:val="none"/>
        </w:rPr>
      </w:pPr>
      <w:r>
        <w:rPr>
          <w:rFonts w:hint="eastAsia" w:ascii="宋体" w:hAnsi="宋体" w:eastAsia="宋体" w:cs="宋体"/>
          <w:color w:val="auto"/>
          <w:sz w:val="24"/>
          <w:szCs w:val="24"/>
          <w:highlight w:val="none"/>
        </w:rPr>
        <w:t>行号：308241000039</w:t>
      </w:r>
    </w:p>
    <w:p w14:paraId="5003E2EB">
      <w:pPr>
        <w:pStyle w:val="9"/>
        <w:spacing w:line="360" w:lineRule="auto"/>
        <w:ind w:firstLine="480" w:firstLineChars="200"/>
        <w:rPr>
          <w:rFonts w:ascii="宋体" w:hAnsi="宋体" w:eastAsia="宋体" w:cs="宋体"/>
          <w:color w:val="auto"/>
          <w:sz w:val="24"/>
          <w:szCs w:val="24"/>
          <w:highlight w:val="none"/>
        </w:rPr>
      </w:pPr>
    </w:p>
    <w:p w14:paraId="2C32B3AB">
      <w:pPr>
        <w:pStyle w:val="9"/>
        <w:spacing w:line="360" w:lineRule="auto"/>
        <w:ind w:firstLine="480" w:firstLineChars="200"/>
        <w:rPr>
          <w:rFonts w:ascii="宋体" w:hAnsi="宋体" w:eastAsia="宋体" w:cs="宋体"/>
          <w:color w:val="auto"/>
          <w:sz w:val="24"/>
          <w:szCs w:val="24"/>
          <w:highlight w:val="none"/>
        </w:rPr>
      </w:pPr>
    </w:p>
    <w:p w14:paraId="41A31F16">
      <w:pPr>
        <w:spacing w:line="360" w:lineRule="auto"/>
        <w:rPr>
          <w:rFonts w:ascii="宋体" w:hAnsi="宋体" w:cs="宋体"/>
          <w:color w:val="auto"/>
          <w:sz w:val="24"/>
          <w:highlight w:val="none"/>
        </w:rPr>
      </w:pPr>
    </w:p>
    <w:p w14:paraId="4A26A857">
      <w:pPr>
        <w:pStyle w:val="9"/>
        <w:spacing w:line="360" w:lineRule="auto"/>
        <w:ind w:firstLine="480" w:firstLineChars="200"/>
        <w:rPr>
          <w:rFonts w:ascii="宋体" w:hAnsi="宋体" w:eastAsia="宋体" w:cs="宋体"/>
          <w:color w:val="auto"/>
          <w:sz w:val="24"/>
          <w:szCs w:val="24"/>
          <w:highlight w:val="none"/>
        </w:rPr>
      </w:pPr>
    </w:p>
    <w:p w14:paraId="0FF0660B">
      <w:pPr>
        <w:pStyle w:val="9"/>
        <w:spacing w:line="360" w:lineRule="auto"/>
        <w:ind w:firstLine="480" w:firstLineChars="200"/>
        <w:rPr>
          <w:rFonts w:ascii="宋体" w:hAnsi="宋体" w:eastAsia="宋体" w:cs="宋体"/>
          <w:color w:val="auto"/>
          <w:sz w:val="24"/>
          <w:szCs w:val="24"/>
          <w:highlight w:val="none"/>
        </w:rPr>
      </w:pPr>
    </w:p>
    <w:p w14:paraId="66F0D23E">
      <w:pPr>
        <w:pStyle w:val="9"/>
        <w:spacing w:line="360" w:lineRule="auto"/>
        <w:rPr>
          <w:rFonts w:ascii="宋体" w:hAnsi="宋体" w:eastAsia="宋体" w:cs="宋体"/>
          <w:color w:val="auto"/>
          <w:sz w:val="24"/>
          <w:szCs w:val="24"/>
          <w:highlight w:val="none"/>
        </w:rPr>
      </w:pPr>
    </w:p>
    <w:p w14:paraId="07C28B00">
      <w:pPr>
        <w:rPr>
          <w:color w:val="auto"/>
          <w:highlight w:val="none"/>
        </w:rPr>
      </w:pPr>
      <w:r>
        <w:rPr>
          <w:rFonts w:hint="eastAsia"/>
          <w:color w:val="auto"/>
          <w:highlight w:val="none"/>
        </w:rPr>
        <w:br w:type="page"/>
      </w:r>
    </w:p>
    <w:p w14:paraId="2769C4C4">
      <w:pPr>
        <w:pStyle w:val="5"/>
        <w:spacing w:line="360" w:lineRule="auto"/>
        <w:jc w:val="center"/>
        <w:rPr>
          <w:color w:val="auto"/>
          <w:highlight w:val="none"/>
        </w:rPr>
      </w:pPr>
      <w:r>
        <w:rPr>
          <w:rFonts w:hint="eastAsia"/>
          <w:color w:val="auto"/>
          <w:highlight w:val="none"/>
        </w:rPr>
        <w:t>第三章 评标办法</w:t>
      </w:r>
    </w:p>
    <w:p w14:paraId="1AA397D5">
      <w:pPr>
        <w:spacing w:line="360" w:lineRule="auto"/>
        <w:rPr>
          <w:rFonts w:ascii="宋体" w:hAnsi="宋体" w:cs="宋体"/>
          <w:color w:val="auto"/>
          <w:sz w:val="24"/>
          <w:highlight w:val="none"/>
        </w:rPr>
      </w:pPr>
      <w:r>
        <w:rPr>
          <w:rFonts w:hint="eastAsia" w:ascii="宋体" w:hAnsi="宋体" w:cs="宋体"/>
          <w:color w:val="auto"/>
          <w:sz w:val="24"/>
          <w:highlight w:val="none"/>
        </w:rPr>
        <w:t>评标应当遵循下列工作程序：</w:t>
      </w:r>
    </w:p>
    <w:p w14:paraId="74708DF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3.1符合性审查。</w:t>
      </w:r>
    </w:p>
    <w:p w14:paraId="3A05BEBF">
      <w:pPr>
        <w:pStyle w:val="21"/>
        <w:spacing w:beforeAutospacing="0" w:afterAutospacing="0" w:line="360" w:lineRule="auto"/>
        <w:jc w:val="both"/>
        <w:rPr>
          <w:color w:val="auto"/>
          <w:kern w:val="2"/>
          <w:highlight w:val="none"/>
        </w:rPr>
      </w:pPr>
      <w:r>
        <w:rPr>
          <w:rFonts w:hint="eastAsia"/>
          <w:color w:val="auto"/>
          <w:kern w:val="2"/>
          <w:highlight w:val="none"/>
        </w:rPr>
        <w:t>3.1.1评标委员会将对符合资格的投标人的投标文件进行符合性审查，以确定其是否满足招标文件的实质性要求。</w:t>
      </w:r>
    </w:p>
    <w:p w14:paraId="0549EC7B">
      <w:pPr>
        <w:pStyle w:val="21"/>
        <w:spacing w:beforeAutospacing="0" w:afterAutospacing="0" w:line="360" w:lineRule="auto"/>
        <w:jc w:val="center"/>
        <w:rPr>
          <w:color w:val="auto"/>
          <w:highlight w:val="none"/>
        </w:rPr>
      </w:pPr>
      <w:r>
        <w:rPr>
          <w:rFonts w:hint="eastAsia"/>
          <w:color w:val="auto"/>
          <w:kern w:val="2"/>
          <w:highlight w:val="none"/>
        </w:rPr>
        <w:t>符合性审查表</w:t>
      </w:r>
    </w:p>
    <w:tbl>
      <w:tblPr>
        <w:tblStyle w:val="26"/>
        <w:tblW w:w="10011" w:type="dxa"/>
        <w:jc w:val="center"/>
        <w:tblLayout w:type="fixed"/>
        <w:tblCellMar>
          <w:top w:w="0" w:type="dxa"/>
          <w:left w:w="108" w:type="dxa"/>
          <w:bottom w:w="0" w:type="dxa"/>
          <w:right w:w="108" w:type="dxa"/>
        </w:tblCellMar>
      </w:tblPr>
      <w:tblGrid>
        <w:gridCol w:w="731"/>
        <w:gridCol w:w="940"/>
        <w:gridCol w:w="2876"/>
        <w:gridCol w:w="5464"/>
      </w:tblGrid>
      <w:tr w14:paraId="2676F669">
        <w:tblPrEx>
          <w:tblCellMar>
            <w:top w:w="0" w:type="dxa"/>
            <w:left w:w="108" w:type="dxa"/>
            <w:bottom w:w="0" w:type="dxa"/>
            <w:right w:w="108" w:type="dxa"/>
          </w:tblCellMar>
        </w:tblPrEx>
        <w:trPr>
          <w:trHeight w:val="397" w:hRule="atLeast"/>
          <w:jc w:val="center"/>
        </w:trPr>
        <w:tc>
          <w:tcPr>
            <w:tcW w:w="731" w:type="dxa"/>
            <w:tcBorders>
              <w:top w:val="single" w:color="auto" w:sz="6" w:space="0"/>
              <w:left w:val="single" w:color="auto" w:sz="6" w:space="0"/>
              <w:bottom w:val="single" w:color="auto" w:sz="6" w:space="0"/>
              <w:right w:val="single" w:color="auto" w:sz="4" w:space="0"/>
            </w:tcBorders>
            <w:vAlign w:val="center"/>
          </w:tcPr>
          <w:p w14:paraId="195A75E8">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940" w:type="dxa"/>
            <w:tcBorders>
              <w:top w:val="single" w:color="auto" w:sz="6" w:space="0"/>
              <w:left w:val="single" w:color="auto" w:sz="4" w:space="0"/>
              <w:bottom w:val="single" w:color="auto" w:sz="6" w:space="0"/>
              <w:right w:val="single" w:color="auto" w:sz="4" w:space="0"/>
            </w:tcBorders>
            <w:vAlign w:val="center"/>
          </w:tcPr>
          <w:p w14:paraId="71F4A08E">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类型</w:t>
            </w:r>
          </w:p>
        </w:tc>
        <w:tc>
          <w:tcPr>
            <w:tcW w:w="2876" w:type="dxa"/>
            <w:tcBorders>
              <w:top w:val="single" w:color="auto" w:sz="6" w:space="0"/>
              <w:left w:val="single" w:color="auto" w:sz="4" w:space="0"/>
              <w:bottom w:val="single" w:color="auto" w:sz="6" w:space="0"/>
              <w:right w:val="single" w:color="auto" w:sz="6" w:space="0"/>
            </w:tcBorders>
            <w:vAlign w:val="center"/>
          </w:tcPr>
          <w:p w14:paraId="0C3588C6">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审查内容</w:t>
            </w:r>
          </w:p>
        </w:tc>
        <w:tc>
          <w:tcPr>
            <w:tcW w:w="5464" w:type="dxa"/>
            <w:tcBorders>
              <w:top w:val="single" w:color="auto" w:sz="6" w:space="0"/>
              <w:left w:val="single" w:color="auto" w:sz="6" w:space="0"/>
              <w:bottom w:val="single" w:color="auto" w:sz="6" w:space="0"/>
              <w:right w:val="single" w:color="auto" w:sz="4" w:space="0"/>
            </w:tcBorders>
            <w:vAlign w:val="center"/>
          </w:tcPr>
          <w:p w14:paraId="48A9DAD5">
            <w:pPr>
              <w:widowControl/>
              <w:autoSpaceDE w:val="0"/>
              <w:autoSpaceDN w:val="0"/>
              <w:spacing w:line="360" w:lineRule="exact"/>
              <w:ind w:left="600" w:hanging="600" w:hangingChars="250"/>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要求说明</w:t>
            </w:r>
          </w:p>
        </w:tc>
      </w:tr>
      <w:tr w14:paraId="1C650829">
        <w:tblPrEx>
          <w:tblCellMar>
            <w:top w:w="0" w:type="dxa"/>
            <w:left w:w="108" w:type="dxa"/>
            <w:bottom w:w="0" w:type="dxa"/>
            <w:right w:w="108" w:type="dxa"/>
          </w:tblCellMar>
        </w:tblPrEx>
        <w:trPr>
          <w:trHeight w:val="397" w:hRule="atLeast"/>
          <w:jc w:val="center"/>
        </w:trPr>
        <w:tc>
          <w:tcPr>
            <w:tcW w:w="731" w:type="dxa"/>
            <w:tcBorders>
              <w:top w:val="single" w:color="auto" w:sz="6" w:space="0"/>
              <w:left w:val="single" w:color="auto" w:sz="6" w:space="0"/>
              <w:bottom w:val="single" w:color="auto" w:sz="4" w:space="0"/>
              <w:right w:val="single" w:color="auto" w:sz="4" w:space="0"/>
            </w:tcBorders>
            <w:vAlign w:val="center"/>
          </w:tcPr>
          <w:p w14:paraId="137533D2">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40" w:type="dxa"/>
            <w:tcBorders>
              <w:top w:val="single" w:color="auto" w:sz="6" w:space="0"/>
              <w:left w:val="single" w:color="auto" w:sz="4" w:space="0"/>
              <w:bottom w:val="single" w:color="auto" w:sz="4" w:space="0"/>
              <w:right w:val="single" w:color="auto" w:sz="4" w:space="0"/>
            </w:tcBorders>
            <w:vAlign w:val="center"/>
          </w:tcPr>
          <w:p w14:paraId="49B52C59">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报价1</w:t>
            </w:r>
          </w:p>
        </w:tc>
        <w:tc>
          <w:tcPr>
            <w:tcW w:w="2876" w:type="dxa"/>
            <w:tcBorders>
              <w:top w:val="single" w:color="auto" w:sz="6" w:space="0"/>
              <w:left w:val="single" w:color="auto" w:sz="4" w:space="0"/>
              <w:bottom w:val="single" w:color="auto" w:sz="4" w:space="0"/>
              <w:right w:val="single" w:color="auto" w:sz="6" w:space="0"/>
            </w:tcBorders>
            <w:vAlign w:val="center"/>
          </w:tcPr>
          <w:p w14:paraId="2C440943">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投标报价未超过招标文件中规定的预算金额或者最高限价的；</w:t>
            </w:r>
          </w:p>
        </w:tc>
        <w:tc>
          <w:tcPr>
            <w:tcW w:w="5464" w:type="dxa"/>
            <w:tcBorders>
              <w:top w:val="single" w:color="auto" w:sz="6" w:space="0"/>
              <w:left w:val="single" w:color="auto" w:sz="6" w:space="0"/>
              <w:bottom w:val="single" w:color="auto" w:sz="6" w:space="0"/>
              <w:right w:val="single" w:color="auto" w:sz="4" w:space="0"/>
            </w:tcBorders>
            <w:vAlign w:val="center"/>
          </w:tcPr>
          <w:p w14:paraId="21FB984B">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投标报价未超过招标文件中规定的预算金额或者最高限价的；</w:t>
            </w:r>
          </w:p>
        </w:tc>
      </w:tr>
      <w:tr w14:paraId="3DD147DD">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755B1BA0">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40" w:type="dxa"/>
            <w:tcBorders>
              <w:top w:val="single" w:color="auto" w:sz="4" w:space="0"/>
              <w:left w:val="single" w:color="auto" w:sz="4" w:space="0"/>
              <w:bottom w:val="single" w:color="auto" w:sz="4" w:space="0"/>
              <w:right w:val="single" w:color="auto" w:sz="4" w:space="0"/>
            </w:tcBorders>
            <w:vAlign w:val="center"/>
          </w:tcPr>
          <w:p w14:paraId="5A7D1ACB">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1</w:t>
            </w:r>
          </w:p>
        </w:tc>
        <w:tc>
          <w:tcPr>
            <w:tcW w:w="2876" w:type="dxa"/>
            <w:tcBorders>
              <w:top w:val="single" w:color="auto" w:sz="4" w:space="0"/>
              <w:left w:val="single" w:color="auto" w:sz="4" w:space="0"/>
              <w:bottom w:val="single" w:color="auto" w:sz="4" w:space="0"/>
              <w:right w:val="single" w:color="auto" w:sz="6" w:space="0"/>
            </w:tcBorders>
            <w:vAlign w:val="center"/>
          </w:tcPr>
          <w:p w14:paraId="02A48EB0">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投标文件未含有采购人不能接受的附加条件的；</w:t>
            </w:r>
          </w:p>
        </w:tc>
        <w:tc>
          <w:tcPr>
            <w:tcW w:w="5464" w:type="dxa"/>
            <w:tcBorders>
              <w:top w:val="single" w:color="auto" w:sz="6" w:space="0"/>
              <w:left w:val="single" w:color="auto" w:sz="6" w:space="0"/>
              <w:bottom w:val="single" w:color="auto" w:sz="6" w:space="0"/>
              <w:right w:val="single" w:color="auto" w:sz="4" w:space="0"/>
            </w:tcBorders>
            <w:vAlign w:val="center"/>
          </w:tcPr>
          <w:p w14:paraId="72C5F15E">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投标文件未含有采购人不能接受的附加条件的；</w:t>
            </w:r>
          </w:p>
        </w:tc>
      </w:tr>
      <w:tr w14:paraId="3771BA38">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4A45F1FF">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40" w:type="dxa"/>
            <w:tcBorders>
              <w:top w:val="single" w:color="auto" w:sz="4" w:space="0"/>
              <w:left w:val="single" w:color="auto" w:sz="4" w:space="0"/>
              <w:bottom w:val="single" w:color="auto" w:sz="4" w:space="0"/>
              <w:right w:val="single" w:color="auto" w:sz="4" w:space="0"/>
            </w:tcBorders>
            <w:vAlign w:val="center"/>
          </w:tcPr>
          <w:p w14:paraId="12657367">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2</w:t>
            </w:r>
          </w:p>
        </w:tc>
        <w:tc>
          <w:tcPr>
            <w:tcW w:w="2876" w:type="dxa"/>
            <w:tcBorders>
              <w:top w:val="single" w:color="auto" w:sz="4" w:space="0"/>
              <w:left w:val="single" w:color="auto" w:sz="4" w:space="0"/>
              <w:bottom w:val="single" w:color="auto" w:sz="4" w:space="0"/>
              <w:right w:val="single" w:color="auto" w:sz="6" w:space="0"/>
            </w:tcBorders>
            <w:vAlign w:val="center"/>
          </w:tcPr>
          <w:p w14:paraId="5C3E2D7A">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投标文件中包括了招标文件中提供格式的文本，形式上符合招标文件规定；</w:t>
            </w:r>
          </w:p>
        </w:tc>
        <w:tc>
          <w:tcPr>
            <w:tcW w:w="5464" w:type="dxa"/>
            <w:tcBorders>
              <w:top w:val="single" w:color="auto" w:sz="6" w:space="0"/>
              <w:left w:val="single" w:color="auto" w:sz="6" w:space="0"/>
              <w:bottom w:val="single" w:color="auto" w:sz="6" w:space="0"/>
              <w:right w:val="single" w:color="auto" w:sz="4" w:space="0"/>
            </w:tcBorders>
            <w:vAlign w:val="center"/>
          </w:tcPr>
          <w:p w14:paraId="5865EAEF">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投标文件中包括了招标文件中提供格式的文本，形式上符合招标文件规定；</w:t>
            </w:r>
          </w:p>
        </w:tc>
      </w:tr>
      <w:tr w14:paraId="6A7E81B2">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14537C05">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40" w:type="dxa"/>
            <w:tcBorders>
              <w:top w:val="single" w:color="auto" w:sz="4" w:space="0"/>
              <w:left w:val="single" w:color="auto" w:sz="4" w:space="0"/>
              <w:bottom w:val="single" w:color="auto" w:sz="4" w:space="0"/>
              <w:right w:val="single" w:color="auto" w:sz="4" w:space="0"/>
            </w:tcBorders>
            <w:vAlign w:val="center"/>
          </w:tcPr>
          <w:p w14:paraId="00E004C8">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3</w:t>
            </w:r>
          </w:p>
        </w:tc>
        <w:tc>
          <w:tcPr>
            <w:tcW w:w="2876" w:type="dxa"/>
            <w:tcBorders>
              <w:top w:val="single" w:color="auto" w:sz="4" w:space="0"/>
              <w:left w:val="single" w:color="auto" w:sz="4" w:space="0"/>
              <w:bottom w:val="single" w:color="auto" w:sz="4" w:space="0"/>
              <w:right w:val="single" w:color="auto" w:sz="6" w:space="0"/>
            </w:tcBorders>
            <w:vAlign w:val="center"/>
          </w:tcPr>
          <w:p w14:paraId="7B611E6B">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投标人按照招标文件规定要求签署、盖章；</w:t>
            </w:r>
          </w:p>
        </w:tc>
        <w:tc>
          <w:tcPr>
            <w:tcW w:w="5464" w:type="dxa"/>
            <w:tcBorders>
              <w:top w:val="single" w:color="auto" w:sz="6" w:space="0"/>
              <w:left w:val="single" w:color="auto" w:sz="6" w:space="0"/>
              <w:bottom w:val="single" w:color="auto" w:sz="6" w:space="0"/>
              <w:right w:val="single" w:color="auto" w:sz="4" w:space="0"/>
            </w:tcBorders>
            <w:vAlign w:val="center"/>
          </w:tcPr>
          <w:p w14:paraId="70E2B283">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投标人按照招标文件规定要求签署、盖章；</w:t>
            </w:r>
          </w:p>
        </w:tc>
      </w:tr>
      <w:tr w14:paraId="6AAEE91B">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5A7E215C">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940" w:type="dxa"/>
            <w:tcBorders>
              <w:top w:val="single" w:color="auto" w:sz="4" w:space="0"/>
              <w:left w:val="single" w:color="auto" w:sz="4" w:space="0"/>
              <w:bottom w:val="single" w:color="auto" w:sz="4" w:space="0"/>
              <w:right w:val="single" w:color="auto" w:sz="4" w:space="0"/>
            </w:tcBorders>
            <w:vAlign w:val="center"/>
          </w:tcPr>
          <w:p w14:paraId="70893DD0">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4</w:t>
            </w:r>
          </w:p>
        </w:tc>
        <w:tc>
          <w:tcPr>
            <w:tcW w:w="2876" w:type="dxa"/>
            <w:tcBorders>
              <w:top w:val="single" w:color="auto" w:sz="4" w:space="0"/>
              <w:left w:val="single" w:color="auto" w:sz="4" w:space="0"/>
              <w:bottom w:val="single" w:color="auto" w:sz="4" w:space="0"/>
              <w:right w:val="single" w:color="auto" w:sz="6" w:space="0"/>
            </w:tcBorders>
            <w:vAlign w:val="center"/>
          </w:tcPr>
          <w:p w14:paraId="5DB41C8E">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提交的投标价格为非可调整的价格；</w:t>
            </w:r>
          </w:p>
        </w:tc>
        <w:tc>
          <w:tcPr>
            <w:tcW w:w="5464" w:type="dxa"/>
            <w:tcBorders>
              <w:top w:val="single" w:color="auto" w:sz="6" w:space="0"/>
              <w:left w:val="single" w:color="auto" w:sz="6" w:space="0"/>
              <w:bottom w:val="single" w:color="auto" w:sz="6" w:space="0"/>
              <w:right w:val="single" w:color="auto" w:sz="4" w:space="0"/>
            </w:tcBorders>
            <w:vAlign w:val="center"/>
          </w:tcPr>
          <w:p w14:paraId="37E9699E">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提交的投标价格为非可调整的价格；</w:t>
            </w:r>
          </w:p>
        </w:tc>
      </w:tr>
      <w:tr w14:paraId="483E4201">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05D52B8E">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40" w:type="dxa"/>
            <w:tcBorders>
              <w:top w:val="single" w:color="auto" w:sz="4" w:space="0"/>
              <w:left w:val="single" w:color="auto" w:sz="4" w:space="0"/>
              <w:bottom w:val="single" w:color="auto" w:sz="4" w:space="0"/>
              <w:right w:val="single" w:color="auto" w:sz="4" w:space="0"/>
            </w:tcBorders>
            <w:vAlign w:val="center"/>
          </w:tcPr>
          <w:p w14:paraId="1EF18FB1">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5</w:t>
            </w:r>
          </w:p>
        </w:tc>
        <w:tc>
          <w:tcPr>
            <w:tcW w:w="2876" w:type="dxa"/>
            <w:tcBorders>
              <w:top w:val="single" w:color="auto" w:sz="4" w:space="0"/>
              <w:left w:val="single" w:color="auto" w:sz="4" w:space="0"/>
              <w:bottom w:val="single" w:color="auto" w:sz="4" w:space="0"/>
              <w:right w:val="single" w:color="auto" w:sz="6" w:space="0"/>
            </w:tcBorders>
            <w:vAlign w:val="center"/>
          </w:tcPr>
          <w:p w14:paraId="658E7A9F">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符合招标文件中合同履行期限（交货时间）的要求；</w:t>
            </w:r>
          </w:p>
        </w:tc>
        <w:tc>
          <w:tcPr>
            <w:tcW w:w="5464" w:type="dxa"/>
            <w:tcBorders>
              <w:top w:val="single" w:color="auto" w:sz="6" w:space="0"/>
              <w:left w:val="single" w:color="auto" w:sz="6" w:space="0"/>
              <w:bottom w:val="single" w:color="auto" w:sz="6" w:space="0"/>
              <w:right w:val="single" w:color="auto" w:sz="4" w:space="0"/>
            </w:tcBorders>
            <w:vAlign w:val="center"/>
          </w:tcPr>
          <w:p w14:paraId="5F9AE284">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合同签订后30日内交货并安装、调试验收合格</w:t>
            </w:r>
            <w:r>
              <w:rPr>
                <w:rFonts w:hint="eastAsia" w:asciiTheme="minorEastAsia" w:hAnsiTheme="minorEastAsia" w:eastAsiaTheme="minorEastAsia" w:cstheme="minorEastAsia"/>
                <w:color w:val="auto"/>
                <w:sz w:val="24"/>
                <w:highlight w:val="none"/>
              </w:rPr>
              <w:t>；</w:t>
            </w:r>
          </w:p>
        </w:tc>
      </w:tr>
      <w:tr w14:paraId="4B4EE37F">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630DFB83">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940" w:type="dxa"/>
            <w:tcBorders>
              <w:top w:val="single" w:color="auto" w:sz="4" w:space="0"/>
              <w:left w:val="single" w:color="auto" w:sz="4" w:space="0"/>
              <w:bottom w:val="single" w:color="auto" w:sz="4" w:space="0"/>
              <w:right w:val="single" w:color="auto" w:sz="4" w:space="0"/>
            </w:tcBorders>
            <w:vAlign w:val="center"/>
          </w:tcPr>
          <w:p w14:paraId="42FC0898">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6</w:t>
            </w:r>
          </w:p>
        </w:tc>
        <w:tc>
          <w:tcPr>
            <w:tcW w:w="2876" w:type="dxa"/>
            <w:tcBorders>
              <w:top w:val="single" w:color="auto" w:sz="4" w:space="0"/>
              <w:left w:val="single" w:color="auto" w:sz="4" w:space="0"/>
              <w:bottom w:val="single" w:color="auto" w:sz="4" w:space="0"/>
              <w:right w:val="single" w:color="auto" w:sz="6" w:space="0"/>
            </w:tcBorders>
            <w:vAlign w:val="center"/>
          </w:tcPr>
          <w:p w14:paraId="37764184">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对招标文件的实质性要求作出响应；</w:t>
            </w:r>
          </w:p>
        </w:tc>
        <w:tc>
          <w:tcPr>
            <w:tcW w:w="5464" w:type="dxa"/>
            <w:tcBorders>
              <w:top w:val="single" w:color="auto" w:sz="6" w:space="0"/>
              <w:left w:val="single" w:color="auto" w:sz="6" w:space="0"/>
              <w:bottom w:val="single" w:color="auto" w:sz="6" w:space="0"/>
              <w:right w:val="single" w:color="auto" w:sz="4" w:space="0"/>
            </w:tcBorders>
            <w:vAlign w:val="center"/>
          </w:tcPr>
          <w:p w14:paraId="028ED5A8">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对招标文件的实质性要求作出响应；</w:t>
            </w:r>
          </w:p>
        </w:tc>
      </w:tr>
      <w:tr w14:paraId="63088C69">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6234524D">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940" w:type="dxa"/>
            <w:tcBorders>
              <w:top w:val="single" w:color="auto" w:sz="4" w:space="0"/>
              <w:left w:val="single" w:color="auto" w:sz="4" w:space="0"/>
              <w:bottom w:val="single" w:color="auto" w:sz="4" w:space="0"/>
              <w:right w:val="single" w:color="auto" w:sz="4" w:space="0"/>
            </w:tcBorders>
            <w:vAlign w:val="center"/>
          </w:tcPr>
          <w:p w14:paraId="2612D4C3">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7</w:t>
            </w:r>
          </w:p>
        </w:tc>
        <w:tc>
          <w:tcPr>
            <w:tcW w:w="2876" w:type="dxa"/>
            <w:tcBorders>
              <w:top w:val="single" w:color="auto" w:sz="4" w:space="0"/>
              <w:left w:val="single" w:color="auto" w:sz="4" w:space="0"/>
              <w:bottom w:val="single" w:color="auto" w:sz="4" w:space="0"/>
              <w:right w:val="single" w:color="auto" w:sz="6" w:space="0"/>
            </w:tcBorders>
            <w:vAlign w:val="center"/>
          </w:tcPr>
          <w:p w14:paraId="0979A746">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投标人不存在串通投标行为；</w:t>
            </w:r>
          </w:p>
        </w:tc>
        <w:tc>
          <w:tcPr>
            <w:tcW w:w="5464" w:type="dxa"/>
            <w:tcBorders>
              <w:top w:val="single" w:color="auto" w:sz="6" w:space="0"/>
              <w:left w:val="single" w:color="auto" w:sz="6" w:space="0"/>
              <w:bottom w:val="single" w:color="auto" w:sz="6" w:space="0"/>
              <w:right w:val="single" w:color="auto" w:sz="4" w:space="0"/>
            </w:tcBorders>
            <w:vAlign w:val="center"/>
          </w:tcPr>
          <w:p w14:paraId="16763CC5">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投标人不存在串通投标行为；</w:t>
            </w:r>
          </w:p>
          <w:p w14:paraId="7274086F">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评标委员会发现有下列情形之一的，视为投标人串通投标，其投标无效：</w:t>
            </w:r>
          </w:p>
          <w:p w14:paraId="100F005A">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一、有下列情形之一的，属于投标人相互串通投标：</w:t>
            </w:r>
          </w:p>
          <w:p w14:paraId="415E08A7">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（一）投标人之间协商投标报价等投标文件的实质性内容；</w:t>
            </w:r>
          </w:p>
          <w:p w14:paraId="729DF2B4">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（二）投标人之间约定中标人；</w:t>
            </w:r>
          </w:p>
          <w:p w14:paraId="171874F4">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（三）投标人之间约定部分投标人放弃投标或者中标；</w:t>
            </w:r>
          </w:p>
          <w:p w14:paraId="78B8549A">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（四）属于同一集团、协会、商会等组织成员的投标人按照该组织要求协同投标；</w:t>
            </w:r>
          </w:p>
          <w:p w14:paraId="6A7406C0">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（五）投标人之间为谋取中标或者排斥特定投标人而采取的其他联合行动。</w:t>
            </w:r>
          </w:p>
          <w:p w14:paraId="55F978CC">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二、有下列情形之一的，视为投标人相互串通投标：</w:t>
            </w:r>
          </w:p>
          <w:p w14:paraId="7CFFF20F">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（一）不同投标人的投标文件由同一单位或者个人编制；</w:t>
            </w:r>
          </w:p>
          <w:p w14:paraId="21A4A6F0">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（二）不同投标人委托同一单位或者个人办理投标事宜；</w:t>
            </w:r>
          </w:p>
          <w:p w14:paraId="0E4F7E36">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（三）不同投标人的投标文件载明的项目管理成员为同一人；</w:t>
            </w:r>
          </w:p>
          <w:p w14:paraId="502CFA91">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（四）不同投标人的投标文件异常一致或者投标报价呈规律性差异；</w:t>
            </w:r>
          </w:p>
          <w:p w14:paraId="61AA0D04">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（五）不同投标人的投标文件相互混装；</w:t>
            </w:r>
          </w:p>
          <w:p w14:paraId="600E5207">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（六）不同投标人的投标保证金从同一单位或者个人的账户转出；</w:t>
            </w:r>
          </w:p>
          <w:p w14:paraId="7846CBF9">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（七）《关于禁止串通招标投标行为的暂行规定》（国家工商行政管理局令第82号）第三条规定的串通投标行为；</w:t>
            </w:r>
          </w:p>
          <w:p w14:paraId="79CD42FC">
            <w:pPr>
              <w:spacing w:line="3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（八）投标人串通投标的其他情形。</w:t>
            </w:r>
          </w:p>
        </w:tc>
      </w:tr>
      <w:tr w14:paraId="6E6D0CB9">
        <w:tblPrEx>
          <w:tblCellMar>
            <w:top w:w="0" w:type="dxa"/>
            <w:left w:w="108" w:type="dxa"/>
            <w:bottom w:w="0" w:type="dxa"/>
            <w:right w:w="108" w:type="dxa"/>
          </w:tblCellMar>
        </w:tblPrEx>
        <w:trPr>
          <w:trHeight w:val="397" w:hRule="atLeast"/>
          <w:jc w:val="center"/>
        </w:trPr>
        <w:tc>
          <w:tcPr>
            <w:tcW w:w="731" w:type="dxa"/>
            <w:tcBorders>
              <w:top w:val="single" w:color="auto" w:sz="4" w:space="0"/>
              <w:left w:val="single" w:color="auto" w:sz="6" w:space="0"/>
              <w:bottom w:val="single" w:color="auto" w:sz="4" w:space="0"/>
              <w:right w:val="single" w:color="auto" w:sz="4" w:space="0"/>
            </w:tcBorders>
            <w:vAlign w:val="center"/>
          </w:tcPr>
          <w:p w14:paraId="12105C52">
            <w:pPr>
              <w:widowControl/>
              <w:autoSpaceDE w:val="0"/>
              <w:autoSpaceDN w:val="0"/>
              <w:spacing w:line="360" w:lineRule="exact"/>
              <w:jc w:val="center"/>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940" w:type="dxa"/>
            <w:tcBorders>
              <w:top w:val="single" w:color="auto" w:sz="4" w:space="0"/>
              <w:left w:val="single" w:color="auto" w:sz="4" w:space="0"/>
              <w:bottom w:val="single" w:color="auto" w:sz="4" w:space="0"/>
              <w:right w:val="single" w:color="auto" w:sz="4" w:space="0"/>
            </w:tcBorders>
            <w:vAlign w:val="center"/>
          </w:tcPr>
          <w:p w14:paraId="5D8E27DA">
            <w:pPr>
              <w:widowControl/>
              <w:autoSpaceDE w:val="0"/>
              <w:autoSpaceDN w:val="0"/>
              <w:spacing w:line="360" w:lineRule="exact"/>
              <w:jc w:val="center"/>
              <w:textAlignment w:val="bottom"/>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商务</w:t>
            </w:r>
            <w:r>
              <w:rPr>
                <w:rFonts w:hint="eastAsia" w:asciiTheme="minorEastAsia" w:hAnsiTheme="minorEastAsia" w:eastAsiaTheme="minorEastAsia" w:cstheme="minorEastAsia"/>
                <w:color w:val="auto"/>
                <w:sz w:val="24"/>
                <w:highlight w:val="none"/>
                <w:lang w:val="en-US" w:eastAsia="zh-CN"/>
              </w:rPr>
              <w:t>8</w:t>
            </w:r>
          </w:p>
        </w:tc>
        <w:tc>
          <w:tcPr>
            <w:tcW w:w="2876" w:type="dxa"/>
            <w:tcBorders>
              <w:top w:val="single" w:color="auto" w:sz="4" w:space="0"/>
              <w:left w:val="single" w:color="auto" w:sz="4" w:space="0"/>
              <w:bottom w:val="single" w:color="auto" w:sz="4" w:space="0"/>
              <w:right w:val="single" w:color="auto" w:sz="6" w:space="0"/>
            </w:tcBorders>
            <w:vAlign w:val="center"/>
          </w:tcPr>
          <w:p w14:paraId="798C05BA">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投标人、投标文件不存在不符合法律、法规和招标文件规定的其他无效情形。</w:t>
            </w:r>
          </w:p>
        </w:tc>
        <w:tc>
          <w:tcPr>
            <w:tcW w:w="5464" w:type="dxa"/>
            <w:tcBorders>
              <w:top w:val="single" w:color="auto" w:sz="6" w:space="0"/>
              <w:left w:val="single" w:color="auto" w:sz="6" w:space="0"/>
              <w:bottom w:val="single" w:color="auto" w:sz="6" w:space="0"/>
              <w:right w:val="single" w:color="auto" w:sz="4" w:space="0"/>
            </w:tcBorders>
            <w:vAlign w:val="center"/>
          </w:tcPr>
          <w:p w14:paraId="174AA58D">
            <w:pPr>
              <w:spacing w:line="3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投标人、投标文件不存在不符合法律、法规和招标文件规定的其他无效情形。</w:t>
            </w:r>
          </w:p>
        </w:tc>
      </w:tr>
    </w:tbl>
    <w:p w14:paraId="4E7A35C8">
      <w:pPr>
        <w:spacing w:line="360" w:lineRule="auto"/>
        <w:rPr>
          <w:rFonts w:ascii="宋体" w:hAnsi="宋体" w:cs="宋体"/>
          <w:color w:val="auto"/>
          <w:sz w:val="24"/>
          <w:highlight w:val="none"/>
        </w:rPr>
      </w:pPr>
      <w:r>
        <w:rPr>
          <w:rFonts w:hint="eastAsia" w:ascii="宋体" w:hAnsi="宋体" w:cs="宋体"/>
          <w:color w:val="auto"/>
          <w:sz w:val="24"/>
          <w:highlight w:val="none"/>
        </w:rPr>
        <w:t>注：本表中符合评审内容要求的写“√”，不符合评审内容要求的写“×”。结论为“合格”或“不合格”。结论不合格的不进入综合评审阶段。</w:t>
      </w:r>
    </w:p>
    <w:p w14:paraId="605E645B">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审查投标人是否存在串通投标行为：评标委员会发现有下列情形之一的，视为投标人串通投标，其投标无效：</w:t>
      </w:r>
    </w:p>
    <w:p w14:paraId="32FCEEB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一、有下列情形之一的，属于投标人相互串通投标：</w:t>
      </w:r>
    </w:p>
    <w:p w14:paraId="66DD54B0">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（一）投标人之间协商投标报价等投标文件的实质性内容；</w:t>
      </w:r>
    </w:p>
    <w:p w14:paraId="5A84F970">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（二）投标人之间约定中标人；</w:t>
      </w:r>
    </w:p>
    <w:p w14:paraId="1F11C98A">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（三）投标人之间约定部分投标人放弃投标或者中标；</w:t>
      </w:r>
    </w:p>
    <w:p w14:paraId="2931C4E2">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（四）属于同一集团、协会、商会等组织成员的投标人按照该组织要求协同投标；</w:t>
      </w:r>
    </w:p>
    <w:p w14:paraId="3AA1BEBC">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（五）投标人之间为谋取中标或者排斥特定投标人而采取的其他联合行动。</w:t>
      </w:r>
    </w:p>
    <w:p w14:paraId="0DF773A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二、有下列情形之一的，视为投标人相互串通投标：</w:t>
      </w:r>
    </w:p>
    <w:p w14:paraId="6E63B689">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（一）不同投标人的投标文件由同一单位或者个人编制；</w:t>
      </w:r>
    </w:p>
    <w:p w14:paraId="0D27B8FE">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（二）不同投标人委托同一单位或者个人办理投标事宜；</w:t>
      </w:r>
    </w:p>
    <w:p w14:paraId="3B117E9C">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（三）不同投标人的投标文件载明的项目管理成员为同一人；</w:t>
      </w:r>
    </w:p>
    <w:p w14:paraId="410E01E3">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（四）不同投标人的投标文件异常一致或者投标报价呈规律性差异；</w:t>
      </w:r>
    </w:p>
    <w:p w14:paraId="063576C6">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（五）不同投标人的投标文件相互混装；</w:t>
      </w:r>
    </w:p>
    <w:p w14:paraId="69F2045D">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（六）不同投标人的投标保证金从同一单位或者个人的账户转出；</w:t>
      </w:r>
    </w:p>
    <w:p w14:paraId="2FDB204E">
      <w:pPr>
        <w:spacing w:line="360" w:lineRule="auto"/>
        <w:ind w:firstLine="482"/>
        <w:rPr>
          <w:rFonts w:ascii="宋体" w:hAnsi="宋体" w:cs="宋体"/>
          <w:bCs/>
          <w:color w:val="auto"/>
          <w:sz w:val="24"/>
          <w:highlight w:val="none"/>
          <w:lang w:val="zh-CN"/>
        </w:rPr>
      </w:pPr>
      <w:r>
        <w:rPr>
          <w:rFonts w:hint="eastAsia" w:ascii="宋体" w:hAnsi="宋体" w:cs="宋体"/>
          <w:bCs/>
          <w:color w:val="auto"/>
          <w:sz w:val="24"/>
          <w:highlight w:val="none"/>
          <w:lang w:val="zh-CN"/>
        </w:rPr>
        <w:t>（七）《关于禁止串通招标投标行为的暂行规定》（国家工商行政管理局令第82号）第三条规定的串通投标行为；</w:t>
      </w:r>
    </w:p>
    <w:p w14:paraId="565930F2">
      <w:pPr>
        <w:spacing w:line="360" w:lineRule="auto"/>
        <w:ind w:firstLine="482"/>
        <w:rPr>
          <w:color w:val="auto"/>
          <w:highlight w:val="none"/>
        </w:rPr>
      </w:pPr>
      <w:r>
        <w:rPr>
          <w:rFonts w:hint="eastAsia" w:ascii="宋体" w:hAnsi="宋体" w:cs="宋体"/>
          <w:bCs/>
          <w:color w:val="auto"/>
          <w:sz w:val="24"/>
          <w:highlight w:val="none"/>
          <w:lang w:val="zh-CN"/>
        </w:rPr>
        <w:t>（八）投标人串通投标的其他情形。</w:t>
      </w:r>
    </w:p>
    <w:p w14:paraId="13736376">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三、有下列情形之一的，属于采购人与投标人串通投标：</w:t>
      </w:r>
    </w:p>
    <w:p w14:paraId="25BBBDC9">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（一）采购人在开标前开启投标文件并将有关信息泄露给其他投标人;</w:t>
      </w:r>
    </w:p>
    <w:p w14:paraId="6C88E4CC">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（二）采购人直接或者间接向投标人泄露标底、评标委员会成员等信息；</w:t>
      </w:r>
    </w:p>
    <w:p w14:paraId="6ADB438E">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（三）采购人明示或者暗示投标人压低或者抬高投标报价；</w:t>
      </w:r>
    </w:p>
    <w:p w14:paraId="535DDB39">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（四）采购人授意投标人撤换、修改投标文件；</w:t>
      </w:r>
    </w:p>
    <w:p w14:paraId="5096662E">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（五）采购人明示或者暗示投标人为特定投标人中标提供方便；</w:t>
      </w:r>
    </w:p>
    <w:p w14:paraId="2359EC98">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（六）采购人与投标人为谋求特定投标人中标而采取的其他串通行为。</w:t>
      </w:r>
    </w:p>
    <w:p w14:paraId="45869E5E">
      <w:pPr>
        <w:spacing w:line="360" w:lineRule="auto"/>
        <w:ind w:firstLine="482"/>
        <w:rPr>
          <w:rFonts w:ascii="宋体" w:hAnsi="宋体" w:cs="宋体"/>
          <w:bCs/>
          <w:color w:val="auto"/>
          <w:sz w:val="24"/>
          <w:highlight w:val="none"/>
        </w:rPr>
      </w:pPr>
      <w:r>
        <w:rPr>
          <w:rFonts w:hint="eastAsia" w:ascii="宋体" w:hAnsi="宋体" w:cs="宋体"/>
          <w:bCs/>
          <w:color w:val="auto"/>
          <w:sz w:val="24"/>
          <w:highlight w:val="none"/>
        </w:rPr>
        <w:t>注：经评标委员会评审合格投标人的家数不足三家，该项目废标，采购人有权委托采购代理机构重新组织招标。</w:t>
      </w:r>
    </w:p>
    <w:p w14:paraId="7D664CC1">
      <w:pPr>
        <w:spacing w:line="360" w:lineRule="auto"/>
        <w:rPr>
          <w:rFonts w:ascii="宋体" w:hAnsi="宋体" w:cs="宋体"/>
          <w:color w:val="auto"/>
          <w:sz w:val="24"/>
          <w:highlight w:val="none"/>
        </w:rPr>
      </w:pPr>
      <w:r>
        <w:rPr>
          <w:rFonts w:hint="eastAsia" w:ascii="宋体" w:hAnsi="宋体" w:cs="宋体"/>
          <w:b/>
          <w:bCs/>
          <w:color w:val="auto"/>
          <w:sz w:val="24"/>
          <w:highlight w:val="none"/>
        </w:rPr>
        <w:t>3.2澄清有关问题。</w:t>
      </w:r>
      <w:r>
        <w:rPr>
          <w:rFonts w:hint="eastAsia" w:ascii="宋体" w:hAnsi="宋体" w:cs="宋体"/>
          <w:color w:val="auto"/>
          <w:sz w:val="24"/>
          <w:highlight w:val="none"/>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0C5CF20">
      <w:pPr>
        <w:spacing w:line="360" w:lineRule="auto"/>
        <w:rPr>
          <w:rFonts w:ascii="宋体" w:hAnsi="宋体" w:cs="宋体"/>
          <w:color w:val="auto"/>
          <w:sz w:val="24"/>
          <w:highlight w:val="none"/>
        </w:rPr>
      </w:pPr>
      <w:r>
        <w:rPr>
          <w:rFonts w:hint="eastAsia" w:ascii="宋体" w:hAnsi="宋体" w:cs="宋体"/>
          <w:color w:val="auto"/>
          <w:sz w:val="24"/>
          <w:highlight w:val="none"/>
        </w:rPr>
        <w:t>3.2.1评标委员会将允许修正投标文件中不构成重大偏离的细微偏离，但这些修正应不会对实质上响应招标文件要求的投标人的竞争地位（相互排序）产生不公正的影响。</w:t>
      </w:r>
    </w:p>
    <w:p w14:paraId="048A86B5">
      <w:pPr>
        <w:spacing w:line="360" w:lineRule="auto"/>
        <w:rPr>
          <w:rFonts w:ascii="宋体" w:hAnsi="宋体" w:cs="宋体"/>
          <w:color w:val="auto"/>
          <w:sz w:val="24"/>
          <w:highlight w:val="none"/>
        </w:rPr>
      </w:pPr>
      <w:r>
        <w:rPr>
          <w:rFonts w:hint="eastAsia" w:ascii="宋体" w:hAnsi="宋体" w:cs="宋体"/>
          <w:color w:val="auto"/>
          <w:sz w:val="24"/>
          <w:highlight w:val="none"/>
        </w:rPr>
        <w:t>3.2.2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14:paraId="0C1BB597">
      <w:pPr>
        <w:spacing w:line="360" w:lineRule="auto"/>
        <w:rPr>
          <w:rFonts w:ascii="宋体" w:hAnsi="宋体" w:cs="宋体"/>
          <w:color w:val="auto"/>
          <w:sz w:val="24"/>
          <w:highlight w:val="none"/>
        </w:rPr>
      </w:pPr>
      <w:r>
        <w:rPr>
          <w:rFonts w:hint="eastAsia" w:ascii="宋体" w:hAnsi="宋体" w:cs="宋体"/>
          <w:color w:val="auto"/>
          <w:sz w:val="24"/>
          <w:highlight w:val="none"/>
        </w:rPr>
        <w:t>3.2.3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21DD92">
      <w:pPr>
        <w:pStyle w:val="21"/>
        <w:spacing w:beforeAutospacing="0" w:afterAutospacing="0" w:line="360" w:lineRule="auto"/>
        <w:jc w:val="both"/>
        <w:rPr>
          <w:b/>
          <w:bCs/>
          <w:color w:val="auto"/>
          <w:kern w:val="2"/>
          <w:highlight w:val="none"/>
        </w:rPr>
      </w:pPr>
      <w:r>
        <w:rPr>
          <w:rFonts w:hint="eastAsia"/>
          <w:b/>
          <w:bCs/>
          <w:color w:val="auto"/>
          <w:kern w:val="2"/>
          <w:highlight w:val="none"/>
        </w:rPr>
        <w:t>3.3评标委员会应当按照招标文件中规定的评标方法和标准，对符合性审查合格的投标文件进行商务和技术评估，综合比较与评价。</w:t>
      </w:r>
    </w:p>
    <w:p w14:paraId="2429F3E6">
      <w:pPr>
        <w:spacing w:line="360" w:lineRule="auto"/>
        <w:rPr>
          <w:rFonts w:ascii="宋体" w:hAnsi="宋体" w:cs="宋体"/>
          <w:color w:val="auto"/>
          <w:sz w:val="24"/>
          <w:highlight w:val="none"/>
        </w:rPr>
      </w:pPr>
      <w:r>
        <w:rPr>
          <w:rFonts w:hint="eastAsia" w:ascii="宋体" w:hAnsi="宋体" w:cs="宋体"/>
          <w:color w:val="auto"/>
          <w:sz w:val="24"/>
          <w:highlight w:val="none"/>
        </w:rPr>
        <w:t>3.3.1本项目采用最低评标价法评标，评标委员会将按下述标准评定中标人：按投标报价由低到高顺序排列。投标报价相同的并列。投标文件满足招标文件全部实质性要求且投标报价最低的投标人为排名第一的中标候选人。</w:t>
      </w:r>
    </w:p>
    <w:p w14:paraId="4887F5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C8D4A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非单一产品采购项目，采购人根据采购项目技术构成、产品价格比重等合理确定核心产品，并在招标文件第五章中载明。多家投标人提供的核心产品品牌相同的，相关投标人将被认定为属于提供相同品牌产品，按</w:t>
      </w:r>
      <w:r>
        <w:rPr>
          <w:rFonts w:hint="eastAsia" w:ascii="宋体" w:hAnsi="宋体" w:eastAsia="宋体" w:cs="宋体"/>
          <w:color w:val="auto"/>
          <w:sz w:val="24"/>
          <w:highlight w:val="none"/>
          <w:lang w:val="en-US" w:eastAsia="zh-CN"/>
        </w:rPr>
        <w:t>前款</w:t>
      </w:r>
      <w:r>
        <w:rPr>
          <w:rFonts w:hint="eastAsia" w:ascii="宋体" w:hAnsi="宋体" w:eastAsia="宋体" w:cs="宋体"/>
          <w:color w:val="auto"/>
          <w:sz w:val="24"/>
          <w:highlight w:val="none"/>
        </w:rPr>
        <w:t>规定处理。</w:t>
      </w:r>
    </w:p>
    <w:p w14:paraId="3CFFF0C8">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3.4编写评标报告，推荐中标候选人名单：3名</w:t>
      </w:r>
    </w:p>
    <w:p w14:paraId="63AF1BA6">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其他要求：</w:t>
      </w:r>
    </w:p>
    <w:p w14:paraId="3826152B">
      <w:pPr>
        <w:spacing w:line="360" w:lineRule="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w:t>
      </w:r>
      <w:r>
        <w:rPr>
          <w:rFonts w:hint="default" w:ascii="宋体" w:hAnsi="宋体" w:cs="宋体"/>
          <w:b/>
          <w:bCs/>
          <w:color w:val="auto"/>
          <w:sz w:val="24"/>
          <w:highlight w:val="none"/>
          <w:lang w:val="en-US" w:eastAsia="zh-CN"/>
        </w:rPr>
        <w:t>资金来源：财政专项资金</w:t>
      </w:r>
    </w:p>
    <w:p w14:paraId="140259F5">
      <w:pPr>
        <w:pStyle w:val="21"/>
        <w:spacing w:beforeAutospacing="0" w:afterAutospacing="0" w:line="360" w:lineRule="auto"/>
        <w:jc w:val="both"/>
        <w:rPr>
          <w:rFonts w:hint="eastAsia"/>
          <w:b/>
          <w:bCs/>
          <w:color w:val="auto"/>
          <w:kern w:val="2"/>
          <w:highlight w:val="none"/>
          <w:lang w:val="en-US" w:eastAsia="zh-CN"/>
        </w:rPr>
      </w:pPr>
      <w:r>
        <w:rPr>
          <w:rFonts w:hint="eastAsia"/>
          <w:b/>
          <w:bCs/>
          <w:color w:val="auto"/>
          <w:kern w:val="2"/>
          <w:highlight w:val="none"/>
          <w:lang w:val="en-US" w:eastAsia="zh-CN"/>
        </w:rPr>
        <w:t>2.售后要求：</w:t>
      </w:r>
    </w:p>
    <w:p w14:paraId="4A321BDA">
      <w:pPr>
        <w:pStyle w:val="21"/>
        <w:spacing w:beforeAutospacing="0" w:afterAutospacing="0" w:line="360" w:lineRule="auto"/>
        <w:jc w:val="both"/>
        <w:rPr>
          <w:rFonts w:hint="eastAsia"/>
          <w:b/>
          <w:bCs/>
          <w:color w:val="auto"/>
          <w:kern w:val="2"/>
          <w:highlight w:val="none"/>
          <w:lang w:val="en-US" w:eastAsia="zh-CN"/>
        </w:rPr>
      </w:pPr>
      <w:r>
        <w:rPr>
          <w:rFonts w:hint="eastAsia"/>
          <w:b/>
          <w:bCs/>
          <w:color w:val="auto"/>
          <w:kern w:val="2"/>
          <w:highlight w:val="none"/>
          <w:lang w:val="en-US" w:eastAsia="zh-CN"/>
        </w:rPr>
        <w:t>1.提供生产厂家或总代理针对项目的售后服务承诺书。</w:t>
      </w:r>
    </w:p>
    <w:p w14:paraId="435A5BA0">
      <w:pPr>
        <w:pStyle w:val="21"/>
        <w:numPr>
          <w:ilvl w:val="0"/>
          <w:numId w:val="2"/>
        </w:numPr>
        <w:spacing w:beforeAutospacing="0" w:afterAutospacing="0" w:line="360" w:lineRule="auto"/>
        <w:jc w:val="both"/>
        <w:rPr>
          <w:rFonts w:hint="eastAsia"/>
          <w:b/>
          <w:bCs/>
          <w:color w:val="auto"/>
          <w:kern w:val="2"/>
          <w:highlight w:val="none"/>
          <w:lang w:val="en-US" w:eastAsia="zh-CN"/>
        </w:rPr>
      </w:pPr>
      <w:r>
        <w:rPr>
          <w:rFonts w:hint="eastAsia"/>
          <w:b/>
          <w:bCs/>
          <w:color w:val="auto"/>
          <w:kern w:val="2"/>
          <w:highlight w:val="none"/>
          <w:lang w:val="en-US" w:eastAsia="zh-CN"/>
        </w:rPr>
        <w:t>仪器设备质保期自验收合格之日起计算，免费质保期为12月。质保期内，任何由制造商引起的质量问题，中标方负责维护维修或更换部件等直至符合验收标准，并承担相关全部费用。保修期满前1个月内中标方应负责一次免费全面检查，并写出正式检查报告，如发现潜在问题，应负责解决排除。中标方能做到2-4小时内对服务要求做出响应，对仪器设备硬件及软件问题解决迅速，对于一般问题在4小时内解决，重大问题或其它无法立刻解决的问题应在一周内解决或提出明确的解决方案。其中，无线便携脑电系统2小时响应，24小时到达用户现场。设备免费质保1年、电池质保1年、电极每年免费维修维护和更换。以上设备所有软件终身免费升级，到货安装调试完成后，中标方专业工程师现场提供系统的使用培训服务对使用人员进行培训2-3次，至熟练掌握和能进行常规维护为止。</w:t>
      </w:r>
    </w:p>
    <w:p w14:paraId="7EF68412">
      <w:pPr>
        <w:pStyle w:val="21"/>
        <w:numPr>
          <w:ilvl w:val="0"/>
          <w:numId w:val="2"/>
        </w:numPr>
        <w:spacing w:beforeAutospacing="0" w:afterAutospacing="0" w:line="360" w:lineRule="auto"/>
        <w:jc w:val="both"/>
        <w:rPr>
          <w:rFonts w:hint="default"/>
          <w:b/>
          <w:bCs/>
          <w:color w:val="auto"/>
          <w:kern w:val="2"/>
          <w:highlight w:val="none"/>
          <w:lang w:val="en-US" w:eastAsia="zh-CN"/>
        </w:rPr>
      </w:pPr>
      <w:r>
        <w:rPr>
          <w:rFonts w:hint="default"/>
          <w:b/>
          <w:bCs/>
          <w:color w:val="auto"/>
          <w:kern w:val="2"/>
          <w:highlight w:val="none"/>
          <w:lang w:val="en-US" w:eastAsia="zh-CN"/>
        </w:rPr>
        <w:t>履约保证金：合同金额的5%</w:t>
      </w:r>
      <w:r>
        <w:rPr>
          <w:rFonts w:hint="eastAsia"/>
          <w:b/>
          <w:bCs/>
          <w:color w:val="auto"/>
          <w:kern w:val="2"/>
          <w:highlight w:val="none"/>
          <w:lang w:val="en-US" w:eastAsia="zh-CN"/>
        </w:rPr>
        <w:t>，验收之后30个工作日返还。</w:t>
      </w:r>
    </w:p>
    <w:p w14:paraId="22DEF6D0">
      <w:pPr>
        <w:pStyle w:val="21"/>
        <w:numPr>
          <w:ilvl w:val="0"/>
          <w:numId w:val="2"/>
        </w:numPr>
        <w:spacing w:beforeAutospacing="0" w:afterAutospacing="0" w:line="360" w:lineRule="auto"/>
        <w:jc w:val="both"/>
        <w:rPr>
          <w:rFonts w:hint="default"/>
          <w:b/>
          <w:bCs/>
          <w:color w:val="auto"/>
          <w:kern w:val="2"/>
          <w:highlight w:val="none"/>
          <w:lang w:val="en-US" w:eastAsia="zh-CN"/>
        </w:rPr>
      </w:pPr>
      <w:r>
        <w:rPr>
          <w:rFonts w:hint="default"/>
          <w:b/>
          <w:bCs/>
          <w:color w:val="auto"/>
          <w:kern w:val="2"/>
          <w:highlight w:val="none"/>
          <w:lang w:val="en-US" w:eastAsia="zh-CN"/>
        </w:rPr>
        <w:t>付款要求：验收合格后30天内支付100%合同款。</w:t>
      </w:r>
    </w:p>
    <w:p w14:paraId="0A6B50A4">
      <w:pPr>
        <w:pStyle w:val="21"/>
        <w:numPr>
          <w:ilvl w:val="0"/>
          <w:numId w:val="2"/>
        </w:numPr>
        <w:spacing w:beforeAutospacing="0" w:afterAutospacing="0" w:line="360" w:lineRule="auto"/>
        <w:jc w:val="both"/>
        <w:rPr>
          <w:rFonts w:hint="default"/>
          <w:b/>
          <w:bCs/>
          <w:color w:val="auto"/>
          <w:kern w:val="2"/>
          <w:highlight w:val="none"/>
          <w:lang w:val="en-US" w:eastAsia="zh-CN"/>
        </w:rPr>
      </w:pPr>
      <w:r>
        <w:rPr>
          <w:rFonts w:hint="default"/>
          <w:b/>
          <w:bCs/>
          <w:color w:val="auto"/>
          <w:kern w:val="2"/>
          <w:highlight w:val="none"/>
          <w:lang w:val="en-US" w:eastAsia="zh-CN"/>
        </w:rPr>
        <w:t>交货方式：中标人负责将货物安全完好运抵交货地点、安装调试并保证验收合格。</w:t>
      </w:r>
    </w:p>
    <w:p w14:paraId="599577E8">
      <w:pPr>
        <w:rPr>
          <w:color w:val="auto"/>
          <w:highlight w:val="none"/>
        </w:rPr>
      </w:pPr>
      <w:r>
        <w:rPr>
          <w:color w:val="auto"/>
          <w:highlight w:val="none"/>
        </w:rPr>
        <w:br w:type="page"/>
      </w:r>
    </w:p>
    <w:p w14:paraId="1CBFE993">
      <w:pPr>
        <w:pStyle w:val="5"/>
        <w:spacing w:line="360" w:lineRule="auto"/>
        <w:jc w:val="center"/>
        <w:rPr>
          <w:color w:val="auto"/>
          <w:highlight w:val="none"/>
        </w:rPr>
      </w:pPr>
      <w:bookmarkStart w:id="2" w:name="_Toc356283733"/>
      <w:bookmarkStart w:id="3" w:name="_Toc155544236"/>
      <w:bookmarkStart w:id="4" w:name="_Toc137493721"/>
      <w:bookmarkStart w:id="5" w:name="_Toc142819438"/>
      <w:bookmarkStart w:id="6" w:name="_Toc419230801"/>
      <w:r>
        <w:rPr>
          <w:rFonts w:hint="eastAsia"/>
          <w:color w:val="auto"/>
          <w:highlight w:val="none"/>
        </w:rPr>
        <w:t>第四章 合同条款</w:t>
      </w:r>
    </w:p>
    <w:p w14:paraId="1FC7E86E">
      <w:pPr>
        <w:spacing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政府采购货物买卖合同</w:t>
      </w:r>
    </w:p>
    <w:p w14:paraId="76D43914">
      <w:pPr>
        <w:spacing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（试行）</w:t>
      </w:r>
    </w:p>
    <w:p w14:paraId="64B6A7C0">
      <w:pPr>
        <w:spacing w:line="360" w:lineRule="auto"/>
        <w:ind w:firstLine="482"/>
        <w:rPr>
          <w:rFonts w:ascii="宋体" w:hAnsi="宋体" w:cs="宋体"/>
          <w:b/>
          <w:bCs/>
          <w:color w:val="auto"/>
          <w:spacing w:val="-20"/>
          <w:kern w:val="44"/>
          <w:sz w:val="28"/>
          <w:szCs w:val="28"/>
          <w:highlight w:val="none"/>
        </w:rPr>
      </w:pPr>
    </w:p>
    <w:p w14:paraId="6E5FC247">
      <w:pPr>
        <w:ind w:firstLine="482"/>
        <w:rPr>
          <w:rFonts w:ascii="宋体" w:hAnsi="宋体" w:cs="宋体"/>
          <w:b/>
          <w:bCs/>
          <w:color w:val="auto"/>
          <w:spacing w:val="-20"/>
          <w:kern w:val="44"/>
          <w:sz w:val="28"/>
          <w:szCs w:val="28"/>
          <w:highlight w:val="none"/>
        </w:rPr>
      </w:pPr>
    </w:p>
    <w:p w14:paraId="3AB929F2">
      <w:pPr>
        <w:ind w:firstLine="482"/>
        <w:rPr>
          <w:rFonts w:ascii="宋体" w:hAnsi="宋体" w:cs="宋体"/>
          <w:b/>
          <w:bCs/>
          <w:color w:val="auto"/>
          <w:spacing w:val="-20"/>
          <w:kern w:val="44"/>
          <w:sz w:val="28"/>
          <w:szCs w:val="28"/>
          <w:highlight w:val="none"/>
        </w:rPr>
      </w:pPr>
    </w:p>
    <w:p w14:paraId="0267A8EB">
      <w:pPr>
        <w:spacing w:line="360" w:lineRule="auto"/>
        <w:ind w:left="420" w:leftChars="200"/>
        <w:rPr>
          <w:rFonts w:ascii="宋体" w:hAnsi="宋体" w:cs="宋体"/>
          <w:color w:val="auto"/>
          <w:sz w:val="28"/>
          <w:szCs w:val="28"/>
          <w:highlight w:val="none"/>
        </w:rPr>
      </w:pPr>
      <w:r>
        <w:rPr>
          <w:rFonts w:hint="eastAsia" w:ascii="宋体" w:hAnsi="宋体" w:cs="宋体"/>
          <w:color w:val="auto"/>
          <w:kern w:val="0"/>
          <w:sz w:val="28"/>
          <w:szCs w:val="28"/>
          <w:highlight w:val="none"/>
        </w:rPr>
        <w:t>项目名称：</w:t>
      </w:r>
      <w:r>
        <w:rPr>
          <w:rFonts w:hint="eastAsia" w:ascii="宋体" w:hAnsi="宋体" w:cs="宋体"/>
          <w:color w:val="auto"/>
          <w:sz w:val="28"/>
          <w:szCs w:val="28"/>
          <w:highlight w:val="none"/>
          <w:u w:val="single"/>
        </w:rPr>
        <w:t xml:space="preserve">                             </w:t>
      </w:r>
    </w:p>
    <w:p w14:paraId="29B11A27">
      <w:pPr>
        <w:spacing w:line="360" w:lineRule="auto"/>
        <w:ind w:left="420" w:leftChars="200"/>
        <w:rPr>
          <w:rFonts w:ascii="宋体" w:hAnsi="宋体" w:cs="宋体"/>
          <w:color w:val="auto"/>
          <w:sz w:val="28"/>
          <w:szCs w:val="28"/>
          <w:highlight w:val="none"/>
          <w:u w:val="single"/>
        </w:rPr>
      </w:pPr>
      <w:r>
        <w:rPr>
          <w:rFonts w:hint="eastAsia" w:ascii="宋体" w:hAnsi="宋体" w:cs="宋体"/>
          <w:color w:val="auto"/>
          <w:sz w:val="28"/>
          <w:szCs w:val="28"/>
          <w:highlight w:val="none"/>
        </w:rPr>
        <w:t>合同编号：</w:t>
      </w:r>
      <w:r>
        <w:rPr>
          <w:rFonts w:hint="eastAsia" w:ascii="宋体" w:hAnsi="宋体" w:cs="宋体"/>
          <w:color w:val="auto"/>
          <w:sz w:val="28"/>
          <w:szCs w:val="28"/>
          <w:highlight w:val="none"/>
          <w:u w:val="single"/>
        </w:rPr>
        <w:t xml:space="preserve">                             </w:t>
      </w:r>
    </w:p>
    <w:p w14:paraId="28A78E62">
      <w:pPr>
        <w:spacing w:line="360" w:lineRule="auto"/>
        <w:ind w:left="420" w:leftChars="200"/>
        <w:rPr>
          <w:rFonts w:ascii="宋体" w:hAnsi="宋体" w:cs="宋体"/>
          <w:color w:val="auto"/>
          <w:sz w:val="28"/>
          <w:szCs w:val="28"/>
          <w:highlight w:val="none"/>
        </w:rPr>
      </w:pPr>
      <w:r>
        <w:rPr>
          <w:rFonts w:hint="eastAsia" w:ascii="宋体" w:hAnsi="宋体" w:cs="宋体"/>
          <w:color w:val="auto"/>
          <w:sz w:val="28"/>
          <w:szCs w:val="28"/>
          <w:highlight w:val="none"/>
        </w:rPr>
        <w:t>甲    方：</w:t>
      </w:r>
      <w:r>
        <w:rPr>
          <w:rFonts w:hint="eastAsia" w:ascii="宋体" w:hAnsi="宋体" w:cs="宋体"/>
          <w:color w:val="auto"/>
          <w:sz w:val="28"/>
          <w:szCs w:val="28"/>
          <w:highlight w:val="none"/>
          <w:u w:val="single"/>
        </w:rPr>
        <w:t xml:space="preserve">                             </w:t>
      </w:r>
    </w:p>
    <w:p w14:paraId="5398F1E8">
      <w:pPr>
        <w:spacing w:line="360" w:lineRule="auto"/>
        <w:ind w:left="420" w:leftChars="200"/>
        <w:rPr>
          <w:rFonts w:ascii="宋体" w:hAnsi="宋体" w:cs="宋体"/>
          <w:color w:val="auto"/>
          <w:sz w:val="28"/>
          <w:szCs w:val="28"/>
          <w:highlight w:val="none"/>
          <w:u w:val="single"/>
        </w:rPr>
      </w:pPr>
      <w:r>
        <w:rPr>
          <w:rFonts w:hint="eastAsia" w:ascii="宋体" w:hAnsi="宋体" w:cs="宋体"/>
          <w:color w:val="auto"/>
          <w:sz w:val="28"/>
          <w:szCs w:val="28"/>
          <w:highlight w:val="none"/>
        </w:rPr>
        <w:t>乙    方：</w:t>
      </w:r>
      <w:r>
        <w:rPr>
          <w:rFonts w:hint="eastAsia" w:ascii="宋体" w:hAnsi="宋体" w:cs="宋体"/>
          <w:color w:val="auto"/>
          <w:sz w:val="28"/>
          <w:szCs w:val="28"/>
          <w:highlight w:val="none"/>
          <w:u w:val="single"/>
        </w:rPr>
        <w:t xml:space="preserve">                             </w:t>
      </w:r>
    </w:p>
    <w:p w14:paraId="295D1C51">
      <w:pPr>
        <w:spacing w:line="360" w:lineRule="auto"/>
        <w:ind w:left="420" w:leftChars="200"/>
        <w:rPr>
          <w:rFonts w:ascii="宋体" w:hAnsi="宋体" w:cs="宋体"/>
          <w:color w:val="auto"/>
          <w:sz w:val="28"/>
          <w:szCs w:val="28"/>
          <w:highlight w:val="none"/>
        </w:rPr>
      </w:pPr>
      <w:r>
        <w:rPr>
          <w:rFonts w:hint="eastAsia" w:ascii="宋体" w:hAnsi="宋体" w:cs="宋体"/>
          <w:color w:val="auto"/>
          <w:sz w:val="28"/>
          <w:szCs w:val="28"/>
          <w:highlight w:val="none"/>
        </w:rPr>
        <w:t>签订时间：</w:t>
      </w:r>
      <w:r>
        <w:rPr>
          <w:rFonts w:hint="eastAsia" w:ascii="宋体" w:hAnsi="宋体" w:cs="宋体"/>
          <w:color w:val="auto"/>
          <w:sz w:val="28"/>
          <w:szCs w:val="28"/>
          <w:highlight w:val="none"/>
          <w:u w:val="single"/>
        </w:rPr>
        <w:t xml:space="preserve">                             </w:t>
      </w:r>
    </w:p>
    <w:p w14:paraId="43B065DA">
      <w:pPr>
        <w:rPr>
          <w:rFonts w:ascii="宋体" w:hAnsi="宋体" w:cs="宋体"/>
          <w:color w:val="auto"/>
          <w:sz w:val="28"/>
          <w:szCs w:val="28"/>
          <w:highlight w:val="none"/>
        </w:rPr>
      </w:pPr>
    </w:p>
    <w:p w14:paraId="794F34DC">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60F5CA25">
      <w:pPr>
        <w:jc w:val="center"/>
        <w:rPr>
          <w:rFonts w:ascii="宋体" w:hAnsi="宋体" w:cs="宋体"/>
          <w:color w:val="auto"/>
          <w:sz w:val="28"/>
          <w:szCs w:val="28"/>
          <w:highlight w:val="none"/>
        </w:rPr>
      </w:pPr>
      <w:r>
        <w:rPr>
          <w:rFonts w:hint="eastAsia" w:ascii="宋体" w:hAnsi="宋体" w:cs="宋体"/>
          <w:color w:val="auto"/>
          <w:sz w:val="28"/>
          <w:szCs w:val="28"/>
          <w:highlight w:val="none"/>
        </w:rPr>
        <w:t>使 用 说 明</w:t>
      </w:r>
    </w:p>
    <w:p w14:paraId="2AF30CBE">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1.本合同标准文本适用于购买现成货物的采购项目，不包括需要</w:t>
      </w:r>
      <w:r>
        <w:rPr>
          <w:rFonts w:hint="eastAsia" w:ascii="宋体" w:hAnsi="宋体" w:cs="宋体"/>
          <w:color w:val="auto"/>
          <w:sz w:val="28"/>
          <w:szCs w:val="28"/>
          <w:highlight w:val="none"/>
          <w:lang w:eastAsia="zh-CN"/>
        </w:rPr>
        <w:t>投标人</w:t>
      </w:r>
      <w:r>
        <w:rPr>
          <w:rFonts w:hint="eastAsia" w:ascii="宋体" w:hAnsi="宋体" w:cs="宋体"/>
          <w:color w:val="auto"/>
          <w:sz w:val="28"/>
          <w:szCs w:val="28"/>
          <w:highlight w:val="none"/>
        </w:rPr>
        <w:t>定制开发、创新研发的货物采购项目。</w:t>
      </w:r>
    </w:p>
    <w:p w14:paraId="7CAFC779">
      <w:pPr>
        <w:rPr>
          <w:rFonts w:ascii="宋体" w:hAnsi="宋体" w:cs="宋体"/>
          <w:color w:val="auto"/>
          <w:sz w:val="28"/>
          <w:szCs w:val="28"/>
          <w:highlight w:val="none"/>
        </w:rPr>
      </w:pPr>
      <w:r>
        <w:rPr>
          <w:rFonts w:hint="eastAsia" w:ascii="宋体" w:hAnsi="宋体" w:cs="宋体"/>
          <w:color w:val="auto"/>
          <w:sz w:val="28"/>
          <w:szCs w:val="28"/>
          <w:highlight w:val="none"/>
        </w:rPr>
        <w:t xml:space="preserve">   2.本合同标准文本为政府采购货物买卖合同编制提供参考，可以结合采购项目具体情况，对文本作必要的调整修订后使用。</w:t>
      </w:r>
    </w:p>
    <w:p w14:paraId="57669444">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3.本合同标准文本各条款中，如涉及填写多家</w:t>
      </w:r>
      <w:r>
        <w:rPr>
          <w:rFonts w:hint="eastAsia" w:ascii="宋体" w:hAnsi="宋体" w:cs="宋体"/>
          <w:color w:val="auto"/>
          <w:sz w:val="28"/>
          <w:szCs w:val="28"/>
          <w:highlight w:val="none"/>
          <w:lang w:eastAsia="zh-CN"/>
        </w:rPr>
        <w:t>投标人</w:t>
      </w:r>
      <w:r>
        <w:rPr>
          <w:rFonts w:hint="eastAsia" w:ascii="宋体" w:hAnsi="宋体" w:cs="宋体"/>
          <w:color w:val="auto"/>
          <w:sz w:val="28"/>
          <w:szCs w:val="28"/>
          <w:highlight w:val="none"/>
        </w:rPr>
        <w:t>、制造商，多种采购标的、分包主要内容等信息的，可根据采购项目具体情况添加信息项。</w:t>
      </w:r>
    </w:p>
    <w:p w14:paraId="4FA09B8D">
      <w:pPr>
        <w:ind w:firstLine="560" w:firstLineChars="200"/>
        <w:rPr>
          <w:rFonts w:ascii="宋体" w:hAnsi="宋体" w:cs="宋体"/>
          <w:color w:val="auto"/>
          <w:sz w:val="28"/>
          <w:szCs w:val="28"/>
          <w:highlight w:val="none"/>
        </w:rPr>
        <w:sectPr>
          <w:headerReference r:id="rId5" w:type="default"/>
          <w:footerReference r:id="rId6" w:type="default"/>
          <w:pgSz w:w="11906" w:h="16838"/>
          <w:pgMar w:top="1134" w:right="1134" w:bottom="1134" w:left="1417" w:header="851" w:footer="624" w:gutter="0"/>
          <w:pgBorders>
            <w:top w:val="none" w:sz="0" w:space="0"/>
            <w:left w:val="none" w:sz="0" w:space="0"/>
            <w:bottom w:val="none" w:sz="0" w:space="0"/>
            <w:right w:val="none" w:sz="0" w:space="0"/>
          </w:pgBorders>
          <w:cols w:space="425" w:num="1"/>
          <w:docGrid w:type="lines" w:linePitch="312" w:charSpace="0"/>
        </w:sectPr>
      </w:pPr>
    </w:p>
    <w:p w14:paraId="1BD27241">
      <w:pPr>
        <w:pStyle w:val="3"/>
        <w:adjustRightInd w:val="0"/>
        <w:snapToGrid w:val="0"/>
        <w:spacing w:line="400" w:lineRule="exact"/>
        <w:jc w:val="center"/>
        <w:rPr>
          <w:rFonts w:hint="default" w:ascii="黑体" w:hAnsi="华文中宋"/>
          <w:b w:val="0"/>
          <w:bCs w:val="0"/>
          <w:color w:val="auto"/>
          <w:sz w:val="28"/>
          <w:szCs w:val="28"/>
          <w:highlight w:val="none"/>
        </w:rPr>
      </w:pPr>
      <w:bookmarkStart w:id="7" w:name="_Toc22209"/>
      <w:r>
        <w:rPr>
          <w:rFonts w:ascii="黑体" w:hAnsi="黑体"/>
          <w:b w:val="0"/>
          <w:bCs w:val="0"/>
          <w:color w:val="auto"/>
          <w:sz w:val="28"/>
          <w:szCs w:val="28"/>
          <w:highlight w:val="none"/>
        </w:rPr>
        <w:t xml:space="preserve">第一节 </w:t>
      </w:r>
      <w:r>
        <w:rPr>
          <w:rFonts w:ascii="黑体" w:hAnsi="华文中宋"/>
          <w:b w:val="0"/>
          <w:bCs w:val="0"/>
          <w:color w:val="auto"/>
          <w:sz w:val="28"/>
          <w:szCs w:val="28"/>
          <w:highlight w:val="none"/>
        </w:rPr>
        <w:t>政府采购合同协议书</w:t>
      </w:r>
      <w:bookmarkEnd w:id="7"/>
    </w:p>
    <w:p w14:paraId="6AEEECE2">
      <w:pPr>
        <w:pStyle w:val="3"/>
        <w:adjustRightInd w:val="0"/>
        <w:snapToGrid w:val="0"/>
        <w:spacing w:line="400" w:lineRule="exact"/>
        <w:jc w:val="center"/>
        <w:rPr>
          <w:rFonts w:hint="default" w:ascii="黑体" w:hAnsi="华文中宋"/>
          <w:b w:val="0"/>
          <w:bCs w:val="0"/>
          <w:color w:val="auto"/>
          <w:sz w:val="28"/>
          <w:szCs w:val="28"/>
          <w:highlight w:val="none"/>
        </w:rPr>
      </w:pPr>
    </w:p>
    <w:p w14:paraId="60FCB59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                               文件约定的合同甲方）</w:t>
      </w:r>
    </w:p>
    <w:p w14:paraId="0F54793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w:t>
      </w:r>
    </w:p>
    <w:p w14:paraId="35370B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w:t>
      </w:r>
      <w:r>
        <w:rPr>
          <w:rFonts w:hint="eastAsia" w:ascii="宋体" w:hAnsi="宋体"/>
          <w:color w:val="auto"/>
          <w:szCs w:val="21"/>
          <w:highlight w:val="none"/>
          <w:lang w:eastAsia="zh-CN"/>
        </w:rPr>
        <w:t>投标人</w:t>
      </w:r>
      <w:r>
        <w:rPr>
          <w:rFonts w:hint="eastAsia" w:ascii="宋体" w:hAnsi="宋体"/>
          <w:color w:val="auto"/>
          <w:szCs w:val="21"/>
          <w:highlight w:val="none"/>
        </w:rPr>
        <w:t>或其他合同主体）（如有）</w:t>
      </w:r>
    </w:p>
    <w:p w14:paraId="5C9865A4">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w:t>
      </w:r>
      <w:r>
        <w:rPr>
          <w:rFonts w:hint="eastAsia" w:ascii="宋体" w:hAnsi="宋体"/>
          <w:color w:val="auto"/>
          <w:szCs w:val="21"/>
          <w:highlight w:val="none"/>
          <w:lang w:eastAsia="zh-CN"/>
        </w:rPr>
        <w:t>投标人</w:t>
      </w:r>
      <w:r>
        <w:rPr>
          <w:rFonts w:hint="eastAsia" w:ascii="宋体" w:hAnsi="宋体"/>
          <w:color w:val="auto"/>
          <w:szCs w:val="21"/>
          <w:highlight w:val="none"/>
        </w:rPr>
        <w:t>或其他合同主体）（如有）</w:t>
      </w:r>
    </w:p>
    <w:p w14:paraId="5EC86A69">
      <w:pPr>
        <w:spacing w:line="400" w:lineRule="exact"/>
        <w:rPr>
          <w:color w:val="auto"/>
          <w:highlight w:val="none"/>
        </w:rPr>
      </w:pPr>
    </w:p>
    <w:p w14:paraId="6F027401">
      <w:pPr>
        <w:pStyle w:val="10"/>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A2EE223">
      <w:pPr>
        <w:numPr>
          <w:ilvl w:val="0"/>
          <w:numId w:val="3"/>
        </w:numPr>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项目信息</w:t>
      </w:r>
    </w:p>
    <w:p w14:paraId="3E88CD8F">
      <w:pPr>
        <w:pStyle w:val="10"/>
        <w:numPr>
          <w:ilvl w:val="0"/>
          <w:numId w:val="4"/>
        </w:numPr>
        <w:adjustRightInd w:val="0"/>
        <w:snapToGrid w:val="0"/>
        <w:spacing w:line="400" w:lineRule="exact"/>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525383FE">
      <w:pPr>
        <w:pStyle w:val="10"/>
        <w:numPr>
          <w:ilvl w:val="255"/>
          <w:numId w:val="0"/>
        </w:numPr>
        <w:tabs>
          <w:tab w:val="left" w:pos="999"/>
        </w:tabs>
        <w:adjustRightInd w:val="0"/>
        <w:snapToGrid w:val="0"/>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采购项目编号：</w:t>
      </w:r>
      <w:r>
        <w:rPr>
          <w:rFonts w:hint="eastAsia" w:ascii="宋体" w:hAnsi="宋体" w:eastAsia="宋体" w:cs="宋体"/>
          <w:color w:val="auto"/>
          <w:sz w:val="21"/>
          <w:szCs w:val="21"/>
          <w:highlight w:val="none"/>
          <w:u w:val="single"/>
        </w:rPr>
        <w:t xml:space="preserve">                                          </w:t>
      </w:r>
    </w:p>
    <w:p w14:paraId="67EF53C0">
      <w:pPr>
        <w:pStyle w:val="10"/>
        <w:adjustRightInd w:val="0"/>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5B9099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644907F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A3F3C5F">
      <w:pPr>
        <w:numPr>
          <w:ilvl w:val="255"/>
          <w:numId w:val="0"/>
        </w:num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3B80D0AE">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10E8EE56">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404ED208">
      <w:pPr>
        <w:numPr>
          <w:ilvl w:val="255"/>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1703F375">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1E62291">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6802972D">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30D6084A">
      <w:pPr>
        <w:pStyle w:val="56"/>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A9DE7AB">
      <w:pPr>
        <w:pStyle w:val="56"/>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04AB6247">
      <w:pPr>
        <w:pStyle w:val="56"/>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0A22D5F7">
      <w:pPr>
        <w:pStyle w:val="56"/>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528EB5ED">
      <w:pPr>
        <w:pStyle w:val="56"/>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50864247">
      <w:pPr>
        <w:pStyle w:val="56"/>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0726068A">
      <w:pPr>
        <w:pStyle w:val="56"/>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1E10DCF4">
      <w:pPr>
        <w:pStyle w:val="56"/>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00422D83">
      <w:pPr>
        <w:pStyle w:val="56"/>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3C75C868">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3456152">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C13987A">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6D48DF5">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2DB632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AA6A7BD">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77BDBBF3">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w:t>
      </w:r>
      <w:r>
        <w:rPr>
          <w:rFonts w:hint="eastAsia" w:ascii="宋体" w:hAnsi="宋体"/>
          <w:color w:val="auto"/>
          <w:szCs w:val="21"/>
          <w:highlight w:val="none"/>
          <w:lang w:eastAsia="zh-CN"/>
        </w:rPr>
        <w:t>投标人</w:t>
      </w:r>
      <w:r>
        <w:rPr>
          <w:rFonts w:hint="eastAsia" w:ascii="宋体" w:hAnsi="宋体"/>
          <w:color w:val="auto"/>
          <w:szCs w:val="21"/>
          <w:highlight w:val="none"/>
        </w:rPr>
        <w:t>/制造商名称（如</w:t>
      </w:r>
      <w:r>
        <w:rPr>
          <w:rFonts w:hint="eastAsia" w:ascii="宋体" w:hAnsi="宋体"/>
          <w:color w:val="auto"/>
          <w:szCs w:val="21"/>
          <w:highlight w:val="none"/>
          <w:lang w:eastAsia="zh-CN"/>
        </w:rPr>
        <w:t>投标人</w:t>
      </w:r>
      <w:r>
        <w:rPr>
          <w:rFonts w:hint="eastAsia" w:ascii="宋体" w:hAnsi="宋体"/>
          <w:color w:val="auto"/>
          <w:szCs w:val="21"/>
          <w:highlight w:val="none"/>
        </w:rPr>
        <w:t>和制造商不同，请分别填写）：</w:t>
      </w:r>
    </w:p>
    <w:p w14:paraId="59699754">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DD7FCE2">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w:t>
      </w:r>
      <w:r>
        <w:rPr>
          <w:rFonts w:hint="eastAsia" w:ascii="宋体" w:hAnsi="宋体"/>
          <w:color w:val="auto"/>
          <w:szCs w:val="21"/>
          <w:highlight w:val="none"/>
          <w:lang w:eastAsia="zh-CN"/>
        </w:rPr>
        <w:t>投标人</w:t>
      </w:r>
      <w:r>
        <w:rPr>
          <w:rFonts w:hint="eastAsia" w:ascii="宋体" w:hAnsi="宋体"/>
          <w:color w:val="auto"/>
          <w:szCs w:val="21"/>
          <w:highlight w:val="none"/>
        </w:rPr>
        <w:t>/制造商类型（如果</w:t>
      </w:r>
      <w:r>
        <w:rPr>
          <w:rFonts w:hint="eastAsia" w:ascii="宋体" w:hAnsi="宋体"/>
          <w:color w:val="auto"/>
          <w:szCs w:val="21"/>
          <w:highlight w:val="none"/>
          <w:lang w:eastAsia="zh-CN"/>
        </w:rPr>
        <w:t>投标人</w:t>
      </w:r>
      <w:r>
        <w:rPr>
          <w:rFonts w:hint="eastAsia" w:ascii="宋体" w:hAnsi="宋体"/>
          <w:color w:val="auto"/>
          <w:szCs w:val="21"/>
          <w:highlight w:val="none"/>
        </w:rPr>
        <w:t>和制造商不同，只填写制造商类型）：</w:t>
      </w:r>
    </w:p>
    <w:p w14:paraId="4F7C3702">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77F1FFDA">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38D83E42">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4C3839EE">
      <w:pPr>
        <w:pStyle w:val="56"/>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4EC5BE9F">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135C8993">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67BAA7DA">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2C0F91C2">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7D554EAA">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28F3E989">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7A0C8869">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4267F256">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1E0A87B">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43FEE5E9">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1EC2122F">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77D27BAE">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A33EA93">
      <w:pPr>
        <w:pStyle w:val="56"/>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4FB427CA">
      <w:pPr>
        <w:pStyle w:val="56"/>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4AE709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CFD0DEF">
      <w:pPr>
        <w:pStyle w:val="56"/>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675456C6">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61A53529">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5944F7AF">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117CE4C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4A955E19">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0B64BB7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3DBA0535">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706CEDC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0B7E633E">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33797389">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290D66BD">
      <w:pPr>
        <w:pStyle w:val="36"/>
        <w:spacing w:line="400" w:lineRule="exact"/>
        <w:rPr>
          <w:color w:val="auto"/>
          <w:highlight w:val="none"/>
        </w:rPr>
      </w:pPr>
      <w:r>
        <w:rPr>
          <w:rFonts w:hint="eastAsia" w:ascii="宋体" w:hAnsi="宋体"/>
          <w:color w:val="auto"/>
          <w:highlight w:val="none"/>
        </w:rPr>
        <w:t>（3）付款方式（按项目实际勾选填写）：</w:t>
      </w:r>
    </w:p>
    <w:p w14:paraId="5710AFA1">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38AF27BD">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14:paraId="4D4BF641">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53719D7">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54A1E0AD">
      <w:pPr>
        <w:numPr>
          <w:ilvl w:val="0"/>
          <w:numId w:val="3"/>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568256FC">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627B1A7">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B241C09">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28F651EC">
      <w:pPr>
        <w:pStyle w:val="56"/>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0E5ADCE2">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269A7728">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17E3FEBD">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584882BD">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18DF4427">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532E8AE7">
      <w:pPr>
        <w:numPr>
          <w:ilvl w:val="0"/>
          <w:numId w:val="5"/>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282A2903">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4BF8848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w:t>
      </w:r>
      <w:r>
        <w:rPr>
          <w:rFonts w:hint="eastAsia" w:ascii="宋体" w:hAnsi="宋体"/>
          <w:bCs/>
          <w:color w:val="auto"/>
          <w:szCs w:val="21"/>
          <w:highlight w:val="none"/>
          <w:lang w:eastAsia="zh-CN"/>
        </w:rPr>
        <w:t>投标人</w:t>
      </w:r>
      <w:r>
        <w:rPr>
          <w:rFonts w:hint="eastAsia" w:ascii="宋体" w:hAnsi="宋体"/>
          <w:bCs/>
          <w:color w:val="auto"/>
          <w:szCs w:val="21"/>
          <w:highlight w:val="none"/>
        </w:rPr>
        <w:t>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B18F88E">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949F09E">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BD94CC1">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7F998ACD">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66506B7">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189BB082">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3517D31">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7FA05DD8">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w:t>
      </w:r>
      <w:r>
        <w:rPr>
          <w:rFonts w:hint="eastAsia" w:ascii="宋体" w:hAnsi="宋体"/>
          <w:bCs/>
          <w:color w:val="auto"/>
          <w:szCs w:val="21"/>
          <w:highlight w:val="none"/>
          <w:u w:val="single"/>
          <w:lang w:eastAsia="zh-CN"/>
        </w:rPr>
        <w:t>投标人</w:t>
      </w:r>
      <w:r>
        <w:rPr>
          <w:rFonts w:hint="eastAsia" w:ascii="宋体" w:hAnsi="宋体"/>
          <w:bCs/>
          <w:color w:val="auto"/>
          <w:szCs w:val="21"/>
          <w:highlight w:val="none"/>
          <w:u w:val="single"/>
        </w:rPr>
        <w:t xml:space="preserve">提出验收申请之日起   日内组织验收） </w:t>
      </w:r>
    </w:p>
    <w:p w14:paraId="1200989F">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59F3113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0FEEA43A">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05ECDD34">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5F54311B">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4E9329">
      <w:pPr>
        <w:pStyle w:val="56"/>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w:t>
      </w:r>
      <w:r>
        <w:rPr>
          <w:rFonts w:hint="eastAsia" w:ascii="宋体" w:hAnsi="宋体" w:eastAsia="宋体" w:cs="宋体"/>
          <w:bCs/>
          <w:color w:val="auto"/>
          <w:sz w:val="21"/>
          <w:highlight w:val="none"/>
          <w:lang w:eastAsia="zh-CN"/>
        </w:rPr>
        <w:t>投标人</w:t>
      </w:r>
      <w:r>
        <w:rPr>
          <w:rFonts w:hint="eastAsia" w:ascii="宋体" w:hAnsi="宋体" w:eastAsia="宋体" w:cs="宋体"/>
          <w:bCs/>
          <w:color w:val="auto"/>
          <w:sz w:val="21"/>
          <w:highlight w:val="none"/>
        </w:rPr>
        <w:t>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7C8B1FB9">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4BF2B9DB">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791A2EE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0DAFEA8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68E50D5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072AD5C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1AB2526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625F97F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6BD330E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736D7A8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5613693">
      <w:pPr>
        <w:pStyle w:val="56"/>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14599954">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50D3685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EBB9576">
      <w:pPr>
        <w:numPr>
          <w:ilvl w:val="0"/>
          <w:numId w:val="3"/>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362F4EE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7F93F08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EDD2368">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446EE61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附件：具体标的及其技术要求和商务要求、联合协议、分包意向协议等。</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3"/>
        <w:gridCol w:w="2709"/>
        <w:gridCol w:w="2222"/>
        <w:gridCol w:w="2377"/>
      </w:tblGrid>
      <w:tr w14:paraId="40F934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2562" w:type="pct"/>
            <w:gridSpan w:val="2"/>
            <w:tcBorders>
              <w:bottom w:val="single" w:color="auto" w:sz="2" w:space="0"/>
              <w:right w:val="single" w:color="auto" w:sz="2" w:space="0"/>
            </w:tcBorders>
            <w:vAlign w:val="center"/>
          </w:tcPr>
          <w:p w14:paraId="45E2CB87">
            <w:pPr>
              <w:adjustRightInd w:val="0"/>
              <w:snapToGrid w:val="0"/>
              <w:spacing w:line="36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3221E4DD">
            <w:pPr>
              <w:adjustRightInd w:val="0"/>
              <w:snapToGrid w:val="0"/>
              <w:spacing w:line="360" w:lineRule="exact"/>
              <w:jc w:val="center"/>
              <w:rPr>
                <w:color w:val="auto"/>
                <w:highlight w:val="none"/>
              </w:rPr>
            </w:pPr>
            <w:r>
              <w:rPr>
                <w:color w:val="auto"/>
                <w:szCs w:val="21"/>
                <w:highlight w:val="none"/>
              </w:rPr>
              <w:t>乙方</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w:t>
            </w:r>
          </w:p>
        </w:tc>
      </w:tr>
      <w:tr w14:paraId="5AB0E9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0A8069CD">
            <w:pPr>
              <w:adjustRightInd w:val="0"/>
              <w:snapToGrid w:val="0"/>
              <w:spacing w:line="36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85990B2">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CB84AA">
            <w:pPr>
              <w:adjustRightInd w:val="0"/>
              <w:snapToGrid w:val="0"/>
              <w:spacing w:line="36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33C192CA">
            <w:pPr>
              <w:adjustRightInd w:val="0"/>
              <w:snapToGrid w:val="0"/>
              <w:spacing w:line="360" w:lineRule="exact"/>
              <w:ind w:firstLine="640"/>
              <w:jc w:val="center"/>
              <w:rPr>
                <w:color w:val="auto"/>
                <w:spacing w:val="20"/>
                <w:szCs w:val="21"/>
                <w:highlight w:val="none"/>
              </w:rPr>
            </w:pPr>
          </w:p>
        </w:tc>
      </w:tr>
      <w:tr w14:paraId="2881A3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vMerge w:val="restart"/>
            <w:tcBorders>
              <w:top w:val="single" w:color="auto" w:sz="2" w:space="0"/>
              <w:right w:val="single" w:color="auto" w:sz="2" w:space="0"/>
            </w:tcBorders>
            <w:vAlign w:val="center"/>
          </w:tcPr>
          <w:p w14:paraId="4B2B0091">
            <w:pPr>
              <w:adjustRightInd w:val="0"/>
              <w:snapToGrid w:val="0"/>
              <w:spacing w:line="360" w:lineRule="exact"/>
              <w:jc w:val="center"/>
              <w:rPr>
                <w:color w:val="auto"/>
                <w:szCs w:val="21"/>
                <w:highlight w:val="none"/>
              </w:rPr>
            </w:pPr>
            <w:r>
              <w:rPr>
                <w:color w:val="auto"/>
                <w:szCs w:val="21"/>
                <w:highlight w:val="none"/>
              </w:rPr>
              <w:t>法定代表人</w:t>
            </w:r>
          </w:p>
          <w:p w14:paraId="624ED909">
            <w:pPr>
              <w:adjustRightInd w:val="0"/>
              <w:snapToGrid w:val="0"/>
              <w:spacing w:line="36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049A8A74">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65D57DB0">
            <w:pPr>
              <w:adjustRightInd w:val="0"/>
              <w:snapToGrid w:val="0"/>
              <w:spacing w:line="360" w:lineRule="exact"/>
              <w:jc w:val="center"/>
              <w:rPr>
                <w:color w:val="auto"/>
                <w:szCs w:val="21"/>
                <w:highlight w:val="none"/>
              </w:rPr>
            </w:pPr>
            <w:r>
              <w:rPr>
                <w:color w:val="auto"/>
                <w:szCs w:val="21"/>
                <w:highlight w:val="none"/>
              </w:rPr>
              <w:t>法定代表人</w:t>
            </w:r>
          </w:p>
          <w:p w14:paraId="5F09608A">
            <w:pPr>
              <w:adjustRightInd w:val="0"/>
              <w:snapToGrid w:val="0"/>
              <w:spacing w:line="36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14D657D2">
            <w:pPr>
              <w:adjustRightInd w:val="0"/>
              <w:snapToGrid w:val="0"/>
              <w:spacing w:line="360" w:lineRule="exact"/>
              <w:jc w:val="center"/>
              <w:rPr>
                <w:color w:val="auto"/>
                <w:szCs w:val="21"/>
                <w:highlight w:val="none"/>
              </w:rPr>
            </w:pPr>
          </w:p>
        </w:tc>
      </w:tr>
      <w:tr w14:paraId="29AA37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vMerge w:val="continue"/>
            <w:tcBorders>
              <w:bottom w:val="single" w:color="auto" w:sz="2" w:space="0"/>
              <w:right w:val="single" w:color="auto" w:sz="2" w:space="0"/>
            </w:tcBorders>
            <w:vAlign w:val="center"/>
          </w:tcPr>
          <w:p w14:paraId="38B9B419">
            <w:pPr>
              <w:adjustRightInd w:val="0"/>
              <w:snapToGrid w:val="0"/>
              <w:spacing w:line="36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2C1BF1B">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AE4394">
            <w:pPr>
              <w:adjustRightInd w:val="0"/>
              <w:snapToGrid w:val="0"/>
              <w:spacing w:line="36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738D8644">
            <w:pPr>
              <w:adjustRightInd w:val="0"/>
              <w:snapToGrid w:val="0"/>
              <w:spacing w:line="360" w:lineRule="exact"/>
              <w:ind w:firstLine="640"/>
              <w:jc w:val="center"/>
              <w:rPr>
                <w:color w:val="auto"/>
                <w:spacing w:val="20"/>
                <w:szCs w:val="21"/>
                <w:highlight w:val="none"/>
              </w:rPr>
            </w:pPr>
          </w:p>
        </w:tc>
      </w:tr>
      <w:tr w14:paraId="49083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02EEF1B7">
            <w:pPr>
              <w:adjustRightInd w:val="0"/>
              <w:snapToGrid w:val="0"/>
              <w:spacing w:line="36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B7F63ED">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D39469">
            <w:pPr>
              <w:adjustRightInd w:val="0"/>
              <w:snapToGrid w:val="0"/>
              <w:spacing w:line="36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4B70BAD2">
            <w:pPr>
              <w:adjustRightInd w:val="0"/>
              <w:snapToGrid w:val="0"/>
              <w:spacing w:line="360" w:lineRule="exact"/>
              <w:ind w:firstLine="640"/>
              <w:jc w:val="center"/>
              <w:rPr>
                <w:color w:val="auto"/>
                <w:spacing w:val="20"/>
                <w:szCs w:val="21"/>
                <w:highlight w:val="none"/>
              </w:rPr>
            </w:pPr>
          </w:p>
        </w:tc>
      </w:tr>
      <w:tr w14:paraId="6B5CD5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195A9921">
            <w:pPr>
              <w:adjustRightInd w:val="0"/>
              <w:snapToGrid w:val="0"/>
              <w:spacing w:line="36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4CBC3AB">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974D3B">
            <w:pPr>
              <w:adjustRightInd w:val="0"/>
              <w:snapToGrid w:val="0"/>
              <w:spacing w:line="36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2088F840">
            <w:pPr>
              <w:adjustRightInd w:val="0"/>
              <w:snapToGrid w:val="0"/>
              <w:spacing w:line="360" w:lineRule="exact"/>
              <w:ind w:firstLine="640"/>
              <w:jc w:val="center"/>
              <w:rPr>
                <w:color w:val="auto"/>
                <w:spacing w:val="20"/>
                <w:szCs w:val="21"/>
                <w:highlight w:val="none"/>
              </w:rPr>
            </w:pPr>
          </w:p>
        </w:tc>
      </w:tr>
      <w:tr w14:paraId="794E4F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396C03F1">
            <w:pPr>
              <w:adjustRightInd w:val="0"/>
              <w:snapToGrid w:val="0"/>
              <w:spacing w:line="36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EE6804F">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B3EB0F">
            <w:pPr>
              <w:adjustRightInd w:val="0"/>
              <w:snapToGrid w:val="0"/>
              <w:spacing w:line="36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7B3F778">
            <w:pPr>
              <w:adjustRightInd w:val="0"/>
              <w:snapToGrid w:val="0"/>
              <w:spacing w:line="360" w:lineRule="exact"/>
              <w:ind w:firstLine="640"/>
              <w:jc w:val="center"/>
              <w:rPr>
                <w:color w:val="auto"/>
                <w:spacing w:val="20"/>
                <w:szCs w:val="21"/>
                <w:highlight w:val="none"/>
              </w:rPr>
            </w:pPr>
          </w:p>
        </w:tc>
      </w:tr>
      <w:tr w14:paraId="4F617B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5EC9E706">
            <w:pPr>
              <w:adjustRightInd w:val="0"/>
              <w:snapToGrid w:val="0"/>
              <w:spacing w:line="36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626E538">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517EE1">
            <w:pPr>
              <w:adjustRightInd w:val="0"/>
              <w:snapToGrid w:val="0"/>
              <w:spacing w:line="36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29D4E3D3">
            <w:pPr>
              <w:adjustRightInd w:val="0"/>
              <w:snapToGrid w:val="0"/>
              <w:spacing w:line="360" w:lineRule="exact"/>
              <w:ind w:firstLine="640"/>
              <w:jc w:val="center"/>
              <w:rPr>
                <w:color w:val="auto"/>
                <w:spacing w:val="20"/>
                <w:szCs w:val="21"/>
                <w:highlight w:val="none"/>
              </w:rPr>
            </w:pPr>
          </w:p>
        </w:tc>
      </w:tr>
      <w:tr w14:paraId="7C4097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5E38957E">
            <w:pPr>
              <w:adjustRightInd w:val="0"/>
              <w:snapToGrid w:val="0"/>
              <w:spacing w:line="36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23A0DDB">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3A040A">
            <w:pPr>
              <w:adjustRightInd w:val="0"/>
              <w:snapToGrid w:val="0"/>
              <w:spacing w:line="36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53A2A84F">
            <w:pPr>
              <w:adjustRightInd w:val="0"/>
              <w:snapToGrid w:val="0"/>
              <w:spacing w:line="360" w:lineRule="exact"/>
              <w:ind w:firstLine="640"/>
              <w:jc w:val="center"/>
              <w:rPr>
                <w:color w:val="auto"/>
                <w:spacing w:val="20"/>
                <w:szCs w:val="21"/>
                <w:highlight w:val="none"/>
              </w:rPr>
            </w:pPr>
          </w:p>
        </w:tc>
      </w:tr>
      <w:tr w14:paraId="6715F0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5FCA446A">
            <w:pPr>
              <w:adjustRightInd w:val="0"/>
              <w:snapToGrid w:val="0"/>
              <w:spacing w:line="36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38A3625">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6B6EEF">
            <w:pPr>
              <w:adjustRightInd w:val="0"/>
              <w:snapToGrid w:val="0"/>
              <w:spacing w:line="36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291ED034">
            <w:pPr>
              <w:adjustRightInd w:val="0"/>
              <w:snapToGrid w:val="0"/>
              <w:spacing w:line="360" w:lineRule="exact"/>
              <w:ind w:firstLine="640"/>
              <w:jc w:val="center"/>
              <w:rPr>
                <w:color w:val="auto"/>
                <w:spacing w:val="20"/>
                <w:szCs w:val="21"/>
                <w:highlight w:val="none"/>
              </w:rPr>
            </w:pPr>
          </w:p>
        </w:tc>
      </w:tr>
      <w:tr w14:paraId="51E4C0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63DE0F14">
            <w:pPr>
              <w:adjustRightInd w:val="0"/>
              <w:snapToGrid w:val="0"/>
              <w:spacing w:line="36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E8D330D">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40D607">
            <w:pPr>
              <w:adjustRightInd w:val="0"/>
              <w:snapToGrid w:val="0"/>
              <w:spacing w:line="36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ACB1D0D">
            <w:pPr>
              <w:adjustRightInd w:val="0"/>
              <w:snapToGrid w:val="0"/>
              <w:spacing w:line="360" w:lineRule="exact"/>
              <w:ind w:firstLine="640"/>
              <w:jc w:val="center"/>
              <w:rPr>
                <w:color w:val="auto"/>
                <w:spacing w:val="20"/>
                <w:szCs w:val="21"/>
                <w:highlight w:val="none"/>
              </w:rPr>
            </w:pPr>
          </w:p>
        </w:tc>
      </w:tr>
      <w:tr w14:paraId="231053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175035B2">
            <w:pPr>
              <w:adjustRightInd w:val="0"/>
              <w:snapToGrid w:val="0"/>
              <w:spacing w:line="36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AA86215">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DEF2B4">
            <w:pPr>
              <w:adjustRightInd w:val="0"/>
              <w:snapToGrid w:val="0"/>
              <w:spacing w:line="36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5F8E83AF">
            <w:pPr>
              <w:adjustRightInd w:val="0"/>
              <w:snapToGrid w:val="0"/>
              <w:spacing w:line="360" w:lineRule="exact"/>
              <w:ind w:firstLine="640"/>
              <w:jc w:val="center"/>
              <w:rPr>
                <w:color w:val="auto"/>
                <w:spacing w:val="20"/>
                <w:szCs w:val="21"/>
                <w:highlight w:val="none"/>
              </w:rPr>
            </w:pPr>
          </w:p>
        </w:tc>
      </w:tr>
      <w:tr w14:paraId="625812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217C8245">
            <w:pPr>
              <w:adjustRightInd w:val="0"/>
              <w:snapToGrid w:val="0"/>
              <w:spacing w:line="36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1B8F274">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D023697">
            <w:pPr>
              <w:adjustRightInd w:val="0"/>
              <w:snapToGrid w:val="0"/>
              <w:spacing w:line="36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97D1837">
            <w:pPr>
              <w:adjustRightInd w:val="0"/>
              <w:snapToGrid w:val="0"/>
              <w:spacing w:line="360" w:lineRule="exact"/>
              <w:ind w:firstLine="640"/>
              <w:jc w:val="center"/>
              <w:rPr>
                <w:color w:val="auto"/>
                <w:spacing w:val="20"/>
                <w:szCs w:val="21"/>
                <w:highlight w:val="none"/>
              </w:rPr>
            </w:pPr>
          </w:p>
        </w:tc>
      </w:tr>
      <w:tr w14:paraId="1AEB46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26" w:type="pct"/>
            <w:tcBorders>
              <w:top w:val="single" w:color="auto" w:sz="2" w:space="0"/>
              <w:bottom w:val="single" w:color="auto" w:sz="2" w:space="0"/>
              <w:right w:val="single" w:color="auto" w:sz="2" w:space="0"/>
            </w:tcBorders>
            <w:vAlign w:val="center"/>
          </w:tcPr>
          <w:p w14:paraId="5998C6B9">
            <w:pPr>
              <w:adjustRightInd w:val="0"/>
              <w:snapToGrid w:val="0"/>
              <w:spacing w:line="36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31715B0">
            <w:pPr>
              <w:adjustRightInd w:val="0"/>
              <w:snapToGrid w:val="0"/>
              <w:spacing w:line="36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F9FF576">
            <w:pPr>
              <w:adjustRightInd w:val="0"/>
              <w:snapToGrid w:val="0"/>
              <w:spacing w:line="36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5B31C434">
            <w:pPr>
              <w:adjustRightInd w:val="0"/>
              <w:snapToGrid w:val="0"/>
              <w:spacing w:line="360" w:lineRule="exact"/>
              <w:ind w:firstLine="640"/>
              <w:jc w:val="center"/>
              <w:rPr>
                <w:color w:val="auto"/>
                <w:spacing w:val="20"/>
                <w:szCs w:val="21"/>
                <w:highlight w:val="none"/>
              </w:rPr>
            </w:pPr>
          </w:p>
        </w:tc>
      </w:tr>
      <w:tr w14:paraId="507CC8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5000" w:type="pct"/>
            <w:gridSpan w:val="4"/>
            <w:tcBorders>
              <w:top w:val="single" w:color="auto" w:sz="2" w:space="0"/>
            </w:tcBorders>
            <w:vAlign w:val="center"/>
          </w:tcPr>
          <w:p w14:paraId="0CDEE6EE">
            <w:pPr>
              <w:pStyle w:val="10"/>
              <w:adjustRightInd w:val="0"/>
              <w:snapToGrid w:val="0"/>
              <w:spacing w:line="360" w:lineRule="exact"/>
              <w:ind w:firstLine="420"/>
              <w:jc w:val="left"/>
              <w:rPr>
                <w:color w:val="auto"/>
                <w:spacing w:val="20"/>
                <w:szCs w:val="21"/>
                <w:highlight w:val="none"/>
              </w:rPr>
            </w:pPr>
            <w:r>
              <w:rPr>
                <w:rFonts w:hint="eastAsia" w:eastAsia="宋体"/>
                <w:color w:val="auto"/>
                <w:sz w:val="21"/>
                <w:szCs w:val="21"/>
                <w:highlight w:val="none"/>
              </w:rPr>
              <w:t>注：涉及联合体或其他合同主体的信息应按上表格式加列。</w:t>
            </w:r>
          </w:p>
        </w:tc>
      </w:tr>
    </w:tbl>
    <w:p w14:paraId="72BDB45F">
      <w:pPr>
        <w:pStyle w:val="3"/>
        <w:pageBreakBefore w:val="0"/>
        <w:widowControl w:val="0"/>
        <w:kinsoku/>
        <w:wordWrap/>
        <w:overflowPunct/>
        <w:topLinePunct w:val="0"/>
        <w:bidi w:val="0"/>
        <w:adjustRightInd w:val="0"/>
        <w:snapToGrid w:val="0"/>
        <w:spacing w:line="360" w:lineRule="auto"/>
        <w:jc w:val="center"/>
        <w:textAlignment w:val="auto"/>
        <w:rPr>
          <w:rFonts w:hint="default" w:ascii="黑体" w:hAnsi="黑体"/>
          <w:color w:val="auto"/>
          <w:sz w:val="28"/>
          <w:szCs w:val="28"/>
          <w:highlight w:val="none"/>
        </w:rPr>
      </w:pPr>
      <w:bookmarkStart w:id="8" w:name="_Toc27624"/>
      <w:r>
        <w:rPr>
          <w:rFonts w:ascii="黑体" w:hAnsi="黑体"/>
          <w:b w:val="0"/>
          <w:bCs w:val="0"/>
          <w:color w:val="auto"/>
          <w:sz w:val="28"/>
          <w:szCs w:val="28"/>
          <w:highlight w:val="none"/>
        </w:rPr>
        <w:t>第二节 政府采购合同通用条款</w:t>
      </w:r>
      <w:bookmarkEnd w:id="8"/>
    </w:p>
    <w:p w14:paraId="791FC000">
      <w:pPr>
        <w:pageBreakBefore w:val="0"/>
        <w:widowControl w:val="0"/>
        <w:tabs>
          <w:tab w:val="left" w:pos="8820"/>
          <w:tab w:val="left" w:pos="9345"/>
          <w:tab w:val="left" w:pos="9765"/>
        </w:tabs>
        <w:kinsoku/>
        <w:wordWrap/>
        <w:overflowPunct/>
        <w:topLinePunct w:val="0"/>
        <w:bidi w:val="0"/>
        <w:adjustRightInd w:val="0"/>
        <w:snapToGrid w:val="0"/>
        <w:spacing w:line="360" w:lineRule="auto"/>
        <w:ind w:firstLine="562"/>
        <w:jc w:val="left"/>
        <w:textAlignment w:val="auto"/>
        <w:rPr>
          <w:rFonts w:ascii="宋体" w:hAnsi="宋体" w:cs="宋体"/>
          <w:b/>
          <w:bCs/>
          <w:color w:val="auto"/>
          <w:szCs w:val="21"/>
          <w:highlight w:val="none"/>
        </w:rPr>
      </w:pPr>
      <w:r>
        <w:rPr>
          <w:rFonts w:hint="eastAsia" w:ascii="宋体" w:hAnsi="宋体" w:cs="宋体"/>
          <w:b/>
          <w:color w:val="auto"/>
          <w:szCs w:val="21"/>
          <w:highlight w:val="none"/>
        </w:rPr>
        <w:t xml:space="preserve">1. </w:t>
      </w:r>
      <w:r>
        <w:rPr>
          <w:rFonts w:hint="eastAsia" w:ascii="宋体" w:hAnsi="宋体" w:cs="宋体"/>
          <w:b/>
          <w:bCs/>
          <w:color w:val="auto"/>
          <w:szCs w:val="21"/>
          <w:highlight w:val="none"/>
        </w:rPr>
        <w:t>定义</w:t>
      </w:r>
    </w:p>
    <w:p w14:paraId="710F21D0">
      <w:pPr>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1.1合同当事人</w:t>
      </w:r>
    </w:p>
    <w:p w14:paraId="478DC632">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（1）采购人（以下称甲方）是指使用财政性资金，通过政府采购方式向</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购买货物及其相关服务的国家机关、事业单位、团体组织。</w:t>
      </w:r>
    </w:p>
    <w:p w14:paraId="6EB84D1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（以下称乙方）是指参加政府采购活动并且中标（成交），向采购人提供合同约定的货物及其相关服务的法人、非法人组织或者自然人。</w:t>
      </w:r>
    </w:p>
    <w:p w14:paraId="5184E84A">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（3）其他合同主体是指除采购人和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以外，</w:t>
      </w:r>
      <w:r>
        <w:rPr>
          <w:rFonts w:hint="eastAsia" w:ascii="宋体" w:hAnsi="宋体" w:cs="宋体"/>
          <w:bCs/>
          <w:color w:val="auto"/>
          <w:szCs w:val="21"/>
          <w:highlight w:val="none"/>
        </w:rPr>
        <w:t>依法参与合同缔结或履行，享有权利、承担义务的合同当事人</w:t>
      </w:r>
      <w:r>
        <w:rPr>
          <w:rFonts w:hint="eastAsia" w:ascii="宋体" w:hAnsi="宋体" w:cs="宋体"/>
          <w:color w:val="auto"/>
          <w:szCs w:val="21"/>
          <w:highlight w:val="none"/>
        </w:rPr>
        <w:t>。</w:t>
      </w:r>
    </w:p>
    <w:p w14:paraId="2C6795CA">
      <w:pPr>
        <w:tabs>
          <w:tab w:val="left" w:pos="570"/>
          <w:tab w:val="left" w:pos="9240"/>
          <w:tab w:val="left" w:pos="9555"/>
        </w:tabs>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1.2本合同下列术语应解释为：</w:t>
      </w:r>
    </w:p>
    <w:p w14:paraId="49F92CE2">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s="宋体"/>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02A3A58">
      <w:pPr>
        <w:tabs>
          <w:tab w:val="left" w:pos="570"/>
          <w:tab w:val="left" w:pos="9240"/>
          <w:tab w:val="left" w:pos="9555"/>
        </w:tabs>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（2）“合同价款”系指根据本合同规定乙方在全面履行合同义务后甲方应支付给乙方的价款。</w:t>
      </w:r>
    </w:p>
    <w:p w14:paraId="17FC83CA">
      <w:pPr>
        <w:tabs>
          <w:tab w:val="left" w:pos="570"/>
          <w:tab w:val="left" w:pos="9240"/>
          <w:tab w:val="left" w:pos="9555"/>
        </w:tabs>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（3）“货物”系指乙方根据本合同规定须向甲方提供的各种形态和种类的物品，包括原材料、设备、产品（包括软件）及相关的其备品备件、工具、手册及</w:t>
      </w:r>
      <w:r>
        <w:rPr>
          <w:rFonts w:hint="eastAsia" w:ascii="宋体" w:hAnsi="宋体" w:cs="宋体"/>
          <w:color w:val="auto"/>
          <w:szCs w:val="21"/>
          <w:highlight w:val="none"/>
          <w:lang w:val="en"/>
        </w:rPr>
        <w:t>其他</w:t>
      </w:r>
      <w:r>
        <w:rPr>
          <w:rFonts w:hint="eastAsia" w:ascii="宋体" w:hAnsi="宋体" w:cs="宋体"/>
          <w:color w:val="auto"/>
          <w:szCs w:val="21"/>
          <w:highlight w:val="none"/>
        </w:rPr>
        <w:t>技术资料和材料等。</w:t>
      </w:r>
    </w:p>
    <w:p w14:paraId="68741997">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（4）“相关服务”系指根据合同规定，乙方应提供的与货物有关的技术、管理和</w:t>
      </w:r>
      <w:r>
        <w:rPr>
          <w:rFonts w:hint="eastAsia" w:ascii="宋体" w:hAnsi="宋体" w:cs="宋体"/>
          <w:color w:val="auto"/>
          <w:szCs w:val="21"/>
          <w:highlight w:val="none"/>
          <w:lang w:val="en"/>
        </w:rPr>
        <w:t>其他</w:t>
      </w:r>
      <w:r>
        <w:rPr>
          <w:rFonts w:hint="eastAsia" w:ascii="宋体" w:hAnsi="宋体" w:cs="宋体"/>
          <w:color w:val="auto"/>
          <w:szCs w:val="21"/>
          <w:highlight w:val="none"/>
        </w:rPr>
        <w:t>服务，包括但不限于：管理和质量保证、运输、保险、检验、现场准备、安装、集成、调试、培训、维修、废弃处置、技术支持等以及合同中规定乙方应承担的</w:t>
      </w:r>
      <w:r>
        <w:rPr>
          <w:rFonts w:hint="eastAsia" w:ascii="宋体" w:hAnsi="宋体" w:cs="宋体"/>
          <w:color w:val="auto"/>
          <w:szCs w:val="21"/>
          <w:highlight w:val="none"/>
          <w:lang w:val="en"/>
        </w:rPr>
        <w:t>其他</w:t>
      </w:r>
      <w:r>
        <w:rPr>
          <w:rFonts w:hint="eastAsia" w:ascii="宋体" w:hAnsi="宋体" w:cs="宋体"/>
          <w:color w:val="auto"/>
          <w:szCs w:val="21"/>
          <w:highlight w:val="none"/>
        </w:rPr>
        <w:t>义务。</w:t>
      </w:r>
    </w:p>
    <w:p w14:paraId="2A6BA530">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（5）“分包”系指中标（成交）</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按采购文件、投标（响应）文件的规定，根据分包意向协议，将中标（成交）项目中的部分履约内容，分给具有相应资质条件的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履行合同的行为。</w:t>
      </w:r>
    </w:p>
    <w:p w14:paraId="7454FB1E">
      <w:pPr>
        <w:tabs>
          <w:tab w:val="left" w:pos="570"/>
          <w:tab w:val="left" w:pos="9240"/>
          <w:tab w:val="left" w:pos="9555"/>
        </w:tabs>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（6）“联合体”系指由两个以上的自然人、法人或者非法人组织组成，以一个</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42179971">
      <w:pPr>
        <w:tabs>
          <w:tab w:val="left" w:pos="570"/>
          <w:tab w:val="left" w:pos="9240"/>
          <w:tab w:val="left" w:pos="9555"/>
        </w:tabs>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（7）其他术语解释，见【</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w:t>
      </w:r>
    </w:p>
    <w:p w14:paraId="0BDB190C">
      <w:pPr>
        <w:numPr>
          <w:ilvl w:val="0"/>
          <w:numId w:val="6"/>
        </w:num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color w:val="auto"/>
          <w:szCs w:val="21"/>
          <w:highlight w:val="none"/>
        </w:rPr>
        <w:t>合同标的及金额</w:t>
      </w:r>
    </w:p>
    <w:p w14:paraId="25ADEAFE">
      <w:pPr>
        <w:autoSpaceDE w:val="0"/>
        <w:autoSpaceDN w:val="0"/>
        <w:adjustRightInd w:val="0"/>
        <w:snapToGrid w:val="0"/>
        <w:spacing w:line="400" w:lineRule="exact"/>
        <w:ind w:firstLine="420" w:firstLineChars="200"/>
        <w:jc w:val="left"/>
        <w:rPr>
          <w:rFonts w:ascii="宋体" w:hAnsi="宋体" w:cs="宋体"/>
          <w:b/>
          <w:bCs/>
          <w:i/>
          <w:iCs/>
          <w:color w:val="auto"/>
          <w:szCs w:val="21"/>
          <w:highlight w:val="none"/>
        </w:rPr>
      </w:pPr>
      <w:r>
        <w:rPr>
          <w:rFonts w:hint="eastAsia" w:ascii="宋体" w:hAnsi="宋体" w:cs="宋体"/>
          <w:color w:val="auto"/>
          <w:szCs w:val="21"/>
          <w:highlight w:val="none"/>
        </w:rPr>
        <w:t>2.1 合同标的及金额应与中标（成交）结果一致。乙方为履行本合同而发生的所有费用均应包含在合同价款中，甲方不再另行支付</w:t>
      </w:r>
      <w:r>
        <w:rPr>
          <w:rFonts w:hint="eastAsia" w:ascii="宋体" w:hAnsi="宋体" w:cs="宋体"/>
          <w:color w:val="auto"/>
          <w:szCs w:val="21"/>
          <w:highlight w:val="none"/>
          <w:lang w:val="en"/>
        </w:rPr>
        <w:t>其他</w:t>
      </w:r>
      <w:r>
        <w:rPr>
          <w:rFonts w:hint="eastAsia" w:ascii="宋体" w:hAnsi="宋体" w:cs="宋体"/>
          <w:color w:val="auto"/>
          <w:szCs w:val="21"/>
          <w:highlight w:val="none"/>
        </w:rPr>
        <w:t>任何费用。</w:t>
      </w:r>
    </w:p>
    <w:p w14:paraId="4B429C31">
      <w:pPr>
        <w:adjustRightInd w:val="0"/>
        <w:snapToGrid w:val="0"/>
        <w:spacing w:line="400" w:lineRule="exact"/>
        <w:ind w:firstLine="562"/>
        <w:jc w:val="left"/>
        <w:rPr>
          <w:rFonts w:ascii="宋体" w:hAnsi="宋体" w:cs="宋体"/>
          <w:b/>
          <w:color w:val="auto"/>
          <w:szCs w:val="21"/>
          <w:highlight w:val="none"/>
        </w:rPr>
      </w:pPr>
      <w:r>
        <w:rPr>
          <w:rFonts w:hint="eastAsia" w:ascii="宋体" w:hAnsi="宋体" w:cs="宋体"/>
          <w:b/>
          <w:color w:val="auto"/>
          <w:szCs w:val="21"/>
          <w:highlight w:val="none"/>
        </w:rPr>
        <w:t>3. 履行合同的时间、地点和方式</w:t>
      </w:r>
    </w:p>
    <w:p w14:paraId="71257EFC">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 乙方应当在约定的时间、地点，按照约定方式履行合同。</w:t>
      </w:r>
    </w:p>
    <w:p w14:paraId="70DCB5FD">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4. 甲方的权利和义务</w:t>
      </w:r>
    </w:p>
    <w:p w14:paraId="7F905BC2">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AA99CC1">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甲方有权要求乙方按时提交各阶段有关安排计划，并有权定期核对乙方提供货物数量、规格、质量等内容。甲方有权督促乙方工作并要求乙方更换不符合要求的货物。</w:t>
      </w:r>
    </w:p>
    <w:p w14:paraId="16782CBE">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 甲方有权要求乙方对缺陷部分予以修复，并按合同约定享有货物保修及其他合同约定的权利。</w:t>
      </w:r>
    </w:p>
    <w:p w14:paraId="3D8917F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 甲方应当按照合同约定及时对交付的货物进行验收，未在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约定的期限内对乙方履约提出任何异议或者向乙方作出任何说明的，视为验收通过。</w:t>
      </w:r>
    </w:p>
    <w:p w14:paraId="02D16400">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 甲方应当根据合同约定及时向乙方支付合同价款，不得以内部人员变更、履行内部付款流程等为由，拒绝或迟延支付。</w:t>
      </w:r>
    </w:p>
    <w:p w14:paraId="3AB8F240">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 国家法律法规规定及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约定应由甲方承担的其他义务和责任。</w:t>
      </w:r>
    </w:p>
    <w:p w14:paraId="62FB4F2E">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5. 乙方的权利和义务</w:t>
      </w:r>
    </w:p>
    <w:p w14:paraId="343567FB">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 签署合同后，乙方应确定项目负责人（或项目联系人），负责与本合同有关的事务。</w:t>
      </w:r>
    </w:p>
    <w:p w14:paraId="361F0177">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6B87AF2">
      <w:pPr>
        <w:pStyle w:val="9"/>
        <w:spacing w:line="400" w:lineRule="exact"/>
        <w:ind w:firstLine="369" w:firstLineChars="17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5.3乙方有权根据合同约定向甲方收取合同价款。</w:t>
      </w:r>
    </w:p>
    <w:p w14:paraId="189A1355">
      <w:pPr>
        <w:pStyle w:val="9"/>
        <w:spacing w:line="400" w:lineRule="exact"/>
        <w:ind w:firstLine="369" w:firstLineChars="17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5.4国家法律法规规定及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约定应由乙方承担的其他义务和责任。</w:t>
      </w:r>
    </w:p>
    <w:p w14:paraId="638E280B">
      <w:pPr>
        <w:numPr>
          <w:ilvl w:val="0"/>
          <w:numId w:val="7"/>
        </w:num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合同履行</w:t>
      </w:r>
    </w:p>
    <w:p w14:paraId="0877F7E3">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约定顺序履行合同义务；如果没有先后顺序的，应当同时履行。</w:t>
      </w:r>
    </w:p>
    <w:p w14:paraId="0B9183B4">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7D4DD55F">
      <w:pPr>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7. 货物包装、运输、保险和交付要求</w:t>
      </w:r>
    </w:p>
    <w:p w14:paraId="3A0F7AF0">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本合同</w:t>
      </w:r>
      <w:r>
        <w:rPr>
          <w:rFonts w:hint="eastAsia" w:ascii="宋体" w:hAnsi="宋体" w:cs="宋体"/>
          <w:bCs/>
          <w:color w:val="auto"/>
          <w:szCs w:val="21"/>
          <w:highlight w:val="none"/>
        </w:rPr>
        <w:t>涉及商品包装、快递包装的，</w:t>
      </w:r>
      <w:r>
        <w:rPr>
          <w:rFonts w:hint="eastAsia" w:ascii="宋体" w:hAnsi="宋体" w:cs="宋体"/>
          <w:color w:val="auto"/>
          <w:szCs w:val="21"/>
          <w:highlight w:val="none"/>
        </w:rPr>
        <w:t>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包装应适应远距离运输、防潮、防震、防锈和防野蛮装卸等要求，确保货物安全无损地运抵</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约定的</w:t>
      </w:r>
      <w:r>
        <w:rPr>
          <w:rFonts w:hint="eastAsia" w:ascii="宋体" w:hAnsi="宋体" w:cs="宋体"/>
          <w:color w:val="auto"/>
          <w:szCs w:val="21"/>
          <w:highlight w:val="none"/>
        </w:rPr>
        <w:t>指定现场。</w:t>
      </w:r>
    </w:p>
    <w:p w14:paraId="32BC9748">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除</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另有约定外，</w:t>
      </w:r>
      <w:r>
        <w:rPr>
          <w:rFonts w:hint="eastAsia" w:ascii="宋体" w:hAnsi="宋体" w:cs="宋体"/>
          <w:color w:val="auto"/>
          <w:szCs w:val="21"/>
          <w:highlight w:val="none"/>
        </w:rPr>
        <w:t>乙方负责办理将货物运抵本合同规定的交货地点，并装卸、交付至甲方的一切运输事项，相关费用应包含在合同价款中。</w:t>
      </w:r>
    </w:p>
    <w:p w14:paraId="16B69349">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 货物保险要求按</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规定执行</w:t>
      </w:r>
      <w:r>
        <w:rPr>
          <w:rFonts w:hint="eastAsia" w:ascii="宋体" w:hAnsi="宋体" w:cs="宋体"/>
          <w:color w:val="auto"/>
          <w:szCs w:val="21"/>
          <w:highlight w:val="none"/>
        </w:rPr>
        <w:t>。</w:t>
      </w:r>
    </w:p>
    <w:p w14:paraId="32DB08A8">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A931A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 乙方在运输到达之前应提前通知甲方，并提示货物运输装卸的注意事项，甲方配合乙方做好货物的接收工作。</w:t>
      </w:r>
    </w:p>
    <w:p w14:paraId="30D4FABE">
      <w:pPr>
        <w:pStyle w:val="56"/>
        <w:ind w:firstLine="420"/>
        <w:rPr>
          <w:rFonts w:ascii="宋体" w:hAnsi="宋体" w:eastAsia="宋体" w:cs="宋体"/>
          <w:color w:val="auto"/>
          <w:sz w:val="21"/>
          <w:highlight w:val="none"/>
        </w:rPr>
      </w:pPr>
      <w:r>
        <w:rPr>
          <w:rFonts w:hint="eastAsia" w:ascii="宋体" w:hAnsi="宋体" w:eastAsia="宋体" w:cs="宋体"/>
          <w:color w:val="auto"/>
          <w:kern w:val="2"/>
          <w:sz w:val="21"/>
          <w:highlight w:val="none"/>
        </w:rPr>
        <w:t>7.6 如因包装、运输问题导致货物损毁、丢失或者品质下降，甲方有权要求降价、换货、拒收部分或整批货物，由此产生的费用和损失，均由乙方承担。</w:t>
      </w:r>
    </w:p>
    <w:p w14:paraId="621CD4CF">
      <w:pPr>
        <w:adjustRightInd w:val="0"/>
        <w:snapToGrid w:val="0"/>
        <w:spacing w:line="400" w:lineRule="exact"/>
        <w:ind w:firstLine="562"/>
        <w:jc w:val="left"/>
        <w:rPr>
          <w:rFonts w:ascii="宋体" w:hAnsi="宋体" w:cs="宋体"/>
          <w:b/>
          <w:color w:val="auto"/>
          <w:szCs w:val="21"/>
          <w:highlight w:val="none"/>
        </w:rPr>
      </w:pPr>
      <w:r>
        <w:rPr>
          <w:rFonts w:hint="eastAsia" w:ascii="宋体" w:hAnsi="宋体" w:cs="宋体"/>
          <w:b/>
          <w:color w:val="auto"/>
          <w:szCs w:val="21"/>
          <w:highlight w:val="none"/>
        </w:rPr>
        <w:t>8. 质量标准和保证</w:t>
      </w:r>
    </w:p>
    <w:p w14:paraId="458D40B4">
      <w:pPr>
        <w:pStyle w:val="13"/>
        <w:adjustRightInd w:val="0"/>
        <w:snapToGrid w:val="0"/>
        <w:spacing w:line="400" w:lineRule="exact"/>
        <w:ind w:firstLine="420" w:firstLineChars="200"/>
        <w:jc w:val="left"/>
        <w:rPr>
          <w:rFonts w:hint="default" w:hAnsi="宋体" w:cs="宋体"/>
          <w:b/>
          <w:color w:val="auto"/>
          <w:szCs w:val="21"/>
          <w:highlight w:val="none"/>
        </w:rPr>
      </w:pPr>
      <w:r>
        <w:rPr>
          <w:rFonts w:hAnsi="宋体" w:cs="宋体"/>
          <w:color w:val="auto"/>
          <w:szCs w:val="21"/>
          <w:highlight w:val="none"/>
        </w:rPr>
        <w:t>8.1 质量标准</w:t>
      </w:r>
    </w:p>
    <w:p w14:paraId="13112578">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2A24FED">
      <w:pPr>
        <w:pStyle w:val="13"/>
        <w:adjustRightInd w:val="0"/>
        <w:snapToGrid w:val="0"/>
        <w:spacing w:line="400" w:lineRule="exact"/>
        <w:ind w:firstLine="420" w:firstLineChars="200"/>
        <w:jc w:val="left"/>
        <w:rPr>
          <w:rFonts w:hint="default" w:hAnsi="宋体" w:cs="宋体"/>
          <w:color w:val="auto"/>
          <w:szCs w:val="21"/>
          <w:highlight w:val="none"/>
        </w:rPr>
      </w:pPr>
      <w:r>
        <w:rPr>
          <w:rFonts w:hAnsi="宋体" w:cs="宋体"/>
          <w:color w:val="auto"/>
          <w:szCs w:val="21"/>
          <w:highlight w:val="none"/>
        </w:rPr>
        <w:t>（2）采用中华人民共和国法定计量单位。</w:t>
      </w:r>
    </w:p>
    <w:p w14:paraId="6EAE24F3">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（3）乙方所提供的货物应符合国家有关安全、环保、卫生的规定。</w:t>
      </w:r>
    </w:p>
    <w:p w14:paraId="1B2F8DA4">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66A5683D">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保证</w:t>
      </w:r>
    </w:p>
    <w:p w14:paraId="48D44595">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规定或乙方书面承诺（两者以较长的为准）的质量保证期内，本保证保持有效。</w:t>
      </w:r>
    </w:p>
    <w:p w14:paraId="4A0A695C">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（2）在质量保证期内所发现的缺陷，甲方应尽快以书面形式通知乙方。</w:t>
      </w:r>
    </w:p>
    <w:p w14:paraId="68B57EB0">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（3）乙方收到通知后，应在</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规定的响应时间内以合理的速度免费维修或更换有缺陷的货物或部件。</w:t>
      </w:r>
    </w:p>
    <w:p w14:paraId="306E4F4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0B07ACC">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（5）乙方在约定的时间内未能弥补缺陷，甲方可采取必要的补救措施，但其风险和费用将由乙方承担，甲方根据合同约定对乙方行使的其他权利不受影响。</w:t>
      </w:r>
    </w:p>
    <w:p w14:paraId="397C0022">
      <w:pPr>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9. 权利瑕疵担保</w:t>
      </w:r>
    </w:p>
    <w:p w14:paraId="4F14EE84">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9.1 乙方保证对其出售的货物享有合法的权利。</w:t>
      </w:r>
    </w:p>
    <w:p w14:paraId="36275ACB">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9.2 乙方保证在交付的货物上不存在抵押权等担保物权。</w:t>
      </w:r>
    </w:p>
    <w:p w14:paraId="3B1F702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9.3 如甲方使用上述货物构成对第三人侵权的，则由乙方承担全部责任。</w:t>
      </w:r>
    </w:p>
    <w:p w14:paraId="35EF2806">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10. 知识产权保护</w:t>
      </w:r>
    </w:p>
    <w:p w14:paraId="4ECA055A">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10.1 乙方对其所销售的货物应当享有知识产权或经权利人合法授权，保证没有侵犯任何第三人的知识产权等权利。</w:t>
      </w:r>
      <w:bookmarkStart w:id="9" w:name="_Hlk163047038"/>
      <w:r>
        <w:rPr>
          <w:rFonts w:hint="eastAsia" w:ascii="宋体" w:hAnsi="宋体" w:cs="宋体"/>
          <w:color w:val="auto"/>
          <w:szCs w:val="21"/>
          <w:highlight w:val="none"/>
        </w:rPr>
        <w:t>因违反前述约定对第三人构成侵权的，应当由乙方向第三人承担法律责任；甲方依法向第三人赔偿后，有权向乙方追偿。甲方有其他损失的，乙方应当赔偿</w:t>
      </w:r>
      <w:bookmarkEnd w:id="9"/>
      <w:r>
        <w:rPr>
          <w:rFonts w:hint="eastAsia" w:ascii="宋体" w:hAnsi="宋体" w:cs="宋体"/>
          <w:color w:val="auto"/>
          <w:szCs w:val="21"/>
          <w:highlight w:val="none"/>
        </w:rPr>
        <w:t>。</w:t>
      </w:r>
    </w:p>
    <w:p w14:paraId="6CDD1A84">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11. 保密义务</w:t>
      </w:r>
    </w:p>
    <w:p w14:paraId="1656BF5B">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中约定。</w:t>
      </w:r>
    </w:p>
    <w:p w14:paraId="12998E25">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12. 合同价款支付</w:t>
      </w:r>
    </w:p>
    <w:p w14:paraId="017C9CEA">
      <w:pPr>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12.1 合同价款支付按照国库集中支付制度及财政管理相关规定执行。</w:t>
      </w:r>
    </w:p>
    <w:p w14:paraId="515D79B7">
      <w:pPr>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ascii="宋体" w:hAnsi="宋体" w:eastAsia="宋体" w:cs="宋体"/>
          <w:b w:val="0"/>
          <w:bCs w:val="0"/>
          <w:color w:val="auto"/>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宋体"/>
          <w:color w:val="auto"/>
          <w:sz w:val="21"/>
          <w:szCs w:val="21"/>
          <w:highlight w:val="none"/>
        </w:rPr>
        <w:t>政府采购合同专用条款</w:t>
      </w:r>
      <w:r>
        <w:rPr>
          <w:rFonts w:ascii="宋体" w:hAnsi="宋体" w:eastAsia="宋体" w:cs="宋体"/>
          <w:b w:val="0"/>
          <w:bCs w:val="0"/>
          <w:color w:val="auto"/>
          <w:sz w:val="21"/>
          <w:szCs w:val="21"/>
          <w:highlight w:val="none"/>
        </w:rPr>
        <w:t>】中约定。</w:t>
      </w:r>
    </w:p>
    <w:p w14:paraId="31AB963F">
      <w:pPr>
        <w:pStyle w:val="9"/>
        <w:spacing w:line="400" w:lineRule="exact"/>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 履约保证金</w:t>
      </w:r>
    </w:p>
    <w:p w14:paraId="4DBC49DA">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 乙方应当以支票、汇票、本票或者金融机构、担保机构出具的保函等非现金形式提交。</w:t>
      </w:r>
    </w:p>
    <w:p w14:paraId="78719F97">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如果乙方出现</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4DC72B7D">
      <w:pPr>
        <w:spacing w:line="400" w:lineRule="exact"/>
        <w:ind w:firstLine="560"/>
        <w:rPr>
          <w:rFonts w:ascii="宋体" w:hAnsi="宋体" w:cs="宋体"/>
          <w:color w:val="auto"/>
          <w:szCs w:val="21"/>
          <w:highlight w:val="none"/>
        </w:rPr>
      </w:pPr>
      <w:r>
        <w:rPr>
          <w:rFonts w:hint="eastAsia" w:ascii="宋体" w:hAnsi="宋体" w:cs="宋体"/>
          <w:color w:val="auto"/>
          <w:szCs w:val="21"/>
          <w:highlight w:val="none"/>
        </w:rPr>
        <w:t>13.3 甲方在项目通过验收后按照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规定的时间内将履约保证金退还乙方；逾期退还的，乙方可要求甲方支付违约金，违约金按照</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规定支付。</w:t>
      </w:r>
    </w:p>
    <w:p w14:paraId="362964BD">
      <w:pPr>
        <w:autoSpaceDE w:val="0"/>
        <w:autoSpaceDN w:val="0"/>
        <w:adjustRightInd w:val="0"/>
        <w:snapToGrid w:val="0"/>
        <w:spacing w:line="400" w:lineRule="exact"/>
        <w:ind w:firstLine="562"/>
        <w:jc w:val="left"/>
        <w:rPr>
          <w:rFonts w:ascii="宋体" w:hAnsi="宋体" w:cs="宋体"/>
          <w:b/>
          <w:color w:val="auto"/>
          <w:szCs w:val="21"/>
          <w:highlight w:val="none"/>
        </w:rPr>
      </w:pPr>
      <w:r>
        <w:rPr>
          <w:rFonts w:hint="eastAsia" w:ascii="宋体" w:hAnsi="宋体" w:cs="宋体"/>
          <w:b/>
          <w:bCs/>
          <w:color w:val="auto"/>
          <w:szCs w:val="21"/>
          <w:highlight w:val="none"/>
        </w:rPr>
        <w:t xml:space="preserve">14. </w:t>
      </w:r>
      <w:r>
        <w:rPr>
          <w:rFonts w:hint="eastAsia" w:ascii="宋体" w:hAnsi="宋体" w:cs="宋体"/>
          <w:b/>
          <w:color w:val="auto"/>
          <w:szCs w:val="21"/>
          <w:highlight w:val="none"/>
        </w:rPr>
        <w:t>售后服务</w:t>
      </w:r>
    </w:p>
    <w:p w14:paraId="770D0420">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除项目不涉及或采购活动中明确约定无须承担外，乙方还应提供下列服务：</w:t>
      </w:r>
    </w:p>
    <w:p w14:paraId="4E4D369E">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（1）货物的现场移动、安装、调试、启动监督及技术支持；</w:t>
      </w:r>
    </w:p>
    <w:p w14:paraId="745BB8B5">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（2）提供货物组装和维修所需的专用工具和辅助材料；</w:t>
      </w:r>
    </w:p>
    <w:p w14:paraId="4AEC4243">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约定的期限内对所有的货物实施运行监督、维修，但前提条件是该服务并不能免除乙方在质量保证期内所承担的义务；</w:t>
      </w:r>
    </w:p>
    <w:p w14:paraId="2E36F7BB">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（4）在制造商所在地或指定现场就货物的安装、启动、运营、维护、废弃处置等对甲方操作人员进行培训；</w:t>
      </w:r>
    </w:p>
    <w:p w14:paraId="6D21B1E0">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4EF92D2D">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规定由乙方提供的其他服务。</w:t>
      </w:r>
    </w:p>
    <w:p w14:paraId="6972376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乙方提供的售后服务的费用已包含在合同价款中，甲方不再另行支付。</w:t>
      </w:r>
    </w:p>
    <w:p w14:paraId="7E756693">
      <w:pPr>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15. 违约责任</w:t>
      </w:r>
    </w:p>
    <w:p w14:paraId="2AF20785">
      <w:pPr>
        <w:adjustRightInd w:val="0"/>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15.1质量瑕疵的违约责任</w:t>
      </w:r>
    </w:p>
    <w:p w14:paraId="6ABAABD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乙方提供的产品不符合合同约定的质量标准或存在产品质量缺陷，甲方有权要求乙方根据</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要求</w:t>
      </w:r>
      <w:r>
        <w:rPr>
          <w:rFonts w:hint="eastAsia" w:ascii="宋体" w:hAnsi="宋体" w:cs="宋体"/>
          <w:color w:val="auto"/>
          <w:szCs w:val="21"/>
          <w:highlight w:val="none"/>
        </w:rPr>
        <w:t>及时修理、重作、更换，并承担由此给甲方造成的损失。</w:t>
      </w:r>
    </w:p>
    <w:p w14:paraId="3CFFA374">
      <w:pPr>
        <w:autoSpaceDE w:val="0"/>
        <w:autoSpaceDN w:val="0"/>
        <w:adjustRightInd w:val="0"/>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15.2 迟延交货的违约责任</w:t>
      </w:r>
    </w:p>
    <w:p w14:paraId="02752B31">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EA3317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cs="宋体"/>
          <w:b/>
          <w:color w:val="auto"/>
          <w:szCs w:val="21"/>
          <w:highlight w:val="none"/>
        </w:rPr>
        <w:t>【政府采购合同专用条款】</w:t>
      </w:r>
      <w:r>
        <w:rPr>
          <w:rFonts w:hint="eastAsia" w:ascii="宋体" w:hAnsi="宋体" w:cs="宋体"/>
          <w:color w:val="auto"/>
          <w:szCs w:val="21"/>
          <w:highlight w:val="none"/>
        </w:rPr>
        <w:t>规定执行。如果涉及公共利益，且赔偿金额无法弥补公共利益损失，甲方可要求继续履行或者采取其他补救措施。</w:t>
      </w:r>
    </w:p>
    <w:p w14:paraId="22FB8C0B">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 迟延支付的违约责任</w:t>
      </w:r>
    </w:p>
    <w:p w14:paraId="470561D6">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甲方存在迟延支付乙方合同款项的，应当承担</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规定的逾期付款利息。</w:t>
      </w:r>
    </w:p>
    <w:p w14:paraId="5FE5E70C">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15.4其他违约责任根据项目实际需要按</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规定执行。</w:t>
      </w:r>
    </w:p>
    <w:p w14:paraId="352D1AEE">
      <w:pPr>
        <w:numPr>
          <w:ilvl w:val="0"/>
          <w:numId w:val="8"/>
        </w:numPr>
        <w:autoSpaceDE w:val="0"/>
        <w:autoSpaceDN w:val="0"/>
        <w:adjustRightInd w:val="0"/>
        <w:snapToGrid w:val="0"/>
        <w:spacing w:line="400" w:lineRule="exact"/>
        <w:ind w:firstLine="562"/>
        <w:jc w:val="left"/>
        <w:rPr>
          <w:rFonts w:ascii="宋体" w:hAnsi="宋体" w:cs="宋体"/>
          <w:b/>
          <w:color w:val="auto"/>
          <w:szCs w:val="21"/>
          <w:highlight w:val="none"/>
        </w:rPr>
      </w:pPr>
      <w:r>
        <w:rPr>
          <w:rFonts w:hint="eastAsia" w:ascii="宋体" w:hAnsi="宋体" w:cs="宋体"/>
          <w:b/>
          <w:color w:val="auto"/>
          <w:szCs w:val="21"/>
          <w:highlight w:val="none"/>
        </w:rPr>
        <w:t>合同变更、中止与终止</w:t>
      </w:r>
    </w:p>
    <w:p w14:paraId="4D961168">
      <w:pPr>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16.1合同的变更</w:t>
      </w:r>
    </w:p>
    <w:p w14:paraId="45C428A0">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00D92077">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16.2合同的中止</w:t>
      </w:r>
    </w:p>
    <w:p w14:paraId="74DA8D93">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（1）合同履行过程中因</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就采购文件、采购过程或结果提起投诉的，甲方认为有必要的，可以中止合同的履行。</w:t>
      </w:r>
    </w:p>
    <w:p w14:paraId="58AEC791">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FD9C1B1">
      <w:pPr>
        <w:pStyle w:val="56"/>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4446485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（4）甲方不得以行政区划调整、政府换届、机构或者职能调整以及相关责任人更替为由中止合同。</w:t>
      </w:r>
    </w:p>
    <w:p w14:paraId="1F1A926A">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16.3合同的终止</w:t>
      </w:r>
    </w:p>
    <w:p w14:paraId="50384F1D">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（1）合同因有效期限届满而终止；</w:t>
      </w:r>
    </w:p>
    <w:p w14:paraId="7F2E935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（2）乙方未按合同约定履行，构成根本性违约的，甲方有权终止合同，并追究乙方的违约责任。</w:t>
      </w:r>
    </w:p>
    <w:p w14:paraId="62ADD188">
      <w:pPr>
        <w:pStyle w:val="56"/>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16.4 </w:t>
      </w:r>
      <w:r>
        <w:rPr>
          <w:rFonts w:hint="eastAsia" w:ascii="宋体" w:hAnsi="宋体" w:eastAsia="宋体" w:cs="宋体"/>
          <w:color w:val="auto"/>
          <w:kern w:val="2"/>
          <w:sz w:val="21"/>
          <w:highlight w:val="none"/>
        </w:rPr>
        <w:t>涉及国家利益、社会公共利益的情形</w:t>
      </w:r>
    </w:p>
    <w:p w14:paraId="2EC0DA2B">
      <w:pPr>
        <w:pStyle w:val="56"/>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75B8ECB8">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17. 合同分包</w:t>
      </w:r>
    </w:p>
    <w:p w14:paraId="76DEA324">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 乙方不得将合同转包给其他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。涉及合同分包的，乙方应根据采购文件和投标（响应）文件规定进行合同分包。</w:t>
      </w:r>
    </w:p>
    <w:p w14:paraId="4B33D6F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乙方执行政府采购政策向中小企业依法分包的，乙方应当按采购文件和投标（响应）文件签订分包意向协议，分包意向协议属于本合同组成部分。</w:t>
      </w:r>
    </w:p>
    <w:p w14:paraId="7D8C709E">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18. 不可抗力</w:t>
      </w:r>
    </w:p>
    <w:p w14:paraId="71609D83">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 不可抗力是指合同双方不能预见、不能避免且不能克服的客观情况。</w:t>
      </w:r>
    </w:p>
    <w:p w14:paraId="17A8178A">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18.2 任何一方对由于不可抗力造成的部分或全部不能履行合同不承担违约责任。但迟延履行后发生不可抗力的，不能免除责任。</w:t>
      </w:r>
    </w:p>
    <w:p w14:paraId="36DDD66F">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4CA091B">
      <w:pPr>
        <w:autoSpaceDE w:val="0"/>
        <w:autoSpaceDN w:val="0"/>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19. 解决争议的方法</w:t>
      </w:r>
    </w:p>
    <w:p w14:paraId="16ED37C6">
      <w:pPr>
        <w:pStyle w:val="56"/>
        <w:widowControl w:val="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3480350">
      <w:pPr>
        <w:pStyle w:val="56"/>
        <w:widowControl w:val="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B545F64">
      <w:pPr>
        <w:pStyle w:val="56"/>
        <w:widowControl w:val="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68313F4C">
      <w:pPr>
        <w:autoSpaceDE w:val="0"/>
        <w:autoSpaceDN w:val="0"/>
        <w:adjustRightInd w:val="0"/>
        <w:snapToGrid w:val="0"/>
        <w:spacing w:line="400" w:lineRule="exact"/>
        <w:ind w:firstLine="562"/>
        <w:jc w:val="left"/>
        <w:rPr>
          <w:rFonts w:ascii="宋体" w:hAnsi="宋体" w:cs="宋体"/>
          <w:color w:val="auto"/>
          <w:szCs w:val="21"/>
          <w:highlight w:val="none"/>
        </w:rPr>
      </w:pPr>
      <w:r>
        <w:rPr>
          <w:rFonts w:hint="eastAsia" w:ascii="宋体" w:hAnsi="宋体" w:cs="宋体"/>
          <w:b/>
          <w:color w:val="auto"/>
          <w:szCs w:val="21"/>
          <w:highlight w:val="none"/>
        </w:rPr>
        <w:t>20. 政府采购政策</w:t>
      </w:r>
    </w:p>
    <w:p w14:paraId="5A68F663">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20.1 </w:t>
      </w:r>
      <w:r>
        <w:rPr>
          <w:rFonts w:hint="eastAsia" w:ascii="宋体" w:hAnsi="宋体" w:cs="宋体"/>
          <w:color w:val="auto"/>
          <w:szCs w:val="21"/>
          <w:highlight w:val="none"/>
          <w:lang w:val="en-GB"/>
        </w:rPr>
        <w:t>本合同应当按照规定执行政府采购政策。</w:t>
      </w:r>
    </w:p>
    <w:p w14:paraId="763E7387">
      <w:pPr>
        <w:autoSpaceDE w:val="0"/>
        <w:autoSpaceDN w:val="0"/>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20.2 本合同依法执行政府采购政策的方式和内容，属于合同履约验收的范围。甲乙双方</w:t>
      </w:r>
      <w:r>
        <w:rPr>
          <w:rFonts w:hint="eastAsia" w:ascii="宋体" w:hAnsi="宋体" w:cs="宋体"/>
          <w:color w:val="auto"/>
          <w:szCs w:val="21"/>
          <w:highlight w:val="none"/>
          <w:lang w:val="en-GB"/>
        </w:rPr>
        <w:t>未按规定要求执行政府采购政策造成损失的</w:t>
      </w:r>
      <w:r>
        <w:rPr>
          <w:rFonts w:hint="eastAsia" w:ascii="宋体" w:hAnsi="宋体" w:cs="宋体"/>
          <w:color w:val="auto"/>
          <w:szCs w:val="21"/>
          <w:highlight w:val="none"/>
        </w:rPr>
        <w:t>，有过错的一方应当承担赔偿责任，双方都有过错的，各自承担相应的责任。</w:t>
      </w:r>
    </w:p>
    <w:p w14:paraId="5DB2A680">
      <w:pPr>
        <w:pStyle w:val="9"/>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D2A1066">
      <w:pPr>
        <w:autoSpaceDE w:val="0"/>
        <w:autoSpaceDN w:val="0"/>
        <w:adjustRightInd w:val="0"/>
        <w:snapToGrid w:val="0"/>
        <w:spacing w:line="400" w:lineRule="exact"/>
        <w:ind w:firstLine="562"/>
        <w:jc w:val="left"/>
        <w:rPr>
          <w:rFonts w:ascii="宋体" w:hAnsi="宋体" w:cs="宋体"/>
          <w:b/>
          <w:color w:val="auto"/>
          <w:szCs w:val="21"/>
          <w:highlight w:val="none"/>
        </w:rPr>
      </w:pPr>
      <w:r>
        <w:rPr>
          <w:rFonts w:hint="eastAsia" w:ascii="宋体" w:hAnsi="宋体" w:cs="宋体"/>
          <w:b/>
          <w:color w:val="auto"/>
          <w:szCs w:val="21"/>
          <w:highlight w:val="none"/>
        </w:rPr>
        <w:t>21. 法律适用</w:t>
      </w:r>
    </w:p>
    <w:p w14:paraId="17940DDB">
      <w:pPr>
        <w:pStyle w:val="56"/>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4F7747D5">
      <w:pPr>
        <w:pStyle w:val="56"/>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12ACB121">
      <w:pPr>
        <w:numPr>
          <w:ilvl w:val="255"/>
          <w:numId w:val="0"/>
        </w:numPr>
        <w:autoSpaceDE w:val="0"/>
        <w:autoSpaceDN w:val="0"/>
        <w:adjustRightInd w:val="0"/>
        <w:snapToGrid w:val="0"/>
        <w:spacing w:line="400" w:lineRule="exact"/>
        <w:ind w:firstLine="632" w:firstLineChars="300"/>
        <w:jc w:val="left"/>
        <w:rPr>
          <w:rFonts w:ascii="宋体" w:hAnsi="宋体" w:cs="宋体"/>
          <w:b/>
          <w:color w:val="auto"/>
          <w:szCs w:val="21"/>
          <w:highlight w:val="none"/>
        </w:rPr>
      </w:pPr>
      <w:r>
        <w:rPr>
          <w:rFonts w:hint="eastAsia" w:ascii="宋体" w:hAnsi="宋体" w:cs="宋体"/>
          <w:b/>
          <w:color w:val="auto"/>
          <w:szCs w:val="21"/>
          <w:highlight w:val="none"/>
        </w:rPr>
        <w:t>22. 通知</w:t>
      </w:r>
    </w:p>
    <w:p w14:paraId="022C7626">
      <w:pPr>
        <w:pStyle w:val="56"/>
        <w:widowControl w:val="0"/>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63C38E77">
      <w:pPr>
        <w:pStyle w:val="56"/>
        <w:widowControl w:val="0"/>
        <w:ind w:firstLine="0"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38A26A06">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22.3本合同一方给另一方的通知均应采用书面形式，传真或快递送到本合同中规定的对方的地址和办理签收手续。</w:t>
      </w:r>
    </w:p>
    <w:p w14:paraId="1A43771B">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22.4通知以送达之日或通知书中规定的生效之日起生效，两者中以较迟之日为准。</w:t>
      </w:r>
    </w:p>
    <w:p w14:paraId="497D0313">
      <w:pPr>
        <w:numPr>
          <w:ilvl w:val="0"/>
          <w:numId w:val="9"/>
        </w:numPr>
        <w:adjustRightInd w:val="0"/>
        <w:snapToGrid w:val="0"/>
        <w:spacing w:line="400" w:lineRule="exact"/>
        <w:ind w:firstLine="562"/>
        <w:jc w:val="left"/>
        <w:rPr>
          <w:rFonts w:ascii="宋体" w:hAnsi="宋体" w:cs="宋体"/>
          <w:b/>
          <w:bCs/>
          <w:color w:val="auto"/>
          <w:szCs w:val="21"/>
          <w:highlight w:val="none"/>
        </w:rPr>
      </w:pPr>
      <w:r>
        <w:rPr>
          <w:rFonts w:hint="eastAsia" w:ascii="宋体" w:hAnsi="宋体" w:cs="宋体"/>
          <w:b/>
          <w:bCs/>
          <w:color w:val="auto"/>
          <w:szCs w:val="21"/>
          <w:highlight w:val="none"/>
        </w:rPr>
        <w:t>合同未尽事项</w:t>
      </w:r>
    </w:p>
    <w:p w14:paraId="1E01A5FF">
      <w:pPr>
        <w:adjustRightInd w:val="0"/>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23.1合同未尽事项见</w:t>
      </w:r>
      <w:r>
        <w:rPr>
          <w:rFonts w:hint="eastAsia" w:ascii="宋体" w:hAnsi="宋体" w:cs="宋体"/>
          <w:b/>
          <w:color w:val="auto"/>
          <w:szCs w:val="21"/>
          <w:highlight w:val="none"/>
        </w:rPr>
        <w:t>【政府采购合同专用条款】</w:t>
      </w:r>
      <w:r>
        <w:rPr>
          <w:rFonts w:hint="eastAsia" w:ascii="宋体" w:hAnsi="宋体" w:cs="宋体"/>
          <w:bCs/>
          <w:color w:val="auto"/>
          <w:szCs w:val="21"/>
          <w:highlight w:val="none"/>
        </w:rPr>
        <w:t>。</w:t>
      </w:r>
    </w:p>
    <w:p w14:paraId="7AAAA8AB">
      <w:pPr>
        <w:adjustRightInd w:val="0"/>
        <w:snapToGrid w:val="0"/>
        <w:spacing w:line="400" w:lineRule="exact"/>
        <w:jc w:val="left"/>
        <w:rPr>
          <w:rFonts w:ascii="宋体" w:hAnsi="宋体" w:cs="宋体"/>
          <w:color w:val="auto"/>
          <w:szCs w:val="21"/>
          <w:highlight w:val="none"/>
        </w:rPr>
      </w:pPr>
      <w:r>
        <w:rPr>
          <w:rFonts w:hint="eastAsia" w:ascii="宋体" w:hAnsi="宋体" w:cs="宋体"/>
          <w:bCs/>
          <w:color w:val="auto"/>
          <w:szCs w:val="21"/>
          <w:highlight w:val="none"/>
        </w:rPr>
        <w:t xml:space="preserve">    23.2 合同附件与合同正文具有同等的法律效力。</w:t>
      </w:r>
    </w:p>
    <w:p w14:paraId="090BDD31">
      <w:pPr>
        <w:pStyle w:val="3"/>
        <w:adjustRightInd w:val="0"/>
        <w:snapToGrid w:val="0"/>
        <w:spacing w:line="400" w:lineRule="exact"/>
        <w:jc w:val="center"/>
        <w:rPr>
          <w:rFonts w:hint="default" w:ascii="黑体" w:hAnsi="华文中宋"/>
          <w:b w:val="0"/>
          <w:bCs w:val="0"/>
          <w:color w:val="auto"/>
          <w:sz w:val="28"/>
          <w:szCs w:val="28"/>
          <w:highlight w:val="none"/>
        </w:rPr>
      </w:pPr>
      <w:r>
        <w:rPr>
          <w:rFonts w:ascii="黑体" w:hAnsi="华文中宋"/>
          <w:b w:val="0"/>
          <w:bCs w:val="0"/>
          <w:color w:val="auto"/>
          <w:sz w:val="28"/>
          <w:szCs w:val="28"/>
          <w:highlight w:val="none"/>
        </w:rPr>
        <w:t>第三节 政府采购合同专用条款</w:t>
      </w:r>
    </w:p>
    <w:tbl>
      <w:tblPr>
        <w:tblStyle w:val="26"/>
        <w:tblW w:w="93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546"/>
        <w:gridCol w:w="5169"/>
      </w:tblGrid>
      <w:tr w14:paraId="497E6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5C4EC141">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511742D">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第1.2（6）项</w:t>
            </w:r>
          </w:p>
        </w:tc>
        <w:tc>
          <w:tcPr>
            <w:tcW w:w="2546" w:type="dxa"/>
            <w:vAlign w:val="center"/>
          </w:tcPr>
          <w:p w14:paraId="17DA3382">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联合体具体要求</w:t>
            </w:r>
          </w:p>
        </w:tc>
        <w:tc>
          <w:tcPr>
            <w:tcW w:w="5169" w:type="dxa"/>
            <w:vAlign w:val="center"/>
          </w:tcPr>
          <w:p w14:paraId="78934BE8">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7E47AA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43F91B21">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CD29E1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第1.2（7）项</w:t>
            </w:r>
          </w:p>
        </w:tc>
        <w:tc>
          <w:tcPr>
            <w:tcW w:w="2546" w:type="dxa"/>
            <w:vAlign w:val="center"/>
          </w:tcPr>
          <w:p w14:paraId="247148A4">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其他术语解释</w:t>
            </w:r>
          </w:p>
        </w:tc>
        <w:tc>
          <w:tcPr>
            <w:tcW w:w="5169" w:type="dxa"/>
            <w:vAlign w:val="center"/>
          </w:tcPr>
          <w:p w14:paraId="740BAED6">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3CFD6F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71D6D01B">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C340611">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第4.4款</w:t>
            </w:r>
          </w:p>
        </w:tc>
        <w:tc>
          <w:tcPr>
            <w:tcW w:w="2546" w:type="dxa"/>
            <w:vAlign w:val="center"/>
          </w:tcPr>
          <w:p w14:paraId="6CB73DBC">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69" w:type="dxa"/>
            <w:vAlign w:val="center"/>
          </w:tcPr>
          <w:p w14:paraId="4A6ADF1A">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2F330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731DA7C3">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1F96139">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第4.6款</w:t>
            </w:r>
          </w:p>
        </w:tc>
        <w:tc>
          <w:tcPr>
            <w:tcW w:w="2546" w:type="dxa"/>
            <w:vAlign w:val="center"/>
          </w:tcPr>
          <w:p w14:paraId="17396371">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69" w:type="dxa"/>
            <w:vAlign w:val="center"/>
          </w:tcPr>
          <w:p w14:paraId="238F529B">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57314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09DFE71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F3E3028">
            <w:pPr>
              <w:keepNext w:val="0"/>
              <w:keepLines w:val="0"/>
              <w:pageBreakBefore w:val="0"/>
              <w:kinsoku/>
              <w:wordWrap/>
              <w:overflowPunct/>
              <w:topLinePunct w:val="0"/>
              <w:bidi w:val="0"/>
              <w:snapToGrid w:val="0"/>
              <w:spacing w:line="360" w:lineRule="exact"/>
              <w:jc w:val="center"/>
              <w:textAlignment w:val="auto"/>
              <w:rPr>
                <w:color w:val="auto"/>
                <w:highlight w:val="none"/>
              </w:rPr>
            </w:pPr>
            <w:r>
              <w:rPr>
                <w:rFonts w:hint="eastAsia" w:ascii="宋体" w:hAnsi="宋体"/>
                <w:color w:val="auto"/>
                <w:szCs w:val="21"/>
                <w:highlight w:val="none"/>
              </w:rPr>
              <w:t>第5.4款</w:t>
            </w:r>
          </w:p>
        </w:tc>
        <w:tc>
          <w:tcPr>
            <w:tcW w:w="2546" w:type="dxa"/>
            <w:vAlign w:val="center"/>
          </w:tcPr>
          <w:p w14:paraId="282AB506">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69" w:type="dxa"/>
            <w:vAlign w:val="center"/>
          </w:tcPr>
          <w:p w14:paraId="26D16F21">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3F5A5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48DE4388">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B6BA7C9">
            <w:pPr>
              <w:keepNext w:val="0"/>
              <w:keepLines w:val="0"/>
              <w:pageBreakBefore w:val="0"/>
              <w:kinsoku/>
              <w:wordWrap/>
              <w:overflowPunct/>
              <w:topLinePunct w:val="0"/>
              <w:bidi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第6.1款</w:t>
            </w:r>
          </w:p>
        </w:tc>
        <w:tc>
          <w:tcPr>
            <w:tcW w:w="2546" w:type="dxa"/>
            <w:vAlign w:val="center"/>
          </w:tcPr>
          <w:p w14:paraId="67E62895">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履行合同义务的顺序</w:t>
            </w:r>
          </w:p>
        </w:tc>
        <w:tc>
          <w:tcPr>
            <w:tcW w:w="5169" w:type="dxa"/>
            <w:vAlign w:val="center"/>
          </w:tcPr>
          <w:p w14:paraId="59226A45">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6A9DD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Merge w:val="restart"/>
            <w:vAlign w:val="center"/>
          </w:tcPr>
          <w:p w14:paraId="66F4B242">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0F97A69">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第7.1款</w:t>
            </w:r>
          </w:p>
        </w:tc>
        <w:tc>
          <w:tcPr>
            <w:tcW w:w="2546" w:type="dxa"/>
            <w:vAlign w:val="center"/>
          </w:tcPr>
          <w:p w14:paraId="75BC304D">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包装特殊要求</w:t>
            </w:r>
          </w:p>
        </w:tc>
        <w:tc>
          <w:tcPr>
            <w:tcW w:w="5169" w:type="dxa"/>
            <w:vAlign w:val="center"/>
          </w:tcPr>
          <w:p w14:paraId="73950EDD">
            <w:pPr>
              <w:keepNext w:val="0"/>
              <w:keepLines w:val="0"/>
              <w:pageBreakBefore w:val="0"/>
              <w:kinsoku/>
              <w:wordWrap/>
              <w:overflowPunct/>
              <w:topLinePunct w:val="0"/>
              <w:bidi w:val="0"/>
              <w:spacing w:line="360" w:lineRule="exact"/>
              <w:textAlignment w:val="auto"/>
              <w:rPr>
                <w:color w:val="auto"/>
                <w:highlight w:val="none"/>
              </w:rPr>
            </w:pPr>
          </w:p>
        </w:tc>
      </w:tr>
      <w:tr w14:paraId="393978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Merge w:val="continue"/>
            <w:vAlign w:val="center"/>
          </w:tcPr>
          <w:p w14:paraId="781FAE3B">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p>
        </w:tc>
        <w:tc>
          <w:tcPr>
            <w:tcW w:w="2546" w:type="dxa"/>
            <w:vAlign w:val="center"/>
          </w:tcPr>
          <w:p w14:paraId="1A0A8901">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指定现场</w:t>
            </w:r>
          </w:p>
        </w:tc>
        <w:tc>
          <w:tcPr>
            <w:tcW w:w="5169" w:type="dxa"/>
            <w:vAlign w:val="center"/>
          </w:tcPr>
          <w:p w14:paraId="5CF20EF7">
            <w:pPr>
              <w:keepNext w:val="0"/>
              <w:keepLines w:val="0"/>
              <w:pageBreakBefore w:val="0"/>
              <w:kinsoku/>
              <w:wordWrap/>
              <w:overflowPunct/>
              <w:topLinePunct w:val="0"/>
              <w:bidi w:val="0"/>
              <w:spacing w:line="360" w:lineRule="exact"/>
              <w:textAlignment w:val="auto"/>
              <w:rPr>
                <w:color w:val="auto"/>
                <w:highlight w:val="none"/>
              </w:rPr>
            </w:pPr>
          </w:p>
        </w:tc>
      </w:tr>
      <w:tr w14:paraId="053CEB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79369078">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076CC0C">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第7.2款</w:t>
            </w:r>
          </w:p>
        </w:tc>
        <w:tc>
          <w:tcPr>
            <w:tcW w:w="2546" w:type="dxa"/>
            <w:vAlign w:val="center"/>
          </w:tcPr>
          <w:p w14:paraId="6547A9A4">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运输特殊要求</w:t>
            </w:r>
          </w:p>
        </w:tc>
        <w:tc>
          <w:tcPr>
            <w:tcW w:w="5169" w:type="dxa"/>
            <w:vAlign w:val="center"/>
          </w:tcPr>
          <w:p w14:paraId="533F2B3B">
            <w:pPr>
              <w:keepNext w:val="0"/>
              <w:keepLines w:val="0"/>
              <w:pageBreakBefore w:val="0"/>
              <w:kinsoku/>
              <w:wordWrap/>
              <w:overflowPunct/>
              <w:topLinePunct w:val="0"/>
              <w:bidi w:val="0"/>
              <w:spacing w:line="360" w:lineRule="exact"/>
              <w:textAlignment w:val="auto"/>
              <w:rPr>
                <w:color w:val="auto"/>
                <w:highlight w:val="none"/>
              </w:rPr>
            </w:pPr>
          </w:p>
        </w:tc>
      </w:tr>
      <w:tr w14:paraId="5893E9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33065A59">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4583EA0">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第7.3款</w:t>
            </w:r>
          </w:p>
        </w:tc>
        <w:tc>
          <w:tcPr>
            <w:tcW w:w="2546" w:type="dxa"/>
            <w:vAlign w:val="center"/>
          </w:tcPr>
          <w:p w14:paraId="43E73E2E">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保险要求</w:t>
            </w:r>
          </w:p>
        </w:tc>
        <w:tc>
          <w:tcPr>
            <w:tcW w:w="5169" w:type="dxa"/>
            <w:vAlign w:val="center"/>
          </w:tcPr>
          <w:p w14:paraId="6E688407">
            <w:pPr>
              <w:keepNext w:val="0"/>
              <w:keepLines w:val="0"/>
              <w:pageBreakBefore w:val="0"/>
              <w:kinsoku/>
              <w:wordWrap/>
              <w:overflowPunct/>
              <w:topLinePunct w:val="0"/>
              <w:bidi w:val="0"/>
              <w:spacing w:line="360" w:lineRule="exact"/>
              <w:textAlignment w:val="auto"/>
              <w:rPr>
                <w:color w:val="auto"/>
                <w:highlight w:val="none"/>
              </w:rPr>
            </w:pPr>
          </w:p>
        </w:tc>
      </w:tr>
      <w:tr w14:paraId="16197E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76548A73">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4BFA7969">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第8.2（1）项</w:t>
            </w:r>
          </w:p>
        </w:tc>
        <w:tc>
          <w:tcPr>
            <w:tcW w:w="2546" w:type="dxa"/>
            <w:vAlign w:val="center"/>
          </w:tcPr>
          <w:p w14:paraId="0C12AB4F">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质量保证期</w:t>
            </w:r>
          </w:p>
        </w:tc>
        <w:tc>
          <w:tcPr>
            <w:tcW w:w="5169" w:type="dxa"/>
            <w:vAlign w:val="center"/>
          </w:tcPr>
          <w:p w14:paraId="4DCD38B1">
            <w:pPr>
              <w:keepNext w:val="0"/>
              <w:keepLines w:val="0"/>
              <w:pageBreakBefore w:val="0"/>
              <w:kinsoku/>
              <w:wordWrap/>
              <w:overflowPunct/>
              <w:topLinePunct w:val="0"/>
              <w:autoSpaceDE w:val="0"/>
              <w:autoSpaceDN w:val="0"/>
              <w:bidi w:val="0"/>
              <w:adjustRightInd w:val="0"/>
              <w:snapToGrid w:val="0"/>
              <w:spacing w:line="360" w:lineRule="exact"/>
              <w:ind w:firstLine="420" w:firstLineChars="200"/>
              <w:jc w:val="left"/>
              <w:textAlignment w:val="auto"/>
              <w:rPr>
                <w:rFonts w:ascii="宋体" w:hAnsi="宋体"/>
                <w:color w:val="auto"/>
                <w:szCs w:val="21"/>
                <w:highlight w:val="none"/>
              </w:rPr>
            </w:pPr>
          </w:p>
        </w:tc>
      </w:tr>
      <w:tr w14:paraId="2E4D1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2A837B37">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3E80A90">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第8.2（3）项</w:t>
            </w:r>
          </w:p>
        </w:tc>
        <w:tc>
          <w:tcPr>
            <w:tcW w:w="2546" w:type="dxa"/>
            <w:vAlign w:val="center"/>
          </w:tcPr>
          <w:p w14:paraId="3144B06B">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货物质量缺陷</w:t>
            </w:r>
          </w:p>
          <w:p w14:paraId="39495203">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响应时间</w:t>
            </w:r>
          </w:p>
        </w:tc>
        <w:tc>
          <w:tcPr>
            <w:tcW w:w="5169" w:type="dxa"/>
            <w:vAlign w:val="center"/>
          </w:tcPr>
          <w:p w14:paraId="5386E1ED">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6786B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2C4F92FA">
            <w:pPr>
              <w:keepNext w:val="0"/>
              <w:keepLines w:val="0"/>
              <w:pageBreakBefore w:val="0"/>
              <w:kinsoku/>
              <w:wordWrap/>
              <w:overflowPunct/>
              <w:topLinePunct w:val="0"/>
              <w:bidi w:val="0"/>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第二节</w:t>
            </w:r>
          </w:p>
          <w:p w14:paraId="6B1DED14">
            <w:pPr>
              <w:pStyle w:val="56"/>
              <w:keepNext w:val="0"/>
              <w:keepLines w:val="0"/>
              <w:pageBreakBefore w:val="0"/>
              <w:kinsoku/>
              <w:wordWrap/>
              <w:overflowPunct/>
              <w:topLinePunct w:val="0"/>
              <w:bidi w:val="0"/>
              <w:spacing w:line="360" w:lineRule="exact"/>
              <w:ind w:firstLine="0" w:firstLineChars="0"/>
              <w:jc w:val="center"/>
              <w:textAlignment w:val="auto"/>
              <w:rPr>
                <w:color w:val="auto"/>
                <w:highlight w:val="none"/>
              </w:rPr>
            </w:pPr>
            <w:r>
              <w:rPr>
                <w:rFonts w:hint="eastAsia" w:ascii="宋体" w:hAnsi="宋体" w:eastAsia="宋体" w:cs="宋体"/>
                <w:color w:val="auto"/>
                <w:highlight w:val="none"/>
              </w:rPr>
              <w:t>第11.1款</w:t>
            </w:r>
          </w:p>
        </w:tc>
        <w:tc>
          <w:tcPr>
            <w:tcW w:w="2546" w:type="dxa"/>
            <w:vAlign w:val="center"/>
          </w:tcPr>
          <w:p w14:paraId="01B56B85">
            <w:pPr>
              <w:keepNext w:val="0"/>
              <w:keepLines w:val="0"/>
              <w:pageBreakBefore w:val="0"/>
              <w:kinsoku/>
              <w:wordWrap/>
              <w:overflowPunct/>
              <w:topLinePunct w:val="0"/>
              <w:bidi w:val="0"/>
              <w:adjustRightInd w:val="0"/>
              <w:snapToGrid w:val="0"/>
              <w:spacing w:line="360" w:lineRule="exact"/>
              <w:textAlignment w:val="auto"/>
              <w:rPr>
                <w:rFonts w:ascii="宋体" w:hAnsi="宋体"/>
                <w:color w:val="auto"/>
                <w:szCs w:val="21"/>
                <w:highlight w:val="none"/>
              </w:rPr>
            </w:pPr>
            <w:r>
              <w:rPr>
                <w:rFonts w:hint="eastAsia" w:ascii="宋体" w:hAnsi="宋体"/>
                <w:color w:val="auto"/>
                <w:szCs w:val="21"/>
                <w:highlight w:val="none"/>
              </w:rPr>
              <w:t>其他应当保密的信息</w:t>
            </w:r>
          </w:p>
        </w:tc>
        <w:tc>
          <w:tcPr>
            <w:tcW w:w="5169" w:type="dxa"/>
            <w:vAlign w:val="center"/>
          </w:tcPr>
          <w:p w14:paraId="5399DFB3">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4C2AEE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3060C3D8">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E917895">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第12.2款</w:t>
            </w:r>
          </w:p>
        </w:tc>
        <w:tc>
          <w:tcPr>
            <w:tcW w:w="2546" w:type="dxa"/>
            <w:vAlign w:val="center"/>
          </w:tcPr>
          <w:p w14:paraId="6B0E0565">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合同价款支付时间</w:t>
            </w:r>
          </w:p>
        </w:tc>
        <w:tc>
          <w:tcPr>
            <w:tcW w:w="5169" w:type="dxa"/>
            <w:vAlign w:val="center"/>
          </w:tcPr>
          <w:p w14:paraId="5878F2DF">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4D2292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42CCC14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64A5E7E">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第13.2款</w:t>
            </w:r>
          </w:p>
        </w:tc>
        <w:tc>
          <w:tcPr>
            <w:tcW w:w="2546" w:type="dxa"/>
            <w:vAlign w:val="center"/>
          </w:tcPr>
          <w:p w14:paraId="1E0D446B">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履约保证金不予退还的情形</w:t>
            </w:r>
          </w:p>
        </w:tc>
        <w:tc>
          <w:tcPr>
            <w:tcW w:w="5169" w:type="dxa"/>
            <w:vAlign w:val="center"/>
          </w:tcPr>
          <w:p w14:paraId="0B7D9A07">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5E506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07055C40">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3D6491D">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第13.3款</w:t>
            </w:r>
          </w:p>
        </w:tc>
        <w:tc>
          <w:tcPr>
            <w:tcW w:w="2546" w:type="dxa"/>
            <w:vAlign w:val="center"/>
          </w:tcPr>
          <w:p w14:paraId="51940B62">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69" w:type="dxa"/>
            <w:vAlign w:val="center"/>
          </w:tcPr>
          <w:p w14:paraId="1AAF89B3">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3D795A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1E8BB0EA">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178B3AB3">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第14.1（3）项</w:t>
            </w:r>
          </w:p>
        </w:tc>
        <w:tc>
          <w:tcPr>
            <w:tcW w:w="2546" w:type="dxa"/>
            <w:vAlign w:val="center"/>
          </w:tcPr>
          <w:p w14:paraId="6EF28EBB">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运行监督、维修期限</w:t>
            </w:r>
          </w:p>
        </w:tc>
        <w:tc>
          <w:tcPr>
            <w:tcW w:w="5169" w:type="dxa"/>
            <w:vAlign w:val="center"/>
          </w:tcPr>
          <w:p w14:paraId="6C07B198">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5CBF55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0A3C497C">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E9A995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第14.1（5）项</w:t>
            </w:r>
          </w:p>
        </w:tc>
        <w:tc>
          <w:tcPr>
            <w:tcW w:w="2546" w:type="dxa"/>
            <w:vAlign w:val="center"/>
          </w:tcPr>
          <w:p w14:paraId="39658108">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货物回收的约定</w:t>
            </w:r>
          </w:p>
        </w:tc>
        <w:tc>
          <w:tcPr>
            <w:tcW w:w="5169" w:type="dxa"/>
            <w:vAlign w:val="center"/>
          </w:tcPr>
          <w:p w14:paraId="7DD1B5D9">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264D2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74D83FA8">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732C8798">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第14.1（6）项</w:t>
            </w:r>
          </w:p>
        </w:tc>
        <w:tc>
          <w:tcPr>
            <w:tcW w:w="2546" w:type="dxa"/>
            <w:vAlign w:val="center"/>
          </w:tcPr>
          <w:p w14:paraId="5A3CC7C8">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乙方提供的其他服务</w:t>
            </w:r>
          </w:p>
        </w:tc>
        <w:tc>
          <w:tcPr>
            <w:tcW w:w="5169" w:type="dxa"/>
            <w:vAlign w:val="center"/>
          </w:tcPr>
          <w:p w14:paraId="08F9EEBF">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20BA8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7FEE1A81">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7D705C2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第15.1款</w:t>
            </w:r>
          </w:p>
        </w:tc>
        <w:tc>
          <w:tcPr>
            <w:tcW w:w="2546" w:type="dxa"/>
            <w:vAlign w:val="center"/>
          </w:tcPr>
          <w:p w14:paraId="500B0905">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修理、重作、更换相关具体规定</w:t>
            </w:r>
          </w:p>
        </w:tc>
        <w:tc>
          <w:tcPr>
            <w:tcW w:w="5169" w:type="dxa"/>
            <w:vAlign w:val="center"/>
          </w:tcPr>
          <w:p w14:paraId="7C2BDD73">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r w14:paraId="7CD93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622D622B">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6B9F8207">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第15.2（2）项</w:t>
            </w:r>
          </w:p>
        </w:tc>
        <w:tc>
          <w:tcPr>
            <w:tcW w:w="2546" w:type="dxa"/>
            <w:vAlign w:val="center"/>
          </w:tcPr>
          <w:p w14:paraId="310CE878">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迟延交货赔偿费</w:t>
            </w:r>
          </w:p>
        </w:tc>
        <w:tc>
          <w:tcPr>
            <w:tcW w:w="5169" w:type="dxa"/>
            <w:vAlign w:val="center"/>
          </w:tcPr>
          <w:p w14:paraId="330484B3">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u w:val="single"/>
              </w:rPr>
            </w:pPr>
          </w:p>
        </w:tc>
      </w:tr>
      <w:tr w14:paraId="48A2AC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016CF9A6">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76AD347">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第15.3款</w:t>
            </w:r>
          </w:p>
        </w:tc>
        <w:tc>
          <w:tcPr>
            <w:tcW w:w="2546" w:type="dxa"/>
            <w:vAlign w:val="center"/>
          </w:tcPr>
          <w:p w14:paraId="59CC2C1A">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逾期付款利息</w:t>
            </w:r>
          </w:p>
        </w:tc>
        <w:tc>
          <w:tcPr>
            <w:tcW w:w="5169" w:type="dxa"/>
            <w:vAlign w:val="center"/>
          </w:tcPr>
          <w:p w14:paraId="44123921">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u w:val="single"/>
              </w:rPr>
            </w:pPr>
          </w:p>
        </w:tc>
      </w:tr>
      <w:tr w14:paraId="130EFF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tcBorders>
              <w:bottom w:val="single" w:color="auto" w:sz="2" w:space="0"/>
              <w:right w:val="single" w:color="auto" w:sz="2" w:space="0"/>
            </w:tcBorders>
            <w:vAlign w:val="center"/>
          </w:tcPr>
          <w:p w14:paraId="1BDC0E65">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313BFD9C">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第15.4款</w:t>
            </w:r>
          </w:p>
        </w:tc>
        <w:tc>
          <w:tcPr>
            <w:tcW w:w="2546" w:type="dxa"/>
            <w:tcBorders>
              <w:left w:val="single" w:color="auto" w:sz="2" w:space="0"/>
              <w:bottom w:val="single" w:color="auto" w:sz="2" w:space="0"/>
              <w:right w:val="single" w:color="auto" w:sz="2" w:space="0"/>
            </w:tcBorders>
            <w:vAlign w:val="center"/>
          </w:tcPr>
          <w:p w14:paraId="462BB576">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其他违约责任</w:t>
            </w:r>
          </w:p>
        </w:tc>
        <w:tc>
          <w:tcPr>
            <w:tcW w:w="5169" w:type="dxa"/>
            <w:tcBorders>
              <w:left w:val="single" w:color="auto" w:sz="2" w:space="0"/>
              <w:bottom w:val="single" w:color="auto" w:sz="2" w:space="0"/>
            </w:tcBorders>
            <w:vAlign w:val="center"/>
          </w:tcPr>
          <w:p w14:paraId="65E21B99">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u w:val="single"/>
              </w:rPr>
            </w:pPr>
          </w:p>
        </w:tc>
      </w:tr>
      <w:tr w14:paraId="5AE132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tcBorders>
              <w:top w:val="single" w:color="auto" w:sz="2" w:space="0"/>
              <w:right w:val="single" w:color="auto" w:sz="2" w:space="0"/>
            </w:tcBorders>
            <w:vAlign w:val="center"/>
          </w:tcPr>
          <w:p w14:paraId="4956287A">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0C8FF614">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第19.2款</w:t>
            </w:r>
          </w:p>
        </w:tc>
        <w:tc>
          <w:tcPr>
            <w:tcW w:w="2546" w:type="dxa"/>
            <w:tcBorders>
              <w:top w:val="single" w:color="auto" w:sz="2" w:space="0"/>
              <w:left w:val="single" w:color="auto" w:sz="2" w:space="0"/>
              <w:right w:val="single" w:color="auto" w:sz="2" w:space="0"/>
            </w:tcBorders>
            <w:vAlign w:val="center"/>
          </w:tcPr>
          <w:p w14:paraId="4F492775">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color w:val="auto"/>
                <w:szCs w:val="21"/>
                <w:highlight w:val="none"/>
              </w:rPr>
              <w:t>解决争议的方法</w:t>
            </w:r>
          </w:p>
        </w:tc>
        <w:tc>
          <w:tcPr>
            <w:tcW w:w="5169" w:type="dxa"/>
            <w:tcBorders>
              <w:top w:val="single" w:color="auto" w:sz="2" w:space="0"/>
              <w:left w:val="single" w:color="auto" w:sz="2" w:space="0"/>
            </w:tcBorders>
            <w:vAlign w:val="center"/>
          </w:tcPr>
          <w:p w14:paraId="1F5DE0F6">
            <w:pPr>
              <w:keepNext w:val="0"/>
              <w:keepLines w:val="0"/>
              <w:pageBreakBefore w:val="0"/>
              <w:kinsoku/>
              <w:wordWrap/>
              <w:overflowPunct/>
              <w:topLinePunct w:val="0"/>
              <w:autoSpaceDE w:val="0"/>
              <w:autoSpaceDN w:val="0"/>
              <w:bidi w:val="0"/>
              <w:adjustRightInd w:val="0"/>
              <w:snapToGrid w:val="0"/>
              <w:spacing w:line="360" w:lineRule="exact"/>
              <w:jc w:val="left"/>
              <w:textAlignment w:val="auto"/>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195CC6A4">
            <w:pPr>
              <w:keepNext w:val="0"/>
              <w:keepLines w:val="0"/>
              <w:pageBreakBefore w:val="0"/>
              <w:kinsoku/>
              <w:wordWrap/>
              <w:overflowPunct/>
              <w:topLinePunct w:val="0"/>
              <w:autoSpaceDE w:val="0"/>
              <w:autoSpaceDN w:val="0"/>
              <w:bidi w:val="0"/>
              <w:adjustRightInd w:val="0"/>
              <w:snapToGrid w:val="0"/>
              <w:spacing w:line="360" w:lineRule="exact"/>
              <w:jc w:val="left"/>
              <w:textAlignment w:val="auto"/>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7D0C03D0">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7BB92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07" w:type="dxa"/>
            <w:vAlign w:val="center"/>
          </w:tcPr>
          <w:p w14:paraId="0E6926BC">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第二节</w:t>
            </w:r>
          </w:p>
          <w:p w14:paraId="20ADAC5C">
            <w:pPr>
              <w:keepNext w:val="0"/>
              <w:keepLines w:val="0"/>
              <w:pageBreakBefore w:val="0"/>
              <w:kinsoku/>
              <w:wordWrap/>
              <w:overflowPunct/>
              <w:topLinePunct w:val="0"/>
              <w:bidi w:val="0"/>
              <w:adjustRightInd w:val="0"/>
              <w:snapToGrid w:val="0"/>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第23.1款</w:t>
            </w:r>
          </w:p>
        </w:tc>
        <w:tc>
          <w:tcPr>
            <w:tcW w:w="2546" w:type="dxa"/>
            <w:vAlign w:val="center"/>
          </w:tcPr>
          <w:p w14:paraId="0465FC82">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r>
              <w:rPr>
                <w:rFonts w:hint="eastAsia" w:ascii="宋体" w:hAnsi="宋体"/>
                <w:bCs/>
                <w:color w:val="auto"/>
                <w:szCs w:val="21"/>
                <w:highlight w:val="none"/>
              </w:rPr>
              <w:t>其他专用条款</w:t>
            </w:r>
          </w:p>
        </w:tc>
        <w:tc>
          <w:tcPr>
            <w:tcW w:w="5169" w:type="dxa"/>
            <w:vAlign w:val="center"/>
          </w:tcPr>
          <w:p w14:paraId="245245A0">
            <w:pPr>
              <w:keepNext w:val="0"/>
              <w:keepLines w:val="0"/>
              <w:pageBreakBefore w:val="0"/>
              <w:kinsoku/>
              <w:wordWrap/>
              <w:overflowPunct/>
              <w:topLinePunct w:val="0"/>
              <w:bidi w:val="0"/>
              <w:adjustRightInd w:val="0"/>
              <w:snapToGrid w:val="0"/>
              <w:spacing w:line="360" w:lineRule="exact"/>
              <w:jc w:val="left"/>
              <w:textAlignment w:val="auto"/>
              <w:rPr>
                <w:rFonts w:ascii="宋体" w:hAnsi="宋体"/>
                <w:color w:val="auto"/>
                <w:szCs w:val="21"/>
                <w:highlight w:val="none"/>
              </w:rPr>
            </w:pPr>
          </w:p>
        </w:tc>
      </w:tr>
    </w:tbl>
    <w:p w14:paraId="01862D8D">
      <w:pPr>
        <w:numPr>
          <w:ilvl w:val="0"/>
          <w:numId w:val="0"/>
        </w:numPr>
        <w:spacing w:line="360" w:lineRule="auto"/>
        <w:jc w:val="both"/>
        <w:rPr>
          <w:rFonts w:ascii="黑体" w:eastAsia="黑体"/>
          <w:b/>
          <w:color w:val="auto"/>
          <w:sz w:val="36"/>
          <w:szCs w:val="36"/>
          <w:highlight w:val="none"/>
        </w:rPr>
      </w:pPr>
    </w:p>
    <w:p w14:paraId="2FE9BDEE">
      <w:pPr>
        <w:numPr>
          <w:ilvl w:val="0"/>
          <w:numId w:val="0"/>
        </w:numPr>
        <w:spacing w:line="360" w:lineRule="auto"/>
        <w:jc w:val="both"/>
        <w:rPr>
          <w:rFonts w:ascii="黑体" w:eastAsia="黑体"/>
          <w:b/>
          <w:color w:val="auto"/>
          <w:sz w:val="36"/>
          <w:szCs w:val="36"/>
          <w:highlight w:val="none"/>
        </w:rPr>
      </w:pPr>
    </w:p>
    <w:p w14:paraId="71DFD755">
      <w:pPr>
        <w:pStyle w:val="9"/>
        <w:rPr>
          <w:rFonts w:ascii="黑体" w:eastAsia="黑体"/>
          <w:b/>
          <w:color w:val="auto"/>
          <w:sz w:val="36"/>
          <w:szCs w:val="36"/>
          <w:highlight w:val="none"/>
        </w:rPr>
      </w:pPr>
    </w:p>
    <w:p w14:paraId="0911AA54">
      <w:pPr>
        <w:pStyle w:val="9"/>
        <w:rPr>
          <w:rFonts w:ascii="黑体" w:eastAsia="黑体"/>
          <w:b/>
          <w:color w:val="auto"/>
          <w:sz w:val="36"/>
          <w:szCs w:val="36"/>
          <w:highlight w:val="none"/>
        </w:rPr>
      </w:pPr>
    </w:p>
    <w:p w14:paraId="1E85FCFF">
      <w:pPr>
        <w:pStyle w:val="9"/>
        <w:rPr>
          <w:rFonts w:ascii="黑体" w:eastAsia="黑体"/>
          <w:b/>
          <w:color w:val="auto"/>
          <w:sz w:val="36"/>
          <w:szCs w:val="36"/>
          <w:highlight w:val="none"/>
        </w:rPr>
      </w:pPr>
    </w:p>
    <w:p w14:paraId="5204568A">
      <w:pPr>
        <w:pStyle w:val="9"/>
        <w:rPr>
          <w:rFonts w:ascii="黑体" w:eastAsia="黑体"/>
          <w:b/>
          <w:color w:val="auto"/>
          <w:sz w:val="36"/>
          <w:szCs w:val="36"/>
          <w:highlight w:val="none"/>
        </w:rPr>
      </w:pPr>
    </w:p>
    <w:p w14:paraId="21B726BC">
      <w:pPr>
        <w:pStyle w:val="9"/>
        <w:rPr>
          <w:rFonts w:ascii="黑体" w:eastAsia="黑体"/>
          <w:b/>
          <w:color w:val="auto"/>
          <w:sz w:val="36"/>
          <w:szCs w:val="36"/>
          <w:highlight w:val="none"/>
        </w:rPr>
      </w:pPr>
    </w:p>
    <w:p w14:paraId="173F078C">
      <w:pPr>
        <w:pStyle w:val="9"/>
        <w:rPr>
          <w:rFonts w:ascii="黑体" w:eastAsia="黑体"/>
          <w:b/>
          <w:color w:val="auto"/>
          <w:sz w:val="36"/>
          <w:szCs w:val="36"/>
          <w:highlight w:val="none"/>
        </w:rPr>
      </w:pPr>
    </w:p>
    <w:p w14:paraId="6963FCA3">
      <w:pPr>
        <w:pStyle w:val="9"/>
        <w:rPr>
          <w:rFonts w:ascii="黑体" w:eastAsia="黑体"/>
          <w:b/>
          <w:color w:val="auto"/>
          <w:sz w:val="36"/>
          <w:szCs w:val="36"/>
          <w:highlight w:val="none"/>
        </w:rPr>
      </w:pPr>
    </w:p>
    <w:p w14:paraId="645DBE31">
      <w:pPr>
        <w:pStyle w:val="9"/>
        <w:rPr>
          <w:rFonts w:ascii="黑体" w:eastAsia="黑体"/>
          <w:b/>
          <w:color w:val="auto"/>
          <w:sz w:val="36"/>
          <w:szCs w:val="36"/>
          <w:highlight w:val="none"/>
        </w:rPr>
      </w:pPr>
    </w:p>
    <w:p w14:paraId="23800AE7">
      <w:pPr>
        <w:pStyle w:val="9"/>
        <w:rPr>
          <w:rFonts w:ascii="黑体" w:eastAsia="黑体"/>
          <w:b/>
          <w:color w:val="auto"/>
          <w:sz w:val="36"/>
          <w:szCs w:val="36"/>
          <w:highlight w:val="none"/>
        </w:rPr>
      </w:pPr>
    </w:p>
    <w:p w14:paraId="337F6A1E">
      <w:pPr>
        <w:pStyle w:val="9"/>
        <w:rPr>
          <w:rFonts w:ascii="黑体" w:eastAsia="黑体"/>
          <w:b/>
          <w:color w:val="auto"/>
          <w:sz w:val="36"/>
          <w:szCs w:val="36"/>
          <w:highlight w:val="none"/>
        </w:rPr>
      </w:pPr>
    </w:p>
    <w:p w14:paraId="0A4EAECC">
      <w:pPr>
        <w:pStyle w:val="9"/>
        <w:rPr>
          <w:rFonts w:ascii="黑体" w:eastAsia="黑体"/>
          <w:b/>
          <w:color w:val="auto"/>
          <w:sz w:val="36"/>
          <w:szCs w:val="36"/>
          <w:highlight w:val="none"/>
        </w:rPr>
      </w:pPr>
    </w:p>
    <w:p w14:paraId="424A0251">
      <w:pPr>
        <w:numPr>
          <w:ilvl w:val="0"/>
          <w:numId w:val="0"/>
        </w:numPr>
        <w:spacing w:line="360" w:lineRule="auto"/>
        <w:jc w:val="center"/>
        <w:rPr>
          <w:rFonts w:hint="eastAsia" w:ascii="黑体" w:eastAsia="黑体"/>
          <w:b/>
          <w:color w:val="auto"/>
          <w:sz w:val="36"/>
          <w:szCs w:val="36"/>
          <w:highlight w:val="none"/>
          <w:lang w:val="en-US" w:eastAsia="zh-CN"/>
        </w:rPr>
      </w:pPr>
    </w:p>
    <w:p w14:paraId="6F515D6F">
      <w:pPr>
        <w:numPr>
          <w:ilvl w:val="0"/>
          <w:numId w:val="0"/>
        </w:numPr>
        <w:spacing w:line="360" w:lineRule="auto"/>
        <w:jc w:val="center"/>
        <w:rPr>
          <w:rFonts w:hint="eastAsia" w:ascii="黑体" w:eastAsia="黑体"/>
          <w:b/>
          <w:color w:val="auto"/>
          <w:sz w:val="36"/>
          <w:szCs w:val="36"/>
          <w:highlight w:val="none"/>
          <w:lang w:val="en-US" w:eastAsia="zh-CN"/>
        </w:rPr>
      </w:pPr>
    </w:p>
    <w:p w14:paraId="3BFB64AB">
      <w:pPr>
        <w:numPr>
          <w:ilvl w:val="0"/>
          <w:numId w:val="0"/>
        </w:numPr>
        <w:spacing w:line="360" w:lineRule="auto"/>
        <w:jc w:val="center"/>
        <w:rPr>
          <w:rFonts w:hint="eastAsia" w:ascii="黑体" w:eastAsia="黑体"/>
          <w:b/>
          <w:color w:val="auto"/>
          <w:sz w:val="36"/>
          <w:szCs w:val="36"/>
          <w:highlight w:val="none"/>
          <w:lang w:val="en-US" w:eastAsia="zh-CN"/>
        </w:rPr>
      </w:pPr>
    </w:p>
    <w:p w14:paraId="2A533D39">
      <w:pPr>
        <w:numPr>
          <w:ilvl w:val="0"/>
          <w:numId w:val="0"/>
        </w:numPr>
        <w:spacing w:line="360" w:lineRule="auto"/>
        <w:jc w:val="center"/>
        <w:rPr>
          <w:rFonts w:hint="eastAsia" w:ascii="黑体" w:eastAsia="黑体"/>
          <w:b/>
          <w:color w:val="auto"/>
          <w:sz w:val="36"/>
          <w:szCs w:val="36"/>
          <w:highlight w:val="none"/>
          <w:lang w:val="en-US" w:eastAsia="zh-CN"/>
        </w:rPr>
      </w:pPr>
    </w:p>
    <w:p w14:paraId="6FE0C01E">
      <w:pPr>
        <w:numPr>
          <w:ilvl w:val="0"/>
          <w:numId w:val="0"/>
        </w:numPr>
        <w:spacing w:line="360" w:lineRule="auto"/>
        <w:jc w:val="center"/>
        <w:rPr>
          <w:rFonts w:hint="eastAsia" w:ascii="黑体" w:eastAsia="黑体"/>
          <w:b/>
          <w:color w:val="auto"/>
          <w:sz w:val="36"/>
          <w:szCs w:val="36"/>
          <w:highlight w:val="none"/>
          <w:lang w:val="en-US" w:eastAsia="zh-CN"/>
        </w:rPr>
      </w:pPr>
    </w:p>
    <w:p w14:paraId="45B01BE5">
      <w:pPr>
        <w:numPr>
          <w:ilvl w:val="0"/>
          <w:numId w:val="0"/>
        </w:numPr>
        <w:spacing w:line="360" w:lineRule="auto"/>
        <w:jc w:val="center"/>
        <w:rPr>
          <w:rFonts w:hint="eastAsia" w:ascii="黑体" w:eastAsia="黑体"/>
          <w:b/>
          <w:color w:val="auto"/>
          <w:sz w:val="36"/>
          <w:szCs w:val="36"/>
          <w:highlight w:val="none"/>
          <w:lang w:val="en-US" w:eastAsia="zh-CN"/>
        </w:rPr>
      </w:pPr>
    </w:p>
    <w:p w14:paraId="42B0FE29">
      <w:pPr>
        <w:numPr>
          <w:ilvl w:val="0"/>
          <w:numId w:val="0"/>
        </w:numPr>
        <w:spacing w:line="360" w:lineRule="auto"/>
        <w:jc w:val="center"/>
        <w:rPr>
          <w:rFonts w:hint="eastAsia" w:ascii="黑体" w:eastAsia="黑体"/>
          <w:b/>
          <w:color w:val="auto"/>
          <w:sz w:val="36"/>
          <w:szCs w:val="36"/>
          <w:highlight w:val="none"/>
          <w:lang w:val="en-US" w:eastAsia="zh-CN"/>
        </w:rPr>
      </w:pPr>
    </w:p>
    <w:p w14:paraId="0B69995C">
      <w:pPr>
        <w:numPr>
          <w:ilvl w:val="0"/>
          <w:numId w:val="0"/>
        </w:numPr>
        <w:spacing w:line="360" w:lineRule="auto"/>
        <w:jc w:val="center"/>
        <w:rPr>
          <w:rFonts w:hint="eastAsia" w:ascii="黑体" w:eastAsia="黑体"/>
          <w:b/>
          <w:color w:val="auto"/>
          <w:sz w:val="36"/>
          <w:szCs w:val="36"/>
          <w:highlight w:val="none"/>
          <w:lang w:val="en-US" w:eastAsia="zh-CN"/>
        </w:rPr>
      </w:pPr>
    </w:p>
    <w:p w14:paraId="16E136D7">
      <w:pPr>
        <w:numPr>
          <w:ilvl w:val="0"/>
          <w:numId w:val="0"/>
        </w:numPr>
        <w:spacing w:line="360" w:lineRule="auto"/>
        <w:jc w:val="center"/>
        <w:rPr>
          <w:rFonts w:ascii="黑体" w:eastAsia="黑体"/>
          <w:b/>
          <w:color w:val="auto"/>
          <w:sz w:val="36"/>
          <w:szCs w:val="36"/>
          <w:highlight w:val="none"/>
        </w:rPr>
      </w:pPr>
      <w:r>
        <w:rPr>
          <w:rFonts w:hint="eastAsia" w:ascii="黑体" w:eastAsia="黑体"/>
          <w:b/>
          <w:color w:val="auto"/>
          <w:sz w:val="36"/>
          <w:szCs w:val="36"/>
          <w:highlight w:val="none"/>
          <w:lang w:val="en-US" w:eastAsia="zh-CN"/>
        </w:rPr>
        <w:t xml:space="preserve">第五章 </w:t>
      </w:r>
      <w:r>
        <w:rPr>
          <w:rFonts w:hint="eastAsia" w:ascii="黑体" w:eastAsia="黑体"/>
          <w:b/>
          <w:color w:val="auto"/>
          <w:sz w:val="36"/>
          <w:szCs w:val="36"/>
          <w:highlight w:val="none"/>
        </w:rPr>
        <w:t>采购需求</w:t>
      </w:r>
    </w:p>
    <w:bookmarkEnd w:id="2"/>
    <w:bookmarkEnd w:id="3"/>
    <w:bookmarkEnd w:id="4"/>
    <w:bookmarkEnd w:id="5"/>
    <w:bookmarkEnd w:id="6"/>
    <w:tbl>
      <w:tblPr>
        <w:tblStyle w:val="26"/>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63"/>
        <w:gridCol w:w="1167"/>
        <w:gridCol w:w="5983"/>
        <w:gridCol w:w="650"/>
        <w:gridCol w:w="652"/>
      </w:tblGrid>
      <w:tr w14:paraId="180C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atLeast"/>
          <w:jc w:val="center"/>
        </w:trPr>
        <w:tc>
          <w:tcPr>
            <w:tcW w:w="463" w:type="pct"/>
            <w:noWrap w:val="0"/>
            <w:vAlign w:val="center"/>
          </w:tcPr>
          <w:p w14:paraId="3CB775FC">
            <w:pPr>
              <w:widowControl w:val="0"/>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序号</w:t>
            </w:r>
          </w:p>
        </w:tc>
        <w:tc>
          <w:tcPr>
            <w:tcW w:w="626" w:type="pct"/>
            <w:noWrap w:val="0"/>
            <w:vAlign w:val="center"/>
          </w:tcPr>
          <w:p w14:paraId="392B373B">
            <w:pPr>
              <w:widowControl w:val="0"/>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货物名称</w:t>
            </w:r>
          </w:p>
        </w:tc>
        <w:tc>
          <w:tcPr>
            <w:tcW w:w="3211" w:type="pct"/>
            <w:noWrap w:val="0"/>
            <w:vAlign w:val="center"/>
          </w:tcPr>
          <w:p w14:paraId="674D641E">
            <w:pPr>
              <w:widowControl w:val="0"/>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主要功能配置及技术指标要求</w:t>
            </w:r>
          </w:p>
        </w:tc>
        <w:tc>
          <w:tcPr>
            <w:tcW w:w="348" w:type="pct"/>
            <w:noWrap w:val="0"/>
            <w:vAlign w:val="center"/>
          </w:tcPr>
          <w:p w14:paraId="5B1BDBE4">
            <w:pPr>
              <w:widowControl w:val="0"/>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数量</w:t>
            </w:r>
          </w:p>
        </w:tc>
        <w:tc>
          <w:tcPr>
            <w:tcW w:w="349" w:type="pct"/>
            <w:noWrap w:val="0"/>
            <w:vAlign w:val="center"/>
          </w:tcPr>
          <w:p w14:paraId="386F44A6">
            <w:pPr>
              <w:widowControl w:val="0"/>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数量</w:t>
            </w:r>
          </w:p>
          <w:p w14:paraId="40075CE0">
            <w:pPr>
              <w:widowControl w:val="0"/>
              <w:jc w:val="center"/>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单位</w:t>
            </w:r>
          </w:p>
        </w:tc>
      </w:tr>
      <w:tr w14:paraId="37FB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6" w:hRule="atLeast"/>
          <w:jc w:val="center"/>
        </w:trPr>
        <w:tc>
          <w:tcPr>
            <w:tcW w:w="463" w:type="pct"/>
            <w:noWrap w:val="0"/>
            <w:vAlign w:val="center"/>
          </w:tcPr>
          <w:p w14:paraId="1F3478C3">
            <w:pPr>
              <w:jc w:val="center"/>
              <w:rPr>
                <w:rFonts w:hint="eastAsia" w:ascii="宋体" w:hAnsi="宋体" w:eastAsia="宋体" w:cs="宋体"/>
                <w:b w:val="0"/>
                <w:bCs w:val="0"/>
                <w:color w:val="auto"/>
                <w:sz w:val="21"/>
                <w:szCs w:val="21"/>
                <w:highlight w:val="none"/>
              </w:rPr>
            </w:pPr>
            <w:bookmarkStart w:id="10" w:name="_Hlk109034857"/>
            <w:r>
              <w:rPr>
                <w:rFonts w:hint="eastAsia" w:ascii="宋体" w:hAnsi="宋体" w:eastAsia="宋体" w:cs="宋体"/>
                <w:b w:val="0"/>
                <w:bCs w:val="0"/>
                <w:color w:val="auto"/>
                <w:sz w:val="21"/>
                <w:szCs w:val="21"/>
                <w:highlight w:val="none"/>
              </w:rPr>
              <w:t>1</w:t>
            </w:r>
          </w:p>
        </w:tc>
        <w:tc>
          <w:tcPr>
            <w:tcW w:w="626" w:type="pct"/>
            <w:noWrap w:val="0"/>
            <w:vAlign w:val="center"/>
          </w:tcPr>
          <w:p w14:paraId="139E3F10">
            <w:pPr>
              <w:widowControl w:val="0"/>
              <w:jc w:val="center"/>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人机环境同步平台</w:t>
            </w:r>
          </w:p>
          <w:p w14:paraId="06F0195B">
            <w:pPr>
              <w:widowControl w:val="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（核心产品）</w:t>
            </w:r>
          </w:p>
        </w:tc>
        <w:tc>
          <w:tcPr>
            <w:tcW w:w="3211" w:type="pct"/>
            <w:noWrap w:val="0"/>
            <w:vAlign w:val="center"/>
          </w:tcPr>
          <w:p w14:paraId="12D1C37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kern w:val="2"/>
                <w:sz w:val="21"/>
                <w:szCs w:val="21"/>
                <w:highlight w:val="none"/>
                <w:lang w:val="en-US" w:eastAsia="zh-CN" w:bidi="ar-SA"/>
              </w:rPr>
              <w:t>. 主机系统参数</w:t>
            </w:r>
          </w:p>
          <w:p w14:paraId="0DB2BAD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 数字输入通道：≥16</w:t>
            </w:r>
          </w:p>
          <w:p w14:paraId="4DC8EC2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 数字输出通道：≥16</w:t>
            </w:r>
          </w:p>
          <w:p w14:paraId="7548050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 生理射频接口采集数量：≥16</w:t>
            </w:r>
          </w:p>
          <w:p w14:paraId="1F7007B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 传输带宽：≥ 4Mbps</w:t>
            </w:r>
          </w:p>
          <w:p w14:paraId="39EF099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 HDMI接口：≥8</w:t>
            </w:r>
          </w:p>
          <w:p w14:paraId="4AF9682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2. 声光刺激反应标记（屏幕光刺激反应传感器）   </w:t>
            </w:r>
          </w:p>
          <w:p w14:paraId="5014F4E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2.1 可设置的光敏感阈值：20%~100%</w:t>
            </w:r>
          </w:p>
          <w:p w14:paraId="60BFA42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2.2 可测量光强范围：0~65536 LUX</w:t>
            </w:r>
          </w:p>
          <w:p w14:paraId="184D9C0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2.3 光刺激窗口：≥2 mm*2 mm</w:t>
            </w:r>
          </w:p>
          <w:p w14:paraId="73B61A0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2.4 光刺激方式：光强变化</w:t>
            </w:r>
          </w:p>
          <w:p w14:paraId="46E1871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 声光刺激反应标记（声音刺激反应传感器）</w:t>
            </w:r>
          </w:p>
          <w:p w14:paraId="1BD40ED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3.1 采集范围：45~120分贝 </w:t>
            </w:r>
          </w:p>
          <w:p w14:paraId="2945788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3.2 可设置的触发阈值：45~120分贝  </w:t>
            </w:r>
          </w:p>
          <w:p w14:paraId="5BB48CE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3.3 刺激方式：定向采集</w:t>
            </w:r>
          </w:p>
          <w:p w14:paraId="34D5A35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 外部数据接口</w:t>
            </w:r>
          </w:p>
          <w:p w14:paraId="699F9D4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4.1 Rest API：系统提供Rest API接口，支持与第三方软件/硬件进行数据传输，并进行同步呈现、处理、分析（需提供软件截图）</w:t>
            </w:r>
          </w:p>
          <w:p w14:paraId="761A4F1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4.2 嵌入式SDK：支持第三方程序通过SDK直接读取</w:t>
            </w:r>
            <w:r>
              <w:rPr>
                <w:rFonts w:hint="eastAsia" w:ascii="宋体" w:hAnsi="宋体" w:cs="宋体"/>
                <w:b w:val="0"/>
                <w:bCs w:val="0"/>
                <w:color w:val="auto"/>
                <w:kern w:val="2"/>
                <w:sz w:val="21"/>
                <w:szCs w:val="21"/>
                <w:highlight w:val="none"/>
                <w:lang w:val="en-US" w:eastAsia="zh-CN" w:bidi="ar-SA"/>
              </w:rPr>
              <w:t>人机环境同步平台</w:t>
            </w:r>
            <w:r>
              <w:rPr>
                <w:rFonts w:hint="eastAsia" w:ascii="宋体" w:hAnsi="宋体" w:eastAsia="宋体" w:cs="宋体"/>
                <w:b w:val="0"/>
                <w:bCs w:val="0"/>
                <w:color w:val="auto"/>
                <w:kern w:val="2"/>
                <w:sz w:val="21"/>
                <w:szCs w:val="21"/>
                <w:highlight w:val="none"/>
                <w:lang w:val="en-US" w:eastAsia="zh-CN" w:bidi="ar-SA"/>
              </w:rPr>
              <w:t>硬件数据，并以高速率进行数据传输</w:t>
            </w:r>
          </w:p>
          <w:p w14:paraId="37C194F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4.3 SyncBox TTL：支持事件输入与输出，包括声、光、Design模块刺激及使用第三方的刺激呈现软件（需提供软件截图）</w:t>
            </w:r>
          </w:p>
          <w:p w14:paraId="2C21E35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 人机环境平台软件参数</w:t>
            </w:r>
          </w:p>
          <w:p w14:paraId="07D42D0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5.1 软件界面支持中英文双语版本，可以实时同步采集数据≥7种（需详细列出）同步精度≤10ms（需提供软件截图）</w:t>
            </w:r>
          </w:p>
          <w:p w14:paraId="0DE2F5B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支持在线检测并升级至系统最新版本，实时查看功能更新日志下（需提供软件截图）</w:t>
            </w:r>
          </w:p>
          <w:p w14:paraId="27B39DF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 xml:space="preserve"> 支持采集窗口渲染数据的隐藏显示，确保多模态数据采集的流畅性</w:t>
            </w:r>
          </w:p>
          <w:p w14:paraId="57E1108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 xml:space="preserve"> 系统支持实时同步与事后离线导入同步</w:t>
            </w:r>
          </w:p>
          <w:p w14:paraId="2BEC362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支持创建模板项目，实现项目或实验设计的重复利用，提高研究效率</w:t>
            </w:r>
          </w:p>
          <w:p w14:paraId="270BE13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 xml:space="preserve"> 系统支持创建团体实验分发至多个测试终端，进行群体实验（需提供软件截图）</w:t>
            </w:r>
          </w:p>
          <w:p w14:paraId="0B6D769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多元实验设计系统</w:t>
            </w:r>
          </w:p>
          <w:p w14:paraId="4AB6E7C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6.1多时间轴、多任务并行设计：系统支持同时创建多个时间轴，多个实验任务，满足在同一个项目下进行多课题管理或多实验任务同时进行，以及基于云服务器的群体实测</w:t>
            </w:r>
          </w:p>
          <w:p w14:paraId="2FF0D18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6.2刺激呈现随机性设置：支持刺激材料的顺序呈现、随机呈现、自定义顺序以及组别Group随机呈现等方式，满足各种试验目的</w:t>
            </w:r>
          </w:p>
          <w:p w14:paraId="4290C4E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6.3组间-组内及混合试验设计：通过创建不同刺激材料Group组别及呈现方式、自定义刺激材料在不同被试进行实验中是否参与记录、或选择不同时间轴任务实现组间-组内及混合设计类型</w:t>
            </w:r>
          </w:p>
          <w:p w14:paraId="27E62E0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6.4支持多种类型刺激材料：可导入原型、网页、图片、视频、文本等类型刺激材料，并可根据实验需求进行显示属性设置。（需提供软件截图）</w:t>
            </w:r>
          </w:p>
          <w:p w14:paraId="4807524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6.5广泛的刺激材料来源：支持本地和网络云端的刺激材料导入，实时查看材料内容，并保留刺激材料本身的内容完整性和交互完整性。</w:t>
            </w:r>
          </w:p>
          <w:p w14:paraId="7BBB5A3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6.6AOI兴趣区智能识别：自动识别刺激材料源代码中的内容区域，通过鼠标点击的便捷操作即可拾取为目标兴趣区；可在刺激材料界面任意位置、任意时刻绘制任意形状的兴趣区。（需提供软件截图）</w:t>
            </w:r>
          </w:p>
          <w:p w14:paraId="5ED6166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6.7内嵌浏览器：产品原型、网页等刺激材料可在设计平台软件内嵌浏览器中实时浏览，方便用户对交互性刺激材料的查看和实验设计。</w:t>
            </w:r>
          </w:p>
          <w:p w14:paraId="5A6F0D9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7.配置要求：</w:t>
            </w:r>
          </w:p>
          <w:p w14:paraId="01678E8D">
            <w:pPr>
              <w:rPr>
                <w:rFonts w:hint="eastAsia" w:eastAsia="宋体"/>
                <w:color w:val="auto"/>
                <w:highlight w:val="none"/>
                <w:lang w:val="en-US" w:eastAsia="zh-CN"/>
              </w:rPr>
            </w:pPr>
            <w:r>
              <w:rPr>
                <w:rFonts w:hint="eastAsia"/>
                <w:color w:val="auto"/>
                <w:highlight w:val="none"/>
                <w:lang w:val="en-US" w:eastAsia="zh-CN"/>
              </w:rPr>
              <w:t>7.1</w:t>
            </w:r>
            <w:r>
              <w:rPr>
                <w:rFonts w:hint="eastAsia"/>
                <w:color w:val="auto"/>
                <w:highlight w:val="none"/>
              </w:rPr>
              <w:t>人机环境同步平台</w:t>
            </w:r>
            <w:r>
              <w:rPr>
                <w:rFonts w:hint="eastAsia"/>
                <w:color w:val="auto"/>
                <w:highlight w:val="none"/>
                <w:lang w:val="en-US" w:eastAsia="zh-CN"/>
              </w:rPr>
              <w:t>主机</w:t>
            </w:r>
            <w:r>
              <w:rPr>
                <w:rFonts w:hint="eastAsia"/>
                <w:color w:val="auto"/>
                <w:highlight w:val="none"/>
              </w:rPr>
              <w:t>1</w:t>
            </w:r>
            <w:r>
              <w:rPr>
                <w:rFonts w:hint="eastAsia"/>
                <w:color w:val="auto"/>
                <w:highlight w:val="none"/>
                <w:lang w:val="en-US" w:eastAsia="zh-CN"/>
              </w:rPr>
              <w:t>台</w:t>
            </w:r>
          </w:p>
          <w:p w14:paraId="5B2718D7">
            <w:pPr>
              <w:rPr>
                <w:rFonts w:hint="eastAsia" w:eastAsia="宋体"/>
                <w:color w:val="auto"/>
                <w:highlight w:val="none"/>
                <w:lang w:val="en-US" w:eastAsia="zh-CN"/>
              </w:rPr>
            </w:pPr>
            <w:r>
              <w:rPr>
                <w:rFonts w:hint="eastAsia"/>
                <w:color w:val="auto"/>
                <w:highlight w:val="none"/>
                <w:lang w:val="en-US" w:eastAsia="zh-CN"/>
              </w:rPr>
              <w:t>7.2</w:t>
            </w:r>
            <w:r>
              <w:rPr>
                <w:rFonts w:hint="eastAsia"/>
                <w:color w:val="auto"/>
                <w:highlight w:val="none"/>
              </w:rPr>
              <w:t>光打标采集线1</w:t>
            </w:r>
            <w:r>
              <w:rPr>
                <w:rFonts w:hint="eastAsia"/>
                <w:color w:val="auto"/>
                <w:highlight w:val="none"/>
                <w:lang w:val="en-US" w:eastAsia="zh-CN"/>
              </w:rPr>
              <w:t>个、</w:t>
            </w:r>
            <w:r>
              <w:rPr>
                <w:rFonts w:hint="eastAsia"/>
                <w:color w:val="auto"/>
                <w:highlight w:val="none"/>
              </w:rPr>
              <w:t>声打标采集线1</w:t>
            </w:r>
            <w:r>
              <w:rPr>
                <w:rFonts w:hint="eastAsia"/>
                <w:color w:val="auto"/>
                <w:highlight w:val="none"/>
                <w:lang w:val="en-US" w:eastAsia="zh-CN"/>
              </w:rPr>
              <w:t>个</w:t>
            </w:r>
          </w:p>
          <w:p w14:paraId="4F7A0507">
            <w:pPr>
              <w:rPr>
                <w:rFonts w:hint="eastAsia"/>
                <w:color w:val="auto"/>
                <w:highlight w:val="none"/>
              </w:rPr>
            </w:pPr>
            <w:r>
              <w:rPr>
                <w:rFonts w:hint="eastAsia"/>
                <w:color w:val="auto"/>
                <w:highlight w:val="none"/>
                <w:lang w:val="en-US" w:eastAsia="zh-CN"/>
              </w:rPr>
              <w:t>7.3</w:t>
            </w:r>
            <w:r>
              <w:rPr>
                <w:rFonts w:hint="eastAsia"/>
                <w:color w:val="auto"/>
                <w:highlight w:val="none"/>
              </w:rPr>
              <w:t>USBA/B口数据线</w:t>
            </w:r>
            <w:r>
              <w:rPr>
                <w:rFonts w:hint="eastAsia"/>
                <w:color w:val="auto"/>
                <w:highlight w:val="none"/>
              </w:rPr>
              <w:tab/>
            </w:r>
            <w:r>
              <w:rPr>
                <w:rFonts w:hint="eastAsia"/>
                <w:color w:val="auto"/>
                <w:highlight w:val="none"/>
              </w:rPr>
              <w:t>2</w:t>
            </w:r>
          </w:p>
          <w:p w14:paraId="0C1BD005">
            <w:pPr>
              <w:rPr>
                <w:rFonts w:hint="eastAsia" w:eastAsia="宋体"/>
                <w:color w:val="auto"/>
                <w:highlight w:val="none"/>
                <w:lang w:val="en-US" w:eastAsia="zh-CN"/>
              </w:rPr>
            </w:pPr>
            <w:r>
              <w:rPr>
                <w:rFonts w:hint="eastAsia"/>
                <w:color w:val="auto"/>
                <w:highlight w:val="none"/>
                <w:lang w:val="en-US" w:eastAsia="zh-CN"/>
              </w:rPr>
              <w:t>7.4</w:t>
            </w:r>
            <w:r>
              <w:rPr>
                <w:rFonts w:hint="eastAsia"/>
                <w:color w:val="auto"/>
                <w:highlight w:val="none"/>
              </w:rPr>
              <w:t>DB15数据线</w:t>
            </w:r>
            <w:r>
              <w:rPr>
                <w:rFonts w:hint="eastAsia"/>
                <w:color w:val="auto"/>
                <w:highlight w:val="none"/>
              </w:rPr>
              <w:tab/>
            </w:r>
            <w:r>
              <w:rPr>
                <w:rFonts w:hint="eastAsia"/>
                <w:color w:val="auto"/>
                <w:highlight w:val="none"/>
              </w:rPr>
              <w:t>1</w:t>
            </w:r>
            <w:r>
              <w:rPr>
                <w:rFonts w:hint="eastAsia"/>
                <w:color w:val="auto"/>
                <w:highlight w:val="none"/>
                <w:lang w:val="en-US" w:eastAsia="zh-CN"/>
              </w:rPr>
              <w:t>个</w:t>
            </w:r>
          </w:p>
          <w:p w14:paraId="3308753F">
            <w:pPr>
              <w:rPr>
                <w:rFonts w:hint="eastAsia" w:eastAsia="宋体"/>
                <w:color w:val="auto"/>
                <w:highlight w:val="none"/>
                <w:lang w:val="en-US" w:eastAsia="zh-CN"/>
              </w:rPr>
            </w:pPr>
            <w:r>
              <w:rPr>
                <w:rFonts w:hint="eastAsia"/>
                <w:color w:val="auto"/>
                <w:highlight w:val="none"/>
                <w:lang w:val="en-US" w:eastAsia="zh-CN"/>
              </w:rPr>
              <w:t>7.5</w:t>
            </w:r>
            <w:r>
              <w:rPr>
                <w:rFonts w:hint="eastAsia"/>
                <w:color w:val="auto"/>
                <w:highlight w:val="none"/>
              </w:rPr>
              <w:t>电源适配器1</w:t>
            </w:r>
            <w:r>
              <w:rPr>
                <w:rFonts w:hint="eastAsia"/>
                <w:color w:val="auto"/>
                <w:highlight w:val="none"/>
                <w:lang w:val="en-US" w:eastAsia="zh-CN"/>
              </w:rPr>
              <w:t>个</w:t>
            </w:r>
          </w:p>
          <w:p w14:paraId="7CF720FD">
            <w:pPr>
              <w:rPr>
                <w:rFonts w:hint="default" w:eastAsia="宋体"/>
                <w:color w:val="FF0000"/>
                <w:highlight w:val="none"/>
                <w:lang w:val="en-US" w:eastAsia="zh-CN"/>
              </w:rPr>
            </w:pPr>
            <w:r>
              <w:rPr>
                <w:rFonts w:hint="eastAsia"/>
                <w:color w:val="auto"/>
                <w:highlight w:val="none"/>
                <w:lang w:val="en-US" w:eastAsia="zh-CN"/>
              </w:rPr>
              <w:t>7.6</w:t>
            </w:r>
            <w:r>
              <w:rPr>
                <w:rFonts w:hint="eastAsia"/>
                <w:color w:val="auto"/>
                <w:highlight w:val="none"/>
              </w:rPr>
              <w:t>配套电脑（主机，显示器，键鼠）</w:t>
            </w:r>
            <w:r>
              <w:rPr>
                <w:rFonts w:hint="eastAsia" w:eastAsia="宋体" w:cs="Times New Roman"/>
                <w:color w:val="auto"/>
                <w:highlight w:val="none"/>
              </w:rPr>
              <w:t>1套</w:t>
            </w:r>
            <w:r>
              <w:rPr>
                <w:rFonts w:hint="eastAsia" w:eastAsia="宋体" w:cs="Times New Roman"/>
                <w:color w:val="auto"/>
                <w:highlight w:val="none"/>
                <w:lang w:val="en-US" w:eastAsia="zh-CN"/>
              </w:rPr>
              <w:t>及打印机1台</w:t>
            </w:r>
          </w:p>
          <w:p w14:paraId="1D092FA1">
            <w:pPr>
              <w:rPr>
                <w:rFonts w:hint="eastAsia" w:eastAsia="宋体"/>
                <w:color w:val="auto"/>
                <w:highlight w:val="none"/>
                <w:lang w:val="en-US" w:eastAsia="zh-CN"/>
              </w:rPr>
            </w:pPr>
            <w:r>
              <w:rPr>
                <w:rFonts w:hint="eastAsia"/>
                <w:color w:val="auto"/>
                <w:highlight w:val="none"/>
                <w:lang w:val="en-US" w:eastAsia="zh-CN"/>
              </w:rPr>
              <w:t>7.7</w:t>
            </w:r>
            <w:r>
              <w:rPr>
                <w:rFonts w:hint="eastAsia"/>
                <w:color w:val="auto"/>
                <w:highlight w:val="none"/>
              </w:rPr>
              <w:t>软件加密狗1</w:t>
            </w:r>
            <w:r>
              <w:rPr>
                <w:rFonts w:hint="eastAsia"/>
                <w:color w:val="auto"/>
                <w:highlight w:val="none"/>
                <w:lang w:val="en-US" w:eastAsia="zh-CN"/>
              </w:rPr>
              <w:t>个</w:t>
            </w:r>
          </w:p>
          <w:p w14:paraId="08F7F76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7.8</w:t>
            </w:r>
            <w:r>
              <w:rPr>
                <w:rFonts w:hint="eastAsia"/>
                <w:color w:val="auto"/>
                <w:highlight w:val="none"/>
              </w:rPr>
              <w:t>软件u盘1</w:t>
            </w:r>
            <w:r>
              <w:rPr>
                <w:rFonts w:hint="eastAsia"/>
                <w:color w:val="auto"/>
                <w:highlight w:val="none"/>
                <w:lang w:val="en-US" w:eastAsia="zh-CN"/>
              </w:rPr>
              <w:t>个</w:t>
            </w:r>
          </w:p>
          <w:p w14:paraId="462122E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7.9汉语软件使用指导手册</w:t>
            </w:r>
          </w:p>
          <w:p w14:paraId="54F4720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rPr>
            </w:pPr>
            <w:r>
              <w:rPr>
                <w:rFonts w:hint="eastAsia" w:ascii="宋体" w:hAnsi="宋体" w:cs="宋体"/>
                <w:color w:val="auto"/>
                <w:kern w:val="2"/>
                <w:sz w:val="21"/>
                <w:szCs w:val="21"/>
                <w:highlight w:val="none"/>
                <w:lang w:val="en-US" w:eastAsia="zh-CN" w:bidi="ar-SA"/>
              </w:rPr>
              <w:t>7.10软件功能介绍展示板</w:t>
            </w:r>
          </w:p>
        </w:tc>
        <w:tc>
          <w:tcPr>
            <w:tcW w:w="348" w:type="pct"/>
            <w:noWrap w:val="0"/>
            <w:vAlign w:val="center"/>
          </w:tcPr>
          <w:p w14:paraId="310F6973">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349" w:type="pct"/>
            <w:noWrap w:val="0"/>
            <w:vAlign w:val="center"/>
          </w:tcPr>
          <w:p w14:paraId="5D0F48F7">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套</w:t>
            </w:r>
          </w:p>
        </w:tc>
      </w:tr>
      <w:tr w14:paraId="69DE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8" w:hRule="atLeast"/>
          <w:jc w:val="center"/>
        </w:trPr>
        <w:tc>
          <w:tcPr>
            <w:tcW w:w="463" w:type="pct"/>
            <w:noWrap w:val="0"/>
            <w:vAlign w:val="center"/>
          </w:tcPr>
          <w:p w14:paraId="04715DB4">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626" w:type="pct"/>
            <w:noWrap w:val="0"/>
            <w:vAlign w:val="center"/>
          </w:tcPr>
          <w:p w14:paraId="22C52540">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可穿戴眼动追踪系统</w:t>
            </w:r>
          </w:p>
        </w:tc>
        <w:tc>
          <w:tcPr>
            <w:tcW w:w="3211" w:type="pct"/>
            <w:noWrap w:val="0"/>
            <w:vAlign w:val="center"/>
          </w:tcPr>
          <w:p w14:paraId="220CCCDA">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视觉追踪器头戴模块</w:t>
            </w:r>
          </w:p>
          <w:p w14:paraId="16918A42">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 轻量化眼镜式设计，眼动核心部件集成于镜片中</w:t>
            </w:r>
          </w:p>
          <w:p w14:paraId="233C2AF1">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2 眼动传感器数量：≥4枚，每只眼睛≥2枚，镜片嵌入式</w:t>
            </w:r>
          </w:p>
          <w:p w14:paraId="244EB2F5">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采样率：≥50Hz，支持瞳孔测量</w:t>
            </w:r>
          </w:p>
          <w:p w14:paraId="6389FAD8">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采集方式：双眼采集，暗瞳技术，全视域追踪</w:t>
            </w:r>
          </w:p>
          <w:p w14:paraId="2D6DAFFF">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 xml:space="preserve"> 参照光源数量：≥16枚，每只眼睛≥8枚，镜片嵌入式</w:t>
            </w:r>
          </w:p>
          <w:p w14:paraId="66D5BCC5">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头戴部分重量(含线缆)：≤77g</w:t>
            </w:r>
          </w:p>
          <w:p w14:paraId="39D99D75">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 xml:space="preserve"> 滑移补偿：3D眼球模型+微传感器自动补偿</w:t>
            </w:r>
          </w:p>
          <w:p w14:paraId="56485299">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 xml:space="preserve"> 场景摄像机分辨率 ：1920X1080@25fps高清</w:t>
            </w:r>
          </w:p>
          <w:p w14:paraId="05888223">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rPr>
              <w:t>场景摄像机视野范围（对角线）：≥106度，16：9</w:t>
            </w:r>
          </w:p>
          <w:p w14:paraId="0EAAE611">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10场景摄像机视野范围（水平/垂直）：≥95度/63度</w:t>
            </w:r>
          </w:p>
          <w:p w14:paraId="716819AB">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11定标程序：系统引导式,一点定标</w:t>
            </w:r>
          </w:p>
          <w:p w14:paraId="6EC1A609">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12平行视差自动矫正</w:t>
            </w:r>
          </w:p>
          <w:p w14:paraId="77BC4030">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数据同步：内置3.5MMTTL同步接口，可实现TTL，TCP/IP和NTP方式的数据同步</w:t>
            </w:r>
          </w:p>
          <w:p w14:paraId="12F8980A">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Wi-Fi无线：支持无线数据传输，实时观察</w:t>
            </w:r>
          </w:p>
          <w:p w14:paraId="10FB4232">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视觉数据记录模块</w:t>
            </w:r>
          </w:p>
          <w:p w14:paraId="513D2234">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 xml:space="preserve">实时数据传输模式：WiFi  </w:t>
            </w:r>
          </w:p>
          <w:p w14:paraId="1CFD51C7">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 xml:space="preserve">眼动数据存储器：SD卡 </w:t>
            </w:r>
          </w:p>
          <w:p w14:paraId="74B233A9">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移动终端数据采集软件：</w:t>
            </w:r>
          </w:p>
          <w:p w14:paraId="209D88DF">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包含安卓手机与平板电脑和Windows平板与电脑的跨平台数据采集软件安装程序</w:t>
            </w:r>
          </w:p>
          <w:p w14:paraId="428F9601">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支持实时查看视线位置和事件标记</w:t>
            </w:r>
          </w:p>
          <w:p w14:paraId="779013C0">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支持校准、开始/停止/保存记录、连接设置</w:t>
            </w:r>
          </w:p>
          <w:p w14:paraId="540BA90A">
            <w:pPr>
              <w:pStyle w:val="57"/>
              <w:widowControl w:val="0"/>
              <w:numPr>
                <w:ilvl w:val="0"/>
                <w:numId w:val="0"/>
              </w:numPr>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rPr>
              <w:t>支持被试信息管理，可添加字数不限的描述和注释信息</w:t>
            </w:r>
          </w:p>
          <w:p w14:paraId="2336B7C3">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眼动分析系统</w:t>
            </w:r>
          </w:p>
          <w:p w14:paraId="4400E22D">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1眼动数据处理：基于I-VT算法提取注视点、眨眼及眼跳状态；支持自定义设置处理参数，包括插值、降噪、角速度、基点选择、过滤器、注视点合并、忽略最短注视点等算法</w:t>
            </w:r>
          </w:p>
          <w:p w14:paraId="519880F5">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可视化眼动数据Chart：包括原始数据、处理数据的注视点X、Y坐标以及角速度、左右眼瞳孔数据</w:t>
            </w:r>
          </w:p>
          <w:p w14:paraId="08140AAE">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rPr>
              <w:t>眼动点自动映射，支持本地Gaze Mapping自动叠加以及手动coding功能</w:t>
            </w:r>
          </w:p>
          <w:p w14:paraId="221E28A0">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眼动可视化分析，含热点图、轨迹图、3D图、蜂窝图、彩虹图、透视图等，支持以png格式导出，可自定义半径（Radius）、风格（Style）、透明度（Opacity）等可视化参数</w:t>
            </w:r>
          </w:p>
          <w:p w14:paraId="2DE585F9">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眼动AOI序列分析功能</w:t>
            </w:r>
          </w:p>
          <w:p w14:paraId="36065C0C">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支持自定义基于单个AOI或AOI Group的序列设置</w:t>
            </w:r>
          </w:p>
          <w:p w14:paraId="52982A99">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（2）序列维度设置含Sequence维度与Time维度，≤99维</w:t>
            </w:r>
          </w:p>
          <w:p w14:paraId="5A60F35E">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（3）支持多被试的AOI序列可视化，提供相对时间与绝对时间结果</w:t>
            </w:r>
          </w:p>
          <w:p w14:paraId="6900E7F7">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（4）支持多被试AOI序列数据统计，含首次注视时长、平均注视时长、总注视时长百分比和注视次数百分比等指标</w:t>
            </w:r>
          </w:p>
          <w:p w14:paraId="33CBC7F9">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4.6 </w:t>
            </w:r>
            <w:r>
              <w:rPr>
                <w:rFonts w:hint="eastAsia" w:ascii="宋体" w:hAnsi="宋体" w:eastAsia="宋体" w:cs="宋体"/>
                <w:b w:val="0"/>
                <w:bCs w:val="0"/>
                <w:color w:val="auto"/>
                <w:sz w:val="21"/>
                <w:szCs w:val="21"/>
                <w:highlight w:val="none"/>
              </w:rPr>
              <w:t>AOI序列轨迹相似度计算功能，支持多被试基于整体片段相似度计算、序列相似度计算，计算最大轨迹相似度</w:t>
            </w:r>
          </w:p>
          <w:p w14:paraId="78F5512A">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4.7</w:t>
            </w:r>
            <w:r>
              <w:rPr>
                <w:rFonts w:hint="eastAsia" w:ascii="宋体" w:hAnsi="宋体" w:eastAsia="宋体" w:cs="宋体"/>
                <w:b w:val="0"/>
                <w:bCs w:val="0"/>
                <w:color w:val="auto"/>
                <w:sz w:val="21"/>
                <w:szCs w:val="21"/>
                <w:highlight w:val="none"/>
              </w:rPr>
              <w:t>眼动自定义分析算法：支持针对个体眼动数据的自定义分析，包括交叉行为分析、延迟行为分析、编码分析、时域分析、峰值检测分析，并提供可视化图表，支持连续眼动数据转行为数据</w:t>
            </w:r>
          </w:p>
          <w:p w14:paraId="7B51DFEF">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4.8</w:t>
            </w:r>
            <w:r>
              <w:rPr>
                <w:rFonts w:hint="eastAsia" w:ascii="宋体" w:hAnsi="宋体" w:eastAsia="宋体" w:cs="宋体"/>
                <w:b w:val="0"/>
                <w:bCs w:val="0"/>
                <w:color w:val="auto"/>
                <w:sz w:val="21"/>
                <w:szCs w:val="21"/>
                <w:highlight w:val="none"/>
              </w:rPr>
              <w:t>支持Segment分析功能，可按任务与事件归类处理视觉数据</w:t>
            </w:r>
          </w:p>
          <w:p w14:paraId="13D4154A">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4.9</w:t>
            </w:r>
            <w:r>
              <w:rPr>
                <w:rFonts w:hint="eastAsia" w:ascii="宋体" w:hAnsi="宋体" w:eastAsia="宋体" w:cs="宋体"/>
                <w:b w:val="0"/>
                <w:bCs w:val="0"/>
                <w:color w:val="auto"/>
                <w:sz w:val="21"/>
                <w:szCs w:val="21"/>
                <w:highlight w:val="none"/>
              </w:rPr>
              <w:t>数据统计提供AOI统计及Gaze眼动点数据指标统计，提供反映注意特征的数据≥25种，括Gaze平均瞳孔直径、最小瞳孔直径、最大瞳孔直径、注视点间平均水平距离、注视点间平均垂直距离、注视点间绝对距离、眨眼次数、平均眨眼次数、眼跳次数、平均眼跳次数、总眼跳时间；AOI首次注视时间、AOI首次注视次数、AOI首次注视序列编号、AOI首次注视持续时间、AOI访问次数、AOI总访问时间、AOI总访问时间的百分比、AOI平均访问时间、AOI注视次数、AOI注视次数的百分比、AOI注视总时间、AOI总注视时间的百分比、AOI平均注视时间、AOI第二次注视时间、AOI注视点的最近距离等指标</w:t>
            </w:r>
          </w:p>
          <w:p w14:paraId="0C4D293E">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5.配置要求：</w:t>
            </w:r>
          </w:p>
          <w:p w14:paraId="29781C36">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5.1</w:t>
            </w:r>
            <w:r>
              <w:rPr>
                <w:rFonts w:hint="default" w:ascii="Times New Roman" w:hAnsi="Times New Roman" w:eastAsia="宋体" w:cs="Times New Roman"/>
                <w:highlight w:val="none"/>
                <w:lang w:val="en-US" w:eastAsia="zh-CN"/>
              </w:rPr>
              <w:t>视觉追踪器头戴模块1</w:t>
            </w:r>
          </w:p>
          <w:p w14:paraId="0B4094BB">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5.2</w:t>
            </w:r>
            <w:r>
              <w:rPr>
                <w:rFonts w:hint="default" w:ascii="Times New Roman" w:hAnsi="Times New Roman" w:eastAsia="宋体" w:cs="Times New Roman"/>
                <w:highlight w:val="none"/>
                <w:lang w:val="en-US" w:eastAsia="zh-CN"/>
              </w:rPr>
              <w:t>视觉数据记录模块</w:t>
            </w:r>
            <w:r>
              <w:rPr>
                <w:rFonts w:hint="default" w:ascii="Times New Roman" w:hAnsi="Times New Roman" w:eastAsia="宋体" w:cs="Times New Roman"/>
                <w:highlight w:val="none"/>
                <w:lang w:val="en-US" w:eastAsia="zh-CN"/>
              </w:rPr>
              <w:tab/>
            </w:r>
            <w:r>
              <w:rPr>
                <w:rFonts w:hint="default" w:ascii="Times New Roman" w:hAnsi="Times New Roman" w:eastAsia="宋体" w:cs="Times New Roman"/>
                <w:highlight w:val="none"/>
                <w:lang w:val="en-US" w:eastAsia="zh-CN"/>
              </w:rPr>
              <w:t>1</w:t>
            </w:r>
            <w:r>
              <w:rPr>
                <w:rFonts w:hint="eastAsia" w:ascii="Times New Roman" w:hAnsi="Times New Roman" w:eastAsia="宋体" w:cs="Times New Roman"/>
                <w:highlight w:val="none"/>
                <w:lang w:val="en-US" w:eastAsia="zh-CN"/>
              </w:rPr>
              <w:t>个</w:t>
            </w:r>
          </w:p>
          <w:p w14:paraId="03F4BB42">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5.3</w:t>
            </w:r>
            <w:r>
              <w:rPr>
                <w:rFonts w:hint="default" w:ascii="Times New Roman" w:hAnsi="Times New Roman" w:eastAsia="宋体" w:cs="Times New Roman"/>
                <w:highlight w:val="none"/>
                <w:lang w:val="en-US" w:eastAsia="zh-CN"/>
              </w:rPr>
              <w:t>电池充电器电缆4</w:t>
            </w:r>
            <w:r>
              <w:rPr>
                <w:rFonts w:hint="eastAsia" w:ascii="Times New Roman" w:hAnsi="Times New Roman" w:eastAsia="宋体" w:cs="Times New Roman"/>
                <w:highlight w:val="none"/>
                <w:lang w:val="en-US" w:eastAsia="zh-CN"/>
              </w:rPr>
              <w:t>个</w:t>
            </w:r>
          </w:p>
          <w:p w14:paraId="4EC487AA">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 xml:space="preserve">5.4 </w:t>
            </w:r>
            <w:r>
              <w:rPr>
                <w:rFonts w:hint="default" w:ascii="Times New Roman" w:hAnsi="Times New Roman" w:eastAsia="宋体" w:cs="Times New Roman"/>
                <w:highlight w:val="none"/>
                <w:lang w:val="en-US" w:eastAsia="zh-CN"/>
              </w:rPr>
              <w:t>USB充电器的电源插头</w:t>
            </w:r>
            <w:r>
              <w:rPr>
                <w:rFonts w:hint="default" w:ascii="Times New Roman" w:hAnsi="Times New Roman" w:eastAsia="宋体" w:cs="Times New Roman"/>
                <w:highlight w:val="none"/>
                <w:lang w:val="en-US" w:eastAsia="zh-CN"/>
              </w:rPr>
              <w:tab/>
            </w:r>
            <w:r>
              <w:rPr>
                <w:rFonts w:hint="default" w:ascii="Times New Roman" w:hAnsi="Times New Roman" w:eastAsia="宋体" w:cs="Times New Roman"/>
                <w:highlight w:val="none"/>
                <w:lang w:val="en-US" w:eastAsia="zh-CN"/>
              </w:rPr>
              <w:t>4</w:t>
            </w:r>
          </w:p>
          <w:p w14:paraId="69BF5275">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5.5</w:t>
            </w:r>
            <w:r>
              <w:rPr>
                <w:rFonts w:hint="default" w:ascii="Times New Roman" w:hAnsi="Times New Roman" w:eastAsia="宋体" w:cs="Times New Roman"/>
                <w:highlight w:val="none"/>
                <w:lang w:val="en-US" w:eastAsia="zh-CN"/>
              </w:rPr>
              <w:t>校准贴纸</w:t>
            </w:r>
            <w:r>
              <w:rPr>
                <w:rFonts w:hint="default" w:ascii="Times New Roman" w:hAnsi="Times New Roman" w:eastAsia="宋体" w:cs="Times New Roman"/>
                <w:highlight w:val="none"/>
                <w:lang w:val="en-US" w:eastAsia="zh-CN"/>
              </w:rPr>
              <w:tab/>
            </w:r>
            <w:r>
              <w:rPr>
                <w:rFonts w:hint="default" w:ascii="Times New Roman" w:hAnsi="Times New Roman" w:eastAsia="宋体" w:cs="Times New Roman"/>
                <w:highlight w:val="none"/>
                <w:lang w:val="en-US" w:eastAsia="zh-CN"/>
              </w:rPr>
              <w:t>10</w:t>
            </w:r>
            <w:r>
              <w:rPr>
                <w:rFonts w:hint="eastAsia" w:ascii="Times New Roman" w:hAnsi="Times New Roman" w:eastAsia="宋体" w:cs="Times New Roman"/>
                <w:highlight w:val="none"/>
                <w:lang w:val="en-US" w:eastAsia="zh-CN"/>
              </w:rPr>
              <w:t>个</w:t>
            </w:r>
          </w:p>
          <w:p w14:paraId="617BBBB0">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5.6</w:t>
            </w:r>
            <w:r>
              <w:rPr>
                <w:rFonts w:hint="default" w:ascii="Times New Roman" w:hAnsi="Times New Roman" w:eastAsia="宋体" w:cs="Times New Roman"/>
                <w:highlight w:val="none"/>
                <w:lang w:val="en-US" w:eastAsia="zh-CN"/>
              </w:rPr>
              <w:t>软件加密狗1</w:t>
            </w:r>
            <w:r>
              <w:rPr>
                <w:rFonts w:hint="eastAsia" w:ascii="Times New Roman" w:hAnsi="Times New Roman" w:eastAsia="宋体" w:cs="Times New Roman"/>
                <w:highlight w:val="none"/>
                <w:lang w:val="en-US" w:eastAsia="zh-CN"/>
              </w:rPr>
              <w:t>个</w:t>
            </w:r>
          </w:p>
          <w:p w14:paraId="0187AADC">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5.7</w:t>
            </w:r>
            <w:r>
              <w:rPr>
                <w:rFonts w:hint="default" w:ascii="Times New Roman" w:hAnsi="Times New Roman" w:eastAsia="宋体" w:cs="Times New Roman"/>
                <w:highlight w:val="none"/>
                <w:lang w:val="en-US" w:eastAsia="zh-CN"/>
              </w:rPr>
              <w:t>软件u盘</w:t>
            </w:r>
            <w:r>
              <w:rPr>
                <w:rFonts w:hint="default" w:ascii="Times New Roman" w:hAnsi="Times New Roman" w:eastAsia="宋体" w:cs="Times New Roman"/>
                <w:highlight w:val="none"/>
                <w:lang w:val="en-US" w:eastAsia="zh-CN"/>
              </w:rPr>
              <w:tab/>
            </w:r>
            <w:r>
              <w:rPr>
                <w:rFonts w:hint="default" w:ascii="Times New Roman" w:hAnsi="Times New Roman" w:eastAsia="宋体" w:cs="Times New Roman"/>
                <w:highlight w:val="none"/>
                <w:lang w:val="en-US" w:eastAsia="zh-CN"/>
              </w:rPr>
              <w:t>1</w:t>
            </w:r>
            <w:r>
              <w:rPr>
                <w:rFonts w:hint="eastAsia" w:ascii="Times New Roman" w:hAnsi="Times New Roman" w:eastAsia="宋体" w:cs="Times New Roman"/>
                <w:highlight w:val="none"/>
                <w:lang w:val="en-US" w:eastAsia="zh-CN"/>
              </w:rPr>
              <w:t>个</w:t>
            </w:r>
          </w:p>
          <w:p w14:paraId="2E054D9E">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5.8</w:t>
            </w:r>
            <w:r>
              <w:rPr>
                <w:rFonts w:hint="default" w:ascii="Times New Roman" w:hAnsi="Times New Roman" w:eastAsia="宋体" w:cs="Times New Roman"/>
                <w:highlight w:val="none"/>
                <w:lang w:val="en-US" w:eastAsia="zh-CN"/>
              </w:rPr>
              <w:t>配套笔记本电脑1</w:t>
            </w:r>
            <w:r>
              <w:rPr>
                <w:rFonts w:hint="eastAsia" w:ascii="Times New Roman" w:hAnsi="Times New Roman" w:eastAsia="宋体" w:cs="Times New Roman"/>
                <w:highlight w:val="none"/>
                <w:lang w:val="en-US" w:eastAsia="zh-CN"/>
              </w:rPr>
              <w:t>个</w:t>
            </w:r>
          </w:p>
          <w:p w14:paraId="468E15BA">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5.9设备使用指导手册</w:t>
            </w:r>
          </w:p>
          <w:p w14:paraId="0B3D7748">
            <w:pPr>
              <w:rPr>
                <w:rFonts w:hint="eastAsia" w:ascii="宋体" w:hAnsi="宋体" w:cs="宋体"/>
                <w:b w:val="0"/>
                <w:bCs w:val="0"/>
                <w:color w:val="auto"/>
                <w:sz w:val="21"/>
                <w:szCs w:val="21"/>
                <w:highlight w:val="none"/>
              </w:rPr>
            </w:pPr>
            <w:r>
              <w:rPr>
                <w:rFonts w:hint="eastAsia" w:ascii="Times New Roman" w:hAnsi="Times New Roman" w:eastAsia="宋体" w:cs="Times New Roman"/>
                <w:highlight w:val="none"/>
                <w:lang w:val="en-US" w:eastAsia="zh-CN"/>
              </w:rPr>
              <w:t>5.10设备功能介绍展示板</w:t>
            </w:r>
          </w:p>
        </w:tc>
        <w:tc>
          <w:tcPr>
            <w:tcW w:w="348" w:type="pct"/>
            <w:noWrap w:val="0"/>
            <w:vAlign w:val="center"/>
          </w:tcPr>
          <w:p w14:paraId="5D4DD0F9">
            <w:pPr>
              <w:widowControl w:val="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349" w:type="pct"/>
            <w:noWrap w:val="0"/>
            <w:vAlign w:val="center"/>
          </w:tcPr>
          <w:p w14:paraId="5E565D64">
            <w:pPr>
              <w:widowControl w:val="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r>
      <w:tr w14:paraId="2FC7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8" w:hRule="atLeast"/>
          <w:jc w:val="center"/>
        </w:trPr>
        <w:tc>
          <w:tcPr>
            <w:tcW w:w="463" w:type="pct"/>
            <w:noWrap w:val="0"/>
            <w:vAlign w:val="center"/>
          </w:tcPr>
          <w:p w14:paraId="36A36758">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626" w:type="pct"/>
            <w:noWrap w:val="0"/>
            <w:vAlign w:val="center"/>
          </w:tcPr>
          <w:p w14:paraId="51171936">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表面肌电测量系统</w:t>
            </w:r>
          </w:p>
        </w:tc>
        <w:tc>
          <w:tcPr>
            <w:tcW w:w="3211" w:type="pct"/>
            <w:noWrap w:val="0"/>
            <w:vAlign w:val="center"/>
          </w:tcPr>
          <w:p w14:paraId="7B297825">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1.肌电</w:t>
            </w:r>
            <w:r>
              <w:rPr>
                <w:rFonts w:hint="eastAsia" w:ascii="宋体" w:hAnsi="宋体" w:eastAsia="宋体" w:cs="宋体"/>
                <w:b w:val="0"/>
                <w:bCs w:val="0"/>
                <w:color w:val="auto"/>
                <w:sz w:val="21"/>
                <w:szCs w:val="21"/>
                <w:highlight w:val="none"/>
              </w:rPr>
              <w:t>系统硬件：</w:t>
            </w:r>
          </w:p>
          <w:p w14:paraId="3B5A5A2E">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传感器数量：≥17个</w:t>
            </w:r>
          </w:p>
          <w:p w14:paraId="08520B28">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2测量范围(每轴)：加速度：≥±160m/s2、角加速度：≥±2000°/S、磁力计：≥±1.9gauss</w:t>
            </w:r>
          </w:p>
          <w:p w14:paraId="3F04F97C">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精度：、静态精度Pitch, Roll：≤0.5°、头部静态精度：≤1°、动态精度：≤0.75°、头部动态精度：≤1.5°</w:t>
            </w:r>
          </w:p>
          <w:p w14:paraId="68A9BE9F">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采样率：</w:t>
            </w:r>
          </w:p>
          <w:p w14:paraId="6190E04B">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内部采样率：≥1000Hz</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系统采样率：≥60-120Hz</w:t>
            </w:r>
          </w:p>
          <w:p w14:paraId="53123052">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支持人体位置追踪及三维空间位移计算，空间位置数据采集</w:t>
            </w:r>
          </w:p>
          <w:p w14:paraId="04B8592D">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数据采集分析</w:t>
            </w:r>
          </w:p>
          <w:p w14:paraId="76EF1F70">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采用不少于23个生物力学模型，分为22个关节</w:t>
            </w:r>
          </w:p>
          <w:p w14:paraId="253FC331">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每个关节都通过6自由度关节松弛数据进行指定。采用先进的脊椎和肩膀模型，可计算出脊柱和肩胛骨的运动数据</w:t>
            </w:r>
          </w:p>
          <w:p w14:paraId="0BF70C6A">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2.3 </w:t>
            </w:r>
            <w:r>
              <w:rPr>
                <w:rFonts w:hint="eastAsia" w:ascii="宋体" w:hAnsi="宋体" w:eastAsia="宋体" w:cs="宋体"/>
                <w:b w:val="0"/>
                <w:bCs w:val="0"/>
                <w:color w:val="auto"/>
                <w:sz w:val="21"/>
                <w:szCs w:val="21"/>
                <w:highlight w:val="none"/>
              </w:rPr>
              <w:t>有成熟算法，消除磁场干扰，用于金属环境和电磁环境</w:t>
            </w:r>
          </w:p>
          <w:p w14:paraId="2E85E2C6">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采用T、N型两种静态标定姿态，整个标定时间小于3分钟</w:t>
            </w:r>
          </w:p>
          <w:p w14:paraId="791DC282">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可与多种软件整合并实时通讯，包括：Siemens PLM Software, Dassault，Delmia &amp; Catia, Unity3D, Autodesk；</w:t>
            </w:r>
          </w:p>
          <w:p w14:paraId="3C9AC860">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系统有精确位置追踪性能，误差小于1%</w:t>
            </w:r>
          </w:p>
          <w:p w14:paraId="20E30D20">
            <w:pPr>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2.7</w:t>
            </w:r>
            <w:r>
              <w:rPr>
                <w:rFonts w:hint="eastAsia" w:ascii="宋体" w:hAnsi="宋体" w:eastAsia="宋体" w:cs="宋体"/>
                <w:b w:val="0"/>
                <w:bCs w:val="0"/>
                <w:color w:val="auto"/>
                <w:sz w:val="21"/>
                <w:szCs w:val="21"/>
                <w:highlight w:val="none"/>
              </w:rPr>
              <w:t>一套软件最多支持四人进行实时动作捕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支持4套硬件同步操作，方便实验人员后续拓展。 </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需提供软件截图）</w:t>
            </w:r>
          </w:p>
          <w:p w14:paraId="2C05A6F6">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highlight w:val="none"/>
              </w:rPr>
              <w:t>可输出数据：关节角度、刚体运动学数据、刚体坐标、身体重心位置、传感器原始数据</w:t>
            </w:r>
          </w:p>
          <w:p w14:paraId="32A02909">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2.9</w:t>
            </w:r>
            <w:r>
              <w:rPr>
                <w:rFonts w:hint="eastAsia" w:ascii="宋体" w:hAnsi="宋体" w:eastAsia="宋体" w:cs="宋体"/>
                <w:b w:val="0"/>
                <w:bCs w:val="0"/>
                <w:color w:val="auto"/>
                <w:sz w:val="21"/>
                <w:szCs w:val="21"/>
                <w:highlight w:val="none"/>
              </w:rPr>
              <w:t>内部数据同步时间差&lt; 10μs，保证精确的关节角度计算</w:t>
            </w:r>
          </w:p>
          <w:p w14:paraId="05DEF6DA">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数据导出格式：ASCII (XML)、C3D、BVH、 FBX、Movie (AVI, M4V)</w:t>
            </w:r>
          </w:p>
          <w:p w14:paraId="7572BB87">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需提供</w:t>
            </w:r>
            <w:r>
              <w:rPr>
                <w:rFonts w:hint="eastAsia" w:ascii="宋体" w:hAnsi="宋体" w:cs="宋体"/>
                <w:b w:val="0"/>
                <w:bCs w:val="0"/>
                <w:color w:val="auto"/>
                <w:sz w:val="21"/>
                <w:szCs w:val="21"/>
                <w:highlight w:val="none"/>
                <w:lang w:val="en-US" w:eastAsia="zh-CN"/>
              </w:rPr>
              <w:t>人机环境同步平台</w:t>
            </w:r>
            <w:r>
              <w:rPr>
                <w:rFonts w:hint="eastAsia" w:ascii="宋体" w:hAnsi="宋体" w:eastAsia="宋体" w:cs="宋体"/>
                <w:b w:val="0"/>
                <w:bCs w:val="0"/>
                <w:color w:val="auto"/>
                <w:sz w:val="21"/>
                <w:szCs w:val="21"/>
                <w:highlight w:val="none"/>
              </w:rPr>
              <w:t>软件插件，使数据可以在</w:t>
            </w:r>
            <w:r>
              <w:rPr>
                <w:rFonts w:hint="eastAsia" w:ascii="宋体" w:hAnsi="宋体" w:cs="宋体"/>
                <w:b w:val="0"/>
                <w:bCs w:val="0"/>
                <w:color w:val="auto"/>
                <w:sz w:val="21"/>
                <w:szCs w:val="21"/>
                <w:highlight w:val="none"/>
                <w:lang w:val="en-US" w:eastAsia="zh-CN"/>
              </w:rPr>
              <w:t>人机环境同步平台</w:t>
            </w:r>
            <w:r>
              <w:rPr>
                <w:rFonts w:hint="eastAsia" w:ascii="宋体" w:hAnsi="宋体" w:eastAsia="宋体" w:cs="宋体"/>
                <w:b w:val="0"/>
                <w:bCs w:val="0"/>
                <w:color w:val="auto"/>
                <w:sz w:val="21"/>
                <w:szCs w:val="21"/>
                <w:highlight w:val="none"/>
              </w:rPr>
              <w:t>软件中同步采集同步分析</w:t>
            </w:r>
          </w:p>
          <w:p w14:paraId="64E2F5A5">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 xml:space="preserve">人机工效学分析系统 </w:t>
            </w:r>
          </w:p>
          <w:p w14:paraId="3EEE762A">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关节角度数据信号降噪，方法包括滑动均值滤波、滑动中值滤波</w:t>
            </w:r>
          </w:p>
          <w:p w14:paraId="64819C27">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动作行为归类，方法包括合并最短行为，舍弃最短行为</w:t>
            </w:r>
          </w:p>
          <w:p w14:paraId="59E7C374">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人体关节分析，包括左臀（Left Hip）、左膝（Left Knee）、左脚踝（Left Ankle）、右臀（Right Hip）、右膝（Right Knee）、右脚踝（Right Ankle）、胸部（Chest）、左肩（Left Shoulder）、左肘（Left Elbow）、左腕（Left Wrist）、右肩（Right Shoulder）、右肘（Right Wrist）、右腕（Right Wrist）、颈部（Neck），支持自定义点击选择</w:t>
            </w:r>
          </w:p>
          <w:p w14:paraId="5878A81A">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rPr>
              <w:t>自定义阈值参数设置，包括弯曲/伸展（Flexion/Extension）、旋转（Rotation）、外展/内敛（Abduction/Adduction）、侧屈（Lateral Flexion）、水平方向旋转（Horizontal Rotation）、垂直方向旋转（Vertical Rotation）</w:t>
            </w:r>
          </w:p>
          <w:p w14:paraId="394A9860">
            <w:pPr>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姿势伤害评估与人体工效学分析，系统内置标准姿态数据常模，将人体各个关节角度划分为健康（绿色）、警戒（红色）、中等（橘色）状态，进行实时的姿态视觉反馈及风险姿势预警，并进行安全行为自动编码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需提供软件截图）</w:t>
            </w:r>
          </w:p>
          <w:p w14:paraId="1AF2C461">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3.6</w:t>
            </w:r>
            <w:r>
              <w:rPr>
                <w:rFonts w:hint="eastAsia" w:ascii="宋体" w:hAnsi="宋体" w:eastAsia="宋体" w:cs="宋体"/>
                <w:b w:val="0"/>
                <w:bCs w:val="0"/>
                <w:color w:val="auto"/>
                <w:sz w:val="21"/>
                <w:szCs w:val="21"/>
                <w:highlight w:val="none"/>
              </w:rPr>
              <w:t>动作数据自定义算法，含动作编码分析、交互分析、延迟分析、时域分析、峰值检测分析，支持生成可视化统计图及统计表。具体包含不同关键动作的次数、频率、总持续时间、持续时间百分比；多个动作组同时发生的平均持续时间、总持续时间、每个动作的发生频率、最小持续时间、最大持续时间；一个动作在另一个动作前后发生的频率、发生的概率等指标</w:t>
            </w:r>
          </w:p>
          <w:p w14:paraId="3A1B4585">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3.7</w:t>
            </w:r>
            <w:r>
              <w:rPr>
                <w:rFonts w:hint="eastAsia" w:ascii="宋体" w:hAnsi="宋体" w:eastAsia="宋体" w:cs="宋体"/>
                <w:b w:val="0"/>
                <w:bCs w:val="0"/>
                <w:color w:val="auto"/>
                <w:sz w:val="21"/>
                <w:szCs w:val="21"/>
                <w:highlight w:val="none"/>
              </w:rPr>
              <w:t>数据导出，支持导出动作姿态的原始数据、处理数据、动作编码数据及Bvh格式数据</w:t>
            </w:r>
          </w:p>
          <w:p w14:paraId="19A06186">
            <w:pPr>
              <w:jc w:val="left"/>
              <w:rPr>
                <w:rFonts w:hint="eastAsia"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8可定制开发：动作捕捉数据驱动仿真人数据，进行可视、可达、舒适性分析。通过采集穿戴在真实人体身上的标记点或传感器在三维空间中的六自由度信息，并通过算法将其转化为抽象人体运动数据，然后利用这些数据与虚拟人体的骨骼进行匹配、映射和绑定，使之能够实时驱动虚拟人体运动。</w:t>
            </w:r>
          </w:p>
          <w:p w14:paraId="5696AD6B">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4.配置要求：</w:t>
            </w:r>
          </w:p>
          <w:p w14:paraId="0E7BAAA9">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r>
              <w:rPr>
                <w:rFonts w:hint="default" w:ascii="宋体" w:hAnsi="宋体" w:eastAsia="宋体" w:cs="宋体"/>
                <w:sz w:val="21"/>
                <w:szCs w:val="21"/>
                <w:highlight w:val="none"/>
                <w:lang w:val="en-US" w:eastAsia="zh-CN"/>
              </w:rPr>
              <w:t>传感器18</w:t>
            </w:r>
            <w:r>
              <w:rPr>
                <w:rFonts w:hint="eastAsia" w:ascii="宋体" w:hAnsi="宋体" w:eastAsia="宋体" w:cs="宋体"/>
                <w:sz w:val="21"/>
                <w:szCs w:val="21"/>
                <w:highlight w:val="none"/>
                <w:lang w:val="en-US" w:eastAsia="zh-CN"/>
              </w:rPr>
              <w:t>个</w:t>
            </w:r>
          </w:p>
          <w:p w14:paraId="5140EB73">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r>
              <w:rPr>
                <w:rFonts w:hint="default" w:ascii="宋体" w:hAnsi="宋体" w:eastAsia="宋体" w:cs="宋体"/>
                <w:sz w:val="21"/>
                <w:szCs w:val="21"/>
                <w:highlight w:val="none"/>
                <w:lang w:val="en-US" w:eastAsia="zh-CN"/>
              </w:rPr>
              <w:t>绑带</w:t>
            </w:r>
            <w:r>
              <w:rPr>
                <w:rFonts w:hint="default" w:ascii="宋体" w:hAnsi="宋体" w:eastAsia="宋体" w:cs="宋体"/>
                <w:sz w:val="21"/>
                <w:szCs w:val="21"/>
                <w:highlight w:val="none"/>
                <w:lang w:val="en-US" w:eastAsia="zh-CN"/>
              </w:rPr>
              <w:tab/>
            </w:r>
            <w:r>
              <w:rPr>
                <w:rFonts w:hint="default" w:ascii="宋体" w:hAnsi="宋体" w:eastAsia="宋体" w:cs="宋体"/>
                <w:sz w:val="21"/>
                <w:szCs w:val="21"/>
                <w:highlight w:val="none"/>
                <w:lang w:val="en-US" w:eastAsia="zh-CN"/>
              </w:rPr>
              <w:t>11</w:t>
            </w:r>
            <w:r>
              <w:rPr>
                <w:rFonts w:hint="eastAsia" w:ascii="宋体" w:hAnsi="宋体" w:eastAsia="宋体" w:cs="宋体"/>
                <w:sz w:val="21"/>
                <w:szCs w:val="21"/>
                <w:highlight w:val="none"/>
                <w:lang w:val="en-US" w:eastAsia="zh-CN"/>
              </w:rPr>
              <w:t>个</w:t>
            </w:r>
          </w:p>
          <w:p w14:paraId="3D0FCEF1">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w:t>
            </w:r>
            <w:r>
              <w:rPr>
                <w:rFonts w:hint="default" w:ascii="宋体" w:hAnsi="宋体" w:eastAsia="宋体" w:cs="宋体"/>
                <w:sz w:val="21"/>
                <w:szCs w:val="21"/>
                <w:highlight w:val="none"/>
                <w:lang w:val="en-US" w:eastAsia="zh-CN"/>
              </w:rPr>
              <w:t>手套</w:t>
            </w:r>
            <w:r>
              <w:rPr>
                <w:rFonts w:hint="default" w:ascii="宋体" w:hAnsi="宋体" w:eastAsia="宋体" w:cs="宋体"/>
                <w:sz w:val="21"/>
                <w:szCs w:val="21"/>
                <w:highlight w:val="none"/>
                <w:lang w:val="en-US" w:eastAsia="zh-CN"/>
              </w:rPr>
              <w:tab/>
            </w: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套</w:t>
            </w:r>
          </w:p>
          <w:p w14:paraId="07AF790C">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r>
              <w:rPr>
                <w:rFonts w:hint="default" w:ascii="宋体" w:hAnsi="宋体" w:eastAsia="宋体" w:cs="宋体"/>
                <w:sz w:val="21"/>
                <w:szCs w:val="21"/>
                <w:highlight w:val="none"/>
                <w:lang w:val="en-US" w:eastAsia="zh-CN"/>
              </w:rPr>
              <w:t>充电器3</w:t>
            </w:r>
            <w:r>
              <w:rPr>
                <w:rFonts w:hint="eastAsia" w:ascii="宋体" w:hAnsi="宋体" w:eastAsia="宋体" w:cs="宋体"/>
                <w:sz w:val="21"/>
                <w:szCs w:val="21"/>
                <w:highlight w:val="none"/>
                <w:lang w:val="en-US" w:eastAsia="zh-CN"/>
              </w:rPr>
              <w:t>个</w:t>
            </w:r>
          </w:p>
          <w:p w14:paraId="2A37E035">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w:t>
            </w:r>
            <w:r>
              <w:rPr>
                <w:rFonts w:hint="default" w:ascii="宋体" w:hAnsi="宋体" w:eastAsia="宋体" w:cs="宋体"/>
                <w:sz w:val="21"/>
                <w:szCs w:val="21"/>
                <w:highlight w:val="none"/>
                <w:lang w:val="en-US" w:eastAsia="zh-CN"/>
              </w:rPr>
              <w:t>接收端1</w:t>
            </w:r>
            <w:r>
              <w:rPr>
                <w:rFonts w:hint="eastAsia" w:ascii="宋体" w:hAnsi="宋体" w:eastAsia="宋体" w:cs="宋体"/>
                <w:sz w:val="21"/>
                <w:szCs w:val="21"/>
                <w:highlight w:val="none"/>
                <w:lang w:val="en-US" w:eastAsia="zh-CN"/>
              </w:rPr>
              <w:t>个</w:t>
            </w:r>
          </w:p>
          <w:p w14:paraId="0F13F56B">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w:t>
            </w:r>
            <w:r>
              <w:rPr>
                <w:rFonts w:hint="default" w:ascii="宋体" w:hAnsi="宋体" w:eastAsia="宋体" w:cs="宋体"/>
                <w:sz w:val="21"/>
                <w:szCs w:val="21"/>
                <w:highlight w:val="none"/>
                <w:lang w:val="en-US" w:eastAsia="zh-CN"/>
              </w:rPr>
              <w:t>上衣</w:t>
            </w:r>
            <w:r>
              <w:rPr>
                <w:rFonts w:hint="default" w:ascii="宋体" w:hAnsi="宋体" w:eastAsia="宋体" w:cs="宋体"/>
                <w:sz w:val="21"/>
                <w:szCs w:val="21"/>
                <w:highlight w:val="none"/>
                <w:lang w:val="en-US" w:eastAsia="zh-CN"/>
              </w:rPr>
              <w:tab/>
            </w:r>
            <w:r>
              <w:rPr>
                <w:rFonts w:hint="default"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CN"/>
              </w:rPr>
              <w:t>个</w:t>
            </w:r>
          </w:p>
          <w:p w14:paraId="07D8F698">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w:t>
            </w:r>
            <w:r>
              <w:rPr>
                <w:rFonts w:hint="default" w:ascii="宋体" w:hAnsi="宋体" w:eastAsia="宋体" w:cs="宋体"/>
                <w:sz w:val="21"/>
                <w:szCs w:val="21"/>
                <w:highlight w:val="none"/>
                <w:lang w:val="en-US" w:eastAsia="zh-CN"/>
              </w:rPr>
              <w:t>头带</w:t>
            </w:r>
            <w:r>
              <w:rPr>
                <w:rFonts w:hint="default" w:ascii="宋体" w:hAnsi="宋体" w:eastAsia="宋体" w:cs="宋体"/>
                <w:sz w:val="21"/>
                <w:szCs w:val="21"/>
                <w:highlight w:val="none"/>
                <w:lang w:val="en-US" w:eastAsia="zh-CN"/>
              </w:rPr>
              <w:tab/>
            </w:r>
            <w:r>
              <w:rPr>
                <w:rFonts w:hint="default"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CN"/>
              </w:rPr>
              <w:t>个</w:t>
            </w:r>
          </w:p>
          <w:p w14:paraId="61CB0760">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w:t>
            </w:r>
            <w:r>
              <w:rPr>
                <w:rFonts w:hint="default" w:ascii="宋体" w:hAnsi="宋体" w:eastAsia="宋体" w:cs="宋体"/>
                <w:sz w:val="21"/>
                <w:szCs w:val="21"/>
                <w:highlight w:val="none"/>
                <w:lang w:val="en-US" w:eastAsia="zh-CN"/>
              </w:rPr>
              <w:t>USB数据线1</w:t>
            </w:r>
            <w:r>
              <w:rPr>
                <w:rFonts w:hint="eastAsia" w:ascii="宋体" w:hAnsi="宋体" w:eastAsia="宋体" w:cs="宋体"/>
                <w:sz w:val="21"/>
                <w:szCs w:val="21"/>
                <w:highlight w:val="none"/>
                <w:lang w:val="en-US" w:eastAsia="zh-CN"/>
              </w:rPr>
              <w:t>个</w:t>
            </w:r>
          </w:p>
          <w:p w14:paraId="3940904B">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4.9</w:t>
            </w:r>
            <w:r>
              <w:rPr>
                <w:rFonts w:hint="default" w:ascii="宋体" w:hAnsi="宋体" w:eastAsia="宋体" w:cs="宋体"/>
                <w:sz w:val="21"/>
                <w:szCs w:val="21"/>
                <w:highlight w:val="none"/>
                <w:lang w:val="en-US" w:eastAsia="zh-CN"/>
              </w:rPr>
              <w:t>配套电脑（主机，显示器，键鼠）1套</w:t>
            </w:r>
          </w:p>
          <w:p w14:paraId="098BE757">
            <w:p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4.10</w:t>
            </w:r>
            <w:r>
              <w:rPr>
                <w:rFonts w:hint="default" w:ascii="宋体" w:hAnsi="宋体" w:eastAsia="宋体" w:cs="宋体"/>
                <w:sz w:val="21"/>
                <w:szCs w:val="21"/>
                <w:highlight w:val="none"/>
                <w:lang w:val="en-US" w:eastAsia="zh-CN"/>
              </w:rPr>
              <w:t>软件加密狗</w:t>
            </w:r>
            <w:r>
              <w:rPr>
                <w:rFonts w:hint="default" w:ascii="宋体" w:hAnsi="宋体" w:eastAsia="宋体" w:cs="宋体"/>
                <w:sz w:val="21"/>
                <w:szCs w:val="21"/>
                <w:highlight w:val="none"/>
                <w:lang w:val="en-US" w:eastAsia="zh-CN"/>
              </w:rPr>
              <w:tab/>
            </w:r>
            <w:r>
              <w:rPr>
                <w:rFonts w:hint="default"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CN"/>
              </w:rPr>
              <w:t>个</w:t>
            </w:r>
          </w:p>
          <w:p w14:paraId="5A79CD47">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4.11</w:t>
            </w:r>
            <w:r>
              <w:rPr>
                <w:rFonts w:hint="default" w:ascii="宋体" w:hAnsi="宋体" w:eastAsia="宋体" w:cs="宋体"/>
                <w:sz w:val="21"/>
                <w:szCs w:val="21"/>
                <w:highlight w:val="none"/>
                <w:lang w:val="en-US" w:eastAsia="zh-CN"/>
              </w:rPr>
              <w:t>软件u盘1</w:t>
            </w:r>
            <w:r>
              <w:rPr>
                <w:rFonts w:hint="eastAsia" w:ascii="宋体" w:hAnsi="宋体" w:eastAsia="宋体" w:cs="宋体"/>
                <w:sz w:val="21"/>
                <w:szCs w:val="21"/>
                <w:highlight w:val="none"/>
                <w:lang w:val="en-US" w:eastAsia="zh-CN"/>
              </w:rPr>
              <w:t>个</w:t>
            </w:r>
          </w:p>
          <w:p w14:paraId="4D2B8CEA">
            <w:pPr>
              <w:rPr>
                <w:rFonts w:hint="eastAsia" w:ascii="Times New Roman" w:hAnsi="Times New Roman" w:eastAsia="宋体" w:cs="Times New Roman"/>
                <w:highlight w:val="none"/>
                <w:lang w:val="en-US" w:eastAsia="zh-CN"/>
              </w:rPr>
            </w:pPr>
            <w:r>
              <w:rPr>
                <w:rFonts w:hint="eastAsia" w:ascii="宋体" w:hAnsi="宋体" w:eastAsia="宋体" w:cs="宋体"/>
                <w:sz w:val="21"/>
                <w:szCs w:val="21"/>
                <w:highlight w:val="none"/>
                <w:lang w:val="en-US" w:eastAsia="zh-CN"/>
              </w:rPr>
              <w:t>4.12</w:t>
            </w:r>
            <w:r>
              <w:rPr>
                <w:rFonts w:hint="eastAsia" w:ascii="Times New Roman" w:hAnsi="Times New Roman" w:eastAsia="宋体" w:cs="Times New Roman"/>
                <w:highlight w:val="none"/>
                <w:lang w:val="en-US" w:eastAsia="zh-CN"/>
              </w:rPr>
              <w:t>设备使用指导手册</w:t>
            </w:r>
          </w:p>
          <w:p w14:paraId="74A06280">
            <w:pPr>
              <w:rPr>
                <w:rFonts w:hint="default" w:ascii="宋体" w:hAnsi="宋体" w:eastAsia="宋体" w:cs="宋体"/>
                <w:sz w:val="21"/>
                <w:szCs w:val="21"/>
                <w:highlight w:val="yellow"/>
                <w:lang w:val="en-US" w:eastAsia="zh-CN"/>
              </w:rPr>
            </w:pPr>
            <w:r>
              <w:rPr>
                <w:rFonts w:hint="eastAsia" w:ascii="Times New Roman" w:hAnsi="Times New Roman" w:eastAsia="宋体" w:cs="Times New Roman"/>
                <w:highlight w:val="none"/>
                <w:lang w:val="en-US" w:eastAsia="zh-CN"/>
              </w:rPr>
              <w:t>4.13设备功能介绍展示板</w:t>
            </w:r>
          </w:p>
        </w:tc>
        <w:tc>
          <w:tcPr>
            <w:tcW w:w="348" w:type="pct"/>
            <w:noWrap w:val="0"/>
            <w:vAlign w:val="center"/>
          </w:tcPr>
          <w:p w14:paraId="36FAC045">
            <w:pPr>
              <w:widowControl w:val="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w:t>
            </w:r>
          </w:p>
        </w:tc>
        <w:tc>
          <w:tcPr>
            <w:tcW w:w="349" w:type="pct"/>
            <w:noWrap w:val="0"/>
            <w:vAlign w:val="center"/>
          </w:tcPr>
          <w:p w14:paraId="06429542">
            <w:pPr>
              <w:widowControl w:val="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套</w:t>
            </w:r>
          </w:p>
        </w:tc>
      </w:tr>
      <w:tr w14:paraId="6D7D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8" w:hRule="atLeast"/>
          <w:jc w:val="center"/>
        </w:trPr>
        <w:tc>
          <w:tcPr>
            <w:tcW w:w="463" w:type="pct"/>
            <w:noWrap w:val="0"/>
            <w:vAlign w:val="center"/>
          </w:tcPr>
          <w:p w14:paraId="02A08B04">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626" w:type="pct"/>
            <w:noWrap w:val="0"/>
            <w:vAlign w:val="center"/>
          </w:tcPr>
          <w:p w14:paraId="3FA93FC8">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注意力测试模块</w:t>
            </w:r>
          </w:p>
        </w:tc>
        <w:tc>
          <w:tcPr>
            <w:tcW w:w="3211" w:type="pct"/>
            <w:noWrap w:val="0"/>
            <w:vAlign w:val="center"/>
          </w:tcPr>
          <w:p w14:paraId="14BFF514">
            <w:pP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1.测试模块</w:t>
            </w:r>
          </w:p>
          <w:p w14:paraId="7E66E186">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数据分辨率：支持最大2560×1440@30fps</w:t>
            </w:r>
          </w:p>
          <w:p w14:paraId="071CAA84">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1.2</w:t>
            </w:r>
            <w:r>
              <w:rPr>
                <w:rFonts w:hint="eastAsia" w:ascii="宋体" w:hAnsi="宋体" w:cs="宋体"/>
                <w:b w:val="0"/>
                <w:bCs w:val="0"/>
                <w:color w:val="auto"/>
                <w:sz w:val="21"/>
                <w:szCs w:val="21"/>
                <w:highlight w:val="none"/>
              </w:rPr>
              <w:t>焦距：支持2倍光学变倍，16倍数字变倍</w:t>
            </w:r>
          </w:p>
          <w:p w14:paraId="29EBABD4">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1.3</w:t>
            </w:r>
            <w:r>
              <w:rPr>
                <w:rFonts w:hint="eastAsia" w:ascii="宋体" w:hAnsi="宋体" w:cs="宋体"/>
                <w:b w:val="0"/>
                <w:bCs w:val="0"/>
                <w:color w:val="auto"/>
                <w:sz w:val="21"/>
                <w:szCs w:val="21"/>
                <w:highlight w:val="none"/>
              </w:rPr>
              <w:t>角度：支持350°水平旋转，垂直方向0°~90°</w:t>
            </w:r>
          </w:p>
          <w:p w14:paraId="35DD38DF">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4速度：水平键控速度：0.1°-60°/s,速度可设;水平预置点速度：60°/s；垂直键控速度：0.1°-50°/s,速度可设;垂直预置点速度：50°/s</w:t>
            </w:r>
          </w:p>
          <w:p w14:paraId="7CF8ED20">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5音频：支持音频输入和音频输出，实现双向语音对讲</w:t>
            </w:r>
          </w:p>
          <w:p w14:paraId="134D82F0">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6有效像素：400万</w:t>
            </w:r>
          </w:p>
          <w:p w14:paraId="54DF4A04">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1.7</w:t>
            </w:r>
            <w:r>
              <w:rPr>
                <w:rFonts w:hint="eastAsia" w:ascii="宋体" w:hAnsi="宋体" w:cs="宋体"/>
                <w:b w:val="0"/>
                <w:bCs w:val="0"/>
                <w:color w:val="auto"/>
                <w:sz w:val="21"/>
                <w:szCs w:val="21"/>
                <w:highlight w:val="none"/>
              </w:rPr>
              <w:t>开发接口：支持标准的API 开发接口</w:t>
            </w:r>
          </w:p>
          <w:p w14:paraId="4CD4FD6F">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1.8</w:t>
            </w:r>
            <w:r>
              <w:rPr>
                <w:rFonts w:hint="eastAsia" w:ascii="宋体" w:hAnsi="宋体" w:cs="宋体"/>
                <w:b w:val="0"/>
                <w:bCs w:val="0"/>
                <w:color w:val="auto"/>
                <w:sz w:val="21"/>
                <w:szCs w:val="21"/>
                <w:highlight w:val="none"/>
              </w:rPr>
              <w:t>采集行为音视频数据，多角度多方面对研究对象进行录音录象，过程中可以调节方位、角度、调焦接近镜头</w:t>
            </w:r>
          </w:p>
          <w:p w14:paraId="77FEB834">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1.19</w:t>
            </w:r>
            <w:r>
              <w:rPr>
                <w:rFonts w:hint="eastAsia" w:ascii="宋体" w:hAnsi="宋体" w:eastAsia="宋体" w:cs="宋体"/>
                <w:b w:val="0"/>
                <w:bCs w:val="0"/>
                <w:color w:val="auto"/>
                <w:kern w:val="0"/>
                <w:sz w:val="21"/>
                <w:szCs w:val="21"/>
                <w:highlight w:val="none"/>
              </w:rPr>
              <w:t>支持多通道行为观察功能：结合行为观察分析软件对被研究对象的动作，姿势，运动，位置，表情，情绪，社会交往，人机交互等各种活动；记录被研究对象各种行为发生的时刻、发生的次数和持续的时间，然后进行统计处理，得到分析报告.</w:t>
            </w:r>
          </w:p>
          <w:p w14:paraId="2600F4AC">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数据输入：HDMI 4路，MIC声音录制：1路</w:t>
            </w:r>
          </w:p>
          <w:p w14:paraId="5EF21730">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录制规格：HDMI1080P/1080I/720P/480P</w:t>
            </w:r>
          </w:p>
          <w:p w14:paraId="54428FC6">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帧率：60Hz</w:t>
            </w:r>
          </w:p>
          <w:p w14:paraId="7F059383">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输出：USB免驱视频查看</w:t>
            </w:r>
          </w:p>
          <w:p w14:paraId="30A36500">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输出视频规格：USB1080P/1080I/720P/480P</w:t>
            </w:r>
          </w:p>
          <w:p w14:paraId="5BBE7AFA">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多路视频融合算法：支持</w:t>
            </w:r>
          </w:p>
          <w:p w14:paraId="29F60957">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视频融合模式：5种</w:t>
            </w:r>
          </w:p>
          <w:p w14:paraId="7807E78D">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融合模式切换:上位机控制</w:t>
            </w:r>
          </w:p>
          <w:p w14:paraId="4238DE6B">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切换速度：无缝切换</w:t>
            </w:r>
          </w:p>
          <w:p w14:paraId="7DA057AF">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1.19</w:t>
            </w:r>
            <w:r>
              <w:rPr>
                <w:rFonts w:hint="eastAsia" w:ascii="宋体" w:hAnsi="宋体" w:eastAsia="宋体" w:cs="宋体"/>
                <w:b w:val="0"/>
                <w:bCs w:val="0"/>
                <w:color w:val="auto"/>
                <w:kern w:val="0"/>
                <w:sz w:val="21"/>
                <w:szCs w:val="21"/>
                <w:highlight w:val="none"/>
              </w:rPr>
              <w:t>行为直方图：支持</w:t>
            </w:r>
          </w:p>
          <w:p w14:paraId="19A02C28">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rPr>
              <w:t>与生理参数同步录制分析：支持</w:t>
            </w:r>
          </w:p>
          <w:p w14:paraId="6DDCD61F">
            <w:pPr>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差异化：自动给出两个前后连续的行为发生的次数</w:t>
            </w:r>
          </w:p>
          <w:p w14:paraId="6DF37455">
            <w:pP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事件：能够得到各种行为发生的次数,每次发生的时间,持续的时间,最短的持续时间,最长的持续时间,平均的持续时间</w:t>
            </w:r>
          </w:p>
          <w:p w14:paraId="2CFEBB9A">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人机工程主控平台</w:t>
            </w:r>
          </w:p>
          <w:p w14:paraId="365225ED">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2.1</w:t>
            </w:r>
            <w:r>
              <w:rPr>
                <w:rFonts w:hint="eastAsia" w:ascii="宋体" w:hAnsi="宋体" w:cs="宋体"/>
                <w:b w:val="0"/>
                <w:bCs w:val="0"/>
                <w:color w:val="auto"/>
                <w:sz w:val="21"/>
                <w:szCs w:val="21"/>
                <w:highlight w:val="none"/>
              </w:rPr>
              <w:t>定制观摩电视墙，4通道平行拼接，拼缝不大于3.5mm，亮度不低于500cd/m²，分辨率不小于1920X1080，支持壁挂，落地，嵌入安装。</w:t>
            </w:r>
          </w:p>
          <w:p w14:paraId="3CC2DC3A">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网络矩阵：</w:t>
            </w:r>
            <w:r>
              <w:rPr>
                <w:rFonts w:ascii="宋体" w:hAnsi="宋体" w:cs="宋体"/>
                <w:b w:val="0"/>
                <w:bCs w:val="0"/>
                <w:color w:val="auto"/>
                <w:sz w:val="21"/>
                <w:szCs w:val="21"/>
                <w:highlight w:val="none"/>
              </w:rPr>
              <w:t>将网络视频信号转换为</w:t>
            </w:r>
            <w:r>
              <w:rPr>
                <w:rFonts w:hint="eastAsia" w:ascii="宋体" w:hAnsi="宋体" w:cs="宋体"/>
                <w:b w:val="0"/>
                <w:bCs w:val="0"/>
                <w:color w:val="auto"/>
                <w:sz w:val="21"/>
                <w:szCs w:val="21"/>
                <w:highlight w:val="none"/>
              </w:rPr>
              <w:t>4路</w:t>
            </w:r>
            <w:r>
              <w:rPr>
                <w:rFonts w:ascii="宋体" w:hAnsi="宋体" w:cs="宋体"/>
                <w:b w:val="0"/>
                <w:bCs w:val="0"/>
                <w:color w:val="auto"/>
                <w:sz w:val="21"/>
                <w:szCs w:val="21"/>
                <w:highlight w:val="none"/>
              </w:rPr>
              <w:t>数字视频信号</w:t>
            </w:r>
            <w:r>
              <w:rPr>
                <w:rFonts w:hint="eastAsia" w:ascii="宋体" w:hAnsi="宋体" w:cs="宋体"/>
                <w:b w:val="0"/>
                <w:bCs w:val="0"/>
                <w:color w:val="auto"/>
                <w:sz w:val="21"/>
                <w:szCs w:val="21"/>
                <w:highlight w:val="none"/>
              </w:rPr>
              <w:t>，解码格式为H.265，支持拼接分割，支持单屏幕最高16路画面。</w:t>
            </w:r>
          </w:p>
          <w:p w14:paraId="4CFDE72C">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2.3</w:t>
            </w:r>
            <w:r>
              <w:rPr>
                <w:rFonts w:ascii="宋体" w:hAnsi="宋体" w:cs="宋体"/>
                <w:b w:val="0"/>
                <w:bCs w:val="0"/>
                <w:color w:val="auto"/>
                <w:sz w:val="21"/>
                <w:szCs w:val="21"/>
                <w:highlight w:val="none"/>
              </w:rPr>
              <w:t>三维网络键盘，可实现旋转、变倍、聚焦、光圈；切换画面分割控制功能。</w:t>
            </w:r>
          </w:p>
          <w:p w14:paraId="57A46AB2">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2.4</w:t>
            </w:r>
            <w:r>
              <w:rPr>
                <w:rFonts w:ascii="宋体" w:hAnsi="宋体" w:cs="宋体"/>
                <w:b w:val="0"/>
                <w:bCs w:val="0"/>
                <w:color w:val="auto"/>
                <w:sz w:val="21"/>
                <w:szCs w:val="21"/>
                <w:highlight w:val="none"/>
              </w:rPr>
              <w:t>通讯接口：RS-485,RJ45。</w:t>
            </w:r>
          </w:p>
          <w:p w14:paraId="1B2AE185">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支持双向对讲，实现主试与被试双向交流。频率响应：20Hz-20KHz，信噪比：＞95db.</w:t>
            </w:r>
          </w:p>
          <w:p w14:paraId="36FB958B">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2.6</w:t>
            </w:r>
            <w:r>
              <w:rPr>
                <w:rFonts w:hint="eastAsia" w:ascii="宋体" w:hAnsi="宋体" w:cs="宋体"/>
                <w:b w:val="0"/>
                <w:bCs w:val="0"/>
                <w:color w:val="auto"/>
                <w:sz w:val="21"/>
                <w:szCs w:val="21"/>
                <w:highlight w:val="none"/>
              </w:rPr>
              <w:t>定制化单向玻璃：尺寸2400</w:t>
            </w: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1200mm，厚度12mm，透光率10%，反射率80%，透反比1：8.5，耐酸耐碱耐热耐磨</w:t>
            </w:r>
          </w:p>
          <w:p w14:paraId="711886EE">
            <w:pP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2.7</w:t>
            </w:r>
            <w:r>
              <w:rPr>
                <w:rFonts w:hint="eastAsia" w:ascii="宋体" w:hAnsi="宋体" w:cs="宋体"/>
                <w:b w:val="0"/>
                <w:bCs w:val="0"/>
                <w:color w:val="auto"/>
                <w:sz w:val="21"/>
                <w:szCs w:val="21"/>
                <w:highlight w:val="none"/>
              </w:rPr>
              <w:t>定制化操作台，采用</w:t>
            </w:r>
            <w:r>
              <w:rPr>
                <w:b w:val="0"/>
                <w:bCs w:val="0"/>
                <w:color w:val="auto"/>
                <w:sz w:val="21"/>
                <w:szCs w:val="21"/>
                <w:highlight w:val="none"/>
              </w:rPr>
              <w:fldChar w:fldCharType="begin"/>
            </w:r>
            <w:r>
              <w:rPr>
                <w:b w:val="0"/>
                <w:bCs w:val="0"/>
                <w:color w:val="auto"/>
                <w:sz w:val="21"/>
                <w:szCs w:val="21"/>
                <w:highlight w:val="none"/>
              </w:rPr>
              <w:instrText xml:space="preserve"> HYPERLINK "https://baike.baidu.com/item/%E5%86%B7%E8%BD%A7%E9%92%A2%E6%9D%BF/4431375" \t "https://baike.baidu.com/item/%E6%93%8D%E4%BD%9C%E5%8F%B0/_blank" </w:instrText>
            </w:r>
            <w:r>
              <w:rPr>
                <w:b w:val="0"/>
                <w:bCs w:val="0"/>
                <w:color w:val="auto"/>
                <w:sz w:val="21"/>
                <w:szCs w:val="21"/>
                <w:highlight w:val="none"/>
              </w:rPr>
              <w:fldChar w:fldCharType="separate"/>
            </w:r>
            <w:r>
              <w:rPr>
                <w:rFonts w:ascii="宋体" w:hAnsi="宋体" w:cs="宋体"/>
                <w:b w:val="0"/>
                <w:bCs w:val="0"/>
                <w:color w:val="auto"/>
                <w:sz w:val="21"/>
                <w:szCs w:val="21"/>
                <w:highlight w:val="none"/>
              </w:rPr>
              <w:t>冷轧钢板</w:t>
            </w:r>
            <w:r>
              <w:rPr>
                <w:rFonts w:ascii="宋体" w:hAnsi="宋体" w:cs="宋体"/>
                <w:b w:val="0"/>
                <w:bCs w:val="0"/>
                <w:color w:val="auto"/>
                <w:sz w:val="21"/>
                <w:szCs w:val="21"/>
                <w:highlight w:val="none"/>
              </w:rPr>
              <w:fldChar w:fldCharType="end"/>
            </w:r>
            <w:r>
              <w:rPr>
                <w:rFonts w:ascii="宋体" w:hAnsi="宋体" w:cs="宋体"/>
                <w:b w:val="0"/>
                <w:bCs w:val="0"/>
                <w:color w:val="auto"/>
                <w:sz w:val="21"/>
                <w:szCs w:val="21"/>
                <w:highlight w:val="none"/>
              </w:rPr>
              <w:t>冲压折弯成型</w:t>
            </w:r>
            <w:r>
              <w:rPr>
                <w:rFonts w:hint="eastAsia" w:ascii="宋体" w:hAnsi="宋体" w:cs="宋体"/>
                <w:b w:val="0"/>
                <w:bCs w:val="0"/>
                <w:color w:val="auto"/>
                <w:sz w:val="21"/>
                <w:szCs w:val="21"/>
                <w:highlight w:val="none"/>
              </w:rPr>
              <w:t>，尺寸1800</w:t>
            </w: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800mm，厚度≥2mm，支持多路高清显示器。</w:t>
            </w:r>
          </w:p>
          <w:p w14:paraId="778BE666">
            <w:pP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3.注意力测试</w:t>
            </w:r>
          </w:p>
          <w:p w14:paraId="331B6F8A">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w:t>
            </w:r>
            <w:r>
              <w:rPr>
                <w:rFonts w:hint="default" w:ascii="宋体" w:hAnsi="宋体" w:cs="宋体"/>
                <w:b w:val="0"/>
                <w:bCs w:val="0"/>
                <w:color w:val="auto"/>
                <w:sz w:val="21"/>
                <w:szCs w:val="21"/>
                <w:highlight w:val="none"/>
                <w:lang w:val="en-US" w:eastAsia="zh-CN"/>
              </w:rPr>
              <w:t>二维多目标追踪数量特征</w:t>
            </w:r>
          </w:p>
          <w:p w14:paraId="4ABEDF00">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3.2</w:t>
            </w:r>
            <w:r>
              <w:rPr>
                <w:rFonts w:hint="default" w:ascii="宋体" w:hAnsi="宋体" w:cs="宋体"/>
                <w:b w:val="0"/>
                <w:bCs w:val="0"/>
                <w:color w:val="auto"/>
                <w:sz w:val="21"/>
                <w:szCs w:val="21"/>
                <w:highlight w:val="none"/>
                <w:lang w:val="en-US" w:eastAsia="zh-CN"/>
              </w:rPr>
              <w:t>二维多目标追踪速度特征</w:t>
            </w:r>
          </w:p>
          <w:p w14:paraId="1B3646AE">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3.3</w:t>
            </w:r>
            <w:r>
              <w:rPr>
                <w:rFonts w:hint="default" w:ascii="宋体" w:hAnsi="宋体" w:cs="宋体"/>
                <w:b w:val="0"/>
                <w:bCs w:val="0"/>
                <w:color w:val="auto"/>
                <w:sz w:val="21"/>
                <w:szCs w:val="21"/>
                <w:highlight w:val="none"/>
                <w:lang w:val="en-US" w:eastAsia="zh-CN"/>
              </w:rPr>
              <w:t>三维多目标追踪数量特征</w:t>
            </w:r>
          </w:p>
          <w:p w14:paraId="64A82CCF">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3.4</w:t>
            </w:r>
            <w:r>
              <w:rPr>
                <w:rFonts w:hint="default" w:ascii="宋体" w:hAnsi="宋体" w:cs="宋体"/>
                <w:b w:val="0"/>
                <w:bCs w:val="0"/>
                <w:color w:val="auto"/>
                <w:sz w:val="21"/>
                <w:szCs w:val="21"/>
                <w:highlight w:val="none"/>
                <w:lang w:val="en-US" w:eastAsia="zh-CN"/>
              </w:rPr>
              <w:t>三维多目标追踪速度特征</w:t>
            </w:r>
          </w:p>
          <w:p w14:paraId="1F7B3528">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3.5</w:t>
            </w:r>
            <w:r>
              <w:rPr>
                <w:rFonts w:hint="default" w:ascii="宋体" w:hAnsi="宋体" w:cs="宋体"/>
                <w:b w:val="0"/>
                <w:bCs w:val="0"/>
                <w:color w:val="auto"/>
                <w:sz w:val="21"/>
                <w:szCs w:val="21"/>
                <w:highlight w:val="none"/>
                <w:lang w:val="en-US" w:eastAsia="zh-CN"/>
              </w:rPr>
              <w:t>持续任务注意反应范式</w:t>
            </w:r>
          </w:p>
          <w:p w14:paraId="47767366">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3.6</w:t>
            </w:r>
            <w:r>
              <w:rPr>
                <w:rFonts w:hint="default" w:ascii="宋体" w:hAnsi="宋体" w:cs="宋体"/>
                <w:b w:val="0"/>
                <w:bCs w:val="0"/>
                <w:color w:val="auto"/>
                <w:sz w:val="21"/>
                <w:szCs w:val="21"/>
                <w:highlight w:val="none"/>
                <w:lang w:val="en-US" w:eastAsia="zh-CN"/>
              </w:rPr>
              <w:t>舒尔特方格</w:t>
            </w:r>
          </w:p>
          <w:p w14:paraId="0CA0AE74">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3.7</w:t>
            </w:r>
            <w:r>
              <w:rPr>
                <w:rFonts w:hint="default" w:ascii="宋体" w:hAnsi="宋体" w:cs="宋体"/>
                <w:b w:val="0"/>
                <w:bCs w:val="0"/>
                <w:color w:val="auto"/>
                <w:sz w:val="21"/>
                <w:szCs w:val="21"/>
                <w:highlight w:val="none"/>
                <w:lang w:val="en-US" w:eastAsia="zh-CN"/>
              </w:rPr>
              <w:t>点位跳跃实验</w:t>
            </w:r>
          </w:p>
          <w:p w14:paraId="220E82C0">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3.8</w:t>
            </w:r>
            <w:r>
              <w:rPr>
                <w:rFonts w:hint="default" w:ascii="宋体" w:hAnsi="宋体" w:cs="宋体"/>
                <w:b w:val="0"/>
                <w:bCs w:val="0"/>
                <w:color w:val="auto"/>
                <w:sz w:val="21"/>
                <w:szCs w:val="21"/>
                <w:highlight w:val="none"/>
                <w:lang w:val="en-US" w:eastAsia="zh-CN"/>
              </w:rPr>
              <w:t>精神运动警戒任务</w:t>
            </w:r>
          </w:p>
          <w:p w14:paraId="15ED7F19">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3.9</w:t>
            </w:r>
            <w:r>
              <w:rPr>
                <w:rFonts w:hint="default" w:ascii="宋体" w:hAnsi="宋体" w:cs="宋体"/>
                <w:b w:val="0"/>
                <w:bCs w:val="0"/>
                <w:color w:val="auto"/>
                <w:sz w:val="21"/>
                <w:szCs w:val="21"/>
                <w:highlight w:val="none"/>
                <w:lang w:val="en-US" w:eastAsia="zh-CN"/>
              </w:rPr>
              <w:t>划消实验</w:t>
            </w:r>
          </w:p>
          <w:p w14:paraId="00BAB540">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3.10</w:t>
            </w:r>
            <w:r>
              <w:rPr>
                <w:rFonts w:hint="default" w:ascii="宋体" w:hAnsi="宋体" w:cs="宋体"/>
                <w:b w:val="0"/>
                <w:bCs w:val="0"/>
                <w:color w:val="auto"/>
                <w:sz w:val="21"/>
                <w:szCs w:val="21"/>
                <w:highlight w:val="none"/>
                <w:lang w:val="en-US" w:eastAsia="zh-CN"/>
              </w:rPr>
              <w:t>交替转换范式</w:t>
            </w:r>
          </w:p>
          <w:p w14:paraId="08C7B144">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3.11</w:t>
            </w:r>
            <w:r>
              <w:rPr>
                <w:rFonts w:hint="default" w:ascii="宋体" w:hAnsi="宋体" w:cs="宋体"/>
                <w:b w:val="0"/>
                <w:bCs w:val="0"/>
                <w:color w:val="auto"/>
                <w:sz w:val="21"/>
                <w:szCs w:val="21"/>
                <w:highlight w:val="none"/>
                <w:lang w:val="en-US" w:eastAsia="zh-CN"/>
              </w:rPr>
              <w:t>线索转换范式</w:t>
            </w:r>
          </w:p>
          <w:p w14:paraId="73301C6A">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3.12</w:t>
            </w:r>
            <w:r>
              <w:rPr>
                <w:rFonts w:hint="default" w:ascii="宋体" w:hAnsi="宋体" w:cs="宋体"/>
                <w:b w:val="0"/>
                <w:bCs w:val="0"/>
                <w:color w:val="auto"/>
                <w:sz w:val="21"/>
                <w:szCs w:val="21"/>
                <w:highlight w:val="none"/>
                <w:lang w:val="en-US" w:eastAsia="zh-CN"/>
              </w:rPr>
              <w:t>混合反向眼跳</w:t>
            </w:r>
          </w:p>
          <w:p w14:paraId="47D3C29C">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3.13</w:t>
            </w:r>
            <w:r>
              <w:rPr>
                <w:rFonts w:hint="default" w:ascii="宋体" w:hAnsi="宋体" w:cs="宋体"/>
                <w:b w:val="0"/>
                <w:bCs w:val="0"/>
                <w:color w:val="auto"/>
                <w:sz w:val="21"/>
                <w:szCs w:val="21"/>
                <w:highlight w:val="none"/>
                <w:lang w:val="en-US" w:eastAsia="zh-CN"/>
              </w:rPr>
              <w:t>对象选择实验</w:t>
            </w:r>
          </w:p>
          <w:p w14:paraId="181AE8FF">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3.14</w:t>
            </w:r>
            <w:r>
              <w:rPr>
                <w:rFonts w:hint="default" w:ascii="宋体" w:hAnsi="宋体" w:cs="宋体"/>
                <w:b w:val="0"/>
                <w:bCs w:val="0"/>
                <w:color w:val="auto"/>
                <w:sz w:val="21"/>
                <w:szCs w:val="21"/>
                <w:highlight w:val="none"/>
                <w:lang w:val="en-US" w:eastAsia="zh-CN"/>
              </w:rPr>
              <w:t>目标计数任务</w:t>
            </w:r>
          </w:p>
          <w:p w14:paraId="4C3A8119">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3.15</w:t>
            </w:r>
            <w:r>
              <w:rPr>
                <w:rFonts w:hint="default" w:ascii="宋体" w:hAnsi="宋体" w:cs="宋体"/>
                <w:b w:val="0"/>
                <w:bCs w:val="0"/>
                <w:color w:val="auto"/>
                <w:sz w:val="21"/>
                <w:szCs w:val="21"/>
                <w:highlight w:val="none"/>
                <w:lang w:val="en-US" w:eastAsia="zh-CN"/>
              </w:rPr>
              <w:t>视觉搜索绩效</w:t>
            </w:r>
          </w:p>
          <w:p w14:paraId="5BD2AA6E">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3.16</w:t>
            </w:r>
            <w:r>
              <w:rPr>
                <w:rFonts w:hint="default" w:ascii="宋体" w:hAnsi="宋体" w:cs="宋体"/>
                <w:b w:val="0"/>
                <w:bCs w:val="0"/>
                <w:color w:val="auto"/>
                <w:sz w:val="21"/>
                <w:szCs w:val="21"/>
                <w:highlight w:val="none"/>
                <w:lang w:val="en-US" w:eastAsia="zh-CN"/>
              </w:rPr>
              <w:t>多任务实验范式</w:t>
            </w:r>
          </w:p>
          <w:p w14:paraId="73A9B21C">
            <w:pP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3.17</w:t>
            </w:r>
            <w:r>
              <w:rPr>
                <w:rFonts w:hint="default" w:ascii="宋体" w:hAnsi="宋体" w:cs="宋体"/>
                <w:b w:val="0"/>
                <w:bCs w:val="0"/>
                <w:color w:val="auto"/>
                <w:sz w:val="21"/>
                <w:szCs w:val="21"/>
                <w:highlight w:val="none"/>
                <w:lang w:val="en-US" w:eastAsia="zh-CN"/>
              </w:rPr>
              <w:t>周边视野</w:t>
            </w:r>
          </w:p>
          <w:p w14:paraId="52F32B7A">
            <w:pPr>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4.配置要求：</w:t>
            </w:r>
          </w:p>
          <w:p w14:paraId="6BE2E77D">
            <w:pPr>
              <w:rPr>
                <w:rFonts w:hint="eastAsia" w:eastAsia="宋体"/>
                <w:highlight w:val="none"/>
                <w:lang w:val="en-US" w:eastAsia="zh-CN"/>
              </w:rPr>
            </w:pPr>
            <w:r>
              <w:rPr>
                <w:rFonts w:hint="eastAsia"/>
                <w:highlight w:val="none"/>
                <w:lang w:val="en-US" w:eastAsia="zh-CN"/>
              </w:rPr>
              <w:t>4.1</w:t>
            </w:r>
            <w:r>
              <w:rPr>
                <w:rFonts w:hint="eastAsia"/>
                <w:highlight w:val="none"/>
              </w:rPr>
              <w:t>行为摄像机4</w:t>
            </w:r>
            <w:r>
              <w:rPr>
                <w:rFonts w:hint="eastAsia"/>
                <w:highlight w:val="none"/>
                <w:lang w:val="en-US" w:eastAsia="zh-CN"/>
              </w:rPr>
              <w:t>个</w:t>
            </w:r>
          </w:p>
          <w:p w14:paraId="2AD7C4CC">
            <w:pPr>
              <w:rPr>
                <w:rFonts w:hint="eastAsia" w:eastAsia="宋体"/>
                <w:highlight w:val="none"/>
                <w:lang w:val="en-US" w:eastAsia="zh-CN"/>
              </w:rPr>
            </w:pPr>
            <w:r>
              <w:rPr>
                <w:rFonts w:hint="eastAsia"/>
                <w:highlight w:val="none"/>
                <w:lang w:val="en-US" w:eastAsia="zh-CN"/>
              </w:rPr>
              <w:t>4.2</w:t>
            </w:r>
            <w:r>
              <w:rPr>
                <w:rFonts w:hint="eastAsia"/>
                <w:highlight w:val="none"/>
              </w:rPr>
              <w:t>定制电视墙1</w:t>
            </w:r>
            <w:r>
              <w:rPr>
                <w:rFonts w:hint="eastAsia"/>
                <w:highlight w:val="none"/>
                <w:lang w:val="en-US" w:eastAsia="zh-CN"/>
              </w:rPr>
              <w:t>个</w:t>
            </w:r>
          </w:p>
          <w:p w14:paraId="27A9FE26">
            <w:pPr>
              <w:rPr>
                <w:rFonts w:hint="eastAsia" w:eastAsia="宋体"/>
                <w:highlight w:val="none"/>
                <w:lang w:val="en-US" w:eastAsia="zh-CN"/>
              </w:rPr>
            </w:pPr>
            <w:r>
              <w:rPr>
                <w:rFonts w:hint="eastAsia"/>
                <w:highlight w:val="none"/>
                <w:lang w:val="en-US" w:eastAsia="zh-CN"/>
              </w:rPr>
              <w:t>4.3</w:t>
            </w:r>
            <w:r>
              <w:rPr>
                <w:rFonts w:hint="eastAsia"/>
                <w:highlight w:val="none"/>
              </w:rPr>
              <w:t>网络矩阵</w:t>
            </w:r>
            <w:r>
              <w:rPr>
                <w:rFonts w:hint="eastAsia"/>
                <w:highlight w:val="none"/>
              </w:rPr>
              <w:tab/>
            </w:r>
            <w:r>
              <w:rPr>
                <w:rFonts w:hint="eastAsia"/>
                <w:highlight w:val="none"/>
              </w:rPr>
              <w:t>1</w:t>
            </w:r>
            <w:r>
              <w:rPr>
                <w:rFonts w:hint="eastAsia"/>
                <w:highlight w:val="none"/>
                <w:lang w:val="en-US" w:eastAsia="zh-CN"/>
              </w:rPr>
              <w:t>个</w:t>
            </w:r>
          </w:p>
          <w:p w14:paraId="50A0BFDA">
            <w:pPr>
              <w:rPr>
                <w:rFonts w:hint="eastAsia" w:eastAsia="宋体"/>
                <w:highlight w:val="none"/>
                <w:lang w:val="en-US" w:eastAsia="zh-CN"/>
              </w:rPr>
            </w:pPr>
            <w:r>
              <w:rPr>
                <w:rFonts w:hint="eastAsia"/>
                <w:highlight w:val="none"/>
                <w:lang w:val="en-US" w:eastAsia="zh-CN"/>
              </w:rPr>
              <w:t>4.4</w:t>
            </w:r>
            <w:r>
              <w:rPr>
                <w:rFonts w:hint="eastAsia"/>
                <w:highlight w:val="none"/>
              </w:rPr>
              <w:t>三维网络键盘</w:t>
            </w:r>
            <w:r>
              <w:rPr>
                <w:rFonts w:hint="eastAsia"/>
                <w:highlight w:val="none"/>
              </w:rPr>
              <w:tab/>
            </w:r>
            <w:r>
              <w:rPr>
                <w:rFonts w:hint="eastAsia"/>
                <w:highlight w:val="none"/>
              </w:rPr>
              <w:t>1</w:t>
            </w:r>
            <w:r>
              <w:rPr>
                <w:rFonts w:hint="eastAsia"/>
                <w:highlight w:val="none"/>
                <w:lang w:val="en-US" w:eastAsia="zh-CN"/>
              </w:rPr>
              <w:t>个</w:t>
            </w:r>
          </w:p>
          <w:p w14:paraId="72974B9E">
            <w:pPr>
              <w:rPr>
                <w:rFonts w:hint="eastAsia" w:eastAsia="宋体"/>
                <w:highlight w:val="none"/>
                <w:lang w:val="en-US" w:eastAsia="zh-CN"/>
              </w:rPr>
            </w:pPr>
            <w:r>
              <w:rPr>
                <w:rFonts w:hint="eastAsia"/>
                <w:highlight w:val="none"/>
                <w:lang w:val="en-US" w:eastAsia="zh-CN"/>
              </w:rPr>
              <w:t>4.5</w:t>
            </w:r>
            <w:r>
              <w:rPr>
                <w:rFonts w:hint="eastAsia"/>
                <w:highlight w:val="none"/>
              </w:rPr>
              <w:t>麦克风1</w:t>
            </w:r>
            <w:r>
              <w:rPr>
                <w:rFonts w:hint="eastAsia"/>
                <w:highlight w:val="none"/>
                <w:lang w:val="en-US" w:eastAsia="zh-CN"/>
              </w:rPr>
              <w:t>个</w:t>
            </w:r>
          </w:p>
          <w:p w14:paraId="0A5351ED">
            <w:pPr>
              <w:rPr>
                <w:rFonts w:hint="eastAsia" w:eastAsia="宋体"/>
                <w:highlight w:val="none"/>
                <w:lang w:val="en-US" w:eastAsia="zh-CN"/>
              </w:rPr>
            </w:pPr>
            <w:r>
              <w:rPr>
                <w:rFonts w:hint="eastAsia"/>
                <w:highlight w:val="none"/>
                <w:lang w:val="en-US" w:eastAsia="zh-CN"/>
              </w:rPr>
              <w:t>4.6</w:t>
            </w:r>
            <w:r>
              <w:rPr>
                <w:rFonts w:hint="eastAsia"/>
                <w:highlight w:val="none"/>
              </w:rPr>
              <w:t>定制化单向玻璃1</w:t>
            </w:r>
            <w:r>
              <w:rPr>
                <w:rFonts w:hint="eastAsia"/>
                <w:highlight w:val="none"/>
                <w:lang w:val="en-US" w:eastAsia="zh-CN"/>
              </w:rPr>
              <w:t>个</w:t>
            </w:r>
          </w:p>
          <w:p w14:paraId="6CD84990">
            <w:pPr>
              <w:rPr>
                <w:rFonts w:hint="eastAsia" w:eastAsia="宋体"/>
                <w:highlight w:val="none"/>
                <w:lang w:val="en-US" w:eastAsia="zh-CN"/>
              </w:rPr>
            </w:pPr>
            <w:r>
              <w:rPr>
                <w:rFonts w:hint="eastAsia"/>
                <w:highlight w:val="none"/>
                <w:lang w:val="en-US" w:eastAsia="zh-CN"/>
              </w:rPr>
              <w:t>4.7</w:t>
            </w:r>
            <w:r>
              <w:rPr>
                <w:rFonts w:hint="eastAsia"/>
                <w:highlight w:val="none"/>
              </w:rPr>
              <w:t>定制化操作台1</w:t>
            </w:r>
            <w:r>
              <w:rPr>
                <w:rFonts w:hint="eastAsia"/>
                <w:highlight w:val="none"/>
                <w:lang w:val="en-US" w:eastAsia="zh-CN"/>
              </w:rPr>
              <w:t>个</w:t>
            </w:r>
          </w:p>
          <w:p w14:paraId="1B9FE2E3">
            <w:pPr>
              <w:rPr>
                <w:rFonts w:hint="eastAsia" w:eastAsia="宋体"/>
                <w:highlight w:val="none"/>
                <w:lang w:eastAsia="zh-CN"/>
              </w:rPr>
            </w:pPr>
            <w:r>
              <w:rPr>
                <w:rFonts w:hint="eastAsia"/>
                <w:highlight w:val="none"/>
                <w:lang w:val="en-US" w:eastAsia="zh-CN"/>
              </w:rPr>
              <w:t>4.8</w:t>
            </w:r>
            <w:r>
              <w:rPr>
                <w:rFonts w:hint="eastAsia"/>
                <w:highlight w:val="none"/>
              </w:rPr>
              <w:t>吸顶音响</w:t>
            </w:r>
            <w:r>
              <w:rPr>
                <w:rFonts w:hint="eastAsia"/>
                <w:highlight w:val="none"/>
              </w:rPr>
              <w:tab/>
            </w:r>
            <w:r>
              <w:rPr>
                <w:rFonts w:hint="eastAsia"/>
                <w:highlight w:val="none"/>
              </w:rPr>
              <w:t>1</w:t>
            </w:r>
            <w:r>
              <w:rPr>
                <w:rFonts w:hint="eastAsia"/>
                <w:highlight w:val="none"/>
                <w:lang w:eastAsia="zh-CN"/>
              </w:rPr>
              <w:t>个</w:t>
            </w:r>
          </w:p>
          <w:p w14:paraId="3835E03A">
            <w:pPr>
              <w:rPr>
                <w:rFonts w:hint="eastAsia" w:eastAsia="宋体"/>
                <w:highlight w:val="none"/>
                <w:lang w:val="en-US" w:eastAsia="zh-CN"/>
              </w:rPr>
            </w:pPr>
            <w:r>
              <w:rPr>
                <w:rFonts w:hint="eastAsia"/>
                <w:highlight w:val="none"/>
                <w:lang w:val="en-US" w:eastAsia="zh-CN"/>
              </w:rPr>
              <w:t>4.9</w:t>
            </w:r>
            <w:r>
              <w:rPr>
                <w:rFonts w:hint="eastAsia"/>
                <w:highlight w:val="none"/>
              </w:rPr>
              <w:t>16口poe交换机1</w:t>
            </w:r>
            <w:r>
              <w:rPr>
                <w:rFonts w:hint="eastAsia"/>
                <w:highlight w:val="none"/>
                <w:lang w:val="en-US" w:eastAsia="zh-CN"/>
              </w:rPr>
              <w:t>个</w:t>
            </w:r>
          </w:p>
          <w:p w14:paraId="0DEA9EBE">
            <w:pPr>
              <w:rPr>
                <w:rFonts w:hint="eastAsia"/>
                <w:highlight w:val="none"/>
              </w:rPr>
            </w:pPr>
            <w:r>
              <w:rPr>
                <w:rFonts w:hint="eastAsia"/>
                <w:highlight w:val="none"/>
                <w:lang w:val="en-US" w:eastAsia="zh-CN"/>
              </w:rPr>
              <w:t>4.10</w:t>
            </w:r>
            <w:r>
              <w:rPr>
                <w:rFonts w:hint="eastAsia"/>
                <w:highlight w:val="none"/>
              </w:rPr>
              <w:t>配套电脑（主机，显示器，键鼠</w:t>
            </w:r>
            <w:r>
              <w:rPr>
                <w:rFonts w:hint="eastAsia"/>
                <w:highlight w:val="none"/>
                <w:lang w:eastAsia="zh-CN"/>
              </w:rPr>
              <w:t>）</w:t>
            </w:r>
            <w:r>
              <w:rPr>
                <w:rFonts w:hint="eastAsia"/>
                <w:highlight w:val="none"/>
              </w:rPr>
              <w:t>1套</w:t>
            </w:r>
          </w:p>
          <w:p w14:paraId="3F2FFD47">
            <w:pPr>
              <w:rPr>
                <w:rFonts w:hint="eastAsia" w:eastAsia="宋体"/>
                <w:highlight w:val="none"/>
                <w:lang w:val="en-US" w:eastAsia="zh-CN"/>
              </w:rPr>
            </w:pPr>
            <w:r>
              <w:rPr>
                <w:rFonts w:hint="eastAsia"/>
                <w:highlight w:val="none"/>
                <w:lang w:val="en-US" w:eastAsia="zh-CN"/>
              </w:rPr>
              <w:t>4.11</w:t>
            </w:r>
            <w:r>
              <w:rPr>
                <w:rFonts w:hint="eastAsia"/>
                <w:highlight w:val="none"/>
              </w:rPr>
              <w:t>软件加密狗1</w:t>
            </w:r>
            <w:r>
              <w:rPr>
                <w:rFonts w:hint="eastAsia"/>
                <w:highlight w:val="none"/>
                <w:lang w:val="en-US" w:eastAsia="zh-CN"/>
              </w:rPr>
              <w:t>个</w:t>
            </w:r>
          </w:p>
          <w:p w14:paraId="46A4F7CB">
            <w:pPr>
              <w:rPr>
                <w:rFonts w:hint="eastAsia"/>
                <w:highlight w:val="none"/>
                <w:lang w:val="en-US" w:eastAsia="zh-CN"/>
              </w:rPr>
            </w:pPr>
            <w:r>
              <w:rPr>
                <w:rFonts w:hint="eastAsia"/>
                <w:highlight w:val="none"/>
                <w:lang w:val="en-US" w:eastAsia="zh-CN"/>
              </w:rPr>
              <w:t>4.12</w:t>
            </w:r>
            <w:r>
              <w:rPr>
                <w:rFonts w:hint="eastAsia"/>
                <w:highlight w:val="none"/>
              </w:rPr>
              <w:t>软件u盘1</w:t>
            </w:r>
            <w:r>
              <w:rPr>
                <w:rFonts w:hint="eastAsia"/>
                <w:highlight w:val="none"/>
                <w:lang w:val="en-US" w:eastAsia="zh-CN"/>
              </w:rPr>
              <w:t>个</w:t>
            </w:r>
          </w:p>
          <w:p w14:paraId="53FE7325">
            <w:pPr>
              <w:rPr>
                <w:rFonts w:hint="eastAsia" w:ascii="Times New Roman" w:hAnsi="Times New Roman" w:eastAsia="宋体" w:cs="Times New Roman"/>
                <w:highlight w:val="none"/>
                <w:lang w:val="en-US" w:eastAsia="zh-CN"/>
              </w:rPr>
            </w:pPr>
            <w:r>
              <w:rPr>
                <w:rFonts w:hint="eastAsia"/>
                <w:highlight w:val="none"/>
                <w:lang w:val="en-US" w:eastAsia="zh-CN"/>
              </w:rPr>
              <w:t>4.13</w:t>
            </w:r>
            <w:r>
              <w:rPr>
                <w:rFonts w:hint="eastAsia" w:ascii="Times New Roman" w:hAnsi="Times New Roman" w:eastAsia="宋体" w:cs="Times New Roman"/>
                <w:highlight w:val="none"/>
                <w:lang w:val="en-US" w:eastAsia="zh-CN"/>
              </w:rPr>
              <w:t>设备使用指导手册</w:t>
            </w:r>
          </w:p>
          <w:p w14:paraId="47300C80">
            <w:pPr>
              <w:rPr>
                <w:rFonts w:hint="default"/>
                <w:highlight w:val="yellow"/>
                <w:lang w:val="en-US" w:eastAsia="zh-CN"/>
              </w:rPr>
            </w:pPr>
            <w:r>
              <w:rPr>
                <w:rFonts w:hint="eastAsia" w:ascii="Times New Roman" w:hAnsi="Times New Roman" w:eastAsia="宋体" w:cs="Times New Roman"/>
                <w:highlight w:val="none"/>
                <w:lang w:val="en-US" w:eastAsia="zh-CN"/>
              </w:rPr>
              <w:t>4.14设备功能介绍展示板</w:t>
            </w:r>
          </w:p>
        </w:tc>
        <w:tc>
          <w:tcPr>
            <w:tcW w:w="348" w:type="pct"/>
            <w:noWrap w:val="0"/>
            <w:vAlign w:val="center"/>
          </w:tcPr>
          <w:p w14:paraId="1FFC8927">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349" w:type="pct"/>
            <w:noWrap w:val="0"/>
            <w:vAlign w:val="center"/>
          </w:tcPr>
          <w:p w14:paraId="2DC1E6E6">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套</w:t>
            </w:r>
          </w:p>
        </w:tc>
      </w:tr>
      <w:tr w14:paraId="3672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8" w:hRule="atLeast"/>
          <w:jc w:val="center"/>
        </w:trPr>
        <w:tc>
          <w:tcPr>
            <w:tcW w:w="463" w:type="pct"/>
            <w:noWrap w:val="0"/>
            <w:vAlign w:val="center"/>
          </w:tcPr>
          <w:p w14:paraId="65C76AC3">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626" w:type="pct"/>
            <w:noWrap w:val="0"/>
            <w:vAlign w:val="center"/>
          </w:tcPr>
          <w:p w14:paraId="342E004D">
            <w:pPr>
              <w:widowControl w:val="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感知觉测试模块</w:t>
            </w:r>
          </w:p>
        </w:tc>
        <w:tc>
          <w:tcPr>
            <w:tcW w:w="3211" w:type="pct"/>
            <w:noWrap w:val="0"/>
            <w:vAlign w:val="center"/>
          </w:tcPr>
          <w:p w14:paraId="27C4F7D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脑电测量、眼动追踪与虚拟现实头盔一体机系统可以通过人机环境同步平台支持两人以上在同一个三维场景进行实验。（</w:t>
            </w:r>
            <w:r>
              <w:rPr>
                <w:rFonts w:hint="eastAsia" w:ascii="宋体" w:hAnsi="宋体" w:cs="宋体"/>
                <w:b w:val="0"/>
                <w:bCs w:val="0"/>
                <w:color w:val="auto"/>
                <w:sz w:val="21"/>
                <w:szCs w:val="21"/>
                <w:highlight w:val="none"/>
                <w:lang w:val="en-US" w:eastAsia="zh-CN"/>
              </w:rPr>
              <w:t>需提供产品照片</w:t>
            </w:r>
            <w:r>
              <w:rPr>
                <w:rFonts w:hint="eastAsia" w:ascii="宋体" w:hAnsi="宋体" w:eastAsia="宋体" w:cs="宋体"/>
                <w:b w:val="0"/>
                <w:bCs w:val="0"/>
                <w:color w:val="auto"/>
                <w:sz w:val="21"/>
                <w:szCs w:val="21"/>
                <w:highlight w:val="none"/>
              </w:rPr>
              <w:t>）</w:t>
            </w:r>
          </w:p>
          <w:p w14:paraId="6A63B0D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3D显示分辨率：≥8K(单眼≥2880*2880，双眼≥5760*2880)</w:t>
            </w:r>
          </w:p>
          <w:p w14:paraId="6E1A7E7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视场角：≥115°（方位）×105°（俯仰）</w:t>
            </w:r>
          </w:p>
          <w:p w14:paraId="1BEFBCD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3D显示刷新率：≥90Hz/120Hz</w:t>
            </w:r>
          </w:p>
          <w:p w14:paraId="460D348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跟踪范围：≥方位±180°、俯仰±90°、横滚±90°</w:t>
            </w:r>
          </w:p>
          <w:p w14:paraId="559BB14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场景摄像机视角：对角线≥90°</w:t>
            </w:r>
          </w:p>
          <w:p w14:paraId="0F8B9C0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场景摄像分辨率：帧率≥4K 60Hz</w:t>
            </w:r>
          </w:p>
          <w:p w14:paraId="32BA84A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眼动追踪采样频率：≥双眼120Hz</w:t>
            </w:r>
          </w:p>
          <w:p w14:paraId="2B6502A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支持暗瞳孔追踪的追踪模式，准确度≤0.5度</w:t>
            </w:r>
          </w:p>
          <w:p w14:paraId="600DC67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采用双眼追踪的追踪方式，支持瞳孔测量，红外光源数量≥每只眼睛10个</w:t>
            </w:r>
          </w:p>
          <w:p w14:paraId="15D66F3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脑电测量通道数：单级脑电导联≥8导 </w:t>
            </w:r>
          </w:p>
          <w:p w14:paraId="1A6BE7B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脑电测量采样率：系统最高采样频率：≥16kHz；全通道采集模式下采样率：≥1024Hz/通道</w:t>
            </w:r>
          </w:p>
          <w:p w14:paraId="57C5327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脑电测量分辨率：≥24bit </w:t>
            </w:r>
          </w:p>
          <w:p w14:paraId="396920A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共模抑制比CMRR：&gt;110dB     </w:t>
            </w:r>
          </w:p>
          <w:p w14:paraId="62FCC1C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输入阻抗：&gt;1GΩ</w:t>
            </w:r>
          </w:p>
          <w:p w14:paraId="091ACFB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头部位置追踪：定位精度误差不大于0.5％，角度误差不大于1°</w:t>
            </w:r>
          </w:p>
          <w:p w14:paraId="4A2EFC4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头部位置刷新率：6DOF刷新≥1000Hz</w:t>
            </w:r>
          </w:p>
          <w:p w14:paraId="43EC104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事件同步标记数据传速率：≥500Kbps</w:t>
            </w:r>
          </w:p>
          <w:p w14:paraId="23C4E4B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通用输入接口事件标记分辨率≥8bit，通用输出接口事件标记分辨率≥8bit</w:t>
            </w:r>
          </w:p>
          <w:p w14:paraId="3305293B">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软件集成包含WorldViz、Unity、</w:t>
            </w:r>
            <w:r>
              <w:rPr>
                <w:rFonts w:hint="eastAsia" w:ascii="宋体" w:hAnsi="宋体" w:cs="宋体"/>
                <w:b w:val="0"/>
                <w:bCs w:val="0"/>
                <w:color w:val="auto"/>
                <w:sz w:val="21"/>
                <w:szCs w:val="21"/>
                <w:highlight w:val="none"/>
                <w:lang w:val="en-US" w:eastAsia="zh-CN"/>
              </w:rPr>
              <w:t>人机环境同步平台</w:t>
            </w:r>
            <w:r>
              <w:rPr>
                <w:rFonts w:hint="eastAsia" w:ascii="宋体" w:hAnsi="宋体" w:eastAsia="宋体" w:cs="宋体"/>
                <w:b w:val="0"/>
                <w:bCs w:val="0"/>
                <w:color w:val="auto"/>
                <w:sz w:val="21"/>
                <w:szCs w:val="21"/>
                <w:highlight w:val="none"/>
              </w:rPr>
              <w:t>等，支</w:t>
            </w:r>
          </w:p>
          <w:p w14:paraId="0A2AF53B">
            <w:pPr>
              <w:widowControl w:val="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持二次开发。（需提供软件截图）</w:t>
            </w:r>
          </w:p>
          <w:p w14:paraId="7BC402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VR时空行为路径采用不同颜色编码，可以显示参与者在VR环境中的行走轨迹，可以用于时空行为研究等运动数据的分析。</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需提供软件截图）</w:t>
            </w:r>
          </w:p>
          <w:p w14:paraId="24DE2C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最大承重：≥130kg</w:t>
            </w:r>
          </w:p>
          <w:p w14:paraId="179F33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rPr>
              <w:t>规格：≤140cm*140cm*90cm</w:t>
            </w:r>
          </w:p>
          <w:p w14:paraId="2A5675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数据延迟：实时</w:t>
            </w:r>
          </w:p>
          <w:p w14:paraId="2ABB31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可</w:t>
            </w:r>
            <w:r>
              <w:rPr>
                <w:rFonts w:hint="eastAsia" w:ascii="宋体" w:hAnsi="宋体" w:cs="宋体"/>
                <w:b w:val="0"/>
                <w:bCs w:val="0"/>
                <w:color w:val="auto"/>
                <w:sz w:val="21"/>
                <w:szCs w:val="21"/>
                <w:highlight w:val="none"/>
                <w:lang w:val="en-US" w:eastAsia="zh-CN"/>
              </w:rPr>
              <w:t>旋转</w:t>
            </w:r>
            <w:r>
              <w:rPr>
                <w:rFonts w:hint="eastAsia" w:ascii="宋体" w:hAnsi="宋体" w:eastAsia="宋体" w:cs="宋体"/>
                <w:b w:val="0"/>
                <w:bCs w:val="0"/>
                <w:color w:val="auto"/>
                <w:sz w:val="21"/>
                <w:szCs w:val="21"/>
                <w:highlight w:val="none"/>
              </w:rPr>
              <w:t>360°</w:t>
            </w:r>
          </w:p>
          <w:p w14:paraId="0A8827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color w:val="auto"/>
                <w:sz w:val="21"/>
                <w:szCs w:val="21"/>
                <w:highlight w:val="yellow"/>
              </w:rPr>
            </w:pPr>
            <w:r>
              <w:rPr>
                <w:rFonts w:hint="eastAsia" w:ascii="宋体" w:hAnsi="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系统功能：支持行人对象与其他多虚拟对象的同场景标定、协同感知与数据同步</w:t>
            </w:r>
          </w:p>
          <w:p w14:paraId="0F45D5F5">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27.配置要求：</w:t>
            </w:r>
          </w:p>
          <w:p w14:paraId="760F56F2">
            <w:pPr>
              <w:rPr>
                <w:rFonts w:hint="eastAsia" w:eastAsia="宋体"/>
                <w:highlight w:val="none"/>
                <w:lang w:val="en-US"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头戴式</w:t>
            </w:r>
            <w:r>
              <w:rPr>
                <w:rFonts w:hint="eastAsia"/>
                <w:highlight w:val="none"/>
                <w:lang w:val="en-US" w:eastAsia="zh-CN"/>
              </w:rPr>
              <w:t>一体机</w:t>
            </w:r>
            <w:r>
              <w:rPr>
                <w:rFonts w:hint="eastAsia"/>
                <w:highlight w:val="none"/>
              </w:rPr>
              <w:t>设备1</w:t>
            </w:r>
            <w:r>
              <w:rPr>
                <w:rFonts w:hint="eastAsia"/>
                <w:highlight w:val="none"/>
                <w:lang w:val="en-US" w:eastAsia="zh-CN"/>
              </w:rPr>
              <w:t>个</w:t>
            </w:r>
          </w:p>
          <w:p w14:paraId="73BCC254">
            <w:pPr>
              <w:rPr>
                <w:rFonts w:hint="eastAsia"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电源适配器</w:t>
            </w:r>
            <w:r>
              <w:rPr>
                <w:rFonts w:hint="eastAsia"/>
                <w:highlight w:val="none"/>
              </w:rPr>
              <w:tab/>
            </w:r>
            <w:r>
              <w:rPr>
                <w:rFonts w:hint="eastAsia"/>
                <w:highlight w:val="none"/>
              </w:rPr>
              <w:t>1</w:t>
            </w:r>
            <w:r>
              <w:rPr>
                <w:rFonts w:hint="eastAsia"/>
                <w:highlight w:val="none"/>
                <w:lang w:val="en-US" w:eastAsia="zh-CN"/>
              </w:rPr>
              <w:t>个</w:t>
            </w:r>
          </w:p>
          <w:p w14:paraId="706C4AB1">
            <w:pPr>
              <w:rPr>
                <w:rFonts w:hint="eastAsia" w:eastAsia="宋体"/>
                <w:highlight w:val="none"/>
                <w:lang w:val="en-US" w:eastAsia="zh-CN"/>
              </w:rPr>
            </w:pPr>
            <w:r>
              <w:rPr>
                <w:rFonts w:hint="eastAsia"/>
                <w:highlight w:val="none"/>
                <w:lang w:val="en-US" w:eastAsia="zh-CN"/>
              </w:rPr>
              <w:t>（3）</w:t>
            </w:r>
            <w:r>
              <w:rPr>
                <w:rFonts w:hint="eastAsia"/>
                <w:highlight w:val="none"/>
              </w:rPr>
              <w:t>操控手柄2</w:t>
            </w:r>
            <w:r>
              <w:rPr>
                <w:rFonts w:hint="eastAsia"/>
                <w:highlight w:val="none"/>
                <w:lang w:val="en-US" w:eastAsia="zh-CN"/>
              </w:rPr>
              <w:t>个</w:t>
            </w:r>
          </w:p>
          <w:p w14:paraId="0E574C13">
            <w:pPr>
              <w:rPr>
                <w:rFonts w:hint="eastAsia" w:eastAsia="宋体"/>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脑电放大器</w:t>
            </w:r>
            <w:r>
              <w:rPr>
                <w:rFonts w:hint="eastAsia"/>
                <w:highlight w:val="none"/>
              </w:rPr>
              <w:tab/>
            </w:r>
            <w:r>
              <w:rPr>
                <w:rFonts w:hint="eastAsia"/>
                <w:highlight w:val="none"/>
              </w:rPr>
              <w:t>1</w:t>
            </w:r>
            <w:r>
              <w:rPr>
                <w:rFonts w:hint="eastAsia"/>
                <w:highlight w:val="none"/>
                <w:lang w:val="en-US" w:eastAsia="zh-CN"/>
              </w:rPr>
              <w:t>个</w:t>
            </w:r>
          </w:p>
          <w:p w14:paraId="51FF60C9">
            <w:pPr>
              <w:rPr>
                <w:rFonts w:hint="eastAsia" w:eastAsia="宋体"/>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接收端</w:t>
            </w:r>
            <w:r>
              <w:rPr>
                <w:rFonts w:hint="eastAsia"/>
                <w:highlight w:val="none"/>
              </w:rPr>
              <w:tab/>
            </w:r>
            <w:r>
              <w:rPr>
                <w:rFonts w:hint="eastAsia"/>
                <w:highlight w:val="none"/>
              </w:rPr>
              <w:t>1</w:t>
            </w:r>
            <w:r>
              <w:rPr>
                <w:rFonts w:hint="eastAsia"/>
                <w:highlight w:val="none"/>
                <w:lang w:val="en-US" w:eastAsia="zh-CN"/>
              </w:rPr>
              <w:t>个</w:t>
            </w:r>
          </w:p>
          <w:p w14:paraId="710ABD70">
            <w:pPr>
              <w:rPr>
                <w:rFonts w:hint="default" w:eastAsia="宋体" w:cs="Times New Roman"/>
                <w:highlight w:val="none"/>
                <w:lang w:val="en-US"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配套电脑（主机，显示器，键鼠）</w:t>
            </w:r>
            <w:r>
              <w:rPr>
                <w:rFonts w:hint="eastAsia"/>
                <w:highlight w:val="none"/>
              </w:rPr>
              <w:tab/>
            </w:r>
            <w:r>
              <w:rPr>
                <w:rFonts w:hint="eastAsia"/>
                <w:highlight w:val="none"/>
              </w:rPr>
              <w:t>1套</w:t>
            </w:r>
            <w:r>
              <w:rPr>
                <w:rFonts w:hint="eastAsia"/>
                <w:highlight w:val="none"/>
                <w:lang w:eastAsia="zh-CN"/>
              </w:rPr>
              <w:t>、</w:t>
            </w:r>
            <w:r>
              <w:rPr>
                <w:rFonts w:hint="eastAsia" w:eastAsia="宋体" w:cs="Times New Roman"/>
                <w:highlight w:val="none"/>
                <w:lang w:val="en-US" w:eastAsia="zh-CN"/>
              </w:rPr>
              <w:t>及彩色打印1台</w:t>
            </w:r>
          </w:p>
          <w:p w14:paraId="43AAB3A8">
            <w:pPr>
              <w:rPr>
                <w:rFonts w:hint="eastAsia" w:eastAsia="宋体"/>
                <w:highlight w:val="none"/>
                <w:lang w:val="en-US" w:eastAsia="zh-CN"/>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同步盒</w:t>
            </w:r>
            <w:r>
              <w:rPr>
                <w:rFonts w:hint="eastAsia"/>
                <w:highlight w:val="none"/>
              </w:rPr>
              <w:tab/>
            </w:r>
            <w:r>
              <w:rPr>
                <w:rFonts w:hint="eastAsia"/>
                <w:highlight w:val="none"/>
              </w:rPr>
              <w:t>1</w:t>
            </w:r>
            <w:r>
              <w:rPr>
                <w:rFonts w:hint="eastAsia"/>
                <w:highlight w:val="none"/>
                <w:lang w:val="en-US" w:eastAsia="zh-CN"/>
              </w:rPr>
              <w:t>个</w:t>
            </w:r>
          </w:p>
          <w:p w14:paraId="0804A014">
            <w:pPr>
              <w:rPr>
                <w:rFonts w:hint="eastAsia" w:eastAsia="宋体"/>
                <w:highlight w:val="none"/>
                <w:lang w:val="en-US" w:eastAsia="zh-CN"/>
              </w:rPr>
            </w:pPr>
            <w:r>
              <w:rPr>
                <w:rFonts w:hint="eastAsia"/>
                <w:highlight w:val="none"/>
                <w:lang w:eastAsia="zh-CN"/>
              </w:rPr>
              <w:t>（</w:t>
            </w:r>
            <w:r>
              <w:rPr>
                <w:rFonts w:hint="eastAsia"/>
                <w:highlight w:val="none"/>
                <w:lang w:val="en-US" w:eastAsia="zh-CN"/>
              </w:rPr>
              <w:t>8</w:t>
            </w:r>
            <w:r>
              <w:rPr>
                <w:rFonts w:hint="eastAsia"/>
                <w:highlight w:val="none"/>
                <w:lang w:eastAsia="zh-CN"/>
              </w:rPr>
              <w:t>）</w:t>
            </w:r>
            <w:r>
              <w:rPr>
                <w:rFonts w:hint="eastAsia"/>
                <w:highlight w:val="none"/>
              </w:rPr>
              <w:t>软件加密狗</w:t>
            </w:r>
            <w:r>
              <w:rPr>
                <w:rFonts w:hint="eastAsia"/>
                <w:highlight w:val="none"/>
              </w:rPr>
              <w:tab/>
            </w:r>
            <w:r>
              <w:rPr>
                <w:rFonts w:hint="eastAsia"/>
                <w:highlight w:val="none"/>
              </w:rPr>
              <w:t>1</w:t>
            </w:r>
            <w:r>
              <w:rPr>
                <w:rFonts w:hint="eastAsia"/>
                <w:highlight w:val="none"/>
                <w:lang w:val="en-US" w:eastAsia="zh-CN"/>
              </w:rPr>
              <w:t>个</w:t>
            </w:r>
          </w:p>
          <w:p w14:paraId="62B7B5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highlight w:val="none"/>
                <w:lang w:val="en-US" w:eastAsia="zh-CN"/>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软件u盘</w:t>
            </w:r>
            <w:r>
              <w:rPr>
                <w:rFonts w:hint="eastAsia"/>
                <w:highlight w:val="none"/>
              </w:rPr>
              <w:tab/>
            </w:r>
            <w:r>
              <w:rPr>
                <w:rFonts w:hint="eastAsia"/>
                <w:highlight w:val="none"/>
              </w:rPr>
              <w:t>1</w:t>
            </w:r>
            <w:r>
              <w:rPr>
                <w:rFonts w:hint="eastAsia"/>
                <w:highlight w:val="none"/>
                <w:lang w:val="en-US" w:eastAsia="zh-CN"/>
              </w:rPr>
              <w:t>个</w:t>
            </w:r>
          </w:p>
          <w:p w14:paraId="18222329">
            <w:pPr>
              <w:rPr>
                <w:rFonts w:hint="eastAsia" w:ascii="Times New Roman" w:hAnsi="Times New Roman" w:eastAsia="宋体" w:cs="Times New Roman"/>
                <w:highlight w:val="none"/>
                <w:lang w:val="en-US" w:eastAsia="zh-CN"/>
              </w:rPr>
            </w:pPr>
            <w:r>
              <w:rPr>
                <w:rFonts w:hint="eastAsia"/>
                <w:highlight w:val="none"/>
                <w:lang w:val="en-US" w:eastAsia="zh-CN"/>
              </w:rPr>
              <w:t>（10）</w:t>
            </w:r>
            <w:r>
              <w:rPr>
                <w:rFonts w:hint="eastAsia" w:ascii="Times New Roman" w:hAnsi="Times New Roman" w:eastAsia="宋体" w:cs="Times New Roman"/>
                <w:highlight w:val="none"/>
                <w:lang w:val="en-US" w:eastAsia="zh-CN"/>
              </w:rPr>
              <w:t>设备使用指导手册</w:t>
            </w:r>
          </w:p>
          <w:p w14:paraId="4B4D60A5">
            <w:pPr>
              <w:rPr>
                <w:rFonts w:hint="eastAsia" w:ascii="宋体" w:hAnsi="宋体" w:eastAsia="宋体" w:cs="宋体"/>
                <w:b w:val="0"/>
                <w:bCs w:val="0"/>
                <w:color w:val="auto"/>
                <w:sz w:val="21"/>
                <w:szCs w:val="21"/>
                <w:highlight w:val="none"/>
                <w:lang w:val="en-US" w:eastAsia="zh-CN"/>
              </w:rPr>
            </w:pPr>
            <w:r>
              <w:rPr>
                <w:rFonts w:hint="eastAsia" w:ascii="Times New Roman" w:hAnsi="Times New Roman" w:eastAsia="宋体" w:cs="Times New Roman"/>
                <w:highlight w:val="none"/>
                <w:lang w:val="en-US" w:eastAsia="zh-CN"/>
              </w:rPr>
              <w:t>（11）设备功能介绍展示板</w:t>
            </w:r>
          </w:p>
        </w:tc>
        <w:tc>
          <w:tcPr>
            <w:tcW w:w="348" w:type="pct"/>
            <w:noWrap w:val="0"/>
            <w:vAlign w:val="center"/>
          </w:tcPr>
          <w:p w14:paraId="5110B285">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349" w:type="pct"/>
            <w:noWrap w:val="0"/>
            <w:vAlign w:val="center"/>
          </w:tcPr>
          <w:p w14:paraId="1DAACBF7">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套</w:t>
            </w:r>
          </w:p>
        </w:tc>
      </w:tr>
      <w:tr w14:paraId="0F8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463" w:type="pct"/>
            <w:noWrap w:val="0"/>
            <w:vAlign w:val="center"/>
          </w:tcPr>
          <w:p w14:paraId="73071CBA">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626" w:type="pct"/>
            <w:noWrap w:val="0"/>
            <w:vAlign w:val="center"/>
          </w:tcPr>
          <w:p w14:paraId="6F4CBEAD">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心理健康测试模块</w:t>
            </w:r>
          </w:p>
        </w:tc>
        <w:tc>
          <w:tcPr>
            <w:tcW w:w="3211" w:type="pct"/>
            <w:noWrap w:val="0"/>
            <w:vAlign w:val="center"/>
          </w:tcPr>
          <w:p w14:paraId="192B6F04">
            <w:pP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1.脑力疲劳</w:t>
            </w:r>
          </w:p>
          <w:p w14:paraId="5A03F273">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脑力疲劳主观测试模块包含：</w:t>
            </w:r>
          </w:p>
          <w:p w14:paraId="24D63B77">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（1）斯坦福嗜睡量表SSS（2）疲劳严重度量表FSS（3）作业疲劳症状自评量表WRFFQ（4）查尔德疲劳量表FS-14（5）多维疲劳量表MFI-20（6）简易疲乏量表BFI（7）疲劳评定量表FAI（8）Piper 疲乏量表RPFS（9）主观疲劳评估量表RPE（10）运动员脑力疲劳问卷ABQ（11）马斯拉奇心理疲劳量表MBI</w:t>
            </w:r>
          </w:p>
          <w:p w14:paraId="3C4744CA">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2脑力疲劳行为实验测试模块</w:t>
            </w:r>
          </w:p>
          <w:p w14:paraId="13CE86E2">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（1）对象选择实验OSE（2）多目标追踪任务（3）时间估计作业TET（4）快速反应FRT（5）心算任务MAT（6）字母/数字N-back任务（7）视觉搜索任务VST（8）听觉连续记忆任务CMT（9）飞行雷达探测任务RDM（10）GO-NOGO任务</w:t>
            </w:r>
          </w:p>
          <w:p w14:paraId="0D87FD71">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1.3</w:t>
            </w:r>
            <w:r>
              <w:rPr>
                <w:rFonts w:hint="eastAsia" w:ascii="宋体" w:hAnsi="宋体" w:cs="宋体"/>
                <w:b w:val="0"/>
                <w:bCs w:val="0"/>
                <w:color w:val="auto"/>
                <w:sz w:val="21"/>
                <w:szCs w:val="21"/>
                <w:highlight w:val="none"/>
              </w:rPr>
              <w:t>工作负荷主观测试模块包含：</w:t>
            </w:r>
          </w:p>
          <w:p w14:paraId="75826F70">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认知负荷测评NASA_TLX；</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主观负荷评估量表SWAT；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库柏-哈柏量表CH；</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修正的库柏-哈柏量表MCH；</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多维度脑力负荷评价量表WP；</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6</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认知负荷自评量表PASS；</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7</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主观用力度分级RPE；</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总负荷量表OW</w:t>
            </w:r>
          </w:p>
          <w:p w14:paraId="5B2AFF5F">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w:t>
            </w:r>
            <w:r>
              <w:rPr>
                <w:rFonts w:hint="eastAsia" w:ascii="宋体" w:hAnsi="宋体" w:cs="宋体"/>
                <w:b w:val="0"/>
                <w:bCs w:val="0"/>
                <w:color w:val="auto"/>
                <w:sz w:val="21"/>
                <w:szCs w:val="21"/>
                <w:highlight w:val="none"/>
              </w:rPr>
              <w:t>工作负荷任务测量法行为实验模块包含：</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对象选择实验OSE；</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多目标追踪；</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时间估计作业；</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快速反应任务；</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心算任务；</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6</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字母/数字n-back；</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7</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视觉搜索任务；</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听觉连续记忆任务；</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9</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飞行雷达探测任务</w:t>
            </w:r>
          </w:p>
          <w:p w14:paraId="4FA90D67">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1.5</w:t>
            </w:r>
            <w:r>
              <w:rPr>
                <w:rFonts w:hint="eastAsia" w:ascii="宋体" w:hAnsi="宋体" w:cs="宋体"/>
                <w:b w:val="0"/>
                <w:bCs w:val="0"/>
                <w:color w:val="auto"/>
                <w:sz w:val="21"/>
                <w:szCs w:val="21"/>
                <w:highlight w:val="none"/>
              </w:rPr>
              <w:t>情绪状态主观测试模块包含：</w:t>
            </w:r>
          </w:p>
          <w:p w14:paraId="3770A43E">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情绪自评量表PANAS量表，</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心境状态量表POMS，</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自我情绪评定量表SAM，</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情感强度测量量表AIM，</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真实情绪量表DEELS，</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6</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特质性元情绪量表TMMS，</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7</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柏肯主观性应激量表SSS，</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驾驶员情绪状态量表DPOMS，</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9</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 xml:space="preserve">差异情绪量表DES量表 </w:t>
            </w:r>
          </w:p>
          <w:p w14:paraId="7F608E99">
            <w:pPr>
              <w:pStyle w:val="4"/>
              <w:ind w:firstLine="0" w:firstLineChars="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1.6</w:t>
            </w:r>
            <w:r>
              <w:rPr>
                <w:rFonts w:hint="eastAsia" w:ascii="宋体" w:hAnsi="宋体" w:cs="宋体"/>
                <w:b w:val="0"/>
                <w:bCs w:val="0"/>
                <w:color w:val="auto"/>
                <w:sz w:val="21"/>
                <w:szCs w:val="21"/>
                <w:highlight w:val="none"/>
              </w:rPr>
              <w:t>任务测量模块包含：</w:t>
            </w:r>
          </w:p>
          <w:p w14:paraId="5491955A">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内隐联想测验IAT，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GNAT测验，</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词-面孔stroop范式</w:t>
            </w:r>
          </w:p>
          <w:p w14:paraId="7347E26A">
            <w:pPr>
              <w:pStyle w:val="4"/>
              <w:ind w:firstLine="0" w:firstLineChars="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1.7</w:t>
            </w:r>
            <w:r>
              <w:rPr>
                <w:rFonts w:hint="eastAsia" w:ascii="宋体" w:hAnsi="宋体" w:cs="宋体"/>
                <w:b w:val="0"/>
                <w:bCs w:val="0"/>
                <w:color w:val="auto"/>
                <w:sz w:val="21"/>
                <w:szCs w:val="21"/>
                <w:highlight w:val="none"/>
              </w:rPr>
              <w:t>认知能力主观测试模块包含：</w:t>
            </w:r>
          </w:p>
          <w:p w14:paraId="267418EF">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综合认知测评内容：</w:t>
            </w:r>
          </w:p>
          <w:p w14:paraId="3E9C95EC">
            <w:pPr>
              <w:pStyle w:val="4"/>
              <w:numPr>
                <w:ilvl w:val="0"/>
                <w:numId w:val="10"/>
              </w:numPr>
              <w:ind w:firstLine="0" w:firstLineChars="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简易智能精神状态检查量表MMSE、</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蒙特利尔认知评估量表MoCA、</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长谷川简易智能测量表HDS-R</w:t>
            </w:r>
          </w:p>
          <w:p w14:paraId="6AFB2D95">
            <w:pPr>
              <w:pStyle w:val="4"/>
              <w:numPr>
                <w:ilvl w:val="0"/>
                <w:numId w:val="0"/>
              </w:numP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1.8</w:t>
            </w:r>
            <w:r>
              <w:rPr>
                <w:rFonts w:hint="eastAsia" w:ascii="宋体" w:hAnsi="宋体" w:cs="宋体"/>
                <w:b w:val="0"/>
                <w:bCs w:val="0"/>
                <w:color w:val="auto"/>
                <w:sz w:val="21"/>
                <w:szCs w:val="21"/>
                <w:highlight w:val="none"/>
              </w:rPr>
              <w:t>特殊认知能力测评内容包含：</w:t>
            </w:r>
          </w:p>
          <w:p w14:paraId="6D8D8E28">
            <w:pPr>
              <w:pStyle w:val="4"/>
              <w:numPr>
                <w:ilvl w:val="0"/>
                <w:numId w:val="0"/>
              </w:num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瑞文标准推理测验SPM，</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心理旋转任务MRT，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速度知觉测试VPE，</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音频感知测试APE，</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空间记忆广度SMST，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6</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字母/数字N-back任务，</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7</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侧抑制任务FT，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图形再认任务GRT，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9</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词汇再认任务WRT，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10</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Rey听觉词语学习测验，</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11</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数字识别任务DRT，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12</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心算任务MAT，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13</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快速反应任务FRT，</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14</w:t>
            </w:r>
            <w:r>
              <w:rPr>
                <w:rFonts w:hint="eastAsia"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rPr>
              <w:t>精神运动警觉任务PVT</w:t>
            </w:r>
          </w:p>
          <w:p w14:paraId="312DBB9D">
            <w:pPr>
              <w:pStyle w:val="4"/>
              <w:ind w:firstLine="0" w:firstLineChars="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1.9</w:t>
            </w:r>
            <w:r>
              <w:rPr>
                <w:rFonts w:hint="eastAsia" w:ascii="宋体" w:hAnsi="宋体" w:cs="宋体"/>
                <w:b w:val="0"/>
                <w:bCs w:val="0"/>
                <w:color w:val="auto"/>
                <w:sz w:val="21"/>
                <w:szCs w:val="21"/>
                <w:highlight w:val="none"/>
              </w:rPr>
              <w:t>自定义主观测试模块：</w:t>
            </w:r>
          </w:p>
          <w:p w14:paraId="452A6E7F">
            <w:pPr>
              <w:pStyle w:val="4"/>
              <w:ind w:firstLine="0" w:firstLineChars="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问卷量表模板支持三种调查类题目（单选题、多选题和填空题），两种评分类题目（评分题和量表题）；自定义主观测试模块：问答型量表模板（1）支持三种基础题型（单选题、多选题和填空题）</w:t>
            </w:r>
          </w:p>
          <w:p w14:paraId="4E17A1DF">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10自定义行为实验模块：</w:t>
            </w:r>
          </w:p>
          <w:p w14:paraId="0DC99537">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支持听觉刺激与视觉刺激材料输入（2）支持对视觉刺激的物理属性（如大小、旋转、缩放、偏移、颜色等）和听觉刺激的物理属性（如频率）进行参数配置（3）支持对刺激材料以键盘中任意按键或鼠标点击组合方式结束（4）支持对刺激材料是否参与统计进行设置，并且对参与统计的刺激材料记录输出反应结果及数据统计结果（5）支持富文本形式刺激材料，如带格式文本材料、图片、视频等（6）支持试次以随机可重复、随机不可重复、顺序呈现、水平进阶、水平折返等五种实验方式呈现</w:t>
            </w:r>
          </w:p>
          <w:p w14:paraId="1E90B559">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 xml:space="preserve">11自定义客观实验模块： </w:t>
            </w:r>
          </w:p>
          <w:p w14:paraId="3BA3944A">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（1）桌面终端测试实验设计，支持多时间轴设计功能，选择不同的刺激可以进行时间轴跳转功能</w:t>
            </w:r>
          </w:p>
          <w:p w14:paraId="0EACA7DD">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（2）移动终端测试实验设计系统配备专门的移动终端刺激显示与应用程序</w:t>
            </w:r>
            <w:r>
              <w:rPr>
                <w:rFonts w:hint="eastAsia" w:ascii="宋体" w:hAnsi="宋体" w:cs="宋体"/>
                <w:b w:val="0"/>
                <w:bCs w:val="0"/>
                <w:color w:val="auto"/>
                <w:sz w:val="21"/>
                <w:szCs w:val="21"/>
                <w:highlight w:val="none"/>
                <w:lang w:val="en-US" w:eastAsia="zh-CN"/>
              </w:rPr>
              <w:t>人机环境同步平台</w:t>
            </w:r>
            <w:r>
              <w:rPr>
                <w:rFonts w:hint="eastAsia" w:ascii="宋体" w:hAnsi="宋体" w:cs="宋体"/>
                <w:b w:val="0"/>
                <w:bCs w:val="0"/>
                <w:color w:val="auto"/>
                <w:sz w:val="21"/>
                <w:szCs w:val="21"/>
                <w:highlight w:val="none"/>
              </w:rPr>
              <w:t>APP与测</w:t>
            </w:r>
            <w:r>
              <w:rPr>
                <w:rFonts w:hint="eastAsia" w:ascii="宋体" w:hAnsi="宋体" w:eastAsia="宋体" w:cs="宋体"/>
                <w:b w:val="0"/>
                <w:bCs w:val="0"/>
                <w:color w:val="auto"/>
                <w:sz w:val="21"/>
                <w:szCs w:val="21"/>
                <w:highlight w:val="none"/>
              </w:rPr>
              <w:t>试载体（3）支持多媒体刺激材料，</w:t>
            </w:r>
            <w:r>
              <w:rPr>
                <w:rFonts w:hint="eastAsia" w:ascii="宋体" w:hAnsi="宋体" w:eastAsia="宋体" w:cs="宋体"/>
                <w:b w:val="0"/>
                <w:bCs w:val="0"/>
                <w:color w:val="auto"/>
                <w:sz w:val="21"/>
                <w:szCs w:val="21"/>
                <w:highlight w:val="none"/>
                <w:lang w:val="en-US" w:eastAsia="zh-CN"/>
              </w:rPr>
              <w:t>格式</w:t>
            </w:r>
            <w:r>
              <w:rPr>
                <w:rFonts w:hint="default" w:ascii="Times New Roman" w:hAnsi="Times New Roman" w:eastAsia="宋体" w:cs="Times New Roman"/>
                <w:b w:val="0"/>
                <w:bCs w:val="0"/>
                <w:color w:val="auto"/>
                <w:sz w:val="21"/>
                <w:szCs w:val="21"/>
                <w:highlight w:val="none"/>
              </w:rPr>
              <w:t>.bmp/.jpg /.png /.jpeg/.avi/.mp4 /.mkv/.mp2 / .mp3 / .wav</w:t>
            </w:r>
            <w:r>
              <w:rPr>
                <w:rFonts w:hint="eastAsia" w:ascii="宋体" w:hAnsi="宋体" w:eastAsia="宋体" w:cs="宋体"/>
                <w:b w:val="0"/>
                <w:bCs w:val="0"/>
                <w:color w:val="auto"/>
                <w:sz w:val="21"/>
                <w:szCs w:val="21"/>
                <w:highlight w:val="none"/>
              </w:rPr>
              <w:t>等（4</w:t>
            </w:r>
            <w:r>
              <w:rPr>
                <w:rFonts w:hint="eastAsia" w:ascii="宋体" w:hAnsi="宋体" w:cs="宋体"/>
                <w:b w:val="0"/>
                <w:bCs w:val="0"/>
                <w:color w:val="auto"/>
                <w:sz w:val="21"/>
                <w:szCs w:val="21"/>
                <w:highlight w:val="none"/>
              </w:rPr>
              <w:t>）支持Webpage网页或原型刺激，支持直接输入网页或者原型的url，支持打开本地原型设计文件（5）支持APP原型设计，添加Top/Middle/Buttom元素，制作APP交互设计原型</w:t>
            </w:r>
          </w:p>
          <w:p w14:paraId="5EF55C80">
            <w:pP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12测试终端：支持多样化跨平台测试终端载体，支持在PC电脑终端、PAD平板终端端、APP手机移动终端进行实验数据收集，可通过测试终端的浏览器、APP等方式进行实验，测试内容全系统兼容。</w:t>
            </w:r>
          </w:p>
          <w:p w14:paraId="62AD8B29">
            <w:pP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rPr>
              <w:t>13发布实验：支持二维码、实验链接发布人因测试实验，或在局域网内通过</w:t>
            </w:r>
            <w:r>
              <w:rPr>
                <w:rFonts w:hint="eastAsia" w:ascii="宋体" w:hAnsi="宋体" w:cs="宋体"/>
                <w:b w:val="0"/>
                <w:bCs w:val="0"/>
                <w:color w:val="auto"/>
                <w:sz w:val="21"/>
                <w:szCs w:val="21"/>
                <w:highlight w:val="none"/>
                <w:lang w:val="en-US" w:eastAsia="zh-CN"/>
              </w:rPr>
              <w:t>人机环境同步平台</w:t>
            </w:r>
            <w:r>
              <w:rPr>
                <w:rFonts w:hint="eastAsia" w:ascii="宋体" w:hAnsi="宋体" w:cs="宋体"/>
                <w:b w:val="0"/>
                <w:bCs w:val="0"/>
                <w:color w:val="auto"/>
                <w:sz w:val="21"/>
                <w:szCs w:val="21"/>
                <w:highlight w:val="none"/>
              </w:rPr>
              <w:t xml:space="preserve"> APP接收已经发布的实验。</w:t>
            </w:r>
          </w:p>
          <w:p w14:paraId="546DCB4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人机工程操作台</w:t>
            </w:r>
          </w:p>
          <w:p w14:paraId="0D844C9A">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人机工程操作台（人因工程实验平台）设计要求：基于中国人体尺寸国家标准数据进行人机工程操作台设计，提高操作人员的舒适性和高效性，并提升工作人员的操作效率。人机工程操作台整体设备尺寸：</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737*324*76mm，桌体尺寸：</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1.8m*0.76m*1m</w:t>
            </w:r>
          </w:p>
          <w:p w14:paraId="2FD53410">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作业空间设计经过人机工程仿真分析测试，基于中国人体尺寸模型进行可视可达可操作性测试，以确保设计的操作台在人体尺寸和运动范围方面符合人机工程原则。通过模拟人体的姿势和动作，评估操作台是否能够轻松地让用户触及各个功能元素，从而提升整体的人机交互体验</w:t>
            </w:r>
          </w:p>
          <w:p w14:paraId="06DC5A9C">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rPr>
              <w:t>操作面板尺寸等数据的人因工程设计要求，需符合国家标准坐姿作业中的水平作业范围；</w:t>
            </w:r>
          </w:p>
          <w:p w14:paraId="77AE7E3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桌面高度等尺寸数据的人因工程设计要求，需符合国家标准坐姿作业中的高度范围；</w:t>
            </w:r>
          </w:p>
          <w:p w14:paraId="3FB01F6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按键间距等尺寸数据的人因工程设计要求，需符合国家标准单手操作操作器间距范围；</w:t>
            </w:r>
          </w:p>
          <w:p w14:paraId="157C40A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2.6</w:t>
            </w:r>
            <w:r>
              <w:rPr>
                <w:rFonts w:hint="eastAsia" w:ascii="宋体" w:hAnsi="宋体" w:eastAsia="宋体" w:cs="宋体"/>
                <w:b w:val="0"/>
                <w:bCs w:val="0"/>
                <w:color w:val="auto"/>
                <w:sz w:val="21"/>
                <w:szCs w:val="21"/>
                <w:highlight w:val="none"/>
              </w:rPr>
              <w:t>容膝孔深度，高度，踏板前边缘距离桌面边缘等尺寸数据的人因工程设计要求，需符合国家标准坐姿岗位腿部/脚部工作状态；</w:t>
            </w:r>
          </w:p>
          <w:p w14:paraId="4D28CD5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2.7</w:t>
            </w:r>
            <w:r>
              <w:rPr>
                <w:rFonts w:hint="eastAsia" w:ascii="宋体" w:hAnsi="宋体" w:eastAsia="宋体" w:cs="宋体"/>
                <w:b w:val="0"/>
                <w:bCs w:val="0"/>
                <w:color w:val="auto"/>
                <w:sz w:val="21"/>
                <w:szCs w:val="21"/>
                <w:highlight w:val="none"/>
              </w:rPr>
              <w:t>旋钮直径，厚度等尺寸数据的人因工程设计要求，需符合国家标准要求的旋钮操纵器的直径和厚度；</w:t>
            </w:r>
          </w:p>
          <w:p w14:paraId="3FF0E24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highlight w:val="none"/>
              </w:rPr>
              <w:t>人因工程设计方案符合人体工程标准、移动实验室操作台通用技术规范等标准内容，并提供证明文件。</w:t>
            </w:r>
          </w:p>
          <w:p w14:paraId="6400FFB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投标品牌生产企业参编相关标准制定，并提供生产企业参加国标准备的证明文件。投标产品符合中国人体国家标准数据的设计准则，提供国家标准证明，人因设计维度的考量有助于确保操作台在舒适性和人机交互的有效性方面符合规范要求。</w:t>
            </w:r>
          </w:p>
          <w:p w14:paraId="48EFA69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中央任务人机交互刺激呈现系统</w:t>
            </w:r>
          </w:p>
          <w:p w14:paraId="1FFDDF67">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感知能力测试任务</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包含中央任务和周边任务，中央任务要求被试注视刺激呈现屏幕，并通过操作面板的摇杆控制准星瞄准移动中的目标。周边任务要求被试视野余光感知周边视野人机交互刺激呈现系统。</w:t>
            </w:r>
          </w:p>
          <w:p w14:paraId="653EE89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 xml:space="preserve">刺激呈现屏幕尺寸：≥24” </w:t>
            </w:r>
          </w:p>
          <w:p w14:paraId="39778E8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 xml:space="preserve">2刺激呈现分辨率： ≥2560×1440 </w:t>
            </w:r>
          </w:p>
          <w:p w14:paraId="18C95A48">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刺激呈现刷新率： ≥500Hz</w:t>
            </w:r>
          </w:p>
          <w:p w14:paraId="52BE579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4屏幕反应时间： ≤5ms</w:t>
            </w:r>
          </w:p>
          <w:p w14:paraId="1B34A1F7">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周边任务人机交互刺激呈现系统</w:t>
            </w:r>
          </w:p>
          <w:p w14:paraId="6EED7E9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周边感知能力测试仪，采用360度弧形矩阵边缘视觉人机交互刺激呈现设备、智能测距人机交互模块两大核心部件组成，用于测量人员对周边信息感知的视野角度阈值。</w:t>
            </w:r>
          </w:p>
          <w:p w14:paraId="24CF007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rPr>
              <w:t>光源阵列：≥64×8×2</w:t>
            </w:r>
          </w:p>
          <w:p w14:paraId="5832BBF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间距：≥10mm</w:t>
            </w:r>
          </w:p>
          <w:p w14:paraId="46B345A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rPr>
              <w:t>可测试角度：≥45°~100°</w:t>
            </w:r>
          </w:p>
          <w:p w14:paraId="43CA885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rPr>
              <w:t>测距方式：激光测距；</w:t>
            </w:r>
          </w:p>
          <w:p w14:paraId="44090287">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测量范围：≥0.05m-1.2m@ 17% 灰卡反射率（室内0klux）</w:t>
            </w:r>
          </w:p>
          <w:p w14:paraId="293F220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rPr>
              <w:t>准确度：±5%</w:t>
            </w:r>
          </w:p>
          <w:p w14:paraId="02A86A3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4.7</w:t>
            </w:r>
            <w:r>
              <w:rPr>
                <w:rFonts w:hint="eastAsia" w:ascii="宋体" w:hAnsi="宋体" w:eastAsia="宋体" w:cs="宋体"/>
                <w:b w:val="0"/>
                <w:bCs w:val="0"/>
                <w:color w:val="auto"/>
                <w:sz w:val="21"/>
                <w:szCs w:val="21"/>
                <w:highlight w:val="none"/>
              </w:rPr>
              <w:t>分辨率：≥1mm</w:t>
            </w:r>
          </w:p>
          <w:p w14:paraId="236B9023">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4.8</w:t>
            </w:r>
            <w:r>
              <w:rPr>
                <w:rFonts w:hint="eastAsia" w:ascii="宋体" w:hAnsi="宋体" w:eastAsia="宋体" w:cs="宋体"/>
                <w:b w:val="0"/>
                <w:bCs w:val="0"/>
                <w:color w:val="auto"/>
                <w:sz w:val="21"/>
                <w:szCs w:val="21"/>
                <w:highlight w:val="none"/>
              </w:rPr>
              <w:t>帧率：0-18Hz可调</w:t>
            </w:r>
          </w:p>
          <w:p w14:paraId="3C91E38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4.9</w:t>
            </w:r>
            <w:r>
              <w:rPr>
                <w:rFonts w:hint="eastAsia" w:ascii="宋体" w:hAnsi="宋体" w:eastAsia="宋体" w:cs="宋体"/>
                <w:b w:val="0"/>
                <w:bCs w:val="0"/>
                <w:color w:val="auto"/>
                <w:sz w:val="21"/>
                <w:szCs w:val="21"/>
                <w:highlight w:val="none"/>
              </w:rPr>
              <w:t>抗环境光能力：≥50KLux</w:t>
            </w:r>
          </w:p>
          <w:p w14:paraId="179B90C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外形尺寸：≥6</w:t>
            </w:r>
            <w:r>
              <w:rPr>
                <w:rFonts w:hint="eastAsia" w:ascii="宋体" w:hAnsi="宋体" w:cs="宋体"/>
                <w:b w:val="0"/>
                <w:bCs w:val="0"/>
                <w:color w:val="auto"/>
                <w:sz w:val="21"/>
                <w:szCs w:val="21"/>
                <w:highlight w:val="none"/>
                <w:lang w:val="en-US" w:eastAsia="zh-CN"/>
              </w:rPr>
              <w:t>00</w:t>
            </w:r>
            <w:r>
              <w:rPr>
                <w:rFonts w:hint="eastAsia" w:ascii="宋体" w:hAnsi="宋体" w:eastAsia="宋体" w:cs="宋体"/>
                <w:b w:val="0"/>
                <w:bCs w:val="0"/>
                <w:color w:val="auto"/>
                <w:sz w:val="21"/>
                <w:szCs w:val="21"/>
                <w:highlight w:val="none"/>
              </w:rPr>
              <w:t>×15</w:t>
            </w:r>
            <w:r>
              <w:rPr>
                <w:rFonts w:hint="eastAsia" w:ascii="宋体" w:hAnsi="宋体" w:cs="宋体"/>
                <w:b w:val="0"/>
                <w:bCs w:val="0"/>
                <w:color w:val="auto"/>
                <w:sz w:val="21"/>
                <w:szCs w:val="21"/>
                <w:highlight w:val="none"/>
                <w:lang w:val="en-US" w:eastAsia="zh-CN"/>
              </w:rPr>
              <w:t>00</w:t>
            </w:r>
            <w:r>
              <w:rPr>
                <w:rFonts w:hint="eastAsia" w:ascii="宋体" w:hAnsi="宋体" w:eastAsia="宋体" w:cs="宋体"/>
                <w:b w:val="0"/>
                <w:bCs w:val="0"/>
                <w:color w:val="auto"/>
                <w:sz w:val="21"/>
                <w:szCs w:val="21"/>
                <w:highlight w:val="none"/>
              </w:rPr>
              <w:t>×450mm</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宽长高</w:t>
            </w:r>
            <w:r>
              <w:rPr>
                <w:rFonts w:hint="eastAsia" w:ascii="宋体" w:hAnsi="宋体" w:cs="宋体"/>
                <w:b w:val="0"/>
                <w:bCs w:val="0"/>
                <w:color w:val="auto"/>
                <w:sz w:val="21"/>
                <w:szCs w:val="21"/>
                <w:highlight w:val="none"/>
                <w:lang w:eastAsia="zh-CN"/>
              </w:rPr>
              <w:t>）</w:t>
            </w:r>
          </w:p>
          <w:p w14:paraId="26996C5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点阵屏尺寸：≥厚度30mm、弧长680mm、高度161mm；</w:t>
            </w:r>
          </w:p>
          <w:p w14:paraId="720FFE9C">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点阵屏距离桌面的高度：≥上边缘450mm、下边缘289mm；</w:t>
            </w:r>
          </w:p>
          <w:p w14:paraId="05B7218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人机交互操作面板</w:t>
            </w:r>
          </w:p>
          <w:p w14:paraId="2D0217CB">
            <w:pP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lang w:val="en-US" w:eastAsia="zh-CN"/>
              </w:rPr>
              <w:t>人机交互操作面板</w:t>
            </w:r>
          </w:p>
          <w:p w14:paraId="30F8698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人机交互操作面板集成了以下相关内容，具体包含0-9共十个数字按键；红、黄、蓝、绿、白五个颜色按键；高、中、低三个声音高低按键；一个Enter确定按键；两个全向模拟数据操纵杆；两个全向旋钮。 </w:t>
            </w:r>
          </w:p>
          <w:p w14:paraId="317E450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按键总个数： ≥18个</w:t>
            </w:r>
          </w:p>
          <w:p w14:paraId="1E1314D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ADC采集精度：≥16Bit </w:t>
            </w:r>
          </w:p>
          <w:p w14:paraId="540F7A1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数字按键： ≥10个（0-9）</w:t>
            </w:r>
          </w:p>
          <w:p w14:paraId="0A0EA03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声音高低按键：≥3个（高、中、低）</w:t>
            </w:r>
          </w:p>
          <w:p w14:paraId="6456F2E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颜色按键：≥5个（红、黄、蓝、绿、灰）</w:t>
            </w:r>
          </w:p>
          <w:p w14:paraId="7BEF512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确定按键：≥1个（Enter）</w:t>
            </w:r>
          </w:p>
          <w:p w14:paraId="1AE79B0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双手操纵杆部分技术参数</w:t>
            </w:r>
          </w:p>
          <w:p w14:paraId="7E6D3E8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操纵杆：≥2个360°全向</w:t>
            </w:r>
          </w:p>
          <w:p w14:paraId="7E50F96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操作旋钮：≥2个360°全向</w:t>
            </w:r>
          </w:p>
          <w:p w14:paraId="11D153F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操纵杆类型：  霍尔量模拟输出式操纵杆 </w:t>
            </w:r>
          </w:p>
          <w:p w14:paraId="298CB07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输出电压：0-5VDC  </w:t>
            </w:r>
          </w:p>
          <w:p w14:paraId="6F9900D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 xml:space="preserve">电压：5VDC </w:t>
            </w:r>
          </w:p>
          <w:p w14:paraId="2274A10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使用寿命：≥100万次</w:t>
            </w:r>
          </w:p>
          <w:p w14:paraId="36EE5D1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5.3</w:t>
            </w:r>
            <w:r>
              <w:rPr>
                <w:rFonts w:hint="eastAsia" w:ascii="宋体" w:hAnsi="宋体" w:eastAsia="宋体" w:cs="宋体"/>
                <w:b w:val="0"/>
                <w:bCs w:val="0"/>
                <w:color w:val="auto"/>
                <w:sz w:val="21"/>
                <w:szCs w:val="21"/>
                <w:highlight w:val="none"/>
              </w:rPr>
              <w:t>双手操作技能测试仪</w:t>
            </w:r>
          </w:p>
          <w:p w14:paraId="2438A25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测试手臂、手指、手腕的稳定性及灵活性用于评估双手操作技能。</w:t>
            </w:r>
          </w:p>
          <w:p w14:paraId="6A4FB59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九孔尺寸：12、8、6、5、4.5、4、3.5、3、2.5（单位:mm）</w:t>
            </w:r>
          </w:p>
          <w:p w14:paraId="7DB98F5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滑槽尺寸：≥12-2.5，测试长度230（单位:mm）</w:t>
            </w:r>
          </w:p>
          <w:p w14:paraId="103F524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测试反馈时精度≤1ms，可用作人员测试与训练。</w:t>
            </w:r>
          </w:p>
          <w:p w14:paraId="5C6C09BD">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整体设备尺寸：≥202*100*27（单位:mm）</w:t>
            </w:r>
          </w:p>
          <w:p w14:paraId="4FD22BE7">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rPr>
              <w:t>双脚刺激反应系统部分技术参数</w:t>
            </w:r>
          </w:p>
          <w:p w14:paraId="627EB48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脚踏板：≥ 2个</w:t>
            </w:r>
          </w:p>
          <w:p w14:paraId="0BD52AA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脚踏板连接方式：3.5mm耳机接口</w:t>
            </w:r>
          </w:p>
          <w:p w14:paraId="21241DB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输入电压：≥DC12V</w:t>
            </w:r>
          </w:p>
          <w:p w14:paraId="7D71274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动作力：≥31N</w:t>
            </w:r>
          </w:p>
          <w:p w14:paraId="5EC2CAE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机械寿命：≥100万次</w:t>
            </w:r>
          </w:p>
          <w:p w14:paraId="2A2FF31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6</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反应键响应：1ms以内 低延时</w:t>
            </w:r>
          </w:p>
          <w:p w14:paraId="582D795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7</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供电方式：USB供电</w:t>
            </w:r>
          </w:p>
          <w:p w14:paraId="7341649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8</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工作温度：-20℃~40℃</w:t>
            </w:r>
          </w:p>
          <w:p w14:paraId="29B21AEC">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9</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存储温度：-40℃~50℃</w:t>
            </w:r>
          </w:p>
          <w:p w14:paraId="570EAB8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10</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工作湿度：10%~90%RH 不凝结</w:t>
            </w:r>
          </w:p>
          <w:p w14:paraId="0644E631">
            <w:pPr>
              <w:rPr>
                <w:rFonts w:hint="eastAsia" w:ascii="宋体" w:hAnsi="宋体" w:eastAsia="宋体" w:cs="宋体"/>
                <w:b w:val="0"/>
                <w:bCs w:val="0"/>
                <w:color w:val="auto"/>
                <w:sz w:val="21"/>
                <w:szCs w:val="21"/>
                <w:highlight w:val="yellow"/>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存储湿度： 5%~90%RH 不凝</w:t>
            </w:r>
          </w:p>
          <w:p w14:paraId="20C2A4CA">
            <w:pPr>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6.配置要求：</w:t>
            </w:r>
          </w:p>
          <w:p w14:paraId="42E918CD">
            <w:pPr>
              <w:rPr>
                <w:rFonts w:hint="eastAsia" w:eastAsia="宋体"/>
                <w:highlight w:val="none"/>
                <w:lang w:val="en-US" w:eastAsia="zh-CN"/>
              </w:rPr>
            </w:pPr>
            <w:r>
              <w:rPr>
                <w:rFonts w:hint="eastAsia"/>
                <w:highlight w:val="none"/>
                <w:lang w:val="en-US" w:eastAsia="zh-CN"/>
              </w:rPr>
              <w:t>6.1</w:t>
            </w:r>
            <w:r>
              <w:rPr>
                <w:rFonts w:hint="eastAsia"/>
                <w:highlight w:val="none"/>
              </w:rPr>
              <w:t>人机工程操作台1</w:t>
            </w:r>
            <w:r>
              <w:rPr>
                <w:rFonts w:hint="eastAsia"/>
                <w:highlight w:val="none"/>
                <w:lang w:val="en-US" w:eastAsia="zh-CN"/>
              </w:rPr>
              <w:t>个</w:t>
            </w:r>
          </w:p>
          <w:p w14:paraId="62B1863A">
            <w:pPr>
              <w:rPr>
                <w:rFonts w:hint="eastAsia" w:eastAsia="宋体"/>
                <w:highlight w:val="none"/>
                <w:lang w:val="en-US" w:eastAsia="zh-CN"/>
              </w:rPr>
            </w:pPr>
            <w:r>
              <w:rPr>
                <w:rFonts w:hint="eastAsia"/>
                <w:highlight w:val="none"/>
                <w:lang w:val="en-US" w:eastAsia="zh-CN"/>
              </w:rPr>
              <w:t>6.2</w:t>
            </w:r>
            <w:r>
              <w:rPr>
                <w:rFonts w:hint="eastAsia"/>
                <w:highlight w:val="none"/>
              </w:rPr>
              <w:t>周边任务人机交互刺激呈现面板</w:t>
            </w:r>
            <w:r>
              <w:rPr>
                <w:rFonts w:hint="eastAsia"/>
                <w:highlight w:val="none"/>
              </w:rPr>
              <w:tab/>
            </w:r>
            <w:r>
              <w:rPr>
                <w:rFonts w:hint="eastAsia"/>
                <w:highlight w:val="none"/>
              </w:rPr>
              <w:t>2</w:t>
            </w:r>
            <w:r>
              <w:rPr>
                <w:rFonts w:hint="eastAsia"/>
                <w:highlight w:val="none"/>
                <w:lang w:val="en-US" w:eastAsia="zh-CN"/>
              </w:rPr>
              <w:t>个</w:t>
            </w:r>
          </w:p>
          <w:p w14:paraId="3BF6F5FC">
            <w:pPr>
              <w:rPr>
                <w:rFonts w:hint="eastAsia" w:eastAsia="宋体"/>
                <w:highlight w:val="none"/>
                <w:lang w:val="en-US" w:eastAsia="zh-CN"/>
              </w:rPr>
            </w:pPr>
            <w:r>
              <w:rPr>
                <w:rFonts w:hint="eastAsia"/>
                <w:highlight w:val="none"/>
                <w:lang w:val="en-US" w:eastAsia="zh-CN"/>
              </w:rPr>
              <w:t>6.3</w:t>
            </w:r>
            <w:r>
              <w:rPr>
                <w:rFonts w:hint="eastAsia"/>
                <w:highlight w:val="none"/>
              </w:rPr>
              <w:t>人机交互操作面板</w:t>
            </w:r>
            <w:r>
              <w:rPr>
                <w:rFonts w:hint="eastAsia"/>
                <w:highlight w:val="none"/>
              </w:rPr>
              <w:tab/>
            </w:r>
            <w:r>
              <w:rPr>
                <w:rFonts w:hint="eastAsia"/>
                <w:highlight w:val="none"/>
              </w:rPr>
              <w:t>1</w:t>
            </w:r>
            <w:r>
              <w:rPr>
                <w:rFonts w:hint="eastAsia"/>
                <w:highlight w:val="none"/>
                <w:lang w:val="en-US" w:eastAsia="zh-CN"/>
              </w:rPr>
              <w:t>个</w:t>
            </w:r>
          </w:p>
          <w:p w14:paraId="49359BB2">
            <w:pPr>
              <w:rPr>
                <w:rFonts w:hint="eastAsia" w:eastAsia="宋体"/>
                <w:highlight w:val="none"/>
                <w:lang w:val="en-US" w:eastAsia="zh-CN"/>
              </w:rPr>
            </w:pPr>
            <w:r>
              <w:rPr>
                <w:rFonts w:hint="eastAsia"/>
                <w:highlight w:val="none"/>
                <w:lang w:val="en-US" w:eastAsia="zh-CN"/>
              </w:rPr>
              <w:t>6.4</w:t>
            </w:r>
            <w:r>
              <w:rPr>
                <w:rFonts w:hint="eastAsia"/>
                <w:highlight w:val="none"/>
              </w:rPr>
              <w:t>脚踏板2</w:t>
            </w:r>
            <w:r>
              <w:rPr>
                <w:rFonts w:hint="eastAsia"/>
                <w:highlight w:val="none"/>
                <w:lang w:val="en-US" w:eastAsia="zh-CN"/>
              </w:rPr>
              <w:t>个</w:t>
            </w:r>
          </w:p>
          <w:p w14:paraId="629CF97A">
            <w:pPr>
              <w:rPr>
                <w:rFonts w:hint="eastAsia" w:eastAsia="宋体"/>
                <w:highlight w:val="none"/>
                <w:lang w:eastAsia="zh-CN"/>
              </w:rPr>
            </w:pPr>
            <w:r>
              <w:rPr>
                <w:rFonts w:hint="eastAsia"/>
                <w:highlight w:val="none"/>
                <w:lang w:val="en-US" w:eastAsia="zh-CN"/>
              </w:rPr>
              <w:t>6.5</w:t>
            </w:r>
            <w:r>
              <w:rPr>
                <w:rFonts w:hint="eastAsia"/>
                <w:highlight w:val="none"/>
              </w:rPr>
              <w:t>双手操作技能测试仪1</w:t>
            </w:r>
            <w:r>
              <w:rPr>
                <w:rFonts w:hint="eastAsia"/>
                <w:highlight w:val="none"/>
                <w:lang w:eastAsia="zh-CN"/>
              </w:rPr>
              <w:t>个</w:t>
            </w:r>
          </w:p>
          <w:p w14:paraId="22AA2A9F">
            <w:pPr>
              <w:rPr>
                <w:rFonts w:hint="eastAsia"/>
                <w:highlight w:val="none"/>
              </w:rPr>
            </w:pPr>
            <w:r>
              <w:rPr>
                <w:rFonts w:hint="eastAsia"/>
                <w:highlight w:val="none"/>
                <w:lang w:val="en-US" w:eastAsia="zh-CN"/>
              </w:rPr>
              <w:t>6.6</w:t>
            </w:r>
            <w:r>
              <w:rPr>
                <w:rFonts w:hint="eastAsia"/>
                <w:highlight w:val="none"/>
              </w:rPr>
              <w:t>配套电脑（主机，显示器，键鼠）1套</w:t>
            </w:r>
          </w:p>
          <w:p w14:paraId="265EFB8E">
            <w:pPr>
              <w:rPr>
                <w:rFonts w:hint="eastAsia" w:eastAsia="宋体"/>
                <w:highlight w:val="none"/>
                <w:lang w:val="en-US" w:eastAsia="zh-CN"/>
              </w:rPr>
            </w:pPr>
            <w:r>
              <w:rPr>
                <w:rFonts w:hint="eastAsia"/>
                <w:highlight w:val="none"/>
                <w:lang w:val="en-US" w:eastAsia="zh-CN"/>
              </w:rPr>
              <w:t>6.7</w:t>
            </w:r>
            <w:r>
              <w:rPr>
                <w:rFonts w:hint="eastAsia"/>
                <w:highlight w:val="none"/>
              </w:rPr>
              <w:t>软件加密狗1</w:t>
            </w:r>
            <w:r>
              <w:rPr>
                <w:rFonts w:hint="eastAsia"/>
                <w:highlight w:val="none"/>
                <w:lang w:val="en-US" w:eastAsia="zh-CN"/>
              </w:rPr>
              <w:t>个</w:t>
            </w:r>
          </w:p>
          <w:p w14:paraId="27CEB910">
            <w:pPr>
              <w:rPr>
                <w:rFonts w:hint="eastAsia"/>
                <w:highlight w:val="none"/>
                <w:lang w:val="en-US" w:eastAsia="zh-CN"/>
              </w:rPr>
            </w:pPr>
            <w:r>
              <w:rPr>
                <w:rFonts w:hint="eastAsia"/>
                <w:highlight w:val="none"/>
                <w:lang w:val="en-US" w:eastAsia="zh-CN"/>
              </w:rPr>
              <w:t>6.8</w:t>
            </w:r>
            <w:r>
              <w:rPr>
                <w:rFonts w:hint="eastAsia"/>
                <w:highlight w:val="none"/>
              </w:rPr>
              <w:t>软件u盘</w:t>
            </w:r>
            <w:r>
              <w:rPr>
                <w:rFonts w:hint="eastAsia"/>
                <w:highlight w:val="none"/>
              </w:rPr>
              <w:tab/>
            </w:r>
            <w:r>
              <w:rPr>
                <w:rFonts w:hint="eastAsia"/>
                <w:highlight w:val="none"/>
              </w:rPr>
              <w:t>1</w:t>
            </w:r>
            <w:r>
              <w:rPr>
                <w:rFonts w:hint="eastAsia"/>
                <w:highlight w:val="none"/>
                <w:lang w:val="en-US" w:eastAsia="zh-CN"/>
              </w:rPr>
              <w:t>个</w:t>
            </w:r>
          </w:p>
          <w:p w14:paraId="235DC29F">
            <w:pPr>
              <w:rPr>
                <w:rFonts w:hint="eastAsia" w:ascii="Times New Roman" w:hAnsi="Times New Roman" w:eastAsia="宋体" w:cs="Times New Roman"/>
                <w:highlight w:val="none"/>
                <w:lang w:val="en-US" w:eastAsia="zh-CN"/>
              </w:rPr>
            </w:pPr>
            <w:r>
              <w:rPr>
                <w:rFonts w:hint="eastAsia"/>
                <w:highlight w:val="none"/>
                <w:lang w:val="en-US" w:eastAsia="zh-CN"/>
              </w:rPr>
              <w:t>6.9软件</w:t>
            </w:r>
            <w:r>
              <w:rPr>
                <w:rFonts w:hint="eastAsia" w:ascii="Times New Roman" w:hAnsi="Times New Roman" w:eastAsia="宋体" w:cs="Times New Roman"/>
                <w:highlight w:val="none"/>
                <w:lang w:val="en-US" w:eastAsia="zh-CN"/>
              </w:rPr>
              <w:t>使用指导手册</w:t>
            </w:r>
          </w:p>
          <w:p w14:paraId="42118494">
            <w:pPr>
              <w:rPr>
                <w:rFonts w:hint="eastAsia"/>
                <w:lang w:val="en-US" w:eastAsia="zh-CN"/>
              </w:rPr>
            </w:pPr>
            <w:r>
              <w:rPr>
                <w:rFonts w:hint="eastAsia" w:ascii="Times New Roman" w:hAnsi="Times New Roman" w:eastAsia="宋体" w:cs="Times New Roman"/>
                <w:highlight w:val="none"/>
                <w:lang w:val="en-US" w:eastAsia="zh-CN"/>
              </w:rPr>
              <w:t>6.10软件设备功能介绍展示板</w:t>
            </w:r>
          </w:p>
        </w:tc>
        <w:tc>
          <w:tcPr>
            <w:tcW w:w="348" w:type="pct"/>
            <w:noWrap w:val="0"/>
            <w:vAlign w:val="center"/>
          </w:tcPr>
          <w:p w14:paraId="656BC326">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349" w:type="pct"/>
            <w:noWrap w:val="0"/>
            <w:vAlign w:val="center"/>
          </w:tcPr>
          <w:p w14:paraId="08235B41">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套</w:t>
            </w:r>
          </w:p>
        </w:tc>
      </w:tr>
      <w:tr w14:paraId="2F19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3" w:hRule="atLeast"/>
          <w:jc w:val="center"/>
        </w:trPr>
        <w:tc>
          <w:tcPr>
            <w:tcW w:w="463" w:type="pct"/>
            <w:noWrap w:val="0"/>
            <w:vAlign w:val="center"/>
          </w:tcPr>
          <w:p w14:paraId="7E324058">
            <w:pPr>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626" w:type="pct"/>
            <w:noWrap w:val="0"/>
            <w:vAlign w:val="center"/>
          </w:tcPr>
          <w:p w14:paraId="37332499">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生物反馈训练系统</w:t>
            </w:r>
          </w:p>
        </w:tc>
        <w:tc>
          <w:tcPr>
            <w:tcW w:w="3211" w:type="pct"/>
            <w:noWrap w:val="0"/>
            <w:vAlign w:val="center"/>
          </w:tcPr>
          <w:p w14:paraId="0F18796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智能穿戴胸带传感器</w:t>
            </w:r>
          </w:p>
          <w:p w14:paraId="03E96F1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胸带传感器数据采集种类：不少于ECG心电、RESP呼吸、SKT/TEMP皮温、RPM/HR心率等生理信号、ACC加速度、GYRO陀螺仪、COMP等人体姿态信号，并支持外接输入ExG</w:t>
            </w:r>
          </w:p>
          <w:p w14:paraId="766E1F7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 xml:space="preserve"> 放大器通道：ECG测量通道数：≥1；SKT/TEMP测量通道数：≥1；RESP测量通道数：≥1；ACC测量通道数：≥3；GYRO测量通道数：≥3；COMP测量通道数：≥3；RPM/HR通道数：≥1</w:t>
            </w:r>
          </w:p>
          <w:p w14:paraId="50006A53">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 xml:space="preserve">系统采样率：≥2000Hz/通道；系统分辨率：≥16Bit </w:t>
            </w:r>
          </w:p>
          <w:p w14:paraId="6FFD678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无线放大器尺寸：≤55*40*20；无线放大器重量：≤30g</w:t>
            </w:r>
          </w:p>
          <w:p w14:paraId="5D98C6D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智能穿戴手指传感器</w:t>
            </w:r>
          </w:p>
          <w:p w14:paraId="36FFCB0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手指传感器数据采集种类：不少于EDA皮电、SpO2血氧饱和度、PPG脉搏、SKT/TEMP皮温、HR心率等生理信号、ACC加速度、GYRO陀螺仪、COMP等人体姿态信号</w:t>
            </w:r>
          </w:p>
          <w:p w14:paraId="36AE721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 xml:space="preserve"> 放大器通道：EDA测量通道数：≥1；SKT/TEMP测量通道数：≥1；PPG测量通道数：≥1；SpO2测量通道数：≥1；ACC测量通道数：≥3；GYRO测量通道数：≥3；COMP测量通道数：≥3；HR通道数：≥1</w:t>
            </w:r>
          </w:p>
          <w:p w14:paraId="2C8A5E5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2.3</w:t>
            </w:r>
            <w:r>
              <w:rPr>
                <w:rFonts w:hint="eastAsia" w:ascii="宋体" w:hAnsi="宋体" w:eastAsia="宋体" w:cs="宋体"/>
                <w:b w:val="0"/>
                <w:bCs w:val="0"/>
                <w:color w:val="auto"/>
                <w:sz w:val="21"/>
                <w:szCs w:val="21"/>
                <w:highlight w:val="none"/>
              </w:rPr>
              <w:t>系统采样率：≥2000Hz/通道；系统分辨率：≥16Bit</w:t>
            </w:r>
          </w:p>
          <w:p w14:paraId="7B99F5E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无线放大器尺寸：≤66*35*20；无线放大器重量：≤30g</w:t>
            </w:r>
          </w:p>
          <w:p w14:paraId="28DA3E5D">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智能穿戴手腕传感器</w:t>
            </w:r>
          </w:p>
          <w:p w14:paraId="521DB4F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手腕传感器数据采集种类：不少于EDA皮电、SpO2血氧饱和度、PPG脉搏、SKT/TEMP皮温、HR心率等生理信号、ACC加速度、GYRO陀螺仪、COMP等人体姿态信号</w:t>
            </w:r>
          </w:p>
          <w:p w14:paraId="0E34E10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3.2</w:t>
            </w:r>
            <w:r>
              <w:rPr>
                <w:rFonts w:hint="eastAsia" w:ascii="宋体" w:hAnsi="宋体" w:eastAsia="宋体" w:cs="宋体"/>
                <w:b w:val="0"/>
                <w:bCs w:val="0"/>
                <w:color w:val="auto"/>
                <w:sz w:val="21"/>
                <w:szCs w:val="21"/>
                <w:highlight w:val="none"/>
              </w:rPr>
              <w:t xml:space="preserve"> 放大器通道：EDA测量通道数：≥1；SKT/TEMP测量通道数：≥1；PPG测量通道数：≥1；SpO2测量通道数：≥1；ACC测量通道数：≥3；GYRO测量通道数：≥3；COMP测量通道数：≥3；HR通道数：≥1</w:t>
            </w:r>
          </w:p>
          <w:p w14:paraId="25357C7C">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系统采样率：≥2000Hz/通道；系统分辨率：≥16Bit</w:t>
            </w:r>
          </w:p>
          <w:p w14:paraId="569C641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rPr>
              <w:t>无线放大器尺寸：≤45*45*20；无线放大器重量：≤40g</w:t>
            </w:r>
          </w:p>
          <w:p w14:paraId="2F8A2C3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智能穿戴耳夹传感器</w:t>
            </w:r>
          </w:p>
          <w:p w14:paraId="4D069787">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4.1</w:t>
            </w:r>
            <w:r>
              <w:rPr>
                <w:rFonts w:hint="eastAsia" w:ascii="宋体" w:hAnsi="宋体" w:eastAsia="宋体" w:cs="宋体"/>
                <w:b w:val="0"/>
                <w:bCs w:val="0"/>
                <w:color w:val="auto"/>
                <w:sz w:val="21"/>
                <w:szCs w:val="21"/>
                <w:highlight w:val="none"/>
              </w:rPr>
              <w:t>耳夹传感器数据采集种类：不少于EDA皮电、PPG脉搏、SKT/TEMP皮温、HR心率等生理信号、ACC加速度、GYRO陀螺仪、COMP等人体姿态信号</w:t>
            </w:r>
          </w:p>
          <w:p w14:paraId="1A868B5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 xml:space="preserve"> 放大器通道：EDA测量通道数：≥1；SKT/TEMP测量通道数：≥1；PPG测量通道数：≥1； ACC测量通道数：≥3；GYRO测量通道数：≥3；COMP测量通道数：≥3；HR通道数：≥1</w:t>
            </w:r>
          </w:p>
          <w:p w14:paraId="12E3B61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4.3</w:t>
            </w:r>
            <w:r>
              <w:rPr>
                <w:rFonts w:hint="eastAsia" w:ascii="宋体" w:hAnsi="宋体" w:eastAsia="宋体" w:cs="宋体"/>
                <w:b w:val="0"/>
                <w:bCs w:val="0"/>
                <w:color w:val="auto"/>
                <w:sz w:val="21"/>
                <w:szCs w:val="21"/>
                <w:highlight w:val="none"/>
              </w:rPr>
              <w:t>系统采样率：≥2000Hz/通道；系统分辨率：≥16Bit</w:t>
            </w:r>
          </w:p>
          <w:p w14:paraId="43D9C87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4.4</w:t>
            </w:r>
            <w:r>
              <w:rPr>
                <w:rFonts w:hint="eastAsia" w:ascii="宋体" w:hAnsi="宋体" w:eastAsia="宋体" w:cs="宋体"/>
                <w:b w:val="0"/>
                <w:bCs w:val="0"/>
                <w:color w:val="auto"/>
                <w:sz w:val="21"/>
                <w:szCs w:val="21"/>
                <w:highlight w:val="none"/>
              </w:rPr>
              <w:t>无线放大器尺寸：≤65*55*15；无线放大器重量：≤30g</w:t>
            </w:r>
          </w:p>
          <w:p w14:paraId="4CFE158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5.电生理</w:t>
            </w:r>
            <w:r>
              <w:rPr>
                <w:rFonts w:hint="eastAsia" w:ascii="宋体" w:hAnsi="宋体" w:eastAsia="宋体" w:cs="宋体"/>
                <w:b w:val="0"/>
                <w:bCs w:val="0"/>
                <w:color w:val="auto"/>
                <w:sz w:val="21"/>
                <w:szCs w:val="21"/>
                <w:highlight w:val="none"/>
              </w:rPr>
              <w:t>测试系统硬件：</w:t>
            </w:r>
          </w:p>
          <w:p w14:paraId="70B4DAD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数据采集种类：不少于EMG、ACC、GYRO、COMP、RMS，并支持外接输入ExG；</w:t>
            </w:r>
          </w:p>
          <w:p w14:paraId="2A1AE41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数据采集方式：不少于2种，贴片采集、外接传感器采集；</w:t>
            </w:r>
          </w:p>
          <w:p w14:paraId="348FA5B4">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5.3</w:t>
            </w:r>
            <w:r>
              <w:rPr>
                <w:rFonts w:hint="eastAsia" w:ascii="宋体" w:hAnsi="宋体" w:eastAsia="宋体" w:cs="宋体"/>
                <w:b w:val="0"/>
                <w:bCs w:val="0"/>
                <w:color w:val="auto"/>
                <w:sz w:val="21"/>
                <w:szCs w:val="21"/>
                <w:highlight w:val="none"/>
              </w:rPr>
              <w:t>放大器通道：EMG测量通道数：≥1；ACC测量通道数：≥3；GYRO测量通道数：≥3；COMP测量通道数：≥3；RMS通道数：≥3；</w:t>
            </w:r>
          </w:p>
          <w:p w14:paraId="4CA5D6E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rPr>
              <w:t>系统采样率：≥4096Hz/通道；系统分辨率：≥16Bit；</w:t>
            </w:r>
          </w:p>
          <w:p w14:paraId="5131496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5.5</w:t>
            </w:r>
            <w:r>
              <w:rPr>
                <w:rFonts w:hint="eastAsia" w:ascii="宋体" w:hAnsi="宋体" w:eastAsia="宋体" w:cs="宋体"/>
                <w:b w:val="0"/>
                <w:bCs w:val="0"/>
                <w:color w:val="auto"/>
                <w:sz w:val="21"/>
                <w:szCs w:val="21"/>
                <w:highlight w:val="none"/>
              </w:rPr>
              <w:t>测量范围：EMG测量范围：≥-1500μV ~ +1500μV； ACC测量范围：≥±2g~±16g；GYRO测量范围：≥±200°/s~±2000°/s；COMP测量范围：≥±4800μT</w:t>
            </w:r>
          </w:p>
          <w:p w14:paraId="4478E9AD">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传感器其他要求</w:t>
            </w:r>
          </w:p>
          <w:p w14:paraId="4348CD6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6.1</w:t>
            </w:r>
            <w:r>
              <w:rPr>
                <w:rFonts w:hint="eastAsia" w:ascii="宋体" w:hAnsi="宋体" w:eastAsia="宋体" w:cs="宋体"/>
                <w:b w:val="0"/>
                <w:bCs w:val="0"/>
                <w:color w:val="auto"/>
                <w:sz w:val="21"/>
                <w:szCs w:val="21"/>
                <w:highlight w:val="none"/>
              </w:rPr>
              <w:t>数据接口：Type-C（充电输入、数据采集、插入检测）</w:t>
            </w:r>
          </w:p>
          <w:p w14:paraId="2587E9F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6.2</w:t>
            </w:r>
            <w:r>
              <w:rPr>
                <w:rFonts w:hint="eastAsia" w:ascii="宋体" w:hAnsi="宋体" w:eastAsia="宋体" w:cs="宋体"/>
                <w:b w:val="0"/>
                <w:bCs w:val="0"/>
                <w:color w:val="auto"/>
                <w:sz w:val="21"/>
                <w:szCs w:val="21"/>
                <w:highlight w:val="none"/>
              </w:rPr>
              <w:t>连续工作时间：≥8小时；可充电锂电池：支持电量检测</w:t>
            </w:r>
          </w:p>
          <w:p w14:paraId="66C46F7D">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6.3</w:t>
            </w:r>
            <w:r>
              <w:rPr>
                <w:rFonts w:hint="eastAsia" w:ascii="宋体" w:hAnsi="宋体" w:eastAsia="宋体" w:cs="宋体"/>
                <w:b w:val="0"/>
                <w:bCs w:val="0"/>
                <w:color w:val="auto"/>
                <w:sz w:val="21"/>
                <w:szCs w:val="21"/>
                <w:highlight w:val="none"/>
              </w:rPr>
              <w:t>数据传输方式：无线射频2.4GHz，蓝牙协议BLE5.0</w:t>
            </w:r>
          </w:p>
          <w:p w14:paraId="5078024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6.4</w:t>
            </w:r>
            <w:r>
              <w:rPr>
                <w:rFonts w:hint="eastAsia" w:ascii="宋体" w:hAnsi="宋体" w:eastAsia="宋体" w:cs="宋体"/>
                <w:b w:val="0"/>
                <w:bCs w:val="0"/>
                <w:color w:val="auto"/>
                <w:sz w:val="21"/>
                <w:szCs w:val="21"/>
                <w:highlight w:val="none"/>
              </w:rPr>
              <w:t>无线传输速率：≤2Mbps；无线传输距离：≥10m</w:t>
            </w:r>
          </w:p>
          <w:p w14:paraId="1394BA5C">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6.5</w:t>
            </w:r>
            <w:r>
              <w:rPr>
                <w:rFonts w:hint="eastAsia" w:ascii="宋体" w:hAnsi="宋体" w:eastAsia="宋体" w:cs="宋体"/>
                <w:b w:val="0"/>
                <w:bCs w:val="0"/>
                <w:color w:val="auto"/>
                <w:sz w:val="21"/>
                <w:szCs w:val="21"/>
                <w:highlight w:val="none"/>
              </w:rPr>
              <w:t>采集终端软件：包含安卓APP及Windows跨平台软件</w:t>
            </w:r>
          </w:p>
          <w:p w14:paraId="42E6B0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6.6</w:t>
            </w:r>
            <w:r>
              <w:rPr>
                <w:rFonts w:hint="eastAsia" w:ascii="宋体" w:hAnsi="宋体" w:eastAsia="宋体" w:cs="宋体"/>
                <w:b w:val="0"/>
                <w:bCs w:val="0"/>
                <w:color w:val="auto"/>
                <w:sz w:val="21"/>
                <w:szCs w:val="21"/>
                <w:highlight w:val="none"/>
              </w:rPr>
              <w:t>放大器主机内置至少4种（蓝色、绿色、橙色、红色）LED指示灯自动提示主机工作状态</w:t>
            </w:r>
          </w:p>
          <w:p w14:paraId="06E52B8B">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b w:val="0"/>
                <w:bCs w:val="0"/>
                <w:color w:val="auto"/>
                <w:highlight w:val="none"/>
              </w:rPr>
            </w:pPr>
            <w:r>
              <w:rPr>
                <w:rFonts w:hint="eastAsia" w:ascii="宋体" w:hAnsi="宋体" w:cs="宋体"/>
                <w:b w:val="0"/>
                <w:bCs w:val="0"/>
                <w:color w:val="auto"/>
                <w:sz w:val="21"/>
                <w:szCs w:val="21"/>
                <w:highlight w:val="none"/>
                <w:lang w:val="en-US" w:eastAsia="zh-CN"/>
              </w:rPr>
              <w:t>6.7</w:t>
            </w:r>
            <w:r>
              <w:rPr>
                <w:rFonts w:hint="eastAsia" w:ascii="宋体" w:hAnsi="宋体" w:eastAsia="宋体" w:cs="宋体"/>
                <w:b w:val="0"/>
                <w:bCs w:val="0"/>
                <w:i w:val="0"/>
                <w:strike w:val="0"/>
                <w:color w:val="auto"/>
                <w:spacing w:val="0"/>
                <w:sz w:val="21"/>
                <w:szCs w:val="21"/>
                <w:highlight w:val="none"/>
                <w:u w:val="none"/>
                <w:lang w:val="en-US" w:eastAsia="zh-CN"/>
              </w:rPr>
              <w:t>边缘计算传感器：</w:t>
            </w:r>
            <w:r>
              <w:rPr>
                <w:rFonts w:hint="eastAsia" w:ascii="宋体" w:hAnsi="宋体" w:eastAsia="宋体" w:cs="宋体"/>
                <w:b w:val="0"/>
                <w:bCs w:val="0"/>
                <w:i w:val="0"/>
                <w:strike w:val="0"/>
                <w:color w:val="auto"/>
                <w:spacing w:val="0"/>
                <w:sz w:val="21"/>
                <w:szCs w:val="21"/>
                <w:highlight w:val="none"/>
                <w:u w:val="none"/>
              </w:rPr>
              <w:t>分辨率</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1920×1080</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帧率</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30fps</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视场角</w:t>
            </w:r>
            <w:r>
              <w:rPr>
                <w:rFonts w:hint="eastAsia" w:ascii="宋体" w:hAnsi="宋体" w:eastAsia="宋体" w:cs="宋体"/>
                <w:b w:val="0"/>
                <w:bCs w:val="0"/>
                <w:i w:val="0"/>
                <w:strike w:val="0"/>
                <w:color w:val="auto"/>
                <w:spacing w:val="0"/>
                <w:sz w:val="21"/>
                <w:szCs w:val="21"/>
                <w:highlight w:val="none"/>
                <w:u w:val="none"/>
                <w:lang w:val="en-US" w:eastAsia="zh-CN"/>
              </w:rPr>
              <w:t>:≥85°;</w:t>
            </w:r>
            <w:r>
              <w:rPr>
                <w:rFonts w:hint="eastAsia" w:ascii="宋体" w:hAnsi="宋体" w:eastAsia="宋体" w:cs="宋体"/>
                <w:b w:val="0"/>
                <w:bCs w:val="0"/>
                <w:i w:val="0"/>
                <w:strike w:val="0"/>
                <w:color w:val="auto"/>
                <w:spacing w:val="0"/>
                <w:sz w:val="21"/>
                <w:szCs w:val="21"/>
                <w:highlight w:val="none"/>
                <w:u w:val="none"/>
              </w:rPr>
              <w:t>AI 性能</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100 TOPS</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 xml:space="preserve">GPU </w:t>
            </w:r>
            <w:r>
              <w:rPr>
                <w:rFonts w:hint="eastAsia" w:ascii="宋体" w:hAnsi="宋体" w:eastAsia="宋体" w:cs="宋体"/>
                <w:b w:val="0"/>
                <w:bCs w:val="0"/>
                <w:i w:val="0"/>
                <w:strike w:val="0"/>
                <w:color w:val="auto"/>
                <w:spacing w:val="0"/>
                <w:sz w:val="21"/>
                <w:szCs w:val="21"/>
                <w:highlight w:val="none"/>
                <w:u w:val="none"/>
                <w:lang w:eastAsia="zh-CN"/>
              </w:rPr>
              <w:t>：</w:t>
            </w:r>
            <w:r>
              <w:rPr>
                <w:rFonts w:hint="eastAsia" w:ascii="宋体" w:hAnsi="宋体" w:eastAsia="宋体" w:cs="宋体"/>
                <w:b w:val="0"/>
                <w:bCs w:val="0"/>
                <w:i w:val="0"/>
                <w:strike w:val="0"/>
                <w:color w:val="auto"/>
                <w:spacing w:val="0"/>
                <w:sz w:val="21"/>
                <w:szCs w:val="21"/>
                <w:highlight w:val="none"/>
                <w:u w:val="none"/>
              </w:rPr>
              <w:t>最大频率918 MHz</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CPU</w:t>
            </w:r>
            <w:r>
              <w:rPr>
                <w:rFonts w:hint="eastAsia" w:ascii="宋体" w:hAnsi="宋体" w:eastAsia="宋体" w:cs="宋体"/>
                <w:b w:val="0"/>
                <w:bCs w:val="0"/>
                <w:i w:val="0"/>
                <w:strike w:val="0"/>
                <w:color w:val="auto"/>
                <w:spacing w:val="0"/>
                <w:sz w:val="21"/>
                <w:szCs w:val="21"/>
                <w:highlight w:val="none"/>
                <w:u w:val="none"/>
                <w:lang w:eastAsia="zh-CN"/>
              </w:rPr>
              <w:t>：</w:t>
            </w:r>
            <w:r>
              <w:rPr>
                <w:rFonts w:hint="eastAsia" w:ascii="宋体" w:hAnsi="宋体" w:eastAsia="宋体" w:cs="宋体"/>
                <w:b w:val="0"/>
                <w:bCs w:val="0"/>
                <w:i w:val="0"/>
                <w:strike w:val="0"/>
                <w:color w:val="auto"/>
                <w:spacing w:val="0"/>
                <w:sz w:val="21"/>
                <w:szCs w:val="21"/>
                <w:highlight w:val="none"/>
                <w:u w:val="none"/>
              </w:rPr>
              <w:t xml:space="preserve">8 核 </w:t>
            </w:r>
            <w:r>
              <w:rPr>
                <w:rFonts w:hint="eastAsia" w:ascii="宋体" w:hAnsi="宋体" w:eastAsia="宋体" w:cs="宋体"/>
                <w:b w:val="0"/>
                <w:bCs w:val="0"/>
                <w:i w:val="0"/>
                <w:strike w:val="0"/>
                <w:color w:val="auto"/>
                <w:spacing w:val="0"/>
                <w:sz w:val="21"/>
                <w:szCs w:val="21"/>
                <w:highlight w:val="none"/>
                <w:u w:val="none"/>
                <w:lang w:eastAsia="zh-CN"/>
              </w:rPr>
              <w:t>；</w:t>
            </w:r>
            <w:r>
              <w:rPr>
                <w:rFonts w:hint="eastAsia" w:ascii="宋体" w:hAnsi="宋体" w:eastAsia="宋体" w:cs="宋体"/>
                <w:b w:val="0"/>
                <w:bCs w:val="0"/>
                <w:i w:val="0"/>
                <w:strike w:val="0"/>
                <w:color w:val="auto"/>
                <w:spacing w:val="0"/>
                <w:sz w:val="21"/>
                <w:szCs w:val="21"/>
                <w:highlight w:val="none"/>
                <w:u w:val="none"/>
              </w:rPr>
              <w:t>最大频率</w:t>
            </w:r>
            <w:r>
              <w:rPr>
                <w:rFonts w:hint="eastAsia" w:ascii="宋体" w:hAnsi="宋体" w:eastAsia="宋体" w:cs="宋体"/>
                <w:b w:val="0"/>
                <w:bCs w:val="0"/>
                <w:i w:val="0"/>
                <w:strike w:val="0"/>
                <w:color w:val="auto"/>
                <w:spacing w:val="0"/>
                <w:sz w:val="21"/>
                <w:szCs w:val="21"/>
                <w:highlight w:val="none"/>
                <w:u w:val="none"/>
                <w:lang w:eastAsia="zh-CN"/>
              </w:rPr>
              <w:t>：</w:t>
            </w:r>
            <w:r>
              <w:rPr>
                <w:rFonts w:hint="eastAsia" w:ascii="宋体" w:hAnsi="宋体" w:eastAsia="宋体" w:cs="宋体"/>
                <w:b w:val="0"/>
                <w:bCs w:val="0"/>
                <w:i w:val="0"/>
                <w:strike w:val="0"/>
                <w:color w:val="auto"/>
                <w:spacing w:val="0"/>
                <w:sz w:val="21"/>
                <w:szCs w:val="21"/>
                <w:highlight w:val="none"/>
                <w:u w:val="none"/>
              </w:rPr>
              <w:t>2 GHz</w:t>
            </w:r>
            <w:r>
              <w:rPr>
                <w:rFonts w:hint="eastAsia" w:ascii="宋体" w:hAnsi="宋体" w:eastAsia="宋体" w:cs="宋体"/>
                <w:b w:val="0"/>
                <w:bCs w:val="0"/>
                <w:i w:val="0"/>
                <w:strike w:val="0"/>
                <w:color w:val="auto"/>
                <w:spacing w:val="0"/>
                <w:sz w:val="21"/>
                <w:szCs w:val="21"/>
                <w:highlight w:val="none"/>
                <w:u w:val="none"/>
                <w:lang w:eastAsia="zh-CN"/>
              </w:rPr>
              <w:t>；</w:t>
            </w:r>
            <w:r>
              <w:rPr>
                <w:rFonts w:hint="eastAsia" w:ascii="宋体" w:hAnsi="宋体" w:eastAsia="宋体" w:cs="宋体"/>
                <w:b w:val="0"/>
                <w:bCs w:val="0"/>
                <w:i w:val="0"/>
                <w:strike w:val="0"/>
                <w:color w:val="auto"/>
                <w:spacing w:val="0"/>
                <w:sz w:val="21"/>
                <w:szCs w:val="21"/>
                <w:highlight w:val="none"/>
                <w:u w:val="none"/>
              </w:rPr>
              <w:t>功耗</w:t>
            </w:r>
            <w:r>
              <w:rPr>
                <w:rFonts w:hint="eastAsia" w:ascii="宋体" w:hAnsi="宋体" w:eastAsia="宋体" w:cs="宋体"/>
                <w:b w:val="0"/>
                <w:bCs w:val="0"/>
                <w:i w:val="0"/>
                <w:strike w:val="0"/>
                <w:color w:val="auto"/>
                <w:spacing w:val="0"/>
                <w:sz w:val="21"/>
                <w:szCs w:val="21"/>
                <w:highlight w:val="none"/>
                <w:u w:val="none"/>
                <w:lang w:eastAsia="zh-CN"/>
              </w:rPr>
              <w:t>：</w:t>
            </w:r>
            <w:r>
              <w:rPr>
                <w:rFonts w:hint="eastAsia" w:ascii="宋体" w:hAnsi="宋体" w:eastAsia="宋体" w:cs="宋体"/>
                <w:b w:val="0"/>
                <w:bCs w:val="0"/>
                <w:i w:val="0"/>
                <w:strike w:val="0"/>
                <w:color w:val="auto"/>
                <w:spacing w:val="0"/>
                <w:sz w:val="21"/>
                <w:szCs w:val="21"/>
                <w:highlight w:val="none"/>
                <w:u w:val="none"/>
              </w:rPr>
              <w:t>10瓦</w:t>
            </w:r>
            <w:r>
              <w:rPr>
                <w:rFonts w:hint="eastAsia" w:ascii="宋体" w:hAnsi="宋体" w:eastAsia="宋体" w:cs="宋体"/>
                <w:b w:val="0"/>
                <w:bCs w:val="0"/>
                <w:i w:val="0"/>
                <w:strike w:val="0"/>
                <w:color w:val="auto"/>
                <w:spacing w:val="0"/>
                <w:sz w:val="21"/>
                <w:szCs w:val="21"/>
                <w:highlight w:val="none"/>
                <w:u w:val="none"/>
                <w:lang w:val="en-US" w:eastAsia="zh-CN"/>
              </w:rPr>
              <w:t>-</w:t>
            </w:r>
            <w:r>
              <w:rPr>
                <w:rFonts w:hint="eastAsia" w:ascii="宋体" w:hAnsi="宋体" w:eastAsia="宋体" w:cs="宋体"/>
                <w:b w:val="0"/>
                <w:bCs w:val="0"/>
                <w:i w:val="0"/>
                <w:strike w:val="0"/>
                <w:color w:val="auto"/>
                <w:spacing w:val="0"/>
                <w:sz w:val="21"/>
                <w:szCs w:val="21"/>
                <w:highlight w:val="none"/>
                <w:u w:val="none"/>
              </w:rPr>
              <w:t>25 瓦</w:t>
            </w:r>
            <w:r>
              <w:rPr>
                <w:rFonts w:hint="eastAsia" w:ascii="宋体" w:hAnsi="宋体" w:eastAsia="宋体" w:cs="宋体"/>
                <w:b w:val="0"/>
                <w:bCs w:val="0"/>
                <w:i w:val="0"/>
                <w:strike w:val="0"/>
                <w:color w:val="auto"/>
                <w:spacing w:val="0"/>
                <w:sz w:val="21"/>
                <w:szCs w:val="21"/>
                <w:highlight w:val="none"/>
                <w:u w:val="none"/>
                <w:lang w:eastAsia="zh-CN"/>
              </w:rPr>
              <w:t>。</w:t>
            </w:r>
          </w:p>
          <w:p w14:paraId="3A3194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6.8</w:t>
            </w:r>
            <w:r>
              <w:rPr>
                <w:rFonts w:hint="eastAsia" w:ascii="宋体" w:hAnsi="宋体" w:eastAsia="宋体" w:cs="宋体"/>
                <w:b w:val="0"/>
                <w:bCs w:val="0"/>
                <w:color w:val="auto"/>
                <w:sz w:val="21"/>
                <w:szCs w:val="21"/>
                <w:highlight w:val="none"/>
              </w:rPr>
              <w:t>穿戴方式：系统至少包括一体式胸带组合传感器、一体式手指组合传感器、一体式手腕组合传感器、一体式耳夹组合传感器四类智能组合可穿戴式传感器组成，并支持外接输入ExG传感器进行扩展。</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需提供软件截图）</w:t>
            </w:r>
          </w:p>
          <w:p w14:paraId="79640A2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生理与情绪反应智能采集与分析系统</w:t>
            </w:r>
          </w:p>
          <w:p w14:paraId="6CF246C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7.1</w:t>
            </w:r>
            <w:r>
              <w:rPr>
                <w:rFonts w:hint="eastAsia" w:ascii="宋体" w:hAnsi="宋体" w:eastAsia="宋体" w:cs="宋体"/>
                <w:b w:val="0"/>
                <w:bCs w:val="0"/>
                <w:color w:val="auto"/>
                <w:sz w:val="21"/>
                <w:szCs w:val="21"/>
                <w:highlight w:val="none"/>
              </w:rPr>
              <w:t>提供包含安卓手机与平板电脑移动端APP跨平台数据采集软件安装程序进行数据采集（提供软件截图或视频演示）</w:t>
            </w:r>
          </w:p>
          <w:p w14:paraId="17CB588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7.2</w:t>
            </w:r>
            <w:r>
              <w:rPr>
                <w:rFonts w:hint="eastAsia" w:ascii="宋体" w:hAnsi="宋体" w:eastAsia="宋体" w:cs="宋体"/>
                <w:b w:val="0"/>
                <w:bCs w:val="0"/>
                <w:color w:val="auto"/>
                <w:sz w:val="21"/>
                <w:szCs w:val="21"/>
                <w:highlight w:val="none"/>
              </w:rPr>
              <w:t>支持被试信息管理，可添加字数不限的描述和注释信息</w:t>
            </w:r>
          </w:p>
          <w:p w14:paraId="0E69EE03">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7.3</w:t>
            </w:r>
            <w:r>
              <w:rPr>
                <w:rFonts w:hint="eastAsia" w:ascii="宋体" w:hAnsi="宋体" w:eastAsia="宋体" w:cs="宋体"/>
                <w:b w:val="0"/>
                <w:bCs w:val="0"/>
                <w:color w:val="auto"/>
                <w:sz w:val="21"/>
                <w:szCs w:val="21"/>
                <w:highlight w:val="none"/>
              </w:rPr>
              <w:t>支持实时采集所有生理信号数据，无需任何线缆以及计算机。同时支持同步进行时空行走轨迹数据采集。（</w:t>
            </w:r>
            <w:r>
              <w:rPr>
                <w:rFonts w:hint="eastAsia" w:ascii="宋体" w:hAnsi="宋体" w:eastAsia="宋体" w:cs="宋体"/>
                <w:b w:val="0"/>
                <w:bCs w:val="0"/>
                <w:color w:val="auto"/>
                <w:sz w:val="21"/>
                <w:szCs w:val="21"/>
                <w:highlight w:val="none"/>
                <w:lang w:val="en-US" w:eastAsia="zh-CN"/>
              </w:rPr>
              <w:t>需提供软件截图</w:t>
            </w:r>
            <w:r>
              <w:rPr>
                <w:rFonts w:hint="eastAsia" w:ascii="宋体" w:hAnsi="宋体" w:eastAsia="宋体" w:cs="宋体"/>
                <w:b w:val="0"/>
                <w:bCs w:val="0"/>
                <w:color w:val="auto"/>
                <w:sz w:val="21"/>
                <w:szCs w:val="21"/>
                <w:highlight w:val="none"/>
              </w:rPr>
              <w:t>）</w:t>
            </w:r>
          </w:p>
          <w:p w14:paraId="5DB1FC2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7.4</w:t>
            </w:r>
            <w:r>
              <w:rPr>
                <w:rFonts w:hint="eastAsia" w:ascii="宋体" w:hAnsi="宋体" w:eastAsia="宋体" w:cs="宋体"/>
                <w:b w:val="0"/>
                <w:bCs w:val="0"/>
                <w:color w:val="auto"/>
                <w:sz w:val="21"/>
                <w:szCs w:val="21"/>
                <w:highlight w:val="none"/>
              </w:rPr>
              <w:t>系统将数据存储到手机文件系统内，支持导入人机环境同步平台中，进行生理数据分析以及时空行为分析，同时支持与其他数据进行同步分析与综合统计。（需提供软件截图）</w:t>
            </w:r>
          </w:p>
          <w:p w14:paraId="48223ED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7.5</w:t>
            </w:r>
            <w:r>
              <w:rPr>
                <w:rFonts w:hint="eastAsia" w:ascii="宋体" w:hAnsi="宋体" w:eastAsia="宋体" w:cs="宋体"/>
                <w:b w:val="0"/>
                <w:bCs w:val="0"/>
                <w:color w:val="auto"/>
                <w:sz w:val="21"/>
                <w:szCs w:val="21"/>
                <w:highlight w:val="none"/>
              </w:rPr>
              <w:t>配套生理数据采集软件支持实时在Windows8 Pro平板电脑或其他Win7/8计算机上实时查看生理指标并对实验进行实时控制。</w:t>
            </w:r>
          </w:p>
          <w:p w14:paraId="0A7AA0B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（1）HRV心率变异性分析模块</w:t>
            </w:r>
          </w:p>
          <w:p w14:paraId="4884D0A1">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1）HRV信号处理，支持提前自定义配置处理参数或使用系统默认参数进行多被试数据的批处理功能</w:t>
            </w:r>
          </w:p>
          <w:p w14:paraId="48A6A06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2）HRV信号滤波，参数含小波降噪（高、中、低）、高通滤波、低通滤波、带阻滤波、幅值规整方法</w:t>
            </w:r>
          </w:p>
          <w:p w14:paraId="415B55D1">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3）IBI点检测：支持输入最大心率、心率阈值、异常点检测（Percent方法、MAD方法）、异常值校正（Mean方法、MAD方法），支持自定义参数或保存默认参数</w:t>
            </w:r>
          </w:p>
          <w:p w14:paraId="428E1359">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4）支持手动信号校正：含插值方法、插值方法与复制</w:t>
            </w:r>
          </w:p>
          <w:p w14:paraId="2C2DD076">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5）庞加莱散点图分析，统计指标含：庞加莱截面心动间隔的垂直偏差、心动间隔的水平偏差、可视化散点图</w:t>
            </w:r>
          </w:p>
          <w:p w14:paraId="7D6D949C">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6）差值散点图，统计指标含差值散点图第一象限中点的个数（A++）、第三象限中点的个数（B--）、可视化差值散点图</w:t>
            </w:r>
          </w:p>
          <w:p w14:paraId="419A111C">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7）可视化Chart与导出数据，支持导出数据含原始数据、处理数据、分析数据、整体数据报告、降采样数据、相对时间数据、绝对时间数据等，格式为.excel和csv</w:t>
            </w:r>
          </w:p>
          <w:p w14:paraId="4636288D">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（2）EDA皮电反应分析模块：处理方法包括滑动滤波等；分析包括时域分析和事件相关的SCR分析</w:t>
            </w:r>
          </w:p>
          <w:p w14:paraId="0C70377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1）EDA信号处理，支持提前自定义配置处理参数或使用系统默认参数进行多被试数据的批处理功能</w:t>
            </w:r>
          </w:p>
          <w:p w14:paraId="68F5CD68">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2）EDA信号滤波，参数包含高斯滤波、滑动均值滤波、滑动中值滤波、滑动均方根、Hann滤波、包络线滤波</w:t>
            </w:r>
          </w:p>
          <w:p w14:paraId="291389E1">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3）SCR皮肤电导反应，参数可定义峰值检测灵敏度、最大上升时间、最大半衰期和最小SCR幅值</w:t>
            </w:r>
          </w:p>
          <w:p w14:paraId="7E1DFFB1">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4）ER事件相关分析，参数包含事件相关激活（可设置相对于事件的时间窗口）和事件类型</w:t>
            </w:r>
          </w:p>
          <w:p w14:paraId="4A669BD1">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5）支持手动信号校正：含插值方法、插值方法与复制</w:t>
            </w:r>
          </w:p>
          <w:p w14:paraId="2EACE79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6）波形信号可以自由选择、放大、缩小，便于浏览；在整体呈现数据的基础上，还可以根据片段、事件和场景三种分割方式进行数据呈现与分析</w:t>
            </w:r>
          </w:p>
          <w:p w14:paraId="62B2E8E7">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7）时域分析（Time Domain），包含SC、Tonic和Phasic的均值、中值、标准差、最大值、最小值、方差和极距等统计指标</w:t>
            </w:r>
          </w:p>
          <w:p w14:paraId="44E010F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8）SCR自动识别功能，统计SCR开始时间、峰值时间、达峰时间、幅值、半衰期指标，可以单独查看每个SCR的波形片段，便于特殊信号的检查与确定</w:t>
            </w:r>
          </w:p>
          <w:p w14:paraId="5FA6FAE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（3）RESP呼吸分析模块</w:t>
            </w:r>
          </w:p>
          <w:p w14:paraId="2EE865FD">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处理方法包括数字滤波和信号转换；分析模块包括时域分析和频域分析</w:t>
            </w:r>
            <w:r>
              <w:rPr>
                <w:rFonts w:hint="eastAsia" w:ascii="宋体" w:hAnsi="宋体" w:cs="宋体"/>
                <w:b w:val="0"/>
                <w:bCs w:val="0"/>
                <w:color w:val="auto"/>
                <w:sz w:val="21"/>
                <w:szCs w:val="21"/>
                <w:highlight w:val="none"/>
                <w:lang w:eastAsia="zh-CN"/>
              </w:rPr>
              <w:t>。</w:t>
            </w:r>
          </w:p>
          <w:p w14:paraId="62D60CB4">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1）RESP信号处理，支持提前自定义配置处理参数或使用系统默认参数进行多被试数据的批处理功能</w:t>
            </w:r>
            <w:r>
              <w:rPr>
                <w:rFonts w:hint="eastAsia" w:ascii="宋体" w:hAnsi="宋体" w:cs="宋体"/>
                <w:b w:val="0"/>
                <w:bCs w:val="0"/>
                <w:color w:val="auto"/>
                <w:sz w:val="21"/>
                <w:szCs w:val="21"/>
                <w:highlight w:val="none"/>
                <w:lang w:eastAsia="zh-CN"/>
              </w:rPr>
              <w:t>。</w:t>
            </w:r>
          </w:p>
          <w:p w14:paraId="67F84568">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2）RESP信号滤波，参数包含小波去噪、低通滤波、带阻滤波和基线</w:t>
            </w:r>
            <w:r>
              <w:rPr>
                <w:rFonts w:hint="eastAsia" w:ascii="宋体" w:hAnsi="宋体" w:cs="宋体"/>
                <w:b w:val="0"/>
                <w:bCs w:val="0"/>
                <w:color w:val="auto"/>
                <w:sz w:val="21"/>
                <w:szCs w:val="21"/>
                <w:highlight w:val="none"/>
                <w:lang w:eastAsia="zh-CN"/>
              </w:rPr>
              <w:t>。</w:t>
            </w:r>
          </w:p>
          <w:p w14:paraId="73B62AE2">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3）心动间隔包括R峰值提取和整流2种方法，R峰值提取需要输入最大呼吸速率值和R波幅度阈值2个参数，整流包括滑动均值滤波和滑动均方根滤波2种方式，可自定义取样窗口大小</w:t>
            </w:r>
            <w:r>
              <w:rPr>
                <w:rFonts w:hint="eastAsia" w:ascii="宋体" w:hAnsi="宋体" w:cs="宋体"/>
                <w:b w:val="0"/>
                <w:bCs w:val="0"/>
                <w:color w:val="auto"/>
                <w:sz w:val="21"/>
                <w:szCs w:val="21"/>
                <w:highlight w:val="none"/>
                <w:lang w:eastAsia="zh-CN"/>
              </w:rPr>
              <w:t>。</w:t>
            </w:r>
          </w:p>
          <w:p w14:paraId="46B96403">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4）支持手动信号校正：含插值方法、插值方法与复制</w:t>
            </w:r>
            <w:r>
              <w:rPr>
                <w:rFonts w:hint="eastAsia" w:ascii="宋体" w:hAnsi="宋体" w:cs="宋体"/>
                <w:b w:val="0"/>
                <w:bCs w:val="0"/>
                <w:color w:val="auto"/>
                <w:sz w:val="21"/>
                <w:szCs w:val="21"/>
                <w:highlight w:val="none"/>
                <w:lang w:eastAsia="zh-CN"/>
              </w:rPr>
              <w:t>。</w:t>
            </w:r>
          </w:p>
          <w:p w14:paraId="05E394B4">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5）波形信号可以自由选择、放大、缩小，便于浏览；在整体呈现数据的基础上，还可以根据片段、事件、场景三种分割方式进行数据呈现与分析</w:t>
            </w:r>
            <w:r>
              <w:rPr>
                <w:rFonts w:hint="eastAsia" w:ascii="宋体" w:hAnsi="宋体" w:cs="宋体"/>
                <w:b w:val="0"/>
                <w:bCs w:val="0"/>
                <w:color w:val="auto"/>
                <w:sz w:val="21"/>
                <w:szCs w:val="21"/>
                <w:highlight w:val="none"/>
                <w:lang w:eastAsia="zh-CN"/>
              </w:rPr>
              <w:t>。</w:t>
            </w:r>
          </w:p>
          <w:p w14:paraId="7BBAD68A">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6）时域分析包含平均呼吸、标准差、最大值、最小值、区间等统计指标</w:t>
            </w:r>
            <w:r>
              <w:rPr>
                <w:rFonts w:hint="eastAsia" w:ascii="宋体" w:hAnsi="宋体" w:cs="宋体"/>
                <w:b w:val="0"/>
                <w:bCs w:val="0"/>
                <w:color w:val="auto"/>
                <w:sz w:val="21"/>
                <w:szCs w:val="21"/>
                <w:highlight w:val="none"/>
                <w:lang w:eastAsia="zh-CN"/>
              </w:rPr>
              <w:t>。</w:t>
            </w:r>
          </w:p>
          <w:p w14:paraId="7DD3E75F">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7）频域分析包含功率和峰值2个统计指标并导出功率谱密度图</w:t>
            </w:r>
            <w:r>
              <w:rPr>
                <w:rFonts w:hint="eastAsia" w:ascii="宋体" w:hAnsi="宋体" w:cs="宋体"/>
                <w:b w:val="0"/>
                <w:bCs w:val="0"/>
                <w:color w:val="auto"/>
                <w:sz w:val="21"/>
                <w:szCs w:val="21"/>
                <w:highlight w:val="none"/>
                <w:lang w:eastAsia="zh-CN"/>
              </w:rPr>
              <w:t>。</w:t>
            </w:r>
          </w:p>
          <w:p w14:paraId="3B8D0D4D">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8）可视化Chart与导出数据，支持导出数据含：原始数据、处理数据、分析数据、整体数据报告、降采样数据、相对时间数据、绝对时间数据等</w:t>
            </w:r>
            <w:r>
              <w:rPr>
                <w:rFonts w:hint="eastAsia" w:ascii="宋体" w:hAnsi="宋体" w:cs="宋体"/>
                <w:b w:val="0"/>
                <w:bCs w:val="0"/>
                <w:color w:val="auto"/>
                <w:sz w:val="21"/>
                <w:szCs w:val="21"/>
                <w:highlight w:val="none"/>
                <w:lang w:eastAsia="zh-CN"/>
              </w:rPr>
              <w:t>。</w:t>
            </w:r>
          </w:p>
          <w:p w14:paraId="1C6CCD82">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（4）General基础生理分析模块</w:t>
            </w:r>
          </w:p>
          <w:p w14:paraId="5A070B20">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1）其他信号如生物力学信号、环境信号、其他生理信号、眼电信号等可在一般性分析模块中进行处理与分析</w:t>
            </w:r>
            <w:r>
              <w:rPr>
                <w:rFonts w:hint="eastAsia" w:ascii="宋体" w:hAnsi="宋体" w:cs="宋体"/>
                <w:b w:val="0"/>
                <w:bCs w:val="0"/>
                <w:color w:val="auto"/>
                <w:sz w:val="21"/>
                <w:szCs w:val="21"/>
                <w:highlight w:val="none"/>
                <w:lang w:eastAsia="zh-CN"/>
              </w:rPr>
              <w:t>。</w:t>
            </w:r>
          </w:p>
          <w:p w14:paraId="376AE042">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2）支持提前自定义配置处理参数或使用系统默认参数进行多被试数据的批处理功能</w:t>
            </w:r>
            <w:r>
              <w:rPr>
                <w:rFonts w:hint="eastAsia" w:ascii="宋体" w:hAnsi="宋体" w:cs="宋体"/>
                <w:b w:val="0"/>
                <w:bCs w:val="0"/>
                <w:color w:val="auto"/>
                <w:sz w:val="21"/>
                <w:szCs w:val="21"/>
                <w:highlight w:val="none"/>
                <w:lang w:eastAsia="zh-CN"/>
              </w:rPr>
              <w:t>。</w:t>
            </w:r>
          </w:p>
          <w:p w14:paraId="71FF48B3">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3）数据信号滤波，包括高通滤波、支持低通滤波、支持带阻滤波（Band Stop）</w:t>
            </w:r>
            <w:r>
              <w:rPr>
                <w:rFonts w:hint="eastAsia" w:ascii="宋体" w:hAnsi="宋体" w:cs="宋体"/>
                <w:b w:val="0"/>
                <w:bCs w:val="0"/>
                <w:color w:val="auto"/>
                <w:sz w:val="21"/>
                <w:szCs w:val="21"/>
                <w:highlight w:val="none"/>
                <w:lang w:eastAsia="zh-CN"/>
              </w:rPr>
              <w:t>。</w:t>
            </w:r>
          </w:p>
          <w:p w14:paraId="6E8F0702">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4）数据平滑方式包括滑动均值滤波、高斯滤波和Hann滤波，可自定义窗口大小</w:t>
            </w:r>
            <w:r>
              <w:rPr>
                <w:rFonts w:hint="eastAsia" w:ascii="宋体" w:hAnsi="宋体" w:cs="宋体"/>
                <w:b w:val="0"/>
                <w:bCs w:val="0"/>
                <w:color w:val="auto"/>
                <w:sz w:val="21"/>
                <w:szCs w:val="21"/>
                <w:highlight w:val="none"/>
                <w:lang w:eastAsia="zh-CN"/>
              </w:rPr>
              <w:t>。</w:t>
            </w:r>
          </w:p>
          <w:p w14:paraId="37C0E1CA">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5）数据缩放包括线性变换、指数变换、绝对变换，可自定义缩放值和偏差值</w:t>
            </w:r>
            <w:r>
              <w:rPr>
                <w:rFonts w:hint="eastAsia" w:ascii="宋体" w:hAnsi="宋体" w:cs="宋体"/>
                <w:b w:val="0"/>
                <w:bCs w:val="0"/>
                <w:color w:val="auto"/>
                <w:sz w:val="21"/>
                <w:szCs w:val="21"/>
                <w:highlight w:val="none"/>
                <w:lang w:eastAsia="zh-CN"/>
              </w:rPr>
              <w:t>。</w:t>
            </w:r>
          </w:p>
          <w:p w14:paraId="0AE9D2EF">
            <w:pP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支持数据降采样功能，支持自定义设置</w:t>
            </w:r>
            <w:r>
              <w:rPr>
                <w:rFonts w:hint="eastAsia" w:ascii="宋体" w:hAnsi="宋体" w:cs="宋体"/>
                <w:b w:val="0"/>
                <w:bCs w:val="0"/>
                <w:color w:val="auto"/>
                <w:sz w:val="21"/>
                <w:szCs w:val="21"/>
                <w:highlight w:val="none"/>
                <w:lang w:eastAsia="zh-CN"/>
              </w:rPr>
              <w:t>。</w:t>
            </w:r>
          </w:p>
          <w:p w14:paraId="18113A41">
            <w:pP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7</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支持手动信号校正</w:t>
            </w:r>
            <w:r>
              <w:rPr>
                <w:rFonts w:hint="eastAsia" w:ascii="宋体" w:hAnsi="宋体" w:cs="宋体"/>
                <w:b w:val="0"/>
                <w:bCs w:val="0"/>
                <w:color w:val="auto"/>
                <w:sz w:val="21"/>
                <w:szCs w:val="21"/>
                <w:highlight w:val="none"/>
                <w:lang w:eastAsia="zh-CN"/>
              </w:rPr>
              <w:t>。</w:t>
            </w:r>
          </w:p>
          <w:p w14:paraId="036D6E40">
            <w:pP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时域分析：统计分析指标包括：包括最大值、最小值、均值、标准差、方差</w:t>
            </w:r>
            <w:r>
              <w:rPr>
                <w:rFonts w:hint="eastAsia" w:ascii="宋体" w:hAnsi="宋体" w:cs="宋体"/>
                <w:b w:val="0"/>
                <w:bCs w:val="0"/>
                <w:color w:val="auto"/>
                <w:sz w:val="21"/>
                <w:szCs w:val="21"/>
                <w:highlight w:val="none"/>
                <w:lang w:eastAsia="zh-CN"/>
              </w:rPr>
              <w:t>。</w:t>
            </w:r>
          </w:p>
          <w:p w14:paraId="0C7AC34C">
            <w:pP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9）频域分析，包括中值频率与均值频率，以及PSD频谱</w:t>
            </w:r>
            <w:r>
              <w:rPr>
                <w:rFonts w:hint="eastAsia" w:ascii="宋体" w:hAnsi="宋体" w:cs="宋体"/>
                <w:b w:val="0"/>
                <w:bCs w:val="0"/>
                <w:color w:val="auto"/>
                <w:sz w:val="21"/>
                <w:szCs w:val="21"/>
                <w:highlight w:val="none"/>
                <w:lang w:eastAsia="zh-CN"/>
              </w:rPr>
              <w:t>。</w:t>
            </w:r>
          </w:p>
          <w:p w14:paraId="262C0910">
            <w:pPr>
              <w:rPr>
                <w:rFonts w:hint="eastAsia" w:ascii="宋体" w:hAnsi="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rPr>
              <w:t>10）可视化Chart与导出数据模块：包括原始数据、处理数据、PSD数据、降采样数据等</w:t>
            </w:r>
            <w:r>
              <w:rPr>
                <w:rFonts w:hint="eastAsia" w:ascii="宋体" w:hAnsi="宋体" w:cs="宋体"/>
                <w:b w:val="0"/>
                <w:bCs w:val="0"/>
                <w:color w:val="auto"/>
                <w:sz w:val="21"/>
                <w:szCs w:val="21"/>
                <w:highlight w:val="none"/>
                <w:lang w:eastAsia="zh-CN"/>
              </w:rPr>
              <w:t>。</w:t>
            </w:r>
          </w:p>
          <w:p w14:paraId="11D81BE8">
            <w:pPr>
              <w:rPr>
                <w:rFonts w:hint="eastAsia" w:ascii="宋体" w:hAnsi="宋体" w:cs="宋体"/>
                <w:b/>
                <w:bCs/>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cs="宋体"/>
                <w:b/>
                <w:bCs/>
                <w:sz w:val="21"/>
                <w:szCs w:val="21"/>
                <w:highlight w:val="none"/>
                <w:lang w:val="en-US" w:eastAsia="zh-CN"/>
              </w:rPr>
              <w:t>配置要求：</w:t>
            </w:r>
          </w:p>
          <w:p w14:paraId="37DB689B">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8.1</w:t>
            </w:r>
            <w:r>
              <w:rPr>
                <w:rFonts w:hint="default" w:ascii="宋体" w:hAnsi="宋体" w:cs="宋体"/>
                <w:b w:val="0"/>
                <w:bCs w:val="0"/>
                <w:sz w:val="21"/>
                <w:szCs w:val="21"/>
                <w:highlight w:val="none"/>
                <w:lang w:val="en-US" w:eastAsia="zh-CN"/>
              </w:rPr>
              <w:t>智能穿戴胸带传感器</w:t>
            </w:r>
            <w:r>
              <w:rPr>
                <w:rFonts w:hint="eastAsia" w:ascii="宋体" w:hAnsi="宋体" w:cs="宋体"/>
                <w:b w:val="0"/>
                <w:bCs w:val="0"/>
                <w:sz w:val="21"/>
                <w:szCs w:val="21"/>
                <w:highlight w:val="none"/>
                <w:lang w:val="en-US" w:eastAsia="zh-CN"/>
              </w:rPr>
              <w:t>1个</w:t>
            </w:r>
          </w:p>
          <w:p w14:paraId="06E8671D">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8.2</w:t>
            </w:r>
            <w:r>
              <w:rPr>
                <w:rFonts w:hint="default" w:ascii="宋体" w:hAnsi="宋体" w:cs="宋体"/>
                <w:b w:val="0"/>
                <w:bCs w:val="0"/>
                <w:sz w:val="21"/>
                <w:szCs w:val="21"/>
                <w:highlight w:val="none"/>
                <w:lang w:val="en-US" w:eastAsia="zh-CN"/>
              </w:rPr>
              <w:t>智能穿戴手指传感器</w:t>
            </w:r>
            <w:r>
              <w:rPr>
                <w:rFonts w:hint="eastAsia" w:ascii="宋体" w:hAnsi="宋体" w:cs="宋体"/>
                <w:b w:val="0"/>
                <w:bCs w:val="0"/>
                <w:sz w:val="21"/>
                <w:szCs w:val="21"/>
                <w:highlight w:val="none"/>
                <w:lang w:val="en-US" w:eastAsia="zh-CN"/>
              </w:rPr>
              <w:t>1个</w:t>
            </w:r>
          </w:p>
          <w:p w14:paraId="144FE019">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8.3</w:t>
            </w:r>
            <w:r>
              <w:rPr>
                <w:rFonts w:hint="default" w:ascii="宋体" w:hAnsi="宋体" w:cs="宋体"/>
                <w:b w:val="0"/>
                <w:bCs w:val="0"/>
                <w:sz w:val="21"/>
                <w:szCs w:val="21"/>
                <w:highlight w:val="none"/>
                <w:lang w:val="en-US" w:eastAsia="zh-CN"/>
              </w:rPr>
              <w:t>智能穿戴手腕传感器</w:t>
            </w:r>
            <w:r>
              <w:rPr>
                <w:rFonts w:hint="eastAsia" w:ascii="宋体" w:hAnsi="宋体" w:cs="宋体"/>
                <w:b w:val="0"/>
                <w:bCs w:val="0"/>
                <w:sz w:val="21"/>
                <w:szCs w:val="21"/>
                <w:highlight w:val="none"/>
                <w:lang w:val="en-US" w:eastAsia="zh-CN"/>
              </w:rPr>
              <w:t>1个</w:t>
            </w:r>
          </w:p>
          <w:p w14:paraId="01A7D964">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8.4</w:t>
            </w:r>
            <w:r>
              <w:rPr>
                <w:rFonts w:hint="default" w:ascii="宋体" w:hAnsi="宋体" w:cs="宋体"/>
                <w:b w:val="0"/>
                <w:bCs w:val="0"/>
                <w:sz w:val="21"/>
                <w:szCs w:val="21"/>
                <w:highlight w:val="none"/>
                <w:lang w:val="en-US" w:eastAsia="zh-CN"/>
              </w:rPr>
              <w:t>智能穿戴耳夹传感器</w:t>
            </w:r>
            <w:r>
              <w:rPr>
                <w:rFonts w:hint="eastAsia" w:ascii="宋体" w:hAnsi="宋体" w:cs="宋体"/>
                <w:b w:val="0"/>
                <w:bCs w:val="0"/>
                <w:sz w:val="21"/>
                <w:szCs w:val="21"/>
                <w:highlight w:val="none"/>
                <w:lang w:val="en-US" w:eastAsia="zh-CN"/>
              </w:rPr>
              <w:t>1个</w:t>
            </w:r>
          </w:p>
          <w:p w14:paraId="1450B64B">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8.5</w:t>
            </w:r>
            <w:r>
              <w:rPr>
                <w:rFonts w:hint="default" w:ascii="宋体" w:hAnsi="宋体" w:cs="宋体"/>
                <w:b w:val="0"/>
                <w:bCs w:val="0"/>
                <w:sz w:val="21"/>
                <w:szCs w:val="21"/>
                <w:highlight w:val="none"/>
                <w:lang w:val="en-US" w:eastAsia="zh-CN"/>
              </w:rPr>
              <w:t>表面肌电测试系统硬件</w:t>
            </w:r>
            <w:r>
              <w:rPr>
                <w:rFonts w:hint="eastAsia" w:ascii="宋体" w:hAnsi="宋体" w:cs="宋体"/>
                <w:b w:val="0"/>
                <w:bCs w:val="0"/>
                <w:sz w:val="21"/>
                <w:szCs w:val="21"/>
                <w:highlight w:val="none"/>
                <w:lang w:val="en-US" w:eastAsia="zh-CN"/>
              </w:rPr>
              <w:t>1个</w:t>
            </w:r>
          </w:p>
          <w:p w14:paraId="7B1EFCDB">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8.6</w:t>
            </w:r>
            <w:r>
              <w:rPr>
                <w:rFonts w:hint="default" w:ascii="宋体" w:hAnsi="宋体" w:cs="宋体"/>
                <w:b w:val="0"/>
                <w:bCs w:val="0"/>
                <w:sz w:val="21"/>
                <w:szCs w:val="21"/>
                <w:highlight w:val="none"/>
                <w:lang w:val="en-US" w:eastAsia="zh-CN"/>
              </w:rPr>
              <w:t>外接线EXG</w:t>
            </w:r>
            <w:r>
              <w:rPr>
                <w:rFonts w:hint="eastAsia" w:ascii="宋体" w:hAnsi="宋体" w:cs="宋体"/>
                <w:b w:val="0"/>
                <w:bCs w:val="0"/>
                <w:sz w:val="21"/>
                <w:szCs w:val="21"/>
                <w:highlight w:val="none"/>
                <w:lang w:val="en-US" w:eastAsia="zh-CN"/>
              </w:rPr>
              <w:t>1个</w:t>
            </w:r>
          </w:p>
          <w:p w14:paraId="25D1A0BF">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8.7</w:t>
            </w:r>
            <w:r>
              <w:rPr>
                <w:rFonts w:hint="default" w:ascii="宋体" w:hAnsi="宋体" w:cs="宋体"/>
                <w:b w:val="0"/>
                <w:bCs w:val="0"/>
                <w:sz w:val="21"/>
                <w:szCs w:val="21"/>
                <w:highlight w:val="none"/>
                <w:lang w:val="en-US" w:eastAsia="zh-CN"/>
              </w:rPr>
              <w:t>外接线EDA</w:t>
            </w:r>
            <w:r>
              <w:rPr>
                <w:rFonts w:hint="eastAsia" w:ascii="宋体" w:hAnsi="宋体" w:cs="宋体"/>
                <w:b w:val="0"/>
                <w:bCs w:val="0"/>
                <w:sz w:val="21"/>
                <w:szCs w:val="21"/>
                <w:highlight w:val="none"/>
                <w:lang w:val="en-US" w:eastAsia="zh-CN"/>
              </w:rPr>
              <w:t>2个</w:t>
            </w:r>
          </w:p>
          <w:p w14:paraId="39FE7A98">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8.8</w:t>
            </w:r>
            <w:r>
              <w:rPr>
                <w:rFonts w:hint="default" w:ascii="宋体" w:hAnsi="宋体" w:cs="宋体"/>
                <w:b w:val="0"/>
                <w:bCs w:val="0"/>
                <w:sz w:val="21"/>
                <w:szCs w:val="21"/>
                <w:highlight w:val="none"/>
                <w:lang w:val="en-US" w:eastAsia="zh-CN"/>
              </w:rPr>
              <w:t>外接线SKT</w:t>
            </w:r>
            <w:r>
              <w:rPr>
                <w:rFonts w:hint="eastAsia" w:ascii="宋体" w:hAnsi="宋体" w:cs="宋体"/>
                <w:b w:val="0"/>
                <w:bCs w:val="0"/>
                <w:sz w:val="21"/>
                <w:szCs w:val="21"/>
                <w:highlight w:val="none"/>
                <w:lang w:val="en-US" w:eastAsia="zh-CN"/>
              </w:rPr>
              <w:t>1个</w:t>
            </w:r>
          </w:p>
          <w:p w14:paraId="535F946F">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8.9</w:t>
            </w:r>
            <w:r>
              <w:rPr>
                <w:rFonts w:hint="default" w:ascii="宋体" w:hAnsi="宋体" w:cs="宋体"/>
                <w:b w:val="0"/>
                <w:bCs w:val="0"/>
                <w:sz w:val="21"/>
                <w:szCs w:val="21"/>
                <w:highlight w:val="none"/>
                <w:lang w:val="en-US" w:eastAsia="zh-CN"/>
              </w:rPr>
              <w:t>充电适配器</w:t>
            </w:r>
            <w:r>
              <w:rPr>
                <w:rFonts w:hint="eastAsia" w:ascii="宋体" w:hAnsi="宋体" w:cs="宋体"/>
                <w:b w:val="0"/>
                <w:bCs w:val="0"/>
                <w:sz w:val="21"/>
                <w:szCs w:val="21"/>
                <w:highlight w:val="none"/>
                <w:lang w:val="en-US" w:eastAsia="zh-CN"/>
              </w:rPr>
              <w:t>2个</w:t>
            </w:r>
          </w:p>
          <w:p w14:paraId="779BF31C">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8.10</w:t>
            </w:r>
            <w:r>
              <w:rPr>
                <w:rFonts w:hint="default" w:ascii="宋体" w:hAnsi="宋体" w:cs="宋体"/>
                <w:b w:val="0"/>
                <w:bCs w:val="0"/>
                <w:sz w:val="21"/>
                <w:szCs w:val="21"/>
                <w:highlight w:val="none"/>
                <w:lang w:val="en-US" w:eastAsia="zh-CN"/>
              </w:rPr>
              <w:t>接收端</w:t>
            </w:r>
            <w:r>
              <w:rPr>
                <w:rFonts w:hint="eastAsia" w:ascii="宋体" w:hAnsi="宋体" w:cs="宋体"/>
                <w:b w:val="0"/>
                <w:bCs w:val="0"/>
                <w:sz w:val="21"/>
                <w:szCs w:val="21"/>
                <w:highlight w:val="none"/>
                <w:lang w:val="en-US" w:eastAsia="zh-CN"/>
              </w:rPr>
              <w:t>1个</w:t>
            </w:r>
          </w:p>
          <w:p w14:paraId="0C13CDFB">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8.11</w:t>
            </w:r>
            <w:r>
              <w:rPr>
                <w:rFonts w:hint="default" w:ascii="宋体" w:hAnsi="宋体" w:cs="宋体"/>
                <w:b w:val="0"/>
                <w:bCs w:val="0"/>
                <w:sz w:val="21"/>
                <w:szCs w:val="21"/>
                <w:highlight w:val="none"/>
                <w:lang w:val="en-US" w:eastAsia="zh-CN"/>
              </w:rPr>
              <w:t>软件U盘</w:t>
            </w:r>
            <w:r>
              <w:rPr>
                <w:rFonts w:hint="eastAsia" w:ascii="宋体" w:hAnsi="宋体" w:cs="宋体"/>
                <w:b w:val="0"/>
                <w:bCs w:val="0"/>
                <w:sz w:val="21"/>
                <w:szCs w:val="21"/>
                <w:highlight w:val="none"/>
                <w:lang w:val="en-US" w:eastAsia="zh-CN"/>
              </w:rPr>
              <w:t>1个</w:t>
            </w:r>
          </w:p>
          <w:p w14:paraId="7FE6E025">
            <w:pP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8.12</w:t>
            </w:r>
            <w:r>
              <w:rPr>
                <w:rFonts w:hint="default" w:ascii="宋体" w:hAnsi="宋体" w:cs="宋体"/>
                <w:b w:val="0"/>
                <w:bCs w:val="0"/>
                <w:sz w:val="21"/>
                <w:szCs w:val="21"/>
                <w:highlight w:val="none"/>
                <w:lang w:val="en-US" w:eastAsia="zh-CN"/>
              </w:rPr>
              <w:t>软件加密狗</w:t>
            </w:r>
            <w:r>
              <w:rPr>
                <w:rFonts w:hint="eastAsia" w:ascii="宋体" w:hAnsi="宋体" w:cs="宋体"/>
                <w:b w:val="0"/>
                <w:bCs w:val="0"/>
                <w:sz w:val="21"/>
                <w:szCs w:val="21"/>
                <w:highlight w:val="none"/>
                <w:lang w:val="en-US" w:eastAsia="zh-CN"/>
              </w:rPr>
              <w:t>1个</w:t>
            </w:r>
          </w:p>
          <w:p w14:paraId="15C91D97">
            <w:pP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8.13</w:t>
            </w:r>
            <w:r>
              <w:rPr>
                <w:rFonts w:hint="default" w:ascii="宋体" w:hAnsi="宋体" w:eastAsia="宋体" w:cs="宋体"/>
                <w:b w:val="0"/>
                <w:bCs w:val="0"/>
                <w:sz w:val="21"/>
                <w:szCs w:val="21"/>
                <w:highlight w:val="none"/>
                <w:lang w:val="en-US" w:eastAsia="zh-CN"/>
              </w:rPr>
              <w:t>配套笔记本电脑</w:t>
            </w:r>
            <w:r>
              <w:rPr>
                <w:rFonts w:hint="eastAsia" w:ascii="宋体" w:hAnsi="宋体" w:eastAsia="宋体" w:cs="宋体"/>
                <w:b w:val="0"/>
                <w:bCs w:val="0"/>
                <w:sz w:val="21"/>
                <w:szCs w:val="21"/>
                <w:highlight w:val="none"/>
                <w:lang w:val="en-US" w:eastAsia="zh-CN"/>
              </w:rPr>
              <w:t>1个</w:t>
            </w:r>
          </w:p>
          <w:p w14:paraId="6695DB8F">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8.14设备使用指导手册</w:t>
            </w:r>
          </w:p>
          <w:p w14:paraId="1CC983B8">
            <w:pPr>
              <w:rPr>
                <w:rFonts w:hint="default" w:ascii="宋体" w:hAnsi="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8.15设备功能介绍展示板</w:t>
            </w:r>
          </w:p>
        </w:tc>
        <w:tc>
          <w:tcPr>
            <w:tcW w:w="348" w:type="pct"/>
            <w:noWrap w:val="0"/>
            <w:vAlign w:val="center"/>
          </w:tcPr>
          <w:p w14:paraId="76467B8A">
            <w:pPr>
              <w:widowControl w:val="0"/>
              <w:jc w:val="center"/>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2</w:t>
            </w:r>
          </w:p>
        </w:tc>
        <w:tc>
          <w:tcPr>
            <w:tcW w:w="349" w:type="pct"/>
            <w:noWrap w:val="0"/>
            <w:vAlign w:val="center"/>
          </w:tcPr>
          <w:p w14:paraId="7AA725FC">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套</w:t>
            </w:r>
          </w:p>
        </w:tc>
      </w:tr>
      <w:tr w14:paraId="3AF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9" w:hRule="atLeast"/>
          <w:jc w:val="center"/>
        </w:trPr>
        <w:tc>
          <w:tcPr>
            <w:tcW w:w="463" w:type="pct"/>
            <w:noWrap w:val="0"/>
            <w:vAlign w:val="center"/>
          </w:tcPr>
          <w:p w14:paraId="341F4B91">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626" w:type="pct"/>
            <w:noWrap w:val="0"/>
            <w:vAlign w:val="center"/>
          </w:tcPr>
          <w:p w14:paraId="6D65178A">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便携式行为观察记录系统</w:t>
            </w:r>
          </w:p>
        </w:tc>
        <w:tc>
          <w:tcPr>
            <w:tcW w:w="3211" w:type="pct"/>
            <w:noWrap w:val="0"/>
            <w:vAlign w:val="center"/>
          </w:tcPr>
          <w:p w14:paraId="73B0913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行为音视频采集部分</w:t>
            </w:r>
          </w:p>
          <w:p w14:paraId="7B091064">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行为采集传感器: 800W像素CMOS传感器</w:t>
            </w:r>
          </w:p>
          <w:p w14:paraId="5327931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行为采集分辨率:1080P  1920 X 1080</w:t>
            </w:r>
          </w:p>
          <w:p w14:paraId="55F7391C">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3行为采集采样率：支持60/50/30/25fps</w:t>
            </w:r>
          </w:p>
          <w:p w14:paraId="4AF90E4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4行为采集水平视角:最大88°</w:t>
            </w:r>
          </w:p>
          <w:p w14:paraId="07116E7D">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5声音采集指向性：360°全指向</w:t>
            </w:r>
          </w:p>
          <w:p w14:paraId="25B097D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6声音采集信噪比：90dB</w:t>
            </w:r>
          </w:p>
          <w:p w14:paraId="49E0D02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7声音采集灵敏度：-38±3dB </w:t>
            </w:r>
          </w:p>
          <w:p w14:paraId="643EA76D">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8旋转角度：水平360°，垂直180°</w:t>
            </w:r>
          </w:p>
          <w:p w14:paraId="19A9FC8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rPr>
              <w:t xml:space="preserve">数据输出：HDMI接口 </w:t>
            </w:r>
          </w:p>
          <w:p w14:paraId="0DA08E0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10系统供电容量：10000mAh/3.7V</w:t>
            </w:r>
          </w:p>
          <w:p w14:paraId="21D3DF6C">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11采集范围高度: 200mm~1200mm</w:t>
            </w:r>
          </w:p>
          <w:p w14:paraId="778EDE0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时空行为采集模块</w:t>
            </w:r>
          </w:p>
          <w:p w14:paraId="21F60FB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接受频段：GPS/ QZSS: L1 C/A, L5；GLONASS: L1；Galileo: E1,E5a；BDS: B1I, B2a</w:t>
            </w:r>
          </w:p>
          <w:p w14:paraId="7A49925B">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星系支持：GPS + GLONASS + Galileo + BDS + QZSS</w:t>
            </w:r>
          </w:p>
          <w:p w14:paraId="19B115A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3接收星系数量：</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4</w:t>
            </w:r>
          </w:p>
          <w:p w14:paraId="74785F3C">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SBAS：WAAS、 EGNOS、 MSAS、 GAGAN</w:t>
            </w:r>
          </w:p>
          <w:p w14:paraId="51109F2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水平定位精度：自主定位精度1m</w:t>
            </w:r>
          </w:p>
          <w:p w14:paraId="43F3478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6RTK水平定位精度</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0.1m</w:t>
            </w:r>
          </w:p>
          <w:p w14:paraId="0167E16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2.7</w:t>
            </w:r>
            <w:r>
              <w:rPr>
                <w:rFonts w:hint="eastAsia" w:ascii="宋体" w:hAnsi="宋体" w:eastAsia="宋体" w:cs="宋体"/>
                <w:b w:val="0"/>
                <w:bCs w:val="0"/>
                <w:color w:val="auto"/>
                <w:sz w:val="21"/>
                <w:szCs w:val="21"/>
                <w:highlight w:val="none"/>
              </w:rPr>
              <w:t>位置误差：2%</w:t>
            </w:r>
          </w:p>
          <w:p w14:paraId="2AD84E8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2.8</w:t>
            </w:r>
            <w:r>
              <w:rPr>
                <w:rFonts w:hint="eastAsia" w:ascii="宋体" w:hAnsi="宋体" w:eastAsia="宋体" w:cs="宋体"/>
                <w:b w:val="0"/>
                <w:bCs w:val="0"/>
                <w:color w:val="auto"/>
                <w:sz w:val="21"/>
                <w:szCs w:val="21"/>
                <w:highlight w:val="none"/>
              </w:rPr>
              <w:t>速度精度：0.03m/s</w:t>
            </w:r>
          </w:p>
          <w:p w14:paraId="3CA1F96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2.9</w:t>
            </w:r>
            <w:r>
              <w:rPr>
                <w:rFonts w:hint="eastAsia" w:ascii="宋体" w:hAnsi="宋体" w:eastAsia="宋体" w:cs="宋体"/>
                <w:b w:val="0"/>
                <w:bCs w:val="0"/>
                <w:color w:val="auto"/>
                <w:sz w:val="21"/>
                <w:szCs w:val="21"/>
                <w:highlight w:val="none"/>
              </w:rPr>
              <w:t>RTK 收敛时间：10s</w:t>
            </w:r>
          </w:p>
          <w:p w14:paraId="647F19E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2.10</w:t>
            </w:r>
            <w:r>
              <w:rPr>
                <w:rFonts w:hint="eastAsia" w:ascii="宋体" w:hAnsi="宋体" w:eastAsia="宋体" w:cs="宋体"/>
                <w:b w:val="0"/>
                <w:bCs w:val="0"/>
                <w:color w:val="auto"/>
                <w:sz w:val="21"/>
                <w:szCs w:val="21"/>
                <w:highlight w:val="none"/>
              </w:rPr>
              <w:t>TTFF（首次定位时间）：5s</w:t>
            </w:r>
          </w:p>
          <w:p w14:paraId="5C36753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11捕获灵敏度：-145dBm</w:t>
            </w:r>
          </w:p>
          <w:p w14:paraId="4ED168E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12跟踪灵敏度：-165dBm</w:t>
            </w:r>
          </w:p>
          <w:p w14:paraId="2CD7354B">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13GPS更新频率：10Hz</w:t>
            </w:r>
          </w:p>
          <w:p w14:paraId="344CBE6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14GNSS原始数据更新频率：1Hz</w:t>
            </w:r>
          </w:p>
          <w:p w14:paraId="2A09C84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15IMU惯性导航更新频率：100Hz</w:t>
            </w:r>
          </w:p>
          <w:p w14:paraId="172471F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多路行为事件标记系统</w:t>
            </w:r>
          </w:p>
          <w:p w14:paraId="3F697E9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1行为数据输入：4通道行为观察数据融合（包含行为视频录制，MIC声音录制）</w:t>
            </w:r>
          </w:p>
          <w:p w14:paraId="5BA28457">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2行为数据输出：4路USB3.0音视频 + 4路HMDI音视频</w:t>
            </w:r>
          </w:p>
          <w:p w14:paraId="5894AAF8">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行为采集帧率：60Hz</w:t>
            </w:r>
          </w:p>
          <w:p w14:paraId="527A2E5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4多路视频融合算法：支持</w:t>
            </w:r>
          </w:p>
          <w:p w14:paraId="1797AA6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5行为视频融合模式：5种</w:t>
            </w:r>
          </w:p>
          <w:p w14:paraId="30CE1F0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6融合模式切换:专用软件控制；数据传输/通讯方式：USB3.0</w:t>
            </w:r>
          </w:p>
          <w:p w14:paraId="0EB50DA2">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行为事件标记同步模块</w:t>
            </w:r>
          </w:p>
          <w:p w14:paraId="37D7BE1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1通用事件标记同步模块输入接口：8通道</w:t>
            </w:r>
          </w:p>
          <w:p w14:paraId="73C715B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2通用事件标记同步模块输出接口：8通道</w:t>
            </w:r>
          </w:p>
          <w:p w14:paraId="67460F0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3事件标记同步模块DB15针接口：2通道</w:t>
            </w:r>
          </w:p>
          <w:p w14:paraId="68CA4DD8">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事件标记同步模块触发输入接口：8通道（TTL输入或者通用IO）</w:t>
            </w:r>
          </w:p>
          <w:p w14:paraId="3B6E7ECD">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5事件标记同步模块触发输出接口：8通道（TTL输入或者通用IO）</w:t>
            </w:r>
          </w:p>
          <w:p w14:paraId="17991E7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6数据传速率：500Kbps</w:t>
            </w:r>
          </w:p>
          <w:p w14:paraId="363691E1">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7事件标记同步模块分辨率：8bit</w:t>
            </w:r>
          </w:p>
          <w:p w14:paraId="6B2E8067">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8第三方API数据同步接口：支持二次开发；</w:t>
            </w:r>
          </w:p>
          <w:p w14:paraId="78791773">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无线传输模块</w:t>
            </w:r>
          </w:p>
          <w:p w14:paraId="3641079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5.1</w:t>
            </w:r>
            <w:r>
              <w:rPr>
                <w:rFonts w:hint="eastAsia" w:ascii="宋体" w:hAnsi="宋体" w:eastAsia="宋体" w:cs="宋体"/>
                <w:b w:val="0"/>
                <w:bCs w:val="0"/>
                <w:color w:val="auto"/>
                <w:sz w:val="21"/>
                <w:szCs w:val="21"/>
                <w:highlight w:val="none"/>
              </w:rPr>
              <w:t>无线传输距离：可视距离200米可稳定传输1080P@60fps视频流；</w:t>
            </w:r>
          </w:p>
          <w:p w14:paraId="7E23C8D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rPr>
              <w:t>无线传输速率：1200Mbps(2T2R+11AC)、300Mbps+867Mbps</w:t>
            </w:r>
          </w:p>
          <w:p w14:paraId="747A63B4">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5.3</w:t>
            </w:r>
            <w:r>
              <w:rPr>
                <w:rFonts w:hint="eastAsia" w:ascii="宋体" w:hAnsi="宋体" w:eastAsia="宋体" w:cs="宋体"/>
                <w:b w:val="0"/>
                <w:bCs w:val="0"/>
                <w:color w:val="auto"/>
                <w:sz w:val="21"/>
                <w:szCs w:val="21"/>
                <w:highlight w:val="none"/>
              </w:rPr>
              <w:t>工作频率：ISM2.4G、ISM5.8G; TX最大功率：21dBm@2.4G/19dBm@5.8G </w:t>
            </w:r>
          </w:p>
          <w:p w14:paraId="2A722534">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4支持频宽：20M/40M/80M </w:t>
            </w:r>
          </w:p>
          <w:p w14:paraId="55207C72">
            <w:pPr>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视频格式</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1080P,1080i,720P,576P,576i,480P,480i</w:t>
            </w:r>
          </w:p>
          <w:p w14:paraId="0890C41E">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5.6</w:t>
            </w:r>
            <w:r>
              <w:rPr>
                <w:rFonts w:hint="eastAsia" w:ascii="宋体" w:hAnsi="宋体" w:eastAsia="宋体" w:cs="宋体"/>
                <w:b w:val="0"/>
                <w:bCs w:val="0"/>
                <w:color w:val="auto"/>
                <w:sz w:val="21"/>
                <w:szCs w:val="21"/>
                <w:highlight w:val="none"/>
              </w:rPr>
              <w:t xml:space="preserve">信号增强：PA（功放）+ LNA（低噪声放大器）  </w:t>
            </w:r>
          </w:p>
          <w:p w14:paraId="483657E3">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5.7</w:t>
            </w:r>
            <w:r>
              <w:rPr>
                <w:rFonts w:hint="eastAsia" w:ascii="宋体" w:hAnsi="宋体" w:eastAsia="宋体" w:cs="宋体"/>
                <w:b w:val="0"/>
                <w:bCs w:val="0"/>
                <w:color w:val="auto"/>
                <w:sz w:val="21"/>
                <w:szCs w:val="21"/>
                <w:highlight w:val="none"/>
              </w:rPr>
              <w:t>RX灵敏度：-99dBm(Min) 最大吞吐量WiFi 866.7Mbps</w:t>
            </w:r>
          </w:p>
          <w:p w14:paraId="304F2DA3">
            <w:pPr>
              <w:jc w:val="left"/>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5.8</w:t>
            </w:r>
            <w:r>
              <w:rPr>
                <w:rFonts w:hint="eastAsia" w:ascii="宋体" w:hAnsi="宋体" w:eastAsia="宋体" w:cs="宋体"/>
                <w:b w:val="0"/>
                <w:bCs w:val="0"/>
                <w:color w:val="auto"/>
                <w:sz w:val="21"/>
                <w:szCs w:val="21"/>
                <w:highlight w:val="none"/>
              </w:rPr>
              <w:t>WiFi通信标准</w:t>
            </w:r>
            <w:r>
              <w:rPr>
                <w:rFonts w:hint="eastAsia" w:ascii="宋体" w:hAnsi="宋体" w:cs="宋体"/>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I</w:t>
            </w:r>
            <w:r>
              <w:rPr>
                <w:rFonts w:hint="default" w:ascii="宋体" w:hAnsi="宋体" w:eastAsia="宋体" w:cs="宋体"/>
                <w:b w:val="0"/>
                <w:bCs w:val="0"/>
                <w:color w:val="auto"/>
                <w:sz w:val="21"/>
                <w:szCs w:val="21"/>
                <w:highlight w:val="none"/>
              </w:rPr>
              <w:t>EEE 802.11 a/b/g/n/ac Wave2(MU-MIMO); </w:t>
            </w:r>
          </w:p>
          <w:p w14:paraId="198C92C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5.9</w:t>
            </w:r>
            <w:r>
              <w:rPr>
                <w:rFonts w:hint="eastAsia" w:ascii="宋体" w:hAnsi="宋体" w:eastAsia="宋体" w:cs="宋体"/>
                <w:b w:val="0"/>
                <w:bCs w:val="0"/>
                <w:color w:val="auto"/>
                <w:sz w:val="21"/>
                <w:szCs w:val="21"/>
                <w:highlight w:val="none"/>
              </w:rPr>
              <w:t xml:space="preserve">户外移动供电容量：20000mAh；  </w:t>
            </w:r>
          </w:p>
          <w:p w14:paraId="0B794887">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行为观察分析软件模块</w:t>
            </w:r>
          </w:p>
          <w:p w14:paraId="18AAD1AF">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6.1</w:t>
            </w:r>
            <w:r>
              <w:rPr>
                <w:rFonts w:hint="eastAsia" w:ascii="宋体" w:hAnsi="宋体" w:eastAsia="宋体" w:cs="宋体"/>
                <w:b w:val="0"/>
                <w:bCs w:val="0"/>
                <w:color w:val="auto"/>
                <w:sz w:val="21"/>
                <w:szCs w:val="21"/>
                <w:highlight w:val="none"/>
              </w:rPr>
              <w:t>行为编码便携式APP终端：支持双系统实时行为编码，便携式终端6寸，行为编码方式：提供多种行为编码方式，提供 API/TTL实时行为编码模式、鼠标点击进行离线编码模式、键盘快捷键方式进行离线编码模式（提供便携式终端软件界面截图）；</w:t>
            </w:r>
          </w:p>
          <w:p w14:paraId="251A84B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6.2</w:t>
            </w:r>
            <w:r>
              <w:rPr>
                <w:rFonts w:hint="eastAsia" w:ascii="宋体" w:hAnsi="宋体" w:eastAsia="宋体" w:cs="宋体"/>
                <w:b w:val="0"/>
                <w:bCs w:val="0"/>
                <w:color w:val="auto"/>
                <w:sz w:val="21"/>
                <w:szCs w:val="21"/>
                <w:highlight w:val="none"/>
              </w:rPr>
              <w:t>基础行为分析，支持对单个行为进行统计分析，统计指标包括行为发生次数、每分钟行为发生次数、总持续时间、最小持续时间、最大持续时间、平均持续时间等，支持生成柱状统计图、序列图；</w:t>
            </w:r>
          </w:p>
          <w:p w14:paraId="2BCA350F">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3行为交叉分析，支持对多行为组交互关系进行统计分析，统计指标包括多个行为组同时发生的平均持续时间、总持续时间、每个行为的发生频率、最小持续时间、最大持续时间，支持生成柱状统计图、序列图</w:t>
            </w:r>
          </w:p>
          <w:p w14:paraId="26B6728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4行为延迟分析，支持对多行为组延迟关系进行统计分析，统计指标包括一个行为在另一个行为前后发生的频率、发生的概率，支持生成柱状统计图、序列图</w:t>
            </w:r>
          </w:p>
          <w:p w14:paraId="601C1096">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5支持行为编码界面可以同步刺激场景、眼动数据、以及多路行为视频同时显示，辅助编码与结果分析</w:t>
            </w:r>
          </w:p>
          <w:p w14:paraId="23C0DC80">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时空分析模块</w:t>
            </w:r>
          </w:p>
          <w:p w14:paraId="6C8DA28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7.1</w:t>
            </w:r>
            <w:r>
              <w:rPr>
                <w:rFonts w:hint="eastAsia" w:ascii="宋体" w:hAnsi="宋体" w:eastAsia="宋体" w:cs="宋体"/>
                <w:b w:val="0"/>
                <w:bCs w:val="0"/>
                <w:color w:val="auto"/>
                <w:sz w:val="21"/>
                <w:szCs w:val="21"/>
                <w:highlight w:val="none"/>
              </w:rPr>
              <w:t>支持时空兴趣区（SOI）基础设置：</w:t>
            </w:r>
          </w:p>
          <w:p w14:paraId="06627BBA">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（1）可视化轨迹图设置：如透明度、轨迹粗细可视化呈现</w:t>
            </w:r>
          </w:p>
          <w:p w14:paraId="267147B2">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（2）可视化热点图设置：如透明度、半径大小、浓度颜色</w:t>
            </w:r>
          </w:p>
          <w:p w14:paraId="2F5D628E">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（3）时空行为路径采用不同颜色编码，以显示参与者在环境中的行走轨迹，可用于时空行为研究等运动数据的分析。（提供软件界面截图）</w:t>
            </w:r>
          </w:p>
          <w:p w14:paraId="0F6F972A">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7.2</w:t>
            </w:r>
            <w:r>
              <w:rPr>
                <w:rFonts w:hint="eastAsia" w:ascii="宋体" w:hAnsi="宋体" w:eastAsia="宋体" w:cs="宋体"/>
                <w:b w:val="0"/>
                <w:bCs w:val="0"/>
                <w:color w:val="auto"/>
                <w:sz w:val="21"/>
                <w:szCs w:val="21"/>
                <w:highlight w:val="none"/>
              </w:rPr>
              <w:t>可视化时空轨迹（Track）</w:t>
            </w:r>
          </w:p>
          <w:p w14:paraId="1C1AFC8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（1）可视化个体的行走轨迹、行走位置、与SOI的交互区域</w:t>
            </w:r>
          </w:p>
          <w:p w14:paraId="035005DC">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（2）支持多被试行走轨迹与地图的叠加显示与分析</w:t>
            </w:r>
          </w:p>
          <w:p w14:paraId="19037D59">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7.3</w:t>
            </w:r>
            <w:r>
              <w:rPr>
                <w:rFonts w:hint="eastAsia" w:ascii="宋体" w:hAnsi="宋体" w:eastAsia="宋体" w:cs="宋体"/>
                <w:b w:val="0"/>
                <w:bCs w:val="0"/>
                <w:color w:val="auto"/>
                <w:sz w:val="21"/>
                <w:szCs w:val="21"/>
                <w:highlight w:val="none"/>
              </w:rPr>
              <w:t>可视化时空热图（Heat Map）</w:t>
            </w:r>
          </w:p>
          <w:p w14:paraId="6D67E95A">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（1）可视化个体与时空地图交互位置、时长及交互的重点SOI区域</w:t>
            </w:r>
          </w:p>
          <w:p w14:paraId="246CF01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（2）支持多被试与时空位置交互热点图的叠加显示与分析</w:t>
            </w:r>
          </w:p>
          <w:p w14:paraId="2A6F3008">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7.4</w:t>
            </w:r>
            <w:r>
              <w:rPr>
                <w:rFonts w:hint="eastAsia" w:ascii="宋体" w:hAnsi="宋体" w:eastAsia="宋体" w:cs="宋体"/>
                <w:b w:val="0"/>
                <w:bCs w:val="0"/>
                <w:color w:val="auto"/>
                <w:sz w:val="21"/>
                <w:szCs w:val="21"/>
                <w:highlight w:val="none"/>
              </w:rPr>
              <w:t>SOI区域轨迹可视化序列分析</w:t>
            </w:r>
          </w:p>
          <w:p w14:paraId="3B3E49F4">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（1）支持自定义基于单SOI或SOI Group的序列设置</w:t>
            </w:r>
          </w:p>
          <w:p w14:paraId="2BFAF3DD">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（2）支持单被试与多被试先后进入不同SOI序列相关性的可视化分析，提供相对时间与绝对时间序列结果呈现</w:t>
            </w:r>
          </w:p>
          <w:p w14:paraId="570615A5">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（3）SOI序列分析统计指标包括：兴趣区总访问时长（SOI Total Visit Duration）、兴趣区总访问时长占比（SOI Total Visit Duration）、兴趣区总访问次数（SOI Total Visit Count）、兴趣区平均访问时长（SOI Average Visit Duration）；</w:t>
            </w:r>
          </w:p>
          <w:p w14:paraId="7FA4B343">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 xml:space="preserve">7.5 </w:t>
            </w:r>
            <w:r>
              <w:rPr>
                <w:rFonts w:hint="eastAsia" w:ascii="宋体" w:hAnsi="宋体" w:eastAsia="宋体" w:cs="宋体"/>
                <w:b w:val="0"/>
                <w:bCs w:val="0"/>
                <w:color w:val="auto"/>
                <w:sz w:val="21"/>
                <w:szCs w:val="21"/>
                <w:highlight w:val="none"/>
              </w:rPr>
              <w:t>SOI内编码事件分析，支持选择不同的Event事件类型，并设置在轨迹地图上显示的时间标记、RGB标记颜色，支持事件与轨迹联合可视化分析；</w:t>
            </w:r>
          </w:p>
          <w:p w14:paraId="4A7504A5">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 xml:space="preserve">7.6 </w:t>
            </w:r>
            <w:r>
              <w:rPr>
                <w:rFonts w:hint="eastAsia" w:ascii="宋体" w:hAnsi="宋体" w:eastAsia="宋体" w:cs="宋体"/>
                <w:b w:val="0"/>
                <w:bCs w:val="0"/>
                <w:color w:val="auto"/>
                <w:sz w:val="21"/>
                <w:szCs w:val="21"/>
                <w:highlight w:val="none"/>
              </w:rPr>
              <w:t xml:space="preserve">SOI内编码行为分析，统计指标包括SOI内行为发生的次数（Count）、频率（Rate Per Minute）、总时长（Total Duration）、最小持续时间（Minimum Duration）、最大持续时间（Maximum Duration）、平均持续时间（Mean Duration）。支持系统中所有编码的数据源均可进入到时空分析，包括行为数据、生理数据、眼动数据等。提供中英文双语软件版本。（提供软件界面截图）       </w:t>
            </w:r>
          </w:p>
          <w:p w14:paraId="4F90D229">
            <w:pPr>
              <w:widowControl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投标产品为国产，并对原实验室生理采集和分析系统软件进行更新升级，为确保科研数据提供需要，软件提供中英文双语版本</w:t>
            </w:r>
            <w:r>
              <w:rPr>
                <w:rFonts w:hint="eastAsia" w:ascii="宋体" w:hAnsi="宋体" w:cs="宋体"/>
                <w:b w:val="0"/>
                <w:bCs w:val="0"/>
                <w:color w:val="auto"/>
                <w:sz w:val="21"/>
                <w:szCs w:val="21"/>
                <w:highlight w:val="none"/>
                <w:lang w:eastAsia="zh-CN"/>
              </w:rPr>
              <w:t>。</w:t>
            </w:r>
          </w:p>
          <w:p w14:paraId="4F162ED1">
            <w:pPr>
              <w:widowControl w:val="0"/>
              <w:jc w:val="lef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8.配置要求：</w:t>
            </w:r>
          </w:p>
          <w:p w14:paraId="07F96BB1">
            <w:pPr>
              <w:rPr>
                <w:rFonts w:hint="eastAsia" w:eastAsia="宋体"/>
                <w:highlight w:val="none"/>
                <w:lang w:val="en-US"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行为音视频采集摄像头4</w:t>
            </w:r>
            <w:r>
              <w:rPr>
                <w:rFonts w:hint="eastAsia"/>
                <w:highlight w:val="none"/>
                <w:lang w:val="en-US" w:eastAsia="zh-CN"/>
              </w:rPr>
              <w:t>个</w:t>
            </w:r>
          </w:p>
          <w:p w14:paraId="0E48E1E9">
            <w:pPr>
              <w:rPr>
                <w:rFonts w:hint="eastAsia"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镜头支架4</w:t>
            </w:r>
            <w:r>
              <w:rPr>
                <w:rFonts w:hint="eastAsia"/>
                <w:highlight w:val="none"/>
                <w:lang w:val="en-US" w:eastAsia="zh-CN"/>
              </w:rPr>
              <w:t>个</w:t>
            </w:r>
          </w:p>
          <w:p w14:paraId="0D6CB34C">
            <w:pPr>
              <w:rPr>
                <w:rFonts w:hint="eastAsia" w:eastAsia="宋体"/>
                <w:highlight w:val="none"/>
                <w:lang w:val="en-US"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柱状电源8</w:t>
            </w:r>
            <w:r>
              <w:rPr>
                <w:rFonts w:hint="eastAsia"/>
                <w:highlight w:val="none"/>
                <w:lang w:val="en-US" w:eastAsia="zh-CN"/>
              </w:rPr>
              <w:t>个</w:t>
            </w:r>
          </w:p>
          <w:p w14:paraId="46E9A577">
            <w:pPr>
              <w:rPr>
                <w:rFonts w:hint="eastAsia" w:eastAsia="宋体"/>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时空行为采集模块1</w:t>
            </w:r>
            <w:r>
              <w:rPr>
                <w:rFonts w:hint="eastAsia"/>
                <w:highlight w:val="none"/>
                <w:lang w:val="en-US" w:eastAsia="zh-CN"/>
              </w:rPr>
              <w:t>个</w:t>
            </w:r>
          </w:p>
          <w:p w14:paraId="157E048A">
            <w:pPr>
              <w:rPr>
                <w:rFonts w:hint="eastAsia" w:eastAsia="宋体"/>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多路行为事件标记系统1</w:t>
            </w:r>
            <w:r>
              <w:rPr>
                <w:rFonts w:hint="eastAsia"/>
                <w:highlight w:val="none"/>
                <w:lang w:val="en-US" w:eastAsia="zh-CN"/>
              </w:rPr>
              <w:t>个</w:t>
            </w:r>
          </w:p>
          <w:p w14:paraId="0FB894EA">
            <w:pPr>
              <w:rPr>
                <w:rFonts w:hint="eastAsia" w:eastAsia="宋体"/>
                <w:highlight w:val="none"/>
                <w:lang w:val="en-US"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无线传输模块4</w:t>
            </w:r>
            <w:r>
              <w:rPr>
                <w:rFonts w:hint="eastAsia"/>
                <w:highlight w:val="none"/>
                <w:lang w:val="en-US" w:eastAsia="zh-CN"/>
              </w:rPr>
              <w:t>个</w:t>
            </w:r>
          </w:p>
          <w:p w14:paraId="7A61063A">
            <w:pPr>
              <w:rPr>
                <w:rFonts w:hint="eastAsia" w:eastAsia="宋体"/>
                <w:highlight w:val="none"/>
                <w:lang w:val="en-US" w:eastAsia="zh-CN"/>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户外移动电源2</w:t>
            </w:r>
            <w:r>
              <w:rPr>
                <w:rFonts w:hint="eastAsia"/>
                <w:highlight w:val="none"/>
                <w:lang w:val="en-US" w:eastAsia="zh-CN"/>
              </w:rPr>
              <w:t>个</w:t>
            </w:r>
          </w:p>
          <w:p w14:paraId="3E62B58B">
            <w:pPr>
              <w:rPr>
                <w:rFonts w:hint="eastAsia" w:eastAsia="宋体"/>
                <w:highlight w:val="none"/>
                <w:lang w:val="en-US" w:eastAsia="zh-CN"/>
              </w:rPr>
            </w:pPr>
            <w:r>
              <w:rPr>
                <w:rFonts w:hint="eastAsia"/>
                <w:highlight w:val="none"/>
                <w:lang w:eastAsia="zh-CN"/>
              </w:rPr>
              <w:t>（</w:t>
            </w:r>
            <w:r>
              <w:rPr>
                <w:rFonts w:hint="eastAsia"/>
                <w:highlight w:val="none"/>
                <w:lang w:val="en-US" w:eastAsia="zh-CN"/>
              </w:rPr>
              <w:t>8</w:t>
            </w:r>
            <w:r>
              <w:rPr>
                <w:rFonts w:hint="eastAsia"/>
                <w:highlight w:val="none"/>
                <w:lang w:eastAsia="zh-CN"/>
              </w:rPr>
              <w:t>）</w:t>
            </w:r>
            <w:r>
              <w:rPr>
                <w:rFonts w:hint="eastAsia"/>
                <w:highlight w:val="none"/>
              </w:rPr>
              <w:t>Type-C/DC电源线</w:t>
            </w:r>
            <w:r>
              <w:rPr>
                <w:rFonts w:hint="eastAsia"/>
                <w:highlight w:val="none"/>
              </w:rPr>
              <w:tab/>
            </w:r>
            <w:r>
              <w:rPr>
                <w:rFonts w:hint="eastAsia"/>
                <w:highlight w:val="none"/>
              </w:rPr>
              <w:t>8</w:t>
            </w:r>
            <w:r>
              <w:rPr>
                <w:rFonts w:hint="eastAsia"/>
                <w:highlight w:val="none"/>
                <w:lang w:val="en-US" w:eastAsia="zh-CN"/>
              </w:rPr>
              <w:t>个</w:t>
            </w:r>
          </w:p>
          <w:p w14:paraId="53DF09C4">
            <w:pPr>
              <w:rPr>
                <w:rFonts w:hint="eastAsia" w:eastAsia="宋体"/>
                <w:highlight w:val="none"/>
                <w:lang w:val="en-US" w:eastAsia="zh-CN"/>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USB转DC充电线4</w:t>
            </w:r>
            <w:r>
              <w:rPr>
                <w:rFonts w:hint="eastAsia"/>
                <w:highlight w:val="none"/>
                <w:lang w:val="en-US" w:eastAsia="zh-CN"/>
              </w:rPr>
              <w:t>个</w:t>
            </w:r>
          </w:p>
          <w:p w14:paraId="56DD9E8A">
            <w:pPr>
              <w:rPr>
                <w:rFonts w:hint="eastAsia" w:eastAsia="宋体"/>
                <w:highlight w:val="none"/>
                <w:lang w:val="en-US" w:eastAsia="zh-CN"/>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hint="eastAsia"/>
                <w:highlight w:val="none"/>
              </w:rPr>
              <w:t>USB公对公数据线2</w:t>
            </w:r>
            <w:r>
              <w:rPr>
                <w:rFonts w:hint="eastAsia"/>
                <w:highlight w:val="none"/>
                <w:lang w:val="en-US" w:eastAsia="zh-CN"/>
              </w:rPr>
              <w:t>个</w:t>
            </w:r>
          </w:p>
          <w:p w14:paraId="43C5079A">
            <w:pPr>
              <w:rPr>
                <w:rFonts w:hint="eastAsia" w:eastAsia="宋体"/>
                <w:highlight w:val="none"/>
                <w:lang w:val="en-US" w:eastAsia="zh-CN"/>
              </w:rPr>
            </w:pPr>
            <w:r>
              <w:rPr>
                <w:rFonts w:hint="eastAsia"/>
                <w:highlight w:val="none"/>
                <w:lang w:eastAsia="zh-CN"/>
              </w:rPr>
              <w:t>（</w:t>
            </w:r>
            <w:r>
              <w:rPr>
                <w:rFonts w:hint="eastAsia"/>
                <w:highlight w:val="none"/>
                <w:lang w:val="en-US" w:eastAsia="zh-CN"/>
              </w:rPr>
              <w:t>11</w:t>
            </w:r>
            <w:r>
              <w:rPr>
                <w:rFonts w:hint="eastAsia"/>
                <w:highlight w:val="none"/>
                <w:lang w:eastAsia="zh-CN"/>
              </w:rPr>
              <w:t>）</w:t>
            </w:r>
            <w:r>
              <w:rPr>
                <w:rFonts w:hint="eastAsia"/>
                <w:highlight w:val="none"/>
              </w:rPr>
              <w:t>HDMI视频线</w:t>
            </w:r>
            <w:r>
              <w:rPr>
                <w:rFonts w:hint="eastAsia"/>
                <w:highlight w:val="none"/>
              </w:rPr>
              <w:tab/>
            </w:r>
            <w:r>
              <w:rPr>
                <w:rFonts w:hint="eastAsia"/>
                <w:highlight w:val="none"/>
              </w:rPr>
              <w:t>8</w:t>
            </w:r>
            <w:r>
              <w:rPr>
                <w:rFonts w:hint="eastAsia"/>
                <w:highlight w:val="none"/>
                <w:lang w:val="en-US" w:eastAsia="zh-CN"/>
              </w:rPr>
              <w:t>个</w:t>
            </w:r>
          </w:p>
          <w:p w14:paraId="3A41731D">
            <w:pPr>
              <w:rPr>
                <w:rFonts w:hint="eastAsia" w:eastAsia="宋体"/>
                <w:highlight w:val="none"/>
                <w:lang w:eastAsia="zh-CN"/>
              </w:rPr>
            </w:pPr>
            <w:r>
              <w:rPr>
                <w:rFonts w:hint="eastAsia"/>
                <w:highlight w:val="none"/>
                <w:lang w:eastAsia="zh-CN"/>
              </w:rPr>
              <w:t>（</w:t>
            </w:r>
            <w:r>
              <w:rPr>
                <w:rFonts w:hint="eastAsia"/>
                <w:highlight w:val="none"/>
                <w:lang w:val="en-US" w:eastAsia="zh-CN"/>
              </w:rPr>
              <w:t>12</w:t>
            </w:r>
            <w:r>
              <w:rPr>
                <w:rFonts w:hint="eastAsia"/>
                <w:highlight w:val="none"/>
                <w:lang w:eastAsia="zh-CN"/>
              </w:rPr>
              <w:t>）</w:t>
            </w:r>
            <w:r>
              <w:rPr>
                <w:rFonts w:hint="eastAsia"/>
                <w:highlight w:val="none"/>
              </w:rPr>
              <w:t>行为事件标记同步模块1</w:t>
            </w:r>
            <w:r>
              <w:rPr>
                <w:rFonts w:hint="eastAsia"/>
                <w:highlight w:val="none"/>
                <w:lang w:eastAsia="zh-CN"/>
              </w:rPr>
              <w:t>个</w:t>
            </w:r>
          </w:p>
          <w:p w14:paraId="1DD8F154">
            <w:pPr>
              <w:rPr>
                <w:rFonts w:hint="eastAsia" w:eastAsia="宋体"/>
                <w:highlight w:val="none"/>
                <w:lang w:val="en-US" w:eastAsia="zh-CN"/>
              </w:rPr>
            </w:pPr>
            <w:r>
              <w:rPr>
                <w:rFonts w:hint="eastAsia"/>
                <w:highlight w:val="none"/>
                <w:lang w:eastAsia="zh-CN"/>
              </w:rPr>
              <w:t>（</w:t>
            </w:r>
            <w:r>
              <w:rPr>
                <w:rFonts w:hint="eastAsia"/>
                <w:highlight w:val="none"/>
                <w:lang w:val="en-US" w:eastAsia="zh-CN"/>
              </w:rPr>
              <w:t>13</w:t>
            </w:r>
            <w:r>
              <w:rPr>
                <w:rFonts w:hint="eastAsia"/>
                <w:highlight w:val="none"/>
                <w:lang w:eastAsia="zh-CN"/>
              </w:rPr>
              <w:t>）</w:t>
            </w:r>
            <w:r>
              <w:rPr>
                <w:rFonts w:hint="eastAsia"/>
                <w:highlight w:val="none"/>
              </w:rPr>
              <w:t>行为编码便携式APP终端1</w:t>
            </w:r>
            <w:r>
              <w:rPr>
                <w:rFonts w:hint="eastAsia"/>
                <w:highlight w:val="none"/>
                <w:lang w:val="en-US" w:eastAsia="zh-CN"/>
              </w:rPr>
              <w:t>个</w:t>
            </w:r>
          </w:p>
          <w:p w14:paraId="6F44CCD4">
            <w:pPr>
              <w:rPr>
                <w:rFonts w:hint="eastAsia" w:eastAsia="宋体"/>
                <w:highlight w:val="none"/>
                <w:lang w:val="en-US" w:eastAsia="zh-CN"/>
              </w:rPr>
            </w:pPr>
            <w:r>
              <w:rPr>
                <w:rFonts w:hint="eastAsia"/>
                <w:highlight w:val="none"/>
                <w:lang w:eastAsia="zh-CN"/>
              </w:rPr>
              <w:t>（</w:t>
            </w:r>
            <w:r>
              <w:rPr>
                <w:rFonts w:hint="eastAsia"/>
                <w:highlight w:val="none"/>
                <w:lang w:val="en-US" w:eastAsia="zh-CN"/>
              </w:rPr>
              <w:t>14</w:t>
            </w:r>
            <w:r>
              <w:rPr>
                <w:rFonts w:hint="eastAsia"/>
                <w:highlight w:val="none"/>
                <w:lang w:eastAsia="zh-CN"/>
              </w:rPr>
              <w:t>）</w:t>
            </w:r>
            <w:r>
              <w:rPr>
                <w:rFonts w:hint="eastAsia"/>
                <w:highlight w:val="none"/>
              </w:rPr>
              <w:t>软件U盘1</w:t>
            </w:r>
            <w:r>
              <w:rPr>
                <w:rFonts w:hint="eastAsia"/>
                <w:highlight w:val="none"/>
                <w:lang w:val="en-US" w:eastAsia="zh-CN"/>
              </w:rPr>
              <w:t>个</w:t>
            </w:r>
          </w:p>
          <w:p w14:paraId="4A643DA9">
            <w:pPr>
              <w:rPr>
                <w:rFonts w:hint="eastAsia" w:eastAsia="宋体"/>
                <w:highlight w:val="none"/>
                <w:lang w:eastAsia="zh-CN"/>
              </w:rPr>
            </w:pPr>
            <w:r>
              <w:rPr>
                <w:rFonts w:hint="eastAsia"/>
                <w:highlight w:val="none"/>
                <w:lang w:eastAsia="zh-CN"/>
              </w:rPr>
              <w:t>（</w:t>
            </w:r>
            <w:r>
              <w:rPr>
                <w:rFonts w:hint="eastAsia"/>
                <w:highlight w:val="none"/>
                <w:lang w:val="en-US" w:eastAsia="zh-CN"/>
              </w:rPr>
              <w:t>15</w:t>
            </w:r>
            <w:r>
              <w:rPr>
                <w:rFonts w:hint="eastAsia"/>
                <w:highlight w:val="none"/>
                <w:lang w:eastAsia="zh-CN"/>
              </w:rPr>
              <w:t>）</w:t>
            </w:r>
            <w:r>
              <w:rPr>
                <w:rFonts w:hint="eastAsia"/>
                <w:highlight w:val="none"/>
              </w:rPr>
              <w:t>软件加密狗1</w:t>
            </w:r>
            <w:r>
              <w:rPr>
                <w:rFonts w:hint="eastAsia"/>
                <w:highlight w:val="none"/>
                <w:lang w:eastAsia="zh-CN"/>
              </w:rPr>
              <w:t>个</w:t>
            </w:r>
          </w:p>
          <w:p w14:paraId="764C8EEB">
            <w:pPr>
              <w:widowControl w:val="0"/>
              <w:jc w:val="left"/>
              <w:rPr>
                <w:rFonts w:hint="eastAsia"/>
                <w:highlight w:val="none"/>
                <w:lang w:val="en-US" w:eastAsia="zh-CN"/>
              </w:rPr>
            </w:pPr>
            <w:r>
              <w:rPr>
                <w:rFonts w:hint="eastAsia"/>
                <w:highlight w:val="none"/>
                <w:lang w:eastAsia="zh-CN"/>
              </w:rPr>
              <w:t>（</w:t>
            </w:r>
            <w:r>
              <w:rPr>
                <w:rFonts w:hint="eastAsia"/>
                <w:highlight w:val="none"/>
                <w:lang w:val="en-US" w:eastAsia="zh-CN"/>
              </w:rPr>
              <w:t>16</w:t>
            </w:r>
            <w:r>
              <w:rPr>
                <w:rFonts w:hint="eastAsia"/>
                <w:highlight w:val="none"/>
                <w:lang w:eastAsia="zh-CN"/>
              </w:rPr>
              <w:t>）</w:t>
            </w:r>
            <w:r>
              <w:rPr>
                <w:rFonts w:hint="eastAsia"/>
                <w:highlight w:val="none"/>
              </w:rPr>
              <w:t>配套笔记本电脑1</w:t>
            </w:r>
            <w:r>
              <w:rPr>
                <w:rFonts w:hint="eastAsia"/>
                <w:highlight w:val="none"/>
                <w:lang w:val="en-US" w:eastAsia="zh-CN"/>
              </w:rPr>
              <w:t>个</w:t>
            </w:r>
          </w:p>
          <w:p w14:paraId="37D469EE">
            <w:pPr>
              <w:rPr>
                <w:rFonts w:hint="eastAsia" w:ascii="Times New Roman" w:hAnsi="Times New Roman" w:eastAsia="宋体" w:cs="Times New Roman"/>
                <w:highlight w:val="none"/>
                <w:lang w:val="en-US" w:eastAsia="zh-CN"/>
              </w:rPr>
            </w:pPr>
            <w:r>
              <w:rPr>
                <w:rFonts w:hint="eastAsia"/>
                <w:highlight w:val="none"/>
                <w:lang w:val="en-US" w:eastAsia="zh-CN"/>
              </w:rPr>
              <w:t>（17）设备</w:t>
            </w:r>
            <w:r>
              <w:rPr>
                <w:rFonts w:hint="eastAsia" w:ascii="Times New Roman" w:hAnsi="Times New Roman" w:eastAsia="宋体" w:cs="Times New Roman"/>
                <w:highlight w:val="none"/>
                <w:lang w:val="en-US" w:eastAsia="zh-CN"/>
              </w:rPr>
              <w:t>使用指导手册</w:t>
            </w:r>
          </w:p>
          <w:p w14:paraId="7F4F9F3F">
            <w:pPr>
              <w:rPr>
                <w:rFonts w:hint="eastAsia" w:ascii="宋体" w:hAnsi="宋体" w:eastAsia="宋体" w:cs="宋体"/>
                <w:b w:val="0"/>
                <w:bCs w:val="0"/>
                <w:color w:val="auto"/>
                <w:sz w:val="21"/>
                <w:szCs w:val="21"/>
                <w:highlight w:val="none"/>
                <w:lang w:val="en-US" w:eastAsia="zh-CN"/>
              </w:rPr>
            </w:pPr>
            <w:r>
              <w:rPr>
                <w:rFonts w:hint="eastAsia" w:ascii="Times New Roman" w:hAnsi="Times New Roman" w:eastAsia="宋体" w:cs="Times New Roman"/>
                <w:highlight w:val="none"/>
                <w:lang w:val="en-US" w:eastAsia="zh-CN"/>
              </w:rPr>
              <w:t>（18）设备功能介绍展示板</w:t>
            </w:r>
          </w:p>
        </w:tc>
        <w:tc>
          <w:tcPr>
            <w:tcW w:w="348" w:type="pct"/>
            <w:noWrap w:val="0"/>
            <w:vAlign w:val="center"/>
          </w:tcPr>
          <w:p w14:paraId="5115B184">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349" w:type="pct"/>
            <w:noWrap w:val="0"/>
            <w:vAlign w:val="center"/>
          </w:tcPr>
          <w:p w14:paraId="56BEDD84">
            <w:pPr>
              <w:widowControl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套</w:t>
            </w:r>
          </w:p>
        </w:tc>
      </w:tr>
      <w:tr w14:paraId="351D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463" w:type="pct"/>
            <w:noWrap w:val="0"/>
            <w:vAlign w:val="center"/>
          </w:tcPr>
          <w:p w14:paraId="1C01BE6D">
            <w:pPr>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w:t>
            </w:r>
          </w:p>
        </w:tc>
        <w:tc>
          <w:tcPr>
            <w:tcW w:w="626" w:type="pct"/>
            <w:noWrap w:val="0"/>
            <w:vAlign w:val="center"/>
          </w:tcPr>
          <w:p w14:paraId="72583CD5">
            <w:pPr>
              <w:pStyle w:val="58"/>
              <w:jc w:val="center"/>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无线便携脑电系统</w:t>
            </w:r>
          </w:p>
        </w:tc>
        <w:tc>
          <w:tcPr>
            <w:tcW w:w="3211" w:type="pct"/>
            <w:noWrap w:val="0"/>
            <w:vAlign w:val="center"/>
          </w:tcPr>
          <w:p w14:paraId="724507A1">
            <w:pPr>
              <w:numPr>
                <w:ilvl w:val="0"/>
                <w:numId w:val="0"/>
              </w:numPr>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一、放大器系统技术要求</w:t>
            </w:r>
          </w:p>
          <w:p w14:paraId="72C7A1F7">
            <w:pPr>
              <w:numPr>
                <w:ilvl w:val="0"/>
                <w:numId w:val="0"/>
              </w:numPr>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1.1支持同步64导EEG通道,内置支持三轴加速度传感器，可以监测人的运动状态；无线脑电放大器支持与实验室现有的脑电放大器互相替换电极系统使用。支持升级为两套独立的32导EEG系统使用。</w:t>
            </w:r>
          </w:p>
          <w:p w14:paraId="435BE625">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1.2采样速率：1000Hz/通道（所有通道同时采集时）；</w:t>
            </w:r>
          </w:p>
          <w:p w14:paraId="77CB000C">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1.3共模抑制比：≥80 dB；</w:t>
            </w:r>
          </w:p>
          <w:p w14:paraId="76FE0216">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1.4测量范围：±341.6 mV；</w:t>
            </w:r>
          </w:p>
          <w:p w14:paraId="18DC83F9">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1.5放大器噪声：≤2μVpp；</w:t>
            </w:r>
          </w:p>
          <w:p w14:paraId="7CE6741C">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1.6输入阻抗：≥200 Mohm</w:t>
            </w:r>
          </w:p>
          <w:p w14:paraId="5791BF59">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1.7ADC数模转化器：24bit</w:t>
            </w:r>
          </w:p>
          <w:p w14:paraId="30478103">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1.8设备内置触发输入：3pin 2.5mm 手机插孔，支持TTL</w:t>
            </w:r>
          </w:p>
          <w:p w14:paraId="095E7850">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1.9系统支持</w:t>
            </w:r>
            <w:r>
              <w:rPr>
                <w:rFonts w:hint="eastAsia" w:hAnsi="宋体" w:cs="宋体"/>
                <w:b w:val="0"/>
                <w:bCs w:val="0"/>
                <w:color w:val="auto"/>
                <w:szCs w:val="21"/>
                <w:highlight w:val="none"/>
                <w:lang w:val="en-US" w:eastAsia="zh-CN"/>
              </w:rPr>
              <w:t>扩展</w:t>
            </w:r>
            <w:r>
              <w:rPr>
                <w:rFonts w:hint="eastAsia" w:ascii="宋体" w:hAnsi="宋体"/>
                <w:b w:val="0"/>
                <w:bCs w:val="0"/>
                <w:color w:val="auto"/>
                <w:szCs w:val="21"/>
                <w:highlight w:val="none"/>
                <w:lang w:val="en-US" w:eastAsia="zh-CN"/>
              </w:rPr>
              <w:t>8位TTLTrigger 输入，直接支持采集事件相关电位</w:t>
            </w:r>
          </w:p>
          <w:p w14:paraId="66569E6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1.10采用蓝牙无线传输技术，支持在非屏蔽室环境下准确记录脑电信号；传输距离≥30米</w:t>
            </w:r>
          </w:p>
          <w:p w14:paraId="39748135">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1.11 数据支持存储在设备存储卡与电脑中；</w:t>
            </w:r>
          </w:p>
          <w:p w14:paraId="3EDB2FA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1.12 内置可充电电池供电，可满足≥4小时不间断记录，可延长超过≥10小时，避免市电干扰；</w:t>
            </w:r>
          </w:p>
          <w:p w14:paraId="47691476">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1.13 无线轻便设设计，主机重量≤60g；（主机和电池）</w:t>
            </w:r>
          </w:p>
          <w:p w14:paraId="37C8EE4F">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1.14 主机led指示灯：电池状态指示灯：绿，黄，红；无线指示灯：蓝色；</w:t>
            </w:r>
          </w:p>
          <w:p w14:paraId="66A0161D">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二、电极帽系统技术要求</w:t>
            </w:r>
          </w:p>
          <w:p w14:paraId="1C50B940">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可兼容电极：</w:t>
            </w:r>
          </w:p>
          <w:p w14:paraId="0C62806B">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基于Ag/AgCI的被动电极；</w:t>
            </w:r>
          </w:p>
          <w:p w14:paraId="3E3851CA">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Acticap/acticap slim电极</w:t>
            </w:r>
          </w:p>
          <w:p w14:paraId="65FA66A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Xpress Twist主动式干电极</w:t>
            </w:r>
          </w:p>
          <w:p w14:paraId="71D3B41B">
            <w:pPr>
              <w:numPr>
                <w:ilvl w:val="0"/>
                <w:numId w:val="0"/>
              </w:numPr>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盐水电极技术要求</w:t>
            </w:r>
          </w:p>
          <w:p w14:paraId="48749D6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1.放大器必须同时兼容干电极系统、主动电极系统，方便科研项目拓展；</w:t>
            </w:r>
          </w:p>
          <w:p w14:paraId="673659A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2.可直接支持与TMS、fNIRS设备同步采集，无需更换电极系统；</w:t>
            </w:r>
          </w:p>
          <w:p w14:paraId="1D283BB0">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三、主动电极系统技术要求</w:t>
            </w:r>
          </w:p>
          <w:p w14:paraId="2C3080DB">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1.采用高品质Ag/Agcl电极，电极安放位置采用国际标准10-20系统。</w:t>
            </w:r>
          </w:p>
          <w:p w14:paraId="1C39E82A">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2.采用主动电极技术，使用者通过观察电极显示可实时监控到到电极与头皮的接触情况。导电介质为膏状不易挥发也不需要实验中途添加，必须维持1.5-3小时稳定信号。</w:t>
            </w:r>
          </w:p>
          <w:p w14:paraId="759D1EF9">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3.电极为模块式设计，电极坏后单根电极可拆卸设计，替换更为方便；可直接进行更换无需焊接等其他连接。</w:t>
            </w:r>
          </w:p>
          <w:p w14:paraId="0183177A">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4.可根据用户需求设计制作特殊型号电极帽</w:t>
            </w:r>
          </w:p>
          <w:p w14:paraId="0EDA00F0">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5．适合亚洲人的头型设计，多种型号可选择（从新生儿36cm到64cm）</w:t>
            </w:r>
          </w:p>
          <w:p w14:paraId="6A7338A7">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6．可将无线脑电系统中自带的电极座安装在实验室现有的近红外脑成像系统的采集帽上，从而方便脑电电极系统的与近红外脑成像系统的自由组合结合使用，同时电极可兼容与TMS产品进行同步采集。</w:t>
            </w:r>
          </w:p>
          <w:p w14:paraId="6935E3B9">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四、干电极系统技术要求</w:t>
            </w:r>
          </w:p>
          <w:p w14:paraId="32E50EED">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 采用高品质Ag/Agcl电极，电极安放位置采用国际标准10-20系统。</w:t>
            </w:r>
          </w:p>
          <w:p w14:paraId="3A5D323D">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 采用主动电极技术，使用者通过观察电极显示可实时监控到到电极与头皮的接触情况。不需要导电膏，仅在信号不好时，使用少量磨砂膏进行降阻。</w:t>
            </w:r>
          </w:p>
          <w:p w14:paraId="74CD9224">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3.电极为模块式设计，电极坏后可直接进行更换无需焊接等其他连接。</w:t>
            </w:r>
          </w:p>
          <w:p w14:paraId="53F8F2D2">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4.可根据用户需求设计制作特殊型号电极帽</w:t>
            </w:r>
          </w:p>
          <w:p w14:paraId="10A8371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5．适合亚洲人的头型设计，多种型号可选择（从新生儿36cm到64cm）</w:t>
            </w:r>
          </w:p>
          <w:p w14:paraId="1CC046BE">
            <w:pPr>
              <w:numPr>
                <w:ilvl w:val="0"/>
                <w:numId w:val="0"/>
              </w:numPr>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五、刺激与采集软件功能要求</w:t>
            </w:r>
          </w:p>
          <w:p w14:paraId="7F7D5424">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 .刺激软件可自由编程，可实现声音、文字、文本、图片等不同类型的实验程序；</w:t>
            </w:r>
          </w:p>
          <w:p w14:paraId="35AB0638">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2.具有独立的数据采集软件，保证数据采集时可以同时分析其它数据；</w:t>
            </w:r>
          </w:p>
          <w:p w14:paraId="78539FCF">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 采集软件可直接在数据上显示事件相关标记，可自动进行阻抗测试，采用鲜明的颜色区分阻抗的好与坏；</w:t>
            </w:r>
          </w:p>
          <w:p w14:paraId="0522BEC2">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4.可配套提供RDA开发包，支持matlab、python、c、cpp环境下的开发工具；</w:t>
            </w:r>
          </w:p>
          <w:p w14:paraId="21C2420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5 .采集软件自带在线分析功能，可实时观测实验数据，提供选配视频同步采集模块；</w:t>
            </w:r>
          </w:p>
          <w:p w14:paraId="215D2DDB">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6.可自由设置采集软件的相关参数，如导联数量、滤波、基线校准等功能；</w:t>
            </w:r>
          </w:p>
          <w:p w14:paraId="0F70D5E1">
            <w:pPr>
              <w:numPr>
                <w:ilvl w:val="0"/>
                <w:numId w:val="0"/>
              </w:numPr>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六、分析软件功能要求</w:t>
            </w:r>
          </w:p>
          <w:p w14:paraId="1A00AEC1">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1.采用独立的分析软件，保证采集数据不受影响，软件采用加密狗形式进行认证，可直接兼容可读取和处理多种格式的脑电数据，如十进制文本、ASCII类型等超过25种数据格式；</w:t>
            </w:r>
          </w:p>
          <w:p w14:paraId="3B2A2B1F">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2.具备眼动伪迹函数校正、基线自动校正、ICA/PCA、FFT、小波变换、叠加平均、参考电极更换、滤波、二维脑电地形图制作等功能；</w:t>
            </w:r>
          </w:p>
          <w:p w14:paraId="7D787222">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3.软件提供三维脑地形图，支持修正核磁干扰、修正TMS干扰、修正心电干扰等功能；</w:t>
            </w:r>
          </w:p>
          <w:p w14:paraId="7394F5E8">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4.模块化结构的脑事件相关电位分析软件，可提供时域、频域、时频域的各种数据分析模式；</w:t>
            </w:r>
          </w:p>
          <w:p w14:paraId="30E2E042">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5.分析软件直接集成Loreta源定位算法，并可实时与Matlab相互转换</w:t>
            </w:r>
          </w:p>
          <w:p w14:paraId="6639C4AE">
            <w:pPr>
              <w:numPr>
                <w:ilvl w:val="0"/>
                <w:numId w:val="0"/>
              </w:numP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6.采用“History trees”记录方式，可自动记录数据处理的每个操作，并可基于这些操作生产操作模版，能自动此模版进行数据批处理，树状结构软件界面提供产品截图；</w:t>
            </w:r>
          </w:p>
          <w:p w14:paraId="19E9162F">
            <w:pPr>
              <w:numPr>
                <w:ilvl w:val="0"/>
                <w:numId w:val="0"/>
              </w:numPr>
              <w:ind w:left="0" w:leftChars="0" w:firstLine="0" w:firstLineChars="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7.兼容世界多种厂家EEG/ERP数据分析，便于学术交流；</w:t>
            </w:r>
          </w:p>
          <w:p w14:paraId="3C24FA05">
            <w:pPr>
              <w:numPr>
                <w:ilvl w:val="0"/>
                <w:numId w:val="0"/>
              </w:numPr>
              <w:ind w:left="0" w:leftChars="0" w:firstLine="0" w:firstLineChars="0"/>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七、配置要求</w:t>
            </w:r>
          </w:p>
          <w:p w14:paraId="052606D5">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1、64通道无线放大器 1套</w:t>
            </w:r>
          </w:p>
          <w:p w14:paraId="64F9D7ED">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2、32通道电极</w:t>
            </w:r>
            <w:r>
              <w:rPr>
                <w:rFonts w:hint="default" w:ascii="宋体" w:hAnsi="宋体"/>
                <w:b w:val="0"/>
                <w:bCs w:val="0"/>
                <w:color w:val="auto"/>
                <w:szCs w:val="21"/>
                <w:highlight w:val="none"/>
                <w:lang w:val="en-US" w:eastAsia="zh-CN"/>
              </w:rPr>
              <w:tab/>
            </w:r>
            <w:r>
              <w:rPr>
                <w:rFonts w:hint="eastAsia" w:ascii="宋体" w:hAnsi="宋体"/>
                <w:b w:val="0"/>
                <w:bCs w:val="0"/>
                <w:color w:val="auto"/>
                <w:szCs w:val="21"/>
                <w:highlight w:val="none"/>
                <w:lang w:val="en-US" w:eastAsia="zh-CN"/>
              </w:rPr>
              <w:t xml:space="preserve">    </w:t>
            </w:r>
            <w:r>
              <w:rPr>
                <w:rFonts w:hint="default" w:ascii="宋体" w:hAnsi="宋体"/>
                <w:b w:val="0"/>
                <w:bCs w:val="0"/>
                <w:color w:val="auto"/>
                <w:szCs w:val="21"/>
                <w:highlight w:val="none"/>
                <w:lang w:val="en-US" w:eastAsia="zh-CN"/>
              </w:rPr>
              <w:t>2套</w:t>
            </w:r>
          </w:p>
          <w:p w14:paraId="16B177E4">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3、帽子皮</w:t>
            </w:r>
            <w:r>
              <w:rPr>
                <w:rFonts w:hint="default" w:ascii="宋体" w:hAnsi="宋体"/>
                <w:b w:val="0"/>
                <w:bCs w:val="0"/>
                <w:color w:val="auto"/>
                <w:szCs w:val="21"/>
                <w:highlight w:val="none"/>
                <w:lang w:val="en-US" w:eastAsia="zh-CN"/>
              </w:rPr>
              <w:tab/>
            </w:r>
            <w:r>
              <w:rPr>
                <w:rFonts w:hint="default" w:ascii="宋体" w:hAnsi="宋体"/>
                <w:b w:val="0"/>
                <w:bCs w:val="0"/>
                <w:color w:val="auto"/>
                <w:szCs w:val="21"/>
                <w:highlight w:val="none"/>
                <w:lang w:val="en-US" w:eastAsia="zh-CN"/>
              </w:rPr>
              <w:t xml:space="preserve">     </w:t>
            </w:r>
            <w:r>
              <w:rPr>
                <w:rFonts w:hint="eastAsia" w:ascii="宋体" w:hAnsi="宋体"/>
                <w:b w:val="0"/>
                <w:bCs w:val="0"/>
                <w:color w:val="auto"/>
                <w:szCs w:val="21"/>
                <w:highlight w:val="none"/>
                <w:lang w:val="en-US" w:eastAsia="zh-CN"/>
              </w:rPr>
              <w:t xml:space="preserve">   </w:t>
            </w:r>
            <w:r>
              <w:rPr>
                <w:rFonts w:hint="default" w:ascii="宋体" w:hAnsi="宋体"/>
                <w:b w:val="0"/>
                <w:bCs w:val="0"/>
                <w:color w:val="auto"/>
                <w:szCs w:val="21"/>
                <w:highlight w:val="none"/>
                <w:lang w:val="en-US" w:eastAsia="zh-CN"/>
              </w:rPr>
              <w:t>2顶</w:t>
            </w:r>
          </w:p>
          <w:p w14:paraId="2E3C138B">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4、32G SD卡</w:t>
            </w:r>
            <w:r>
              <w:rPr>
                <w:rFonts w:hint="eastAsia" w:ascii="宋体" w:hAnsi="宋体"/>
                <w:b w:val="0"/>
                <w:bCs w:val="0"/>
                <w:color w:val="auto"/>
                <w:szCs w:val="21"/>
                <w:highlight w:val="none"/>
                <w:lang w:val="en-US" w:eastAsia="zh-CN"/>
              </w:rPr>
              <w:t xml:space="preserve">     </w:t>
            </w:r>
            <w:r>
              <w:rPr>
                <w:rFonts w:hint="default" w:ascii="宋体" w:hAnsi="宋体"/>
                <w:b w:val="0"/>
                <w:bCs w:val="0"/>
                <w:color w:val="auto"/>
                <w:szCs w:val="21"/>
                <w:highlight w:val="none"/>
                <w:lang w:val="en-US" w:eastAsia="zh-CN"/>
              </w:rPr>
              <w:tab/>
            </w:r>
            <w:r>
              <w:rPr>
                <w:rFonts w:hint="default" w:ascii="宋体" w:hAnsi="宋体"/>
                <w:b w:val="0"/>
                <w:bCs w:val="0"/>
                <w:color w:val="auto"/>
                <w:szCs w:val="21"/>
                <w:highlight w:val="none"/>
                <w:lang w:val="en-US" w:eastAsia="zh-CN"/>
              </w:rPr>
              <w:t>1张</w:t>
            </w:r>
          </w:p>
          <w:p w14:paraId="6B1BB924">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5、USB-蓝牙适配器</w:t>
            </w:r>
            <w:r>
              <w:rPr>
                <w:rFonts w:hint="default" w:ascii="宋体" w:hAnsi="宋体"/>
                <w:b w:val="0"/>
                <w:bCs w:val="0"/>
                <w:color w:val="auto"/>
                <w:szCs w:val="21"/>
                <w:highlight w:val="none"/>
                <w:lang w:val="en-US" w:eastAsia="zh-CN"/>
              </w:rPr>
              <w:tab/>
            </w:r>
            <w:r>
              <w:rPr>
                <w:rFonts w:hint="default" w:ascii="宋体" w:hAnsi="宋体"/>
                <w:b w:val="0"/>
                <w:bCs w:val="0"/>
                <w:color w:val="auto"/>
                <w:szCs w:val="21"/>
                <w:highlight w:val="none"/>
                <w:lang w:val="en-US" w:eastAsia="zh-CN"/>
              </w:rPr>
              <w:t>1个</w:t>
            </w:r>
          </w:p>
          <w:p w14:paraId="0C87D10F">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6、充电器</w:t>
            </w:r>
            <w:r>
              <w:rPr>
                <w:rFonts w:hint="default" w:ascii="宋体" w:hAnsi="宋体"/>
                <w:b w:val="0"/>
                <w:bCs w:val="0"/>
                <w:color w:val="auto"/>
                <w:szCs w:val="21"/>
                <w:highlight w:val="none"/>
                <w:lang w:val="en-US" w:eastAsia="zh-CN"/>
              </w:rPr>
              <w:tab/>
            </w:r>
            <w:r>
              <w:rPr>
                <w:rFonts w:hint="default" w:ascii="宋体" w:hAnsi="宋体"/>
                <w:b w:val="0"/>
                <w:bCs w:val="0"/>
                <w:color w:val="auto"/>
                <w:szCs w:val="21"/>
                <w:highlight w:val="none"/>
                <w:lang w:val="en-US" w:eastAsia="zh-CN"/>
              </w:rPr>
              <w:t xml:space="preserve">        1个</w:t>
            </w:r>
          </w:p>
          <w:p w14:paraId="40B7617E">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7、软件安装U盘</w:t>
            </w:r>
            <w:r>
              <w:rPr>
                <w:rFonts w:hint="default" w:ascii="宋体" w:hAnsi="宋体"/>
                <w:b w:val="0"/>
                <w:bCs w:val="0"/>
                <w:color w:val="auto"/>
                <w:szCs w:val="21"/>
                <w:highlight w:val="none"/>
                <w:lang w:val="en-US" w:eastAsia="zh-CN"/>
              </w:rPr>
              <w:tab/>
            </w:r>
            <w:r>
              <w:rPr>
                <w:rFonts w:hint="eastAsia" w:ascii="宋体" w:hAnsi="宋体"/>
                <w:b w:val="0"/>
                <w:bCs w:val="0"/>
                <w:color w:val="auto"/>
                <w:szCs w:val="21"/>
                <w:highlight w:val="none"/>
                <w:lang w:val="en-US" w:eastAsia="zh-CN"/>
              </w:rPr>
              <w:t xml:space="preserve">    </w:t>
            </w:r>
            <w:r>
              <w:rPr>
                <w:rFonts w:hint="default" w:ascii="宋体" w:hAnsi="宋体"/>
                <w:b w:val="0"/>
                <w:bCs w:val="0"/>
                <w:color w:val="auto"/>
                <w:szCs w:val="21"/>
                <w:highlight w:val="none"/>
                <w:lang w:val="en-US" w:eastAsia="zh-CN"/>
              </w:rPr>
              <w:t>1个</w:t>
            </w:r>
          </w:p>
          <w:p w14:paraId="137C58C7">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8、采集软件加密狗</w:t>
            </w:r>
            <w:r>
              <w:rPr>
                <w:rFonts w:hint="default" w:ascii="宋体" w:hAnsi="宋体"/>
                <w:b w:val="0"/>
                <w:bCs w:val="0"/>
                <w:color w:val="auto"/>
                <w:szCs w:val="21"/>
                <w:highlight w:val="none"/>
                <w:lang w:val="en-US" w:eastAsia="zh-CN"/>
              </w:rPr>
              <w:tab/>
            </w:r>
            <w:r>
              <w:rPr>
                <w:rFonts w:hint="default" w:ascii="宋体" w:hAnsi="宋体"/>
                <w:b w:val="0"/>
                <w:bCs w:val="0"/>
                <w:color w:val="auto"/>
                <w:szCs w:val="21"/>
                <w:highlight w:val="none"/>
                <w:lang w:val="en-US" w:eastAsia="zh-CN"/>
              </w:rPr>
              <w:t>1个</w:t>
            </w:r>
          </w:p>
          <w:p w14:paraId="31EDA93C">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9、分析软件加密狗</w:t>
            </w:r>
            <w:r>
              <w:rPr>
                <w:rFonts w:hint="default" w:ascii="宋体" w:hAnsi="宋体"/>
                <w:b w:val="0"/>
                <w:bCs w:val="0"/>
                <w:color w:val="auto"/>
                <w:szCs w:val="21"/>
                <w:highlight w:val="none"/>
                <w:lang w:val="en-US" w:eastAsia="zh-CN"/>
              </w:rPr>
              <w:tab/>
            </w:r>
            <w:r>
              <w:rPr>
                <w:rFonts w:hint="default" w:ascii="宋体" w:hAnsi="宋体"/>
                <w:b w:val="0"/>
                <w:bCs w:val="0"/>
                <w:color w:val="auto"/>
                <w:szCs w:val="21"/>
                <w:highlight w:val="none"/>
                <w:lang w:val="en-US" w:eastAsia="zh-CN"/>
              </w:rPr>
              <w:t>1个</w:t>
            </w:r>
          </w:p>
          <w:p w14:paraId="1930EC1A">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10、刺激软件加密狗</w:t>
            </w:r>
            <w:r>
              <w:rPr>
                <w:rFonts w:hint="default" w:ascii="宋体" w:hAnsi="宋体"/>
                <w:b w:val="0"/>
                <w:bCs w:val="0"/>
                <w:color w:val="auto"/>
                <w:szCs w:val="21"/>
                <w:highlight w:val="none"/>
                <w:lang w:val="en-US" w:eastAsia="zh-CN"/>
              </w:rPr>
              <w:tab/>
            </w:r>
            <w:r>
              <w:rPr>
                <w:rFonts w:hint="default" w:ascii="宋体" w:hAnsi="宋体"/>
                <w:b w:val="0"/>
                <w:bCs w:val="0"/>
                <w:color w:val="auto"/>
                <w:szCs w:val="21"/>
                <w:highlight w:val="none"/>
                <w:lang w:val="en-US" w:eastAsia="zh-CN"/>
              </w:rPr>
              <w:t>1个</w:t>
            </w:r>
          </w:p>
          <w:p w14:paraId="517B48FE">
            <w:pPr>
              <w:numPr>
                <w:ilvl w:val="0"/>
                <w:numId w:val="0"/>
              </w:numPr>
              <w:ind w:left="0" w:leftChars="0" w:firstLine="0" w:firstLineChars="0"/>
              <w:rPr>
                <w:rFonts w:hint="default" w:ascii="宋体" w:hAnsi="宋体"/>
                <w:b w:val="0"/>
                <w:bCs w:val="0"/>
                <w:color w:val="auto"/>
                <w:szCs w:val="21"/>
                <w:highlight w:val="none"/>
                <w:lang w:val="en-US" w:eastAsia="zh-CN"/>
              </w:rPr>
            </w:pPr>
            <w:r>
              <w:rPr>
                <w:rFonts w:hint="default" w:ascii="宋体" w:hAnsi="宋体"/>
                <w:b w:val="0"/>
                <w:bCs w:val="0"/>
                <w:color w:val="auto"/>
                <w:szCs w:val="21"/>
                <w:highlight w:val="none"/>
                <w:lang w:val="en-US" w:eastAsia="zh-CN"/>
              </w:rPr>
              <w:t>11、便携箱</w:t>
            </w:r>
            <w:r>
              <w:rPr>
                <w:rFonts w:hint="default" w:ascii="宋体" w:hAnsi="宋体"/>
                <w:b w:val="0"/>
                <w:bCs w:val="0"/>
                <w:color w:val="auto"/>
                <w:szCs w:val="21"/>
                <w:highlight w:val="none"/>
                <w:lang w:val="en-US" w:eastAsia="zh-CN"/>
              </w:rPr>
              <w:tab/>
            </w:r>
            <w:r>
              <w:rPr>
                <w:rFonts w:hint="eastAsia" w:ascii="宋体" w:hAnsi="宋体"/>
                <w:b w:val="0"/>
                <w:bCs w:val="0"/>
                <w:color w:val="auto"/>
                <w:szCs w:val="21"/>
                <w:highlight w:val="none"/>
                <w:lang w:val="en-US" w:eastAsia="zh-CN"/>
              </w:rPr>
              <w:t xml:space="preserve">        </w:t>
            </w:r>
            <w:r>
              <w:rPr>
                <w:rFonts w:hint="default" w:ascii="宋体" w:hAnsi="宋体"/>
                <w:b w:val="0"/>
                <w:bCs w:val="0"/>
                <w:color w:val="auto"/>
                <w:szCs w:val="21"/>
                <w:highlight w:val="none"/>
                <w:lang w:val="en-US" w:eastAsia="zh-CN"/>
              </w:rPr>
              <w:t>1个</w:t>
            </w:r>
          </w:p>
          <w:p w14:paraId="4A6A496E">
            <w:pPr>
              <w:numPr>
                <w:ilvl w:val="0"/>
                <w:numId w:val="0"/>
              </w:numPr>
              <w:ind w:left="0" w:leftChars="0" w:firstLine="0" w:firstLineChars="0"/>
              <w:rPr>
                <w:rFonts w:hint="eastAsia" w:ascii="Times New Roman" w:hAnsi="Times New Roman" w:eastAsia="宋体" w:cs="Times New Roman"/>
                <w:b w:val="0"/>
                <w:bCs w:val="0"/>
                <w:color w:val="auto"/>
                <w:kern w:val="2"/>
                <w:sz w:val="24"/>
                <w:szCs w:val="24"/>
                <w:highlight w:val="none"/>
                <w:lang w:val="en-US" w:eastAsia="zh-CN" w:bidi="ar-SA"/>
              </w:rPr>
            </w:pPr>
            <w:r>
              <w:rPr>
                <w:rFonts w:hint="default" w:ascii="宋体" w:hAnsi="宋体"/>
                <w:b w:val="0"/>
                <w:bCs w:val="0"/>
                <w:color w:val="auto"/>
                <w:szCs w:val="21"/>
                <w:highlight w:val="none"/>
                <w:lang w:val="en-US" w:eastAsia="zh-CN"/>
              </w:rPr>
              <w:t>12、工作站          1套</w:t>
            </w:r>
          </w:p>
        </w:tc>
        <w:tc>
          <w:tcPr>
            <w:tcW w:w="348" w:type="pct"/>
            <w:noWrap w:val="0"/>
            <w:vAlign w:val="center"/>
          </w:tcPr>
          <w:p w14:paraId="43F9D74A">
            <w:pPr>
              <w:pStyle w:val="58"/>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p>
        </w:tc>
        <w:tc>
          <w:tcPr>
            <w:tcW w:w="349" w:type="pct"/>
            <w:noWrap w:val="0"/>
            <w:vAlign w:val="center"/>
          </w:tcPr>
          <w:p w14:paraId="6F4DCE3D">
            <w:pPr>
              <w:pStyle w:val="58"/>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套</w:t>
            </w:r>
          </w:p>
        </w:tc>
      </w:tr>
      <w:bookmarkEnd w:id="10"/>
    </w:tbl>
    <w:p w14:paraId="78DC7F10">
      <w:pPr>
        <w:spacing w:line="360" w:lineRule="auto"/>
        <w:jc w:val="both"/>
        <w:rPr>
          <w:rFonts w:hint="eastAsia" w:ascii="黑体" w:hAnsi="宋体" w:eastAsia="黑体"/>
          <w:b/>
          <w:color w:val="auto"/>
          <w:sz w:val="28"/>
          <w:szCs w:val="28"/>
          <w:highlight w:val="none"/>
          <w:lang w:val="en-US" w:eastAsia="zh-CN"/>
        </w:rPr>
      </w:pPr>
    </w:p>
    <w:p w14:paraId="468A46C4">
      <w:pPr>
        <w:spacing w:line="360" w:lineRule="auto"/>
        <w:jc w:val="both"/>
        <w:rPr>
          <w:rFonts w:hint="eastAsia" w:ascii="黑体" w:hAnsi="宋体" w:eastAsia="黑体"/>
          <w:b/>
          <w:color w:val="auto"/>
          <w:sz w:val="28"/>
          <w:szCs w:val="28"/>
          <w:highlight w:val="none"/>
          <w:lang w:val="en-US" w:eastAsia="zh-CN"/>
        </w:rPr>
      </w:pPr>
      <w:r>
        <w:rPr>
          <w:rFonts w:hint="eastAsia" w:ascii="黑体" w:hAnsi="宋体" w:eastAsia="黑体"/>
          <w:b/>
          <w:color w:val="auto"/>
          <w:sz w:val="28"/>
          <w:szCs w:val="28"/>
          <w:highlight w:val="none"/>
          <w:lang w:val="en-US" w:eastAsia="zh-CN"/>
        </w:rPr>
        <w:t>注：以上参数为实质性参数不接受负偏离，否则投标将被否决。</w:t>
      </w:r>
    </w:p>
    <w:p w14:paraId="3276194F">
      <w:pPr>
        <w:spacing w:line="360" w:lineRule="auto"/>
        <w:jc w:val="both"/>
        <w:rPr>
          <w:rFonts w:hint="eastAsia" w:ascii="黑体" w:hAnsi="宋体" w:eastAsia="黑体"/>
          <w:b/>
          <w:color w:val="auto"/>
          <w:sz w:val="36"/>
          <w:szCs w:val="36"/>
          <w:highlight w:val="none"/>
          <w:lang w:val="en-US" w:eastAsia="zh-CN"/>
        </w:rPr>
      </w:pPr>
    </w:p>
    <w:p w14:paraId="04F6328E">
      <w:pPr>
        <w:spacing w:line="360" w:lineRule="auto"/>
        <w:jc w:val="both"/>
        <w:rPr>
          <w:rFonts w:hint="eastAsia" w:ascii="黑体" w:hAnsi="宋体" w:eastAsia="黑体"/>
          <w:b/>
          <w:color w:val="auto"/>
          <w:sz w:val="36"/>
          <w:szCs w:val="36"/>
          <w:highlight w:val="none"/>
        </w:rPr>
      </w:pPr>
    </w:p>
    <w:p w14:paraId="6F6C8D86">
      <w:pPr>
        <w:spacing w:line="360" w:lineRule="auto"/>
        <w:jc w:val="both"/>
        <w:rPr>
          <w:rFonts w:hint="eastAsia" w:ascii="黑体" w:hAnsi="宋体" w:eastAsia="黑体"/>
          <w:b/>
          <w:color w:val="auto"/>
          <w:sz w:val="36"/>
          <w:szCs w:val="36"/>
          <w:highlight w:val="none"/>
        </w:rPr>
      </w:pPr>
    </w:p>
    <w:p w14:paraId="68ACAD6D">
      <w:pPr>
        <w:spacing w:line="360" w:lineRule="auto"/>
        <w:jc w:val="both"/>
        <w:rPr>
          <w:rFonts w:hint="eastAsia" w:ascii="黑体" w:hAnsi="宋体" w:eastAsia="黑体"/>
          <w:b/>
          <w:color w:val="auto"/>
          <w:sz w:val="36"/>
          <w:szCs w:val="36"/>
          <w:highlight w:val="none"/>
        </w:rPr>
      </w:pPr>
    </w:p>
    <w:p w14:paraId="6BB24FA0">
      <w:pPr>
        <w:spacing w:line="360" w:lineRule="auto"/>
        <w:jc w:val="both"/>
        <w:rPr>
          <w:rFonts w:hint="eastAsia" w:ascii="黑体" w:hAnsi="宋体" w:eastAsia="黑体"/>
          <w:b/>
          <w:color w:val="auto"/>
          <w:sz w:val="36"/>
          <w:szCs w:val="36"/>
          <w:highlight w:val="none"/>
        </w:rPr>
      </w:pPr>
    </w:p>
    <w:p w14:paraId="174D1093">
      <w:pPr>
        <w:spacing w:line="360" w:lineRule="auto"/>
        <w:jc w:val="both"/>
        <w:rPr>
          <w:rFonts w:hint="eastAsia" w:ascii="黑体" w:hAnsi="宋体" w:eastAsia="黑体"/>
          <w:b/>
          <w:color w:val="auto"/>
          <w:sz w:val="36"/>
          <w:szCs w:val="36"/>
          <w:highlight w:val="none"/>
        </w:rPr>
      </w:pPr>
    </w:p>
    <w:p w14:paraId="646BD023">
      <w:pPr>
        <w:spacing w:line="360" w:lineRule="auto"/>
        <w:jc w:val="both"/>
        <w:rPr>
          <w:rFonts w:hint="eastAsia" w:ascii="黑体" w:hAnsi="宋体" w:eastAsia="黑体"/>
          <w:b/>
          <w:color w:val="auto"/>
          <w:sz w:val="36"/>
          <w:szCs w:val="36"/>
          <w:highlight w:val="none"/>
        </w:rPr>
      </w:pPr>
    </w:p>
    <w:p w14:paraId="55DEFB1D">
      <w:pPr>
        <w:spacing w:line="360" w:lineRule="auto"/>
        <w:jc w:val="both"/>
        <w:rPr>
          <w:rFonts w:hint="eastAsia" w:ascii="黑体" w:hAnsi="宋体" w:eastAsia="黑体"/>
          <w:b/>
          <w:color w:val="auto"/>
          <w:sz w:val="36"/>
          <w:szCs w:val="36"/>
          <w:highlight w:val="none"/>
        </w:rPr>
      </w:pPr>
    </w:p>
    <w:p w14:paraId="7F4B0F11">
      <w:pPr>
        <w:spacing w:line="360" w:lineRule="auto"/>
        <w:jc w:val="both"/>
        <w:rPr>
          <w:rFonts w:hint="eastAsia" w:ascii="黑体" w:hAnsi="宋体" w:eastAsia="黑体"/>
          <w:b/>
          <w:color w:val="auto"/>
          <w:sz w:val="36"/>
          <w:szCs w:val="36"/>
          <w:highlight w:val="none"/>
        </w:rPr>
      </w:pPr>
    </w:p>
    <w:p w14:paraId="6EBA7EDD">
      <w:pPr>
        <w:spacing w:line="360" w:lineRule="auto"/>
        <w:jc w:val="both"/>
        <w:rPr>
          <w:rFonts w:hint="eastAsia" w:ascii="黑体" w:hAnsi="宋体" w:eastAsia="黑体"/>
          <w:b/>
          <w:color w:val="auto"/>
          <w:sz w:val="36"/>
          <w:szCs w:val="36"/>
          <w:highlight w:val="none"/>
        </w:rPr>
      </w:pPr>
    </w:p>
    <w:p w14:paraId="0063B07E">
      <w:pPr>
        <w:spacing w:line="360" w:lineRule="auto"/>
        <w:jc w:val="both"/>
        <w:rPr>
          <w:rFonts w:hint="eastAsia" w:ascii="黑体" w:hAnsi="宋体" w:eastAsia="黑体"/>
          <w:b/>
          <w:color w:val="auto"/>
          <w:sz w:val="36"/>
          <w:szCs w:val="36"/>
          <w:highlight w:val="none"/>
        </w:rPr>
      </w:pPr>
    </w:p>
    <w:p w14:paraId="0CAD8871">
      <w:pPr>
        <w:spacing w:line="360" w:lineRule="auto"/>
        <w:jc w:val="both"/>
        <w:rPr>
          <w:rFonts w:hint="eastAsia" w:ascii="黑体" w:hAnsi="宋体" w:eastAsia="黑体"/>
          <w:b/>
          <w:color w:val="auto"/>
          <w:sz w:val="36"/>
          <w:szCs w:val="36"/>
          <w:highlight w:val="none"/>
        </w:rPr>
      </w:pPr>
    </w:p>
    <w:p w14:paraId="1234CFA8">
      <w:pPr>
        <w:spacing w:line="360" w:lineRule="auto"/>
        <w:jc w:val="both"/>
        <w:rPr>
          <w:rFonts w:hint="eastAsia" w:ascii="黑体" w:hAnsi="宋体" w:eastAsia="黑体"/>
          <w:b/>
          <w:color w:val="auto"/>
          <w:sz w:val="36"/>
          <w:szCs w:val="36"/>
          <w:highlight w:val="none"/>
        </w:rPr>
      </w:pPr>
    </w:p>
    <w:p w14:paraId="2285F8A8">
      <w:pPr>
        <w:spacing w:line="360" w:lineRule="auto"/>
        <w:jc w:val="both"/>
        <w:rPr>
          <w:rFonts w:hint="eastAsia" w:ascii="黑体" w:hAnsi="宋体" w:eastAsia="黑体"/>
          <w:b/>
          <w:color w:val="auto"/>
          <w:sz w:val="36"/>
          <w:szCs w:val="36"/>
          <w:highlight w:val="none"/>
        </w:rPr>
      </w:pPr>
    </w:p>
    <w:p w14:paraId="4E23C81B">
      <w:pPr>
        <w:spacing w:line="360" w:lineRule="auto"/>
        <w:jc w:val="both"/>
        <w:rPr>
          <w:rFonts w:hint="eastAsia" w:ascii="黑体" w:hAnsi="宋体" w:eastAsia="黑体"/>
          <w:b/>
          <w:color w:val="auto"/>
          <w:sz w:val="36"/>
          <w:szCs w:val="36"/>
          <w:highlight w:val="none"/>
        </w:rPr>
      </w:pPr>
    </w:p>
    <w:p w14:paraId="22A7ED81">
      <w:pPr>
        <w:spacing w:line="360" w:lineRule="auto"/>
        <w:jc w:val="both"/>
        <w:rPr>
          <w:rFonts w:hint="eastAsia" w:ascii="黑体" w:hAnsi="宋体" w:eastAsia="黑体"/>
          <w:b/>
          <w:color w:val="auto"/>
          <w:sz w:val="36"/>
          <w:szCs w:val="36"/>
          <w:highlight w:val="none"/>
        </w:rPr>
      </w:pPr>
    </w:p>
    <w:p w14:paraId="72FDB86F">
      <w:pPr>
        <w:spacing w:line="360" w:lineRule="auto"/>
        <w:jc w:val="both"/>
        <w:rPr>
          <w:rFonts w:hint="eastAsia" w:ascii="黑体" w:hAnsi="宋体" w:eastAsia="黑体"/>
          <w:b/>
          <w:color w:val="auto"/>
          <w:sz w:val="36"/>
          <w:szCs w:val="36"/>
          <w:highlight w:val="none"/>
        </w:rPr>
      </w:pPr>
    </w:p>
    <w:p w14:paraId="5923131C">
      <w:pPr>
        <w:spacing w:line="360" w:lineRule="auto"/>
        <w:jc w:val="both"/>
        <w:rPr>
          <w:rFonts w:hint="eastAsia" w:ascii="黑体" w:hAnsi="宋体" w:eastAsia="黑体"/>
          <w:b/>
          <w:color w:val="auto"/>
          <w:sz w:val="36"/>
          <w:szCs w:val="36"/>
          <w:highlight w:val="none"/>
        </w:rPr>
      </w:pPr>
    </w:p>
    <w:p w14:paraId="3F874FC5">
      <w:pPr>
        <w:spacing w:line="360" w:lineRule="auto"/>
        <w:jc w:val="both"/>
        <w:rPr>
          <w:rFonts w:hint="eastAsia" w:ascii="黑体" w:hAnsi="宋体" w:eastAsia="黑体"/>
          <w:b/>
          <w:color w:val="auto"/>
          <w:sz w:val="36"/>
          <w:szCs w:val="36"/>
          <w:highlight w:val="none"/>
        </w:rPr>
      </w:pPr>
    </w:p>
    <w:p w14:paraId="061BC510">
      <w:pPr>
        <w:spacing w:line="360" w:lineRule="auto"/>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第六章 投标文件构成及格式</w:t>
      </w:r>
    </w:p>
    <w:p w14:paraId="0DD18D7A">
      <w:pPr>
        <w:spacing w:line="360" w:lineRule="auto"/>
        <w:ind w:left="420"/>
        <w:jc w:val="center"/>
        <w:rPr>
          <w:rFonts w:ascii="仿宋_GB2312" w:hAnsi="宋体" w:eastAsia="仿宋_GB2312"/>
          <w:color w:val="auto"/>
          <w:sz w:val="24"/>
          <w:highlight w:val="none"/>
        </w:rPr>
      </w:pPr>
    </w:p>
    <w:p w14:paraId="2A877C45">
      <w:pPr>
        <w:pStyle w:val="14"/>
        <w:spacing w:line="360" w:lineRule="auto"/>
        <w:outlineLvl w:val="0"/>
        <w:rPr>
          <w:rFonts w:ascii="宋体" w:hAnsi="宋体" w:cs="宋体"/>
          <w:bCs/>
          <w:color w:val="auto"/>
          <w:szCs w:val="24"/>
          <w:highlight w:val="none"/>
        </w:rPr>
      </w:pPr>
      <w:r>
        <w:rPr>
          <w:rFonts w:hint="eastAsia" w:ascii="宋体" w:hAnsi="宋体" w:cs="宋体"/>
          <w:bCs/>
          <w:color w:val="auto"/>
          <w:szCs w:val="24"/>
          <w:highlight w:val="none"/>
        </w:rPr>
        <w:t>采购人特别声明：</w:t>
      </w:r>
    </w:p>
    <w:p w14:paraId="5117AAE1">
      <w:pPr>
        <w:pStyle w:val="38"/>
        <w:ind w:firstLine="480"/>
        <w:rPr>
          <w:rFonts w:ascii="宋体" w:hAnsi="宋体" w:cs="宋体"/>
          <w:color w:val="auto"/>
          <w:sz w:val="24"/>
          <w:highlight w:val="none"/>
        </w:rPr>
      </w:pPr>
      <w:r>
        <w:rPr>
          <w:rFonts w:hint="eastAsia" w:ascii="宋体" w:hAnsi="宋体" w:cs="宋体"/>
          <w:color w:val="auto"/>
          <w:sz w:val="24"/>
          <w:highlight w:val="none"/>
        </w:rPr>
        <w:t>投标人应提交本“投标文件格式”所列举和要求的全部投标文件，并且所提交的投标文件都是真实有效的，否则，将是投标人的风险。</w:t>
      </w:r>
    </w:p>
    <w:p w14:paraId="46FF4C9F">
      <w:pPr>
        <w:spacing w:line="360" w:lineRule="auto"/>
        <w:rPr>
          <w:rFonts w:ascii="宋体" w:hAnsi="宋体" w:cs="宋体"/>
          <w:b/>
          <w:color w:val="auto"/>
          <w:sz w:val="24"/>
          <w:szCs w:val="28"/>
          <w:highlight w:val="none"/>
        </w:rPr>
      </w:pPr>
      <w:r>
        <w:rPr>
          <w:rFonts w:hint="eastAsia" w:ascii="宋体" w:hAnsi="宋体" w:cs="宋体"/>
          <w:b/>
          <w:color w:val="auto"/>
          <w:sz w:val="24"/>
          <w:szCs w:val="28"/>
          <w:highlight w:val="none"/>
        </w:rPr>
        <w:t>格式一：</w:t>
      </w:r>
    </w:p>
    <w:p w14:paraId="6AED169F">
      <w:pPr>
        <w:spacing w:line="360" w:lineRule="auto"/>
        <w:jc w:val="center"/>
        <w:rPr>
          <w:rFonts w:ascii="宋体" w:hAnsi="宋体" w:cs="宋体"/>
          <w:b/>
          <w:color w:val="auto"/>
          <w:sz w:val="24"/>
          <w:szCs w:val="28"/>
          <w:highlight w:val="none"/>
        </w:rPr>
      </w:pPr>
      <w:r>
        <w:rPr>
          <w:rFonts w:hint="eastAsia" w:ascii="宋体" w:hAnsi="宋体" w:cs="宋体"/>
          <w:b/>
          <w:bCs/>
          <w:color w:val="auto"/>
          <w:sz w:val="24"/>
          <w:szCs w:val="28"/>
          <w:highlight w:val="none"/>
        </w:rPr>
        <w:t>开标一览表（格式）</w:t>
      </w:r>
    </w:p>
    <w:p w14:paraId="4FBB009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项目名称：</w:t>
      </w:r>
    </w:p>
    <w:p w14:paraId="276F4F7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项目编号：</w:t>
      </w:r>
    </w:p>
    <w:p w14:paraId="55748A21">
      <w:pPr>
        <w:adjustRightInd w:val="0"/>
        <w:snapToGrid w:val="0"/>
        <w:spacing w:line="360" w:lineRule="auto"/>
        <w:ind w:firstLine="480" w:firstLineChars="200"/>
        <w:rPr>
          <w:rFonts w:ascii="宋体"/>
          <w:color w:val="auto"/>
          <w:sz w:val="24"/>
          <w:highlight w:val="none"/>
          <w:u w:val="single"/>
        </w:rPr>
      </w:pPr>
      <w:r>
        <w:rPr>
          <w:rFonts w:hint="eastAsia" w:ascii="宋体"/>
          <w:color w:val="auto"/>
          <w:sz w:val="24"/>
          <w:highlight w:val="none"/>
        </w:rPr>
        <w:t>投标人名称（盖章）：</w:t>
      </w:r>
    </w:p>
    <w:p w14:paraId="5E02E34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49265A9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或授权代表（签字）</w:t>
      </w:r>
      <w:r>
        <w:rPr>
          <w:rFonts w:hint="eastAsia" w:ascii="宋体"/>
          <w:color w:val="auto"/>
          <w:sz w:val="24"/>
          <w:highlight w:val="none"/>
        </w:rPr>
        <w:t>：</w:t>
      </w:r>
    </w:p>
    <w:p w14:paraId="59E43691">
      <w:pPr>
        <w:spacing w:line="360" w:lineRule="auto"/>
        <w:rPr>
          <w:rFonts w:ascii="宋体" w:hAnsi="宋体" w:cs="宋体"/>
          <w:bCs/>
          <w:color w:val="auto"/>
          <w:sz w:val="24"/>
          <w:highlight w:val="none"/>
        </w:rPr>
      </w:pPr>
    </w:p>
    <w:p w14:paraId="6E4DFE0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   年    月   日               包：                   货币单位:</w:t>
      </w:r>
      <w:r>
        <w:rPr>
          <w:rFonts w:hint="eastAsia" w:ascii="宋体" w:hAnsi="宋体" w:cs="宋体"/>
          <w:b/>
          <w:bCs/>
          <w:i/>
          <w:color w:val="auto"/>
          <w:sz w:val="24"/>
          <w:highlight w:val="none"/>
          <w:u w:val="single"/>
        </w:rPr>
        <w:t>元</w:t>
      </w:r>
    </w:p>
    <w:tbl>
      <w:tblPr>
        <w:tblStyle w:val="26"/>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402"/>
        <w:gridCol w:w="1496"/>
        <w:gridCol w:w="1850"/>
        <w:gridCol w:w="1037"/>
        <w:gridCol w:w="1486"/>
      </w:tblGrid>
      <w:tr w14:paraId="6214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1045" w:type="dxa"/>
            <w:vAlign w:val="center"/>
          </w:tcPr>
          <w:p w14:paraId="609240E1">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402" w:type="dxa"/>
            <w:vAlign w:val="center"/>
          </w:tcPr>
          <w:p w14:paraId="7B356D10">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项目名称</w:t>
            </w:r>
          </w:p>
        </w:tc>
        <w:tc>
          <w:tcPr>
            <w:tcW w:w="1496" w:type="dxa"/>
            <w:vAlign w:val="center"/>
          </w:tcPr>
          <w:p w14:paraId="15935039">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总价</w:t>
            </w:r>
          </w:p>
        </w:tc>
        <w:tc>
          <w:tcPr>
            <w:tcW w:w="1850" w:type="dxa"/>
            <w:vAlign w:val="center"/>
          </w:tcPr>
          <w:p w14:paraId="21708FC1">
            <w:pPr>
              <w:spacing w:line="3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合同履行期限（交货时间）</w:t>
            </w:r>
          </w:p>
        </w:tc>
        <w:tc>
          <w:tcPr>
            <w:tcW w:w="1037" w:type="dxa"/>
            <w:vAlign w:val="center"/>
          </w:tcPr>
          <w:p w14:paraId="463DE6F7">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投标保证金</w:t>
            </w:r>
          </w:p>
        </w:tc>
        <w:tc>
          <w:tcPr>
            <w:tcW w:w="1486" w:type="dxa"/>
            <w:vAlign w:val="center"/>
          </w:tcPr>
          <w:p w14:paraId="6603695B">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说明</w:t>
            </w:r>
          </w:p>
        </w:tc>
      </w:tr>
      <w:tr w14:paraId="3DB2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1045" w:type="dxa"/>
            <w:vAlign w:val="center"/>
          </w:tcPr>
          <w:p w14:paraId="5C976F8B">
            <w:pPr>
              <w:spacing w:line="360" w:lineRule="exact"/>
              <w:jc w:val="center"/>
              <w:rPr>
                <w:rFonts w:ascii="宋体" w:hAnsi="宋体" w:cs="宋体"/>
                <w:bCs/>
                <w:color w:val="auto"/>
                <w:sz w:val="24"/>
                <w:highlight w:val="none"/>
              </w:rPr>
            </w:pPr>
          </w:p>
        </w:tc>
        <w:tc>
          <w:tcPr>
            <w:tcW w:w="2402" w:type="dxa"/>
            <w:vAlign w:val="center"/>
          </w:tcPr>
          <w:p w14:paraId="1FD1E3C4">
            <w:pPr>
              <w:spacing w:line="360" w:lineRule="exact"/>
              <w:jc w:val="center"/>
              <w:rPr>
                <w:rFonts w:ascii="宋体" w:hAnsi="宋体" w:cs="宋体"/>
                <w:bCs/>
                <w:color w:val="auto"/>
                <w:sz w:val="24"/>
                <w:highlight w:val="none"/>
              </w:rPr>
            </w:pPr>
          </w:p>
        </w:tc>
        <w:tc>
          <w:tcPr>
            <w:tcW w:w="1496" w:type="dxa"/>
            <w:vAlign w:val="center"/>
          </w:tcPr>
          <w:p w14:paraId="0EBECB87">
            <w:pPr>
              <w:spacing w:line="360" w:lineRule="exact"/>
              <w:jc w:val="center"/>
              <w:rPr>
                <w:rFonts w:ascii="宋体" w:hAnsi="宋体" w:cs="宋体"/>
                <w:bCs/>
                <w:color w:val="auto"/>
                <w:sz w:val="24"/>
                <w:highlight w:val="none"/>
              </w:rPr>
            </w:pPr>
          </w:p>
        </w:tc>
        <w:tc>
          <w:tcPr>
            <w:tcW w:w="1850" w:type="dxa"/>
            <w:vAlign w:val="center"/>
          </w:tcPr>
          <w:p w14:paraId="13C77733">
            <w:pPr>
              <w:spacing w:line="360" w:lineRule="exact"/>
              <w:jc w:val="center"/>
              <w:rPr>
                <w:rFonts w:ascii="宋体" w:hAnsi="宋体" w:cs="宋体"/>
                <w:bCs/>
                <w:color w:val="auto"/>
                <w:sz w:val="24"/>
                <w:highlight w:val="none"/>
              </w:rPr>
            </w:pPr>
          </w:p>
        </w:tc>
        <w:tc>
          <w:tcPr>
            <w:tcW w:w="1037" w:type="dxa"/>
            <w:vAlign w:val="center"/>
          </w:tcPr>
          <w:p w14:paraId="6C0B78FD">
            <w:pPr>
              <w:spacing w:line="360" w:lineRule="exact"/>
              <w:jc w:val="center"/>
              <w:rPr>
                <w:rFonts w:ascii="宋体" w:hAnsi="宋体" w:cs="宋体"/>
                <w:bCs/>
                <w:color w:val="auto"/>
                <w:sz w:val="24"/>
                <w:highlight w:val="none"/>
              </w:rPr>
            </w:pPr>
          </w:p>
        </w:tc>
        <w:tc>
          <w:tcPr>
            <w:tcW w:w="1486" w:type="dxa"/>
            <w:vAlign w:val="center"/>
          </w:tcPr>
          <w:p w14:paraId="0F8F82C3">
            <w:pPr>
              <w:spacing w:line="360" w:lineRule="exact"/>
              <w:jc w:val="center"/>
              <w:rPr>
                <w:rFonts w:ascii="宋体" w:hAnsi="宋体" w:cs="宋体"/>
                <w:bCs/>
                <w:color w:val="auto"/>
                <w:sz w:val="24"/>
                <w:highlight w:val="none"/>
              </w:rPr>
            </w:pPr>
          </w:p>
        </w:tc>
      </w:tr>
      <w:tr w14:paraId="39D6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045" w:type="dxa"/>
            <w:vAlign w:val="center"/>
          </w:tcPr>
          <w:p w14:paraId="7079B294">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投标价</w:t>
            </w:r>
          </w:p>
        </w:tc>
        <w:tc>
          <w:tcPr>
            <w:tcW w:w="8271" w:type="dxa"/>
            <w:gridSpan w:val="5"/>
            <w:vAlign w:val="center"/>
          </w:tcPr>
          <w:p w14:paraId="2EE55967">
            <w:pPr>
              <w:spacing w:line="360" w:lineRule="exact"/>
              <w:jc w:val="both"/>
              <w:rPr>
                <w:rFonts w:ascii="宋体" w:hAnsi="宋体" w:cs="宋体"/>
                <w:bCs/>
                <w:color w:val="auto"/>
                <w:sz w:val="24"/>
                <w:highlight w:val="none"/>
              </w:rPr>
            </w:pPr>
            <w:r>
              <w:rPr>
                <w:rFonts w:hint="eastAsia" w:ascii="宋体" w:hAnsi="宋体" w:cs="宋体"/>
                <w:bCs/>
                <w:color w:val="auto"/>
                <w:sz w:val="24"/>
                <w:highlight w:val="none"/>
              </w:rPr>
              <w:t>人民币大写：小写：</w:t>
            </w:r>
          </w:p>
        </w:tc>
      </w:tr>
    </w:tbl>
    <w:p w14:paraId="58ACA16C">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43D770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1.本“开标一览表”用于开标时唱</w:t>
      </w:r>
      <w:bookmarkStart w:id="12" w:name="_GoBack"/>
      <w:bookmarkEnd w:id="12"/>
      <w:r>
        <w:rPr>
          <w:rFonts w:hint="eastAsia" w:ascii="宋体" w:hAnsi="宋体" w:cs="宋体"/>
          <w:color w:val="auto"/>
          <w:sz w:val="24"/>
          <w:highlight w:val="none"/>
        </w:rPr>
        <w:t>标使用。</w:t>
      </w:r>
    </w:p>
    <w:p w14:paraId="42A0CD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2.此表中的各项内容应与投标文件的相应内容一致。</w:t>
      </w:r>
    </w:p>
    <w:p w14:paraId="76E75BC1">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3.只允许有一个报价，任何有选择性的报价或者有附加条件的报价采购人将不予接受。</w:t>
      </w:r>
    </w:p>
    <w:p w14:paraId="331B38A5">
      <w:pPr>
        <w:spacing w:line="360" w:lineRule="auto"/>
        <w:rPr>
          <w:rFonts w:ascii="宋体" w:hAnsi="宋体" w:cs="宋体"/>
          <w:b/>
          <w:color w:val="auto"/>
          <w:sz w:val="24"/>
          <w:szCs w:val="28"/>
          <w:highlight w:val="none"/>
        </w:rPr>
      </w:pPr>
    </w:p>
    <w:p w14:paraId="42B8A224">
      <w:pPr>
        <w:spacing w:line="360" w:lineRule="auto"/>
        <w:rPr>
          <w:rFonts w:ascii="宋体" w:hAnsi="宋体" w:cs="宋体"/>
          <w:b/>
          <w:color w:val="auto"/>
          <w:sz w:val="24"/>
          <w:szCs w:val="28"/>
          <w:highlight w:val="none"/>
        </w:rPr>
      </w:pPr>
    </w:p>
    <w:p w14:paraId="273A446E">
      <w:pPr>
        <w:spacing w:line="360" w:lineRule="auto"/>
        <w:rPr>
          <w:rFonts w:ascii="宋体" w:hAnsi="宋体" w:cs="宋体"/>
          <w:b/>
          <w:color w:val="auto"/>
          <w:sz w:val="24"/>
          <w:szCs w:val="28"/>
          <w:highlight w:val="none"/>
        </w:rPr>
      </w:pPr>
    </w:p>
    <w:p w14:paraId="5C415E63">
      <w:pPr>
        <w:spacing w:line="360" w:lineRule="auto"/>
        <w:rPr>
          <w:rFonts w:ascii="宋体" w:hAnsi="宋体" w:cs="宋体"/>
          <w:b/>
          <w:color w:val="auto"/>
          <w:sz w:val="24"/>
          <w:szCs w:val="28"/>
          <w:highlight w:val="none"/>
        </w:rPr>
      </w:pPr>
    </w:p>
    <w:p w14:paraId="328AB07F">
      <w:pPr>
        <w:rPr>
          <w:rFonts w:hint="eastAsia" w:ascii="宋体" w:hAnsi="宋体" w:cs="宋体"/>
          <w:b/>
          <w:color w:val="auto"/>
          <w:sz w:val="24"/>
          <w:szCs w:val="28"/>
          <w:highlight w:val="none"/>
        </w:rPr>
      </w:pPr>
      <w:r>
        <w:rPr>
          <w:rFonts w:hint="eastAsia" w:ascii="宋体" w:hAnsi="宋体" w:cs="宋体"/>
          <w:b/>
          <w:color w:val="auto"/>
          <w:sz w:val="24"/>
          <w:szCs w:val="28"/>
          <w:highlight w:val="none"/>
        </w:rPr>
        <w:br w:type="page"/>
      </w:r>
    </w:p>
    <w:p w14:paraId="2F2F2B66">
      <w:pPr>
        <w:spacing w:line="360" w:lineRule="auto"/>
        <w:rPr>
          <w:rFonts w:ascii="宋体" w:hAnsi="宋体" w:cs="宋体"/>
          <w:b/>
          <w:color w:val="auto"/>
          <w:sz w:val="24"/>
          <w:szCs w:val="28"/>
          <w:highlight w:val="none"/>
        </w:rPr>
      </w:pPr>
      <w:r>
        <w:rPr>
          <w:rFonts w:hint="eastAsia" w:ascii="宋体" w:hAnsi="宋体" w:cs="宋体"/>
          <w:b/>
          <w:color w:val="auto"/>
          <w:sz w:val="24"/>
          <w:szCs w:val="28"/>
          <w:highlight w:val="none"/>
        </w:rPr>
        <w:t>格式二：</w:t>
      </w:r>
    </w:p>
    <w:p w14:paraId="06CE2EDC">
      <w:pPr>
        <w:pStyle w:val="14"/>
        <w:spacing w:line="360" w:lineRule="auto"/>
        <w:jc w:val="center"/>
        <w:outlineLvl w:val="0"/>
        <w:rPr>
          <w:rFonts w:ascii="宋体" w:hAnsi="宋体" w:cs="宋体"/>
          <w:b/>
          <w:bCs/>
          <w:color w:val="auto"/>
          <w:szCs w:val="28"/>
          <w:highlight w:val="none"/>
        </w:rPr>
      </w:pPr>
      <w:r>
        <w:rPr>
          <w:rFonts w:hint="eastAsia" w:ascii="宋体" w:hAnsi="宋体" w:cs="宋体"/>
          <w:b/>
          <w:bCs/>
          <w:color w:val="auto"/>
          <w:szCs w:val="28"/>
          <w:highlight w:val="none"/>
        </w:rPr>
        <w:t>投标函（格式）</w:t>
      </w:r>
    </w:p>
    <w:p w14:paraId="29E1DA3E">
      <w:pPr>
        <w:pStyle w:val="14"/>
        <w:widowControl/>
        <w:spacing w:line="360" w:lineRule="auto"/>
        <w:outlineLvl w:val="0"/>
        <w:rPr>
          <w:rFonts w:ascii="宋体" w:hAnsi="宋体" w:cs="宋体"/>
          <w:color w:val="auto"/>
          <w:kern w:val="0"/>
          <w:szCs w:val="24"/>
          <w:highlight w:val="none"/>
          <w:u w:val="single"/>
        </w:rPr>
      </w:pPr>
      <w:r>
        <w:rPr>
          <w:rFonts w:hint="eastAsia" w:ascii="宋体" w:hAnsi="宋体" w:cs="宋体"/>
          <w:color w:val="auto"/>
          <w:kern w:val="0"/>
          <w:szCs w:val="24"/>
          <w:highlight w:val="none"/>
        </w:rPr>
        <w:t>致：中金招标有限责任公司</w:t>
      </w:r>
    </w:p>
    <w:p w14:paraId="35CB5AF5">
      <w:pPr>
        <w:spacing w:line="360" w:lineRule="auto"/>
        <w:ind w:firstLine="480" w:firstLineChars="200"/>
        <w:outlineLvl w:val="0"/>
        <w:rPr>
          <w:rFonts w:ascii="宋体" w:hAnsi="宋体" w:cs="宋体"/>
          <w:color w:val="auto"/>
          <w:sz w:val="24"/>
          <w:highlight w:val="none"/>
        </w:rPr>
      </w:pPr>
      <w:r>
        <w:rPr>
          <w:rFonts w:ascii="宋体" w:hAnsi="宋体" w:cs="宋体"/>
          <w:color w:val="auto"/>
          <w:sz w:val="24"/>
          <w:highlight w:val="none"/>
        </w:rPr>
        <w:t>我方参加你方就___________（项目名称，项目编号/包号）组织的招标活动，并对此项目进行投标</w:t>
      </w:r>
      <w:r>
        <w:rPr>
          <w:rFonts w:hint="eastAsia" w:ascii="宋体" w:hAnsi="宋体" w:cs="宋体"/>
          <w:color w:val="auto"/>
          <w:sz w:val="24"/>
          <w:highlight w:val="none"/>
        </w:rPr>
        <w:t>，同时提交投标文件电子版1份。</w:t>
      </w:r>
    </w:p>
    <w:p w14:paraId="2B30A93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我方已详细审查全部招标文件，自愿参与投标并承诺如下：</w:t>
      </w:r>
    </w:p>
    <w:p w14:paraId="7C4529B9">
      <w:pPr>
        <w:tabs>
          <w:tab w:val="left" w:pos="817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(1)按招标文件规定提供货物及服务的投标</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（大写）人民币。</w:t>
      </w:r>
    </w:p>
    <w:p w14:paraId="317545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我方</w:t>
      </w:r>
      <w:r>
        <w:rPr>
          <w:rFonts w:hint="eastAsia" w:ascii="宋体" w:hAnsi="宋体" w:cs="宋体"/>
          <w:color w:val="auto"/>
          <w:sz w:val="24"/>
          <w:highlight w:val="none"/>
        </w:rPr>
        <w:t>保证根据招标文件规定履行合同责任和义务。</w:t>
      </w:r>
    </w:p>
    <w:p w14:paraId="7336B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我方</w:t>
      </w:r>
      <w:r>
        <w:rPr>
          <w:rFonts w:hint="eastAsia" w:ascii="宋体" w:hAnsi="宋体" w:cs="宋体"/>
          <w:color w:val="auto"/>
          <w:sz w:val="24"/>
          <w:highlight w:val="none"/>
        </w:rPr>
        <w:t>已详细审核了全部招标文件，包括招标文件的修改、补充文件（如果有的话）、参考资料及有关的附件，我们知道必须放弃提出含糊不清或误解的问题的权利。</w:t>
      </w:r>
    </w:p>
    <w:p w14:paraId="53CCDC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我方</w:t>
      </w:r>
      <w:r>
        <w:rPr>
          <w:rFonts w:hint="eastAsia" w:ascii="宋体" w:hAnsi="宋体" w:cs="宋体"/>
          <w:color w:val="auto"/>
          <w:sz w:val="24"/>
          <w:highlight w:val="none"/>
        </w:rPr>
        <w:t>同意在投标人须知规定的开标日期起遵循本投标书，并在投标人须知规定的投标有效期满之前均具有约束力，并有可能中标。</w:t>
      </w:r>
    </w:p>
    <w:p w14:paraId="12A109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我方</w:t>
      </w:r>
      <w:r>
        <w:rPr>
          <w:rFonts w:hint="eastAsia" w:ascii="宋体" w:hAnsi="宋体" w:cs="宋体"/>
          <w:color w:val="auto"/>
          <w:sz w:val="24"/>
          <w:highlight w:val="none"/>
        </w:rPr>
        <w:t>如果在规定的投标有效期内撤回投标，则我们的投标保证金可被贵方没收。</w:t>
      </w:r>
    </w:p>
    <w:p w14:paraId="36B881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我方已</w:t>
      </w:r>
      <w:r>
        <w:rPr>
          <w:rFonts w:hint="eastAsia" w:ascii="宋体" w:hAnsi="宋体" w:cs="宋体"/>
          <w:color w:val="auto"/>
          <w:sz w:val="24"/>
          <w:highlight w:val="none"/>
        </w:rPr>
        <w:t>提</w:t>
      </w:r>
      <w:r>
        <w:rPr>
          <w:rFonts w:ascii="宋体" w:hAnsi="宋体" w:cs="宋体"/>
          <w:color w:val="auto"/>
          <w:sz w:val="24"/>
          <w:highlight w:val="none"/>
        </w:rPr>
        <w:t>供的全部文件资料是真实、准确的，并对此承担一切法律后果。</w:t>
      </w:r>
    </w:p>
    <w:p w14:paraId="00C320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我方</w:t>
      </w:r>
      <w:r>
        <w:rPr>
          <w:rFonts w:hint="eastAsia" w:ascii="宋体" w:hAnsi="宋体" w:cs="宋体"/>
          <w:color w:val="auto"/>
          <w:sz w:val="24"/>
          <w:highlight w:val="none"/>
        </w:rPr>
        <w:t>完全理解贵方不一定要接受最低报价的投标或收到的任何投标。</w:t>
      </w:r>
    </w:p>
    <w:p w14:paraId="7FD573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(8)本投标自开标之日起90天内有效。</w:t>
      </w:r>
    </w:p>
    <w:p w14:paraId="0BE772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与本投标有关的正式通信地址为：</w:t>
      </w:r>
    </w:p>
    <w:p w14:paraId="503D7181">
      <w:pPr>
        <w:spacing w:line="300" w:lineRule="auto"/>
        <w:ind w:firstLine="570"/>
        <w:rPr>
          <w:rFonts w:ascii="宋体" w:hAnsi="宋体" w:cs="宋体"/>
          <w:color w:val="auto"/>
          <w:sz w:val="24"/>
          <w:highlight w:val="none"/>
        </w:rPr>
      </w:pPr>
    </w:p>
    <w:p w14:paraId="20D465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w:t>
      </w:r>
    </w:p>
    <w:p w14:paraId="480D1B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电话、传真或电传：</w:t>
      </w:r>
    </w:p>
    <w:p w14:paraId="50961320">
      <w:pPr>
        <w:adjustRightInd w:val="0"/>
        <w:snapToGrid w:val="0"/>
        <w:spacing w:line="360" w:lineRule="auto"/>
        <w:rPr>
          <w:rFonts w:ascii="宋体"/>
          <w:color w:val="auto"/>
          <w:sz w:val="24"/>
          <w:highlight w:val="none"/>
          <w:u w:val="single"/>
        </w:rPr>
      </w:pPr>
      <w:bookmarkStart w:id="11" w:name="chapter7"/>
      <w:bookmarkEnd w:id="11"/>
      <w:r>
        <w:rPr>
          <w:rFonts w:hint="eastAsia" w:ascii="宋体"/>
          <w:color w:val="auto"/>
          <w:sz w:val="24"/>
          <w:highlight w:val="none"/>
        </w:rPr>
        <w:t>投标人名称（盖章）：</w:t>
      </w:r>
    </w:p>
    <w:p w14:paraId="2EC1E318">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128290E7">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或授权代表（签字）</w:t>
      </w:r>
      <w:r>
        <w:rPr>
          <w:rFonts w:hint="eastAsia" w:ascii="宋体"/>
          <w:color w:val="auto"/>
          <w:sz w:val="24"/>
          <w:highlight w:val="none"/>
        </w:rPr>
        <w:t>：</w:t>
      </w:r>
    </w:p>
    <w:p w14:paraId="6E6D844E">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4A19662">
      <w:pPr>
        <w:spacing w:line="360" w:lineRule="auto"/>
        <w:rPr>
          <w:rFonts w:ascii="宋体" w:hAnsi="宋体" w:cs="宋体"/>
          <w:b/>
          <w:color w:val="auto"/>
          <w:sz w:val="24"/>
          <w:szCs w:val="28"/>
          <w:highlight w:val="none"/>
        </w:rPr>
      </w:pPr>
      <w:r>
        <w:rPr>
          <w:rFonts w:ascii="宋体" w:hAnsi="宋体" w:cs="宋体"/>
          <w:b/>
          <w:color w:val="auto"/>
          <w:sz w:val="24"/>
          <w:szCs w:val="28"/>
          <w:highlight w:val="none"/>
        </w:rPr>
        <w:br w:type="page"/>
      </w:r>
      <w:r>
        <w:rPr>
          <w:rFonts w:hint="eastAsia" w:ascii="宋体" w:hAnsi="宋体" w:cs="宋体"/>
          <w:b/>
          <w:color w:val="auto"/>
          <w:sz w:val="24"/>
          <w:szCs w:val="28"/>
          <w:highlight w:val="none"/>
        </w:rPr>
        <w:t>格式三：</w:t>
      </w:r>
    </w:p>
    <w:p w14:paraId="385A5584">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投标报价明细表（格式）</w:t>
      </w:r>
    </w:p>
    <w:p w14:paraId="13CF5F8B">
      <w:pPr>
        <w:spacing w:line="360" w:lineRule="auto"/>
        <w:jc w:val="center"/>
        <w:rPr>
          <w:rFonts w:ascii="仿宋_GB2312" w:hAnsi="宋体" w:eastAsia="仿宋_GB2312"/>
          <w:bCs/>
          <w:color w:val="auto"/>
          <w:sz w:val="24"/>
          <w:highlight w:val="none"/>
        </w:rPr>
      </w:pPr>
    </w:p>
    <w:p w14:paraId="5A49DB70">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项目名称：包：货币单位:</w:t>
      </w:r>
      <w:r>
        <w:rPr>
          <w:rFonts w:hint="eastAsia" w:ascii="宋体" w:hAnsi="宋体" w:cs="宋体"/>
          <w:b/>
          <w:bCs/>
          <w:i/>
          <w:color w:val="auto"/>
          <w:sz w:val="24"/>
          <w:highlight w:val="none"/>
          <w:u w:val="single"/>
        </w:rPr>
        <w:t>元</w:t>
      </w:r>
    </w:p>
    <w:tbl>
      <w:tblPr>
        <w:tblStyle w:val="26"/>
        <w:tblW w:w="97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60"/>
        <w:gridCol w:w="1166"/>
        <w:gridCol w:w="2302"/>
        <w:gridCol w:w="852"/>
        <w:gridCol w:w="720"/>
        <w:gridCol w:w="900"/>
        <w:gridCol w:w="776"/>
        <w:gridCol w:w="1024"/>
      </w:tblGrid>
      <w:tr w14:paraId="219C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dxa"/>
            <w:vAlign w:val="center"/>
          </w:tcPr>
          <w:p w14:paraId="0CB78529">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260" w:type="dxa"/>
            <w:vAlign w:val="center"/>
          </w:tcPr>
          <w:p w14:paraId="685A8456">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采购标的名称</w:t>
            </w:r>
          </w:p>
        </w:tc>
        <w:tc>
          <w:tcPr>
            <w:tcW w:w="1166" w:type="dxa"/>
            <w:vAlign w:val="center"/>
          </w:tcPr>
          <w:p w14:paraId="4B81679B">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2302" w:type="dxa"/>
            <w:vAlign w:val="center"/>
          </w:tcPr>
          <w:p w14:paraId="7DD335F8">
            <w:pPr>
              <w:spacing w:line="36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制造商</w:t>
            </w:r>
          </w:p>
        </w:tc>
        <w:tc>
          <w:tcPr>
            <w:tcW w:w="852" w:type="dxa"/>
            <w:vAlign w:val="center"/>
          </w:tcPr>
          <w:p w14:paraId="07DBEE29">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规格</w:t>
            </w:r>
          </w:p>
        </w:tc>
        <w:tc>
          <w:tcPr>
            <w:tcW w:w="720" w:type="dxa"/>
            <w:vAlign w:val="center"/>
          </w:tcPr>
          <w:p w14:paraId="24760021">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900" w:type="dxa"/>
            <w:vAlign w:val="center"/>
          </w:tcPr>
          <w:p w14:paraId="5A4C7601">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单价</w:t>
            </w:r>
          </w:p>
        </w:tc>
        <w:tc>
          <w:tcPr>
            <w:tcW w:w="776" w:type="dxa"/>
            <w:vAlign w:val="center"/>
          </w:tcPr>
          <w:p w14:paraId="269E89C9">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合计</w:t>
            </w:r>
          </w:p>
        </w:tc>
        <w:tc>
          <w:tcPr>
            <w:tcW w:w="1024" w:type="dxa"/>
            <w:vAlign w:val="center"/>
          </w:tcPr>
          <w:p w14:paraId="60399CBF">
            <w:pPr>
              <w:spacing w:line="360" w:lineRule="exact"/>
              <w:jc w:val="center"/>
              <w:rPr>
                <w:rFonts w:ascii="宋体" w:hAnsi="宋体" w:cs="宋体"/>
                <w:bCs/>
                <w:color w:val="auto"/>
                <w:sz w:val="24"/>
                <w:highlight w:val="none"/>
              </w:rPr>
            </w:pPr>
            <w:r>
              <w:rPr>
                <w:rFonts w:hint="eastAsia" w:asciiTheme="minorEastAsia" w:hAnsiTheme="minorEastAsia" w:eastAsiaTheme="minorEastAsia" w:cstheme="minorEastAsia"/>
                <w:color w:val="auto"/>
                <w:sz w:val="24"/>
                <w:highlight w:val="none"/>
              </w:rPr>
              <w:t>合同履行期限（交货时间）</w:t>
            </w:r>
          </w:p>
        </w:tc>
      </w:tr>
      <w:tr w14:paraId="39A2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0" w:type="dxa"/>
          </w:tcPr>
          <w:p w14:paraId="2FE75BB9">
            <w:pPr>
              <w:spacing w:line="360" w:lineRule="exact"/>
              <w:rPr>
                <w:rFonts w:ascii="宋体" w:hAnsi="宋体" w:cs="宋体"/>
                <w:b/>
                <w:color w:val="auto"/>
                <w:sz w:val="24"/>
                <w:highlight w:val="none"/>
              </w:rPr>
            </w:pPr>
          </w:p>
        </w:tc>
        <w:tc>
          <w:tcPr>
            <w:tcW w:w="1260" w:type="dxa"/>
          </w:tcPr>
          <w:p w14:paraId="699DC4CC">
            <w:pPr>
              <w:spacing w:line="360" w:lineRule="exact"/>
              <w:rPr>
                <w:rFonts w:ascii="宋体" w:hAnsi="宋体" w:cs="宋体"/>
                <w:b/>
                <w:color w:val="auto"/>
                <w:sz w:val="24"/>
                <w:highlight w:val="none"/>
              </w:rPr>
            </w:pPr>
          </w:p>
        </w:tc>
        <w:tc>
          <w:tcPr>
            <w:tcW w:w="1166" w:type="dxa"/>
          </w:tcPr>
          <w:p w14:paraId="570EFC31">
            <w:pPr>
              <w:spacing w:line="360" w:lineRule="exact"/>
              <w:rPr>
                <w:rFonts w:ascii="宋体" w:hAnsi="宋体" w:cs="宋体"/>
                <w:b/>
                <w:color w:val="auto"/>
                <w:sz w:val="24"/>
                <w:highlight w:val="none"/>
              </w:rPr>
            </w:pPr>
          </w:p>
        </w:tc>
        <w:tc>
          <w:tcPr>
            <w:tcW w:w="2302" w:type="dxa"/>
          </w:tcPr>
          <w:p w14:paraId="0F7F0573">
            <w:pPr>
              <w:spacing w:line="360" w:lineRule="exact"/>
              <w:rPr>
                <w:rFonts w:ascii="宋体" w:hAnsi="宋体" w:cs="宋体"/>
                <w:b/>
                <w:color w:val="auto"/>
                <w:sz w:val="24"/>
                <w:highlight w:val="none"/>
              </w:rPr>
            </w:pPr>
          </w:p>
        </w:tc>
        <w:tc>
          <w:tcPr>
            <w:tcW w:w="852" w:type="dxa"/>
          </w:tcPr>
          <w:p w14:paraId="68AF6A26">
            <w:pPr>
              <w:spacing w:line="360" w:lineRule="exact"/>
              <w:rPr>
                <w:rFonts w:ascii="宋体" w:hAnsi="宋体" w:cs="宋体"/>
                <w:b/>
                <w:color w:val="auto"/>
                <w:sz w:val="24"/>
                <w:highlight w:val="none"/>
              </w:rPr>
            </w:pPr>
          </w:p>
        </w:tc>
        <w:tc>
          <w:tcPr>
            <w:tcW w:w="720" w:type="dxa"/>
          </w:tcPr>
          <w:p w14:paraId="195766BB">
            <w:pPr>
              <w:spacing w:line="360" w:lineRule="exact"/>
              <w:rPr>
                <w:rFonts w:ascii="宋体" w:hAnsi="宋体" w:cs="宋体"/>
                <w:b/>
                <w:color w:val="auto"/>
                <w:sz w:val="24"/>
                <w:highlight w:val="none"/>
              </w:rPr>
            </w:pPr>
          </w:p>
        </w:tc>
        <w:tc>
          <w:tcPr>
            <w:tcW w:w="900" w:type="dxa"/>
          </w:tcPr>
          <w:p w14:paraId="05D31149">
            <w:pPr>
              <w:spacing w:line="360" w:lineRule="exact"/>
              <w:rPr>
                <w:rFonts w:ascii="宋体" w:hAnsi="宋体" w:cs="宋体"/>
                <w:b/>
                <w:color w:val="auto"/>
                <w:sz w:val="24"/>
                <w:highlight w:val="none"/>
              </w:rPr>
            </w:pPr>
          </w:p>
        </w:tc>
        <w:tc>
          <w:tcPr>
            <w:tcW w:w="776" w:type="dxa"/>
          </w:tcPr>
          <w:p w14:paraId="4B115F36">
            <w:pPr>
              <w:spacing w:line="360" w:lineRule="exact"/>
              <w:rPr>
                <w:rFonts w:ascii="宋体" w:hAnsi="宋体" w:cs="宋体"/>
                <w:b/>
                <w:color w:val="auto"/>
                <w:sz w:val="24"/>
                <w:highlight w:val="none"/>
              </w:rPr>
            </w:pPr>
          </w:p>
        </w:tc>
        <w:tc>
          <w:tcPr>
            <w:tcW w:w="1024" w:type="dxa"/>
          </w:tcPr>
          <w:p w14:paraId="02FD3019">
            <w:pPr>
              <w:spacing w:line="360" w:lineRule="exact"/>
              <w:rPr>
                <w:rFonts w:ascii="宋体" w:hAnsi="宋体" w:cs="宋体"/>
                <w:b/>
                <w:color w:val="auto"/>
                <w:sz w:val="24"/>
                <w:highlight w:val="none"/>
              </w:rPr>
            </w:pPr>
          </w:p>
        </w:tc>
      </w:tr>
      <w:tr w14:paraId="5ECA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0" w:type="dxa"/>
          </w:tcPr>
          <w:p w14:paraId="6471773C">
            <w:pPr>
              <w:spacing w:line="360" w:lineRule="exact"/>
              <w:rPr>
                <w:rFonts w:ascii="宋体" w:hAnsi="宋体" w:cs="宋体"/>
                <w:b/>
                <w:color w:val="auto"/>
                <w:sz w:val="24"/>
                <w:highlight w:val="none"/>
              </w:rPr>
            </w:pPr>
          </w:p>
        </w:tc>
        <w:tc>
          <w:tcPr>
            <w:tcW w:w="1260" w:type="dxa"/>
          </w:tcPr>
          <w:p w14:paraId="0B52101A">
            <w:pPr>
              <w:spacing w:line="360" w:lineRule="exact"/>
              <w:rPr>
                <w:rFonts w:ascii="宋体" w:hAnsi="宋体" w:cs="宋体"/>
                <w:b/>
                <w:color w:val="auto"/>
                <w:sz w:val="24"/>
                <w:highlight w:val="none"/>
              </w:rPr>
            </w:pPr>
          </w:p>
        </w:tc>
        <w:tc>
          <w:tcPr>
            <w:tcW w:w="1166" w:type="dxa"/>
          </w:tcPr>
          <w:p w14:paraId="58118AC8">
            <w:pPr>
              <w:spacing w:line="360" w:lineRule="exact"/>
              <w:rPr>
                <w:rFonts w:ascii="宋体" w:hAnsi="宋体" w:cs="宋体"/>
                <w:b/>
                <w:color w:val="auto"/>
                <w:sz w:val="24"/>
                <w:highlight w:val="none"/>
              </w:rPr>
            </w:pPr>
          </w:p>
        </w:tc>
        <w:tc>
          <w:tcPr>
            <w:tcW w:w="2302" w:type="dxa"/>
          </w:tcPr>
          <w:p w14:paraId="501117F8">
            <w:pPr>
              <w:spacing w:line="360" w:lineRule="exact"/>
              <w:rPr>
                <w:rFonts w:ascii="宋体" w:hAnsi="宋体" w:cs="宋体"/>
                <w:b/>
                <w:color w:val="auto"/>
                <w:sz w:val="24"/>
                <w:highlight w:val="none"/>
              </w:rPr>
            </w:pPr>
          </w:p>
        </w:tc>
        <w:tc>
          <w:tcPr>
            <w:tcW w:w="852" w:type="dxa"/>
          </w:tcPr>
          <w:p w14:paraId="202074B5">
            <w:pPr>
              <w:spacing w:line="360" w:lineRule="exact"/>
              <w:rPr>
                <w:rFonts w:ascii="宋体" w:hAnsi="宋体" w:cs="宋体"/>
                <w:b/>
                <w:color w:val="auto"/>
                <w:sz w:val="24"/>
                <w:highlight w:val="none"/>
              </w:rPr>
            </w:pPr>
          </w:p>
        </w:tc>
        <w:tc>
          <w:tcPr>
            <w:tcW w:w="720" w:type="dxa"/>
          </w:tcPr>
          <w:p w14:paraId="38B7821C">
            <w:pPr>
              <w:spacing w:line="360" w:lineRule="exact"/>
              <w:rPr>
                <w:rFonts w:ascii="宋体" w:hAnsi="宋体" w:cs="宋体"/>
                <w:b/>
                <w:color w:val="auto"/>
                <w:sz w:val="24"/>
                <w:highlight w:val="none"/>
              </w:rPr>
            </w:pPr>
          </w:p>
        </w:tc>
        <w:tc>
          <w:tcPr>
            <w:tcW w:w="900" w:type="dxa"/>
          </w:tcPr>
          <w:p w14:paraId="19C36E38">
            <w:pPr>
              <w:spacing w:line="360" w:lineRule="exact"/>
              <w:rPr>
                <w:rFonts w:ascii="宋体" w:hAnsi="宋体" w:cs="宋体"/>
                <w:b/>
                <w:color w:val="auto"/>
                <w:sz w:val="24"/>
                <w:highlight w:val="none"/>
              </w:rPr>
            </w:pPr>
          </w:p>
        </w:tc>
        <w:tc>
          <w:tcPr>
            <w:tcW w:w="776" w:type="dxa"/>
          </w:tcPr>
          <w:p w14:paraId="6CC91861">
            <w:pPr>
              <w:spacing w:line="360" w:lineRule="exact"/>
              <w:rPr>
                <w:rFonts w:ascii="宋体" w:hAnsi="宋体" w:cs="宋体"/>
                <w:b/>
                <w:color w:val="auto"/>
                <w:sz w:val="24"/>
                <w:highlight w:val="none"/>
              </w:rPr>
            </w:pPr>
          </w:p>
        </w:tc>
        <w:tc>
          <w:tcPr>
            <w:tcW w:w="1024" w:type="dxa"/>
          </w:tcPr>
          <w:p w14:paraId="45FD84D2">
            <w:pPr>
              <w:spacing w:line="360" w:lineRule="exact"/>
              <w:rPr>
                <w:rFonts w:ascii="宋体" w:hAnsi="宋体" w:cs="宋体"/>
                <w:b/>
                <w:color w:val="auto"/>
                <w:sz w:val="24"/>
                <w:highlight w:val="none"/>
              </w:rPr>
            </w:pPr>
          </w:p>
        </w:tc>
      </w:tr>
      <w:tr w14:paraId="6577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0" w:type="dxa"/>
            <w:tcBorders>
              <w:bottom w:val="nil"/>
            </w:tcBorders>
          </w:tcPr>
          <w:p w14:paraId="13B84521">
            <w:pPr>
              <w:spacing w:line="360" w:lineRule="exact"/>
              <w:rPr>
                <w:rFonts w:ascii="宋体" w:hAnsi="宋体" w:cs="宋体"/>
                <w:b/>
                <w:color w:val="auto"/>
                <w:sz w:val="24"/>
                <w:highlight w:val="none"/>
              </w:rPr>
            </w:pPr>
          </w:p>
        </w:tc>
        <w:tc>
          <w:tcPr>
            <w:tcW w:w="1260" w:type="dxa"/>
            <w:tcBorders>
              <w:bottom w:val="nil"/>
            </w:tcBorders>
          </w:tcPr>
          <w:p w14:paraId="103D4462">
            <w:pPr>
              <w:spacing w:line="360" w:lineRule="exact"/>
              <w:rPr>
                <w:rFonts w:ascii="宋体" w:hAnsi="宋体" w:cs="宋体"/>
                <w:b/>
                <w:color w:val="auto"/>
                <w:sz w:val="24"/>
                <w:highlight w:val="none"/>
              </w:rPr>
            </w:pPr>
          </w:p>
        </w:tc>
        <w:tc>
          <w:tcPr>
            <w:tcW w:w="1166" w:type="dxa"/>
          </w:tcPr>
          <w:p w14:paraId="1330D2B5">
            <w:pPr>
              <w:spacing w:line="360" w:lineRule="exact"/>
              <w:rPr>
                <w:rFonts w:ascii="宋体" w:hAnsi="宋体" w:cs="宋体"/>
                <w:b/>
                <w:color w:val="auto"/>
                <w:sz w:val="24"/>
                <w:highlight w:val="none"/>
              </w:rPr>
            </w:pPr>
          </w:p>
        </w:tc>
        <w:tc>
          <w:tcPr>
            <w:tcW w:w="2302" w:type="dxa"/>
          </w:tcPr>
          <w:p w14:paraId="2F8B4931">
            <w:pPr>
              <w:spacing w:line="360" w:lineRule="exact"/>
              <w:rPr>
                <w:rFonts w:ascii="宋体" w:hAnsi="宋体" w:cs="宋体"/>
                <w:b/>
                <w:color w:val="auto"/>
                <w:sz w:val="24"/>
                <w:highlight w:val="none"/>
              </w:rPr>
            </w:pPr>
          </w:p>
        </w:tc>
        <w:tc>
          <w:tcPr>
            <w:tcW w:w="852" w:type="dxa"/>
          </w:tcPr>
          <w:p w14:paraId="644051C0">
            <w:pPr>
              <w:spacing w:line="360" w:lineRule="exact"/>
              <w:rPr>
                <w:rFonts w:ascii="宋体" w:hAnsi="宋体" w:cs="宋体"/>
                <w:b/>
                <w:color w:val="auto"/>
                <w:sz w:val="24"/>
                <w:highlight w:val="none"/>
              </w:rPr>
            </w:pPr>
          </w:p>
        </w:tc>
        <w:tc>
          <w:tcPr>
            <w:tcW w:w="720" w:type="dxa"/>
          </w:tcPr>
          <w:p w14:paraId="331C1FA9">
            <w:pPr>
              <w:spacing w:line="360" w:lineRule="exact"/>
              <w:rPr>
                <w:rFonts w:ascii="宋体" w:hAnsi="宋体" w:cs="宋体"/>
                <w:b/>
                <w:color w:val="auto"/>
                <w:sz w:val="24"/>
                <w:highlight w:val="none"/>
              </w:rPr>
            </w:pPr>
          </w:p>
        </w:tc>
        <w:tc>
          <w:tcPr>
            <w:tcW w:w="900" w:type="dxa"/>
          </w:tcPr>
          <w:p w14:paraId="12CB603D">
            <w:pPr>
              <w:spacing w:line="360" w:lineRule="exact"/>
              <w:rPr>
                <w:rFonts w:ascii="宋体" w:hAnsi="宋体" w:cs="宋体"/>
                <w:b/>
                <w:color w:val="auto"/>
                <w:sz w:val="24"/>
                <w:highlight w:val="none"/>
              </w:rPr>
            </w:pPr>
          </w:p>
        </w:tc>
        <w:tc>
          <w:tcPr>
            <w:tcW w:w="776" w:type="dxa"/>
          </w:tcPr>
          <w:p w14:paraId="34B58354">
            <w:pPr>
              <w:spacing w:line="360" w:lineRule="exact"/>
              <w:rPr>
                <w:rFonts w:ascii="宋体" w:hAnsi="宋体" w:cs="宋体"/>
                <w:b/>
                <w:color w:val="auto"/>
                <w:sz w:val="24"/>
                <w:highlight w:val="none"/>
              </w:rPr>
            </w:pPr>
          </w:p>
        </w:tc>
        <w:tc>
          <w:tcPr>
            <w:tcW w:w="1024" w:type="dxa"/>
          </w:tcPr>
          <w:p w14:paraId="0DF3C754">
            <w:pPr>
              <w:spacing w:line="360" w:lineRule="exact"/>
              <w:rPr>
                <w:rFonts w:ascii="宋体" w:hAnsi="宋体" w:cs="宋体"/>
                <w:b/>
                <w:color w:val="auto"/>
                <w:sz w:val="24"/>
                <w:highlight w:val="none"/>
              </w:rPr>
            </w:pPr>
          </w:p>
        </w:tc>
      </w:tr>
      <w:tr w14:paraId="4BA3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10" w:type="dxa"/>
            <w:gridSpan w:val="2"/>
            <w:tcBorders>
              <w:top w:val="single" w:color="auto" w:sz="4" w:space="0"/>
            </w:tcBorders>
          </w:tcPr>
          <w:p w14:paraId="18FB600A">
            <w:pPr>
              <w:spacing w:line="360" w:lineRule="exact"/>
              <w:rPr>
                <w:rFonts w:ascii="宋体" w:hAnsi="宋体" w:cs="宋体"/>
                <w:bCs/>
                <w:color w:val="auto"/>
                <w:sz w:val="24"/>
                <w:highlight w:val="none"/>
              </w:rPr>
            </w:pPr>
            <w:r>
              <w:rPr>
                <w:rFonts w:hint="eastAsia" w:ascii="宋体" w:hAnsi="宋体" w:cs="宋体"/>
                <w:bCs/>
                <w:color w:val="auto"/>
                <w:sz w:val="24"/>
                <w:highlight w:val="none"/>
              </w:rPr>
              <w:t>投标价</w:t>
            </w:r>
          </w:p>
        </w:tc>
        <w:tc>
          <w:tcPr>
            <w:tcW w:w="7740" w:type="dxa"/>
            <w:gridSpan w:val="7"/>
            <w:tcBorders>
              <w:top w:val="single" w:color="auto" w:sz="4" w:space="0"/>
            </w:tcBorders>
          </w:tcPr>
          <w:p w14:paraId="0548CE81">
            <w:pPr>
              <w:spacing w:line="360" w:lineRule="exact"/>
              <w:rPr>
                <w:rFonts w:ascii="宋体" w:hAnsi="宋体" w:cs="宋体"/>
                <w:bCs/>
                <w:color w:val="auto"/>
                <w:sz w:val="24"/>
                <w:highlight w:val="none"/>
              </w:rPr>
            </w:pPr>
            <w:r>
              <w:rPr>
                <w:rFonts w:hint="eastAsia" w:ascii="宋体" w:hAnsi="宋体" w:cs="宋体"/>
                <w:bCs/>
                <w:color w:val="auto"/>
                <w:sz w:val="24"/>
                <w:highlight w:val="none"/>
              </w:rPr>
              <w:t>人民币大写：小写：</w:t>
            </w:r>
          </w:p>
        </w:tc>
      </w:tr>
    </w:tbl>
    <w:p w14:paraId="5A060B09">
      <w:pPr>
        <w:spacing w:line="360" w:lineRule="auto"/>
        <w:ind w:firstLine="480" w:firstLineChars="200"/>
        <w:rPr>
          <w:rFonts w:ascii="宋体" w:hAnsi="宋体" w:cs="宋体"/>
          <w:color w:val="auto"/>
          <w:sz w:val="24"/>
          <w:highlight w:val="none"/>
        </w:rPr>
      </w:pPr>
    </w:p>
    <w:p w14:paraId="499403EC">
      <w:pPr>
        <w:spacing w:line="360" w:lineRule="auto"/>
        <w:ind w:firstLine="480" w:firstLineChars="200"/>
        <w:rPr>
          <w:rFonts w:ascii="宋体" w:hAnsi="宋体" w:cs="宋体"/>
          <w:color w:val="auto"/>
          <w:sz w:val="24"/>
          <w:highlight w:val="none"/>
        </w:rPr>
      </w:pPr>
    </w:p>
    <w:p w14:paraId="462ED36B">
      <w:pPr>
        <w:adjustRightInd w:val="0"/>
        <w:snapToGrid w:val="0"/>
        <w:spacing w:line="360" w:lineRule="auto"/>
        <w:ind w:firstLine="480" w:firstLineChars="200"/>
        <w:rPr>
          <w:rFonts w:ascii="宋体"/>
          <w:color w:val="auto"/>
          <w:sz w:val="24"/>
          <w:highlight w:val="none"/>
          <w:u w:val="single"/>
        </w:rPr>
      </w:pPr>
      <w:r>
        <w:rPr>
          <w:rFonts w:hint="eastAsia" w:ascii="宋体"/>
          <w:color w:val="auto"/>
          <w:sz w:val="24"/>
          <w:highlight w:val="none"/>
        </w:rPr>
        <w:t>投标人名称（盖章）：</w:t>
      </w:r>
    </w:p>
    <w:p w14:paraId="315709D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333D26C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或授权代表（签字）</w:t>
      </w:r>
      <w:r>
        <w:rPr>
          <w:rFonts w:hint="eastAsia" w:ascii="宋体"/>
          <w:color w:val="auto"/>
          <w:sz w:val="24"/>
          <w:highlight w:val="none"/>
        </w:rPr>
        <w:t>：</w:t>
      </w:r>
    </w:p>
    <w:p w14:paraId="28790C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时间：年月日</w:t>
      </w:r>
    </w:p>
    <w:p w14:paraId="16A15FE6">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0791D9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1.与本项目有关的各种费用均应包含在总报价中。</w:t>
      </w:r>
    </w:p>
    <w:p w14:paraId="2E7CC5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2.要说明的问题可另附页说明并签字和加盖公章。</w:t>
      </w:r>
    </w:p>
    <w:p w14:paraId="1F7E2691">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3.此表可根据需要自行拉长加宽。</w:t>
      </w:r>
    </w:p>
    <w:p w14:paraId="213B246A">
      <w:pPr>
        <w:spacing w:line="360" w:lineRule="auto"/>
        <w:outlineLvl w:val="0"/>
        <w:rPr>
          <w:rFonts w:ascii="仿宋_GB2312" w:hAnsi="宋体" w:eastAsia="仿宋_GB2312"/>
          <w:color w:val="auto"/>
          <w:sz w:val="24"/>
          <w:highlight w:val="none"/>
        </w:rPr>
      </w:pPr>
    </w:p>
    <w:p w14:paraId="16DE787F">
      <w:pPr>
        <w:spacing w:line="360" w:lineRule="auto"/>
        <w:rPr>
          <w:rFonts w:ascii="宋体" w:hAnsi="宋体" w:cs="宋体"/>
          <w:b/>
          <w:color w:val="auto"/>
          <w:sz w:val="24"/>
          <w:szCs w:val="28"/>
          <w:highlight w:val="none"/>
        </w:rPr>
      </w:pPr>
    </w:p>
    <w:p w14:paraId="70D1C0DD">
      <w:pPr>
        <w:spacing w:line="360" w:lineRule="auto"/>
        <w:rPr>
          <w:rFonts w:ascii="宋体" w:hAnsi="宋体" w:cs="宋体"/>
          <w:b/>
          <w:color w:val="auto"/>
          <w:sz w:val="24"/>
          <w:szCs w:val="28"/>
          <w:highlight w:val="none"/>
        </w:rPr>
      </w:pPr>
    </w:p>
    <w:p w14:paraId="1E556BDD">
      <w:pPr>
        <w:spacing w:line="360" w:lineRule="auto"/>
        <w:rPr>
          <w:rFonts w:ascii="宋体" w:hAnsi="宋体" w:cs="宋体"/>
          <w:b/>
          <w:color w:val="auto"/>
          <w:sz w:val="24"/>
          <w:szCs w:val="28"/>
          <w:highlight w:val="none"/>
        </w:rPr>
      </w:pPr>
    </w:p>
    <w:p w14:paraId="1BC3A075">
      <w:pPr>
        <w:spacing w:line="360" w:lineRule="auto"/>
        <w:rPr>
          <w:rFonts w:ascii="宋体" w:hAnsi="宋体" w:cs="宋体"/>
          <w:b/>
          <w:color w:val="auto"/>
          <w:sz w:val="24"/>
          <w:szCs w:val="28"/>
          <w:highlight w:val="none"/>
        </w:rPr>
      </w:pPr>
    </w:p>
    <w:p w14:paraId="6D26A25A">
      <w:pPr>
        <w:spacing w:line="360" w:lineRule="auto"/>
        <w:rPr>
          <w:rFonts w:ascii="宋体" w:hAnsi="宋体" w:cs="宋体"/>
          <w:b/>
          <w:color w:val="auto"/>
          <w:sz w:val="24"/>
          <w:szCs w:val="28"/>
          <w:highlight w:val="none"/>
        </w:rPr>
      </w:pPr>
    </w:p>
    <w:p w14:paraId="74634FE1">
      <w:pPr>
        <w:spacing w:line="360" w:lineRule="auto"/>
        <w:rPr>
          <w:rFonts w:ascii="宋体" w:hAnsi="宋体" w:cs="宋体"/>
          <w:b/>
          <w:color w:val="auto"/>
          <w:sz w:val="24"/>
          <w:szCs w:val="28"/>
          <w:highlight w:val="none"/>
        </w:rPr>
      </w:pPr>
    </w:p>
    <w:p w14:paraId="0A018CC1">
      <w:pPr>
        <w:spacing w:line="360" w:lineRule="auto"/>
        <w:rPr>
          <w:rFonts w:ascii="宋体" w:hAnsi="宋体" w:cs="宋体"/>
          <w:b/>
          <w:color w:val="auto"/>
          <w:sz w:val="24"/>
          <w:szCs w:val="28"/>
          <w:highlight w:val="none"/>
        </w:rPr>
      </w:pPr>
    </w:p>
    <w:p w14:paraId="1D3EF83C">
      <w:pPr>
        <w:pStyle w:val="51"/>
        <w:ind w:firstLine="420"/>
        <w:rPr>
          <w:color w:val="auto"/>
          <w:highlight w:val="none"/>
        </w:rPr>
      </w:pPr>
    </w:p>
    <w:p w14:paraId="46BCDE8F">
      <w:pPr>
        <w:rPr>
          <w:color w:val="auto"/>
          <w:highlight w:val="none"/>
        </w:rPr>
      </w:pPr>
    </w:p>
    <w:p w14:paraId="60D8A57E">
      <w:pPr>
        <w:pStyle w:val="34"/>
        <w:rPr>
          <w:color w:val="auto"/>
          <w:highlight w:val="none"/>
        </w:rPr>
      </w:pPr>
    </w:p>
    <w:p w14:paraId="0DBBCF1E">
      <w:pPr>
        <w:spacing w:line="360" w:lineRule="auto"/>
        <w:rPr>
          <w:rFonts w:ascii="宋体" w:hAnsi="宋体" w:cs="宋体"/>
          <w:b/>
          <w:color w:val="auto"/>
          <w:sz w:val="24"/>
          <w:szCs w:val="28"/>
          <w:highlight w:val="none"/>
        </w:rPr>
      </w:pPr>
      <w:r>
        <w:rPr>
          <w:rFonts w:hint="eastAsia" w:ascii="宋体" w:hAnsi="宋体" w:cs="宋体"/>
          <w:b/>
          <w:color w:val="auto"/>
          <w:sz w:val="24"/>
          <w:szCs w:val="28"/>
          <w:highlight w:val="none"/>
        </w:rPr>
        <w:t>格式四：</w:t>
      </w:r>
    </w:p>
    <w:p w14:paraId="352C73BB">
      <w:pPr>
        <w:spacing w:line="360" w:lineRule="auto"/>
        <w:jc w:val="center"/>
        <w:rPr>
          <w:rFonts w:ascii="宋体" w:hAnsi="宋体" w:cs="宋体"/>
          <w:b/>
          <w:color w:val="auto"/>
          <w:sz w:val="24"/>
          <w:szCs w:val="28"/>
          <w:highlight w:val="none"/>
        </w:rPr>
      </w:pPr>
      <w:r>
        <w:rPr>
          <w:rFonts w:hint="eastAsia" w:ascii="宋体" w:hAnsi="宋体" w:cs="宋体"/>
          <w:b/>
          <w:color w:val="auto"/>
          <w:sz w:val="24"/>
          <w:szCs w:val="28"/>
          <w:highlight w:val="none"/>
        </w:rPr>
        <w:t>采购需求偏离表（格式）</w:t>
      </w:r>
    </w:p>
    <w:p w14:paraId="77286AC2">
      <w:pPr>
        <w:adjustRightInd w:val="0"/>
        <w:snapToGrid w:val="0"/>
        <w:spacing w:line="360" w:lineRule="auto"/>
        <w:ind w:firstLine="480" w:firstLineChars="200"/>
        <w:rPr>
          <w:rFonts w:ascii="宋体"/>
          <w:color w:val="auto"/>
          <w:sz w:val="24"/>
          <w:highlight w:val="none"/>
        </w:rPr>
      </w:pPr>
      <w:r>
        <w:rPr>
          <w:rFonts w:hint="eastAsia" w:ascii="宋体"/>
          <w:color w:val="auto"/>
          <w:sz w:val="24"/>
          <w:highlight w:val="none"/>
        </w:rPr>
        <w:t>项目名称：包：/               项目编号：</w:t>
      </w:r>
    </w:p>
    <w:tbl>
      <w:tblPr>
        <w:tblStyle w:val="27"/>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367"/>
        <w:gridCol w:w="1811"/>
        <w:gridCol w:w="1713"/>
        <w:gridCol w:w="1156"/>
        <w:gridCol w:w="826"/>
        <w:gridCol w:w="826"/>
      </w:tblGrid>
      <w:tr w14:paraId="469B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0" w:type="dxa"/>
            <w:vAlign w:val="center"/>
          </w:tcPr>
          <w:p w14:paraId="2ED9FEF2">
            <w:pPr>
              <w:pStyle w:val="9"/>
              <w:spacing w:line="360" w:lineRule="exact"/>
              <w:jc w:val="center"/>
              <w:rPr>
                <w:color w:val="auto"/>
                <w:highlight w:val="none"/>
              </w:rPr>
            </w:pPr>
            <w:r>
              <w:rPr>
                <w:rFonts w:ascii="宋体" w:hAnsi="宋体" w:eastAsia="宋体" w:cs="宋体"/>
                <w:color w:val="auto"/>
                <w:sz w:val="24"/>
                <w:szCs w:val="24"/>
                <w:highlight w:val="none"/>
              </w:rPr>
              <w:t>序号</w:t>
            </w:r>
          </w:p>
        </w:tc>
        <w:tc>
          <w:tcPr>
            <w:tcW w:w="2367" w:type="dxa"/>
            <w:vAlign w:val="center"/>
          </w:tcPr>
          <w:p w14:paraId="41443825">
            <w:pPr>
              <w:pStyle w:val="9"/>
              <w:spacing w:line="360" w:lineRule="exact"/>
              <w:jc w:val="center"/>
              <w:rPr>
                <w:color w:val="auto"/>
                <w:highlight w:val="none"/>
              </w:rPr>
            </w:pPr>
            <w:r>
              <w:rPr>
                <w:rFonts w:ascii="宋体" w:hAnsi="宋体" w:eastAsia="宋体" w:cs="宋体"/>
                <w:color w:val="auto"/>
                <w:sz w:val="24"/>
                <w:szCs w:val="24"/>
                <w:highlight w:val="none"/>
              </w:rPr>
              <w:t>招标文件条目号</w:t>
            </w:r>
          </w:p>
        </w:tc>
        <w:tc>
          <w:tcPr>
            <w:tcW w:w="1811" w:type="dxa"/>
            <w:vAlign w:val="center"/>
          </w:tcPr>
          <w:p w14:paraId="6F78D40D">
            <w:pPr>
              <w:pStyle w:val="9"/>
              <w:spacing w:line="360" w:lineRule="exact"/>
              <w:jc w:val="center"/>
              <w:rPr>
                <w:color w:val="auto"/>
                <w:highlight w:val="none"/>
              </w:rPr>
            </w:pPr>
            <w:r>
              <w:rPr>
                <w:rFonts w:ascii="宋体" w:hAnsi="宋体" w:eastAsia="宋体" w:cs="宋体"/>
                <w:color w:val="auto"/>
                <w:sz w:val="24"/>
                <w:szCs w:val="24"/>
                <w:highlight w:val="none"/>
              </w:rPr>
              <w:t>招标文件要求</w:t>
            </w:r>
          </w:p>
        </w:tc>
        <w:tc>
          <w:tcPr>
            <w:tcW w:w="1713" w:type="dxa"/>
            <w:vAlign w:val="center"/>
          </w:tcPr>
          <w:p w14:paraId="04EFD5FD">
            <w:pPr>
              <w:pStyle w:val="9"/>
              <w:spacing w:line="360" w:lineRule="exact"/>
              <w:jc w:val="center"/>
              <w:rPr>
                <w:color w:val="auto"/>
                <w:highlight w:val="none"/>
              </w:rPr>
            </w:pPr>
            <w:r>
              <w:rPr>
                <w:rFonts w:ascii="宋体" w:hAnsi="宋体" w:eastAsia="宋体" w:cs="宋体"/>
                <w:color w:val="auto"/>
                <w:sz w:val="24"/>
                <w:szCs w:val="24"/>
                <w:highlight w:val="none"/>
              </w:rPr>
              <w:t>投标响应内容</w:t>
            </w:r>
          </w:p>
        </w:tc>
        <w:tc>
          <w:tcPr>
            <w:tcW w:w="1156" w:type="dxa"/>
            <w:vAlign w:val="center"/>
          </w:tcPr>
          <w:p w14:paraId="79ED63D4">
            <w:pPr>
              <w:pStyle w:val="9"/>
              <w:spacing w:line="36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偏离</w:t>
            </w:r>
          </w:p>
          <w:p w14:paraId="4F38BB33">
            <w:pPr>
              <w:pStyle w:val="9"/>
              <w:spacing w:line="360" w:lineRule="exact"/>
              <w:jc w:val="center"/>
              <w:rPr>
                <w:color w:val="auto"/>
                <w:highlight w:val="none"/>
              </w:rPr>
            </w:pPr>
            <w:r>
              <w:rPr>
                <w:rFonts w:ascii="宋体" w:hAnsi="宋体" w:eastAsia="宋体" w:cs="宋体"/>
                <w:color w:val="auto"/>
                <w:sz w:val="24"/>
                <w:szCs w:val="24"/>
                <w:highlight w:val="none"/>
              </w:rPr>
              <w:t>情况</w:t>
            </w:r>
          </w:p>
        </w:tc>
        <w:tc>
          <w:tcPr>
            <w:tcW w:w="826" w:type="dxa"/>
            <w:vAlign w:val="center"/>
          </w:tcPr>
          <w:p w14:paraId="55789365">
            <w:pPr>
              <w:pStyle w:val="9"/>
              <w:spacing w:line="360" w:lineRule="exact"/>
              <w:jc w:val="center"/>
              <w:rPr>
                <w:color w:val="auto"/>
                <w:highlight w:val="none"/>
              </w:rPr>
            </w:pPr>
            <w:r>
              <w:rPr>
                <w:rFonts w:ascii="宋体" w:hAnsi="宋体" w:eastAsia="宋体" w:cs="宋体"/>
                <w:color w:val="auto"/>
                <w:sz w:val="24"/>
                <w:szCs w:val="24"/>
                <w:highlight w:val="none"/>
              </w:rPr>
              <w:t>说明</w:t>
            </w:r>
          </w:p>
        </w:tc>
        <w:tc>
          <w:tcPr>
            <w:tcW w:w="826" w:type="dxa"/>
            <w:vAlign w:val="center"/>
          </w:tcPr>
          <w:p w14:paraId="33B0F0BA">
            <w:pPr>
              <w:pStyle w:val="9"/>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7562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0" w:type="dxa"/>
          </w:tcPr>
          <w:p w14:paraId="367F8940">
            <w:pPr>
              <w:pStyle w:val="9"/>
              <w:spacing w:line="360" w:lineRule="exact"/>
              <w:rPr>
                <w:color w:val="auto"/>
                <w:highlight w:val="none"/>
              </w:rPr>
            </w:pPr>
          </w:p>
        </w:tc>
        <w:tc>
          <w:tcPr>
            <w:tcW w:w="2367" w:type="dxa"/>
          </w:tcPr>
          <w:p w14:paraId="1A20B45B">
            <w:pPr>
              <w:pStyle w:val="9"/>
              <w:spacing w:line="360" w:lineRule="exact"/>
              <w:rPr>
                <w:color w:val="auto"/>
                <w:highlight w:val="none"/>
              </w:rPr>
            </w:pPr>
          </w:p>
        </w:tc>
        <w:tc>
          <w:tcPr>
            <w:tcW w:w="1811" w:type="dxa"/>
          </w:tcPr>
          <w:p w14:paraId="3F3C59BE">
            <w:pPr>
              <w:pStyle w:val="9"/>
              <w:spacing w:line="360" w:lineRule="exact"/>
              <w:rPr>
                <w:color w:val="auto"/>
                <w:highlight w:val="none"/>
              </w:rPr>
            </w:pPr>
          </w:p>
        </w:tc>
        <w:tc>
          <w:tcPr>
            <w:tcW w:w="1713" w:type="dxa"/>
          </w:tcPr>
          <w:p w14:paraId="4E347C21">
            <w:pPr>
              <w:pStyle w:val="9"/>
              <w:spacing w:line="360" w:lineRule="exact"/>
              <w:rPr>
                <w:color w:val="auto"/>
                <w:highlight w:val="none"/>
              </w:rPr>
            </w:pPr>
          </w:p>
        </w:tc>
        <w:tc>
          <w:tcPr>
            <w:tcW w:w="1156" w:type="dxa"/>
          </w:tcPr>
          <w:p w14:paraId="345A30BC">
            <w:pPr>
              <w:pStyle w:val="9"/>
              <w:spacing w:line="360" w:lineRule="exact"/>
              <w:rPr>
                <w:color w:val="auto"/>
                <w:highlight w:val="none"/>
              </w:rPr>
            </w:pPr>
          </w:p>
        </w:tc>
        <w:tc>
          <w:tcPr>
            <w:tcW w:w="826" w:type="dxa"/>
          </w:tcPr>
          <w:p w14:paraId="04BA695C">
            <w:pPr>
              <w:pStyle w:val="9"/>
              <w:spacing w:line="360" w:lineRule="exact"/>
              <w:rPr>
                <w:color w:val="auto"/>
                <w:highlight w:val="none"/>
              </w:rPr>
            </w:pPr>
          </w:p>
        </w:tc>
        <w:tc>
          <w:tcPr>
            <w:tcW w:w="826" w:type="dxa"/>
          </w:tcPr>
          <w:p w14:paraId="16B8F1D5">
            <w:pPr>
              <w:pStyle w:val="9"/>
              <w:spacing w:line="360" w:lineRule="exact"/>
              <w:rPr>
                <w:color w:val="auto"/>
                <w:highlight w:val="none"/>
              </w:rPr>
            </w:pPr>
          </w:p>
        </w:tc>
      </w:tr>
      <w:tr w14:paraId="4DF0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0" w:type="dxa"/>
          </w:tcPr>
          <w:p w14:paraId="61BB3ECA">
            <w:pPr>
              <w:pStyle w:val="9"/>
              <w:spacing w:line="360" w:lineRule="exact"/>
              <w:rPr>
                <w:color w:val="auto"/>
                <w:highlight w:val="none"/>
              </w:rPr>
            </w:pPr>
          </w:p>
        </w:tc>
        <w:tc>
          <w:tcPr>
            <w:tcW w:w="2367" w:type="dxa"/>
          </w:tcPr>
          <w:p w14:paraId="038C5C27">
            <w:pPr>
              <w:pStyle w:val="9"/>
              <w:spacing w:line="360" w:lineRule="exact"/>
              <w:rPr>
                <w:color w:val="auto"/>
                <w:highlight w:val="none"/>
              </w:rPr>
            </w:pPr>
          </w:p>
        </w:tc>
        <w:tc>
          <w:tcPr>
            <w:tcW w:w="1811" w:type="dxa"/>
          </w:tcPr>
          <w:p w14:paraId="4ABB3D77">
            <w:pPr>
              <w:pStyle w:val="9"/>
              <w:spacing w:line="360" w:lineRule="exact"/>
              <w:rPr>
                <w:color w:val="auto"/>
                <w:highlight w:val="none"/>
              </w:rPr>
            </w:pPr>
          </w:p>
        </w:tc>
        <w:tc>
          <w:tcPr>
            <w:tcW w:w="1713" w:type="dxa"/>
          </w:tcPr>
          <w:p w14:paraId="30A659F2">
            <w:pPr>
              <w:pStyle w:val="9"/>
              <w:spacing w:line="360" w:lineRule="exact"/>
              <w:rPr>
                <w:color w:val="auto"/>
                <w:highlight w:val="none"/>
              </w:rPr>
            </w:pPr>
          </w:p>
        </w:tc>
        <w:tc>
          <w:tcPr>
            <w:tcW w:w="1156" w:type="dxa"/>
          </w:tcPr>
          <w:p w14:paraId="5196CA2D">
            <w:pPr>
              <w:pStyle w:val="9"/>
              <w:spacing w:line="360" w:lineRule="exact"/>
              <w:rPr>
                <w:color w:val="auto"/>
                <w:highlight w:val="none"/>
              </w:rPr>
            </w:pPr>
          </w:p>
        </w:tc>
        <w:tc>
          <w:tcPr>
            <w:tcW w:w="826" w:type="dxa"/>
          </w:tcPr>
          <w:p w14:paraId="20E0C3DA">
            <w:pPr>
              <w:pStyle w:val="9"/>
              <w:spacing w:line="360" w:lineRule="exact"/>
              <w:rPr>
                <w:color w:val="auto"/>
                <w:highlight w:val="none"/>
              </w:rPr>
            </w:pPr>
          </w:p>
        </w:tc>
        <w:tc>
          <w:tcPr>
            <w:tcW w:w="826" w:type="dxa"/>
          </w:tcPr>
          <w:p w14:paraId="52ACFA6D">
            <w:pPr>
              <w:pStyle w:val="9"/>
              <w:spacing w:line="360" w:lineRule="exact"/>
              <w:rPr>
                <w:color w:val="auto"/>
                <w:highlight w:val="none"/>
              </w:rPr>
            </w:pPr>
          </w:p>
        </w:tc>
      </w:tr>
      <w:tr w14:paraId="3E0D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0" w:type="dxa"/>
          </w:tcPr>
          <w:p w14:paraId="042A2F1C">
            <w:pPr>
              <w:pStyle w:val="9"/>
              <w:spacing w:line="360" w:lineRule="exact"/>
              <w:rPr>
                <w:color w:val="auto"/>
                <w:highlight w:val="none"/>
              </w:rPr>
            </w:pPr>
          </w:p>
        </w:tc>
        <w:tc>
          <w:tcPr>
            <w:tcW w:w="2367" w:type="dxa"/>
          </w:tcPr>
          <w:p w14:paraId="501390C1">
            <w:pPr>
              <w:pStyle w:val="9"/>
              <w:spacing w:line="360" w:lineRule="exact"/>
              <w:rPr>
                <w:color w:val="auto"/>
                <w:highlight w:val="none"/>
              </w:rPr>
            </w:pPr>
          </w:p>
        </w:tc>
        <w:tc>
          <w:tcPr>
            <w:tcW w:w="1811" w:type="dxa"/>
          </w:tcPr>
          <w:p w14:paraId="270E71BF">
            <w:pPr>
              <w:pStyle w:val="9"/>
              <w:spacing w:line="360" w:lineRule="exact"/>
              <w:rPr>
                <w:color w:val="auto"/>
                <w:highlight w:val="none"/>
              </w:rPr>
            </w:pPr>
          </w:p>
        </w:tc>
        <w:tc>
          <w:tcPr>
            <w:tcW w:w="1713" w:type="dxa"/>
          </w:tcPr>
          <w:p w14:paraId="1DD4653F">
            <w:pPr>
              <w:pStyle w:val="9"/>
              <w:spacing w:line="360" w:lineRule="exact"/>
              <w:rPr>
                <w:color w:val="auto"/>
                <w:highlight w:val="none"/>
              </w:rPr>
            </w:pPr>
          </w:p>
        </w:tc>
        <w:tc>
          <w:tcPr>
            <w:tcW w:w="1156" w:type="dxa"/>
          </w:tcPr>
          <w:p w14:paraId="767FE26B">
            <w:pPr>
              <w:pStyle w:val="9"/>
              <w:spacing w:line="360" w:lineRule="exact"/>
              <w:rPr>
                <w:color w:val="auto"/>
                <w:highlight w:val="none"/>
              </w:rPr>
            </w:pPr>
          </w:p>
        </w:tc>
        <w:tc>
          <w:tcPr>
            <w:tcW w:w="826" w:type="dxa"/>
          </w:tcPr>
          <w:p w14:paraId="3B322740">
            <w:pPr>
              <w:pStyle w:val="9"/>
              <w:spacing w:line="360" w:lineRule="exact"/>
              <w:rPr>
                <w:color w:val="auto"/>
                <w:highlight w:val="none"/>
              </w:rPr>
            </w:pPr>
          </w:p>
        </w:tc>
        <w:tc>
          <w:tcPr>
            <w:tcW w:w="826" w:type="dxa"/>
          </w:tcPr>
          <w:p w14:paraId="0A76A309">
            <w:pPr>
              <w:pStyle w:val="9"/>
              <w:spacing w:line="360" w:lineRule="exact"/>
              <w:rPr>
                <w:color w:val="auto"/>
                <w:highlight w:val="none"/>
              </w:rPr>
            </w:pPr>
          </w:p>
        </w:tc>
      </w:tr>
      <w:tr w14:paraId="23F2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0" w:type="dxa"/>
          </w:tcPr>
          <w:p w14:paraId="2B5D195D">
            <w:pPr>
              <w:pStyle w:val="9"/>
              <w:spacing w:line="360" w:lineRule="exact"/>
              <w:rPr>
                <w:color w:val="auto"/>
                <w:highlight w:val="none"/>
              </w:rPr>
            </w:pPr>
          </w:p>
        </w:tc>
        <w:tc>
          <w:tcPr>
            <w:tcW w:w="2367" w:type="dxa"/>
          </w:tcPr>
          <w:p w14:paraId="7FF43D36">
            <w:pPr>
              <w:pStyle w:val="9"/>
              <w:spacing w:line="360" w:lineRule="exact"/>
              <w:rPr>
                <w:color w:val="auto"/>
                <w:highlight w:val="none"/>
              </w:rPr>
            </w:pPr>
          </w:p>
        </w:tc>
        <w:tc>
          <w:tcPr>
            <w:tcW w:w="1811" w:type="dxa"/>
          </w:tcPr>
          <w:p w14:paraId="24B10432">
            <w:pPr>
              <w:pStyle w:val="9"/>
              <w:spacing w:line="360" w:lineRule="exact"/>
              <w:rPr>
                <w:color w:val="auto"/>
                <w:highlight w:val="none"/>
              </w:rPr>
            </w:pPr>
          </w:p>
        </w:tc>
        <w:tc>
          <w:tcPr>
            <w:tcW w:w="1713" w:type="dxa"/>
          </w:tcPr>
          <w:p w14:paraId="2B20DC94">
            <w:pPr>
              <w:pStyle w:val="9"/>
              <w:spacing w:line="360" w:lineRule="exact"/>
              <w:rPr>
                <w:color w:val="auto"/>
                <w:highlight w:val="none"/>
              </w:rPr>
            </w:pPr>
          </w:p>
        </w:tc>
        <w:tc>
          <w:tcPr>
            <w:tcW w:w="1156" w:type="dxa"/>
          </w:tcPr>
          <w:p w14:paraId="598FBA0E">
            <w:pPr>
              <w:pStyle w:val="9"/>
              <w:spacing w:line="360" w:lineRule="exact"/>
              <w:rPr>
                <w:color w:val="auto"/>
                <w:highlight w:val="none"/>
              </w:rPr>
            </w:pPr>
          </w:p>
        </w:tc>
        <w:tc>
          <w:tcPr>
            <w:tcW w:w="826" w:type="dxa"/>
          </w:tcPr>
          <w:p w14:paraId="0DCFC0D2">
            <w:pPr>
              <w:pStyle w:val="9"/>
              <w:spacing w:line="360" w:lineRule="exact"/>
              <w:rPr>
                <w:color w:val="auto"/>
                <w:highlight w:val="none"/>
              </w:rPr>
            </w:pPr>
          </w:p>
        </w:tc>
        <w:tc>
          <w:tcPr>
            <w:tcW w:w="826" w:type="dxa"/>
          </w:tcPr>
          <w:p w14:paraId="76B27095">
            <w:pPr>
              <w:pStyle w:val="9"/>
              <w:spacing w:line="360" w:lineRule="exact"/>
              <w:rPr>
                <w:color w:val="auto"/>
                <w:highlight w:val="none"/>
              </w:rPr>
            </w:pPr>
          </w:p>
        </w:tc>
      </w:tr>
      <w:tr w14:paraId="31B1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0" w:type="dxa"/>
          </w:tcPr>
          <w:p w14:paraId="62105D4D">
            <w:pPr>
              <w:pStyle w:val="9"/>
              <w:spacing w:line="360" w:lineRule="exact"/>
              <w:rPr>
                <w:color w:val="auto"/>
                <w:highlight w:val="none"/>
              </w:rPr>
            </w:pPr>
          </w:p>
        </w:tc>
        <w:tc>
          <w:tcPr>
            <w:tcW w:w="2367" w:type="dxa"/>
          </w:tcPr>
          <w:p w14:paraId="451D375C">
            <w:pPr>
              <w:pStyle w:val="9"/>
              <w:spacing w:line="360" w:lineRule="exact"/>
              <w:rPr>
                <w:color w:val="auto"/>
                <w:highlight w:val="none"/>
              </w:rPr>
            </w:pPr>
          </w:p>
        </w:tc>
        <w:tc>
          <w:tcPr>
            <w:tcW w:w="1811" w:type="dxa"/>
          </w:tcPr>
          <w:p w14:paraId="226CBE8A">
            <w:pPr>
              <w:pStyle w:val="9"/>
              <w:spacing w:line="360" w:lineRule="exact"/>
              <w:rPr>
                <w:color w:val="auto"/>
                <w:highlight w:val="none"/>
              </w:rPr>
            </w:pPr>
          </w:p>
        </w:tc>
        <w:tc>
          <w:tcPr>
            <w:tcW w:w="1713" w:type="dxa"/>
          </w:tcPr>
          <w:p w14:paraId="2CB6E755">
            <w:pPr>
              <w:pStyle w:val="9"/>
              <w:spacing w:line="360" w:lineRule="exact"/>
              <w:rPr>
                <w:color w:val="auto"/>
                <w:highlight w:val="none"/>
              </w:rPr>
            </w:pPr>
          </w:p>
        </w:tc>
        <w:tc>
          <w:tcPr>
            <w:tcW w:w="1156" w:type="dxa"/>
          </w:tcPr>
          <w:p w14:paraId="122F50C9">
            <w:pPr>
              <w:pStyle w:val="9"/>
              <w:spacing w:line="360" w:lineRule="exact"/>
              <w:rPr>
                <w:color w:val="auto"/>
                <w:highlight w:val="none"/>
              </w:rPr>
            </w:pPr>
          </w:p>
        </w:tc>
        <w:tc>
          <w:tcPr>
            <w:tcW w:w="826" w:type="dxa"/>
          </w:tcPr>
          <w:p w14:paraId="101FE975">
            <w:pPr>
              <w:pStyle w:val="9"/>
              <w:spacing w:line="360" w:lineRule="exact"/>
              <w:rPr>
                <w:color w:val="auto"/>
                <w:highlight w:val="none"/>
              </w:rPr>
            </w:pPr>
          </w:p>
        </w:tc>
        <w:tc>
          <w:tcPr>
            <w:tcW w:w="826" w:type="dxa"/>
          </w:tcPr>
          <w:p w14:paraId="2EFC1D05">
            <w:pPr>
              <w:pStyle w:val="9"/>
              <w:spacing w:line="360" w:lineRule="exact"/>
              <w:rPr>
                <w:color w:val="auto"/>
                <w:highlight w:val="none"/>
              </w:rPr>
            </w:pPr>
          </w:p>
        </w:tc>
      </w:tr>
      <w:tr w14:paraId="3BFE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90" w:type="dxa"/>
          </w:tcPr>
          <w:p w14:paraId="2C362CAB">
            <w:pPr>
              <w:pStyle w:val="9"/>
              <w:spacing w:line="360" w:lineRule="exact"/>
              <w:rPr>
                <w:color w:val="auto"/>
                <w:highlight w:val="none"/>
              </w:rPr>
            </w:pPr>
          </w:p>
        </w:tc>
        <w:tc>
          <w:tcPr>
            <w:tcW w:w="2367" w:type="dxa"/>
          </w:tcPr>
          <w:p w14:paraId="7E9D3660">
            <w:pPr>
              <w:pStyle w:val="9"/>
              <w:spacing w:line="360" w:lineRule="exact"/>
              <w:rPr>
                <w:color w:val="auto"/>
                <w:highlight w:val="none"/>
              </w:rPr>
            </w:pPr>
          </w:p>
        </w:tc>
        <w:tc>
          <w:tcPr>
            <w:tcW w:w="1811" w:type="dxa"/>
          </w:tcPr>
          <w:p w14:paraId="75FD6300">
            <w:pPr>
              <w:pStyle w:val="9"/>
              <w:spacing w:line="360" w:lineRule="exact"/>
              <w:rPr>
                <w:color w:val="auto"/>
                <w:highlight w:val="none"/>
              </w:rPr>
            </w:pPr>
          </w:p>
        </w:tc>
        <w:tc>
          <w:tcPr>
            <w:tcW w:w="1713" w:type="dxa"/>
          </w:tcPr>
          <w:p w14:paraId="4EB4B077">
            <w:pPr>
              <w:pStyle w:val="9"/>
              <w:spacing w:line="360" w:lineRule="exact"/>
              <w:rPr>
                <w:color w:val="auto"/>
                <w:highlight w:val="none"/>
              </w:rPr>
            </w:pPr>
          </w:p>
        </w:tc>
        <w:tc>
          <w:tcPr>
            <w:tcW w:w="1156" w:type="dxa"/>
          </w:tcPr>
          <w:p w14:paraId="78D04AAC">
            <w:pPr>
              <w:pStyle w:val="9"/>
              <w:spacing w:line="360" w:lineRule="exact"/>
              <w:rPr>
                <w:color w:val="auto"/>
                <w:highlight w:val="none"/>
              </w:rPr>
            </w:pPr>
          </w:p>
        </w:tc>
        <w:tc>
          <w:tcPr>
            <w:tcW w:w="826" w:type="dxa"/>
          </w:tcPr>
          <w:p w14:paraId="2D40C8C7">
            <w:pPr>
              <w:pStyle w:val="9"/>
              <w:spacing w:line="360" w:lineRule="exact"/>
              <w:rPr>
                <w:color w:val="auto"/>
                <w:highlight w:val="none"/>
              </w:rPr>
            </w:pPr>
          </w:p>
        </w:tc>
        <w:tc>
          <w:tcPr>
            <w:tcW w:w="826" w:type="dxa"/>
          </w:tcPr>
          <w:p w14:paraId="4793FF3B">
            <w:pPr>
              <w:pStyle w:val="9"/>
              <w:spacing w:line="360" w:lineRule="exact"/>
              <w:rPr>
                <w:color w:val="auto"/>
                <w:highlight w:val="none"/>
              </w:rPr>
            </w:pPr>
          </w:p>
        </w:tc>
      </w:tr>
      <w:tr w14:paraId="7D7C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0" w:type="dxa"/>
          </w:tcPr>
          <w:p w14:paraId="6AA5497E">
            <w:pPr>
              <w:pStyle w:val="9"/>
              <w:spacing w:line="360" w:lineRule="exact"/>
              <w:rPr>
                <w:color w:val="auto"/>
                <w:highlight w:val="none"/>
              </w:rPr>
            </w:pPr>
          </w:p>
        </w:tc>
        <w:tc>
          <w:tcPr>
            <w:tcW w:w="2367" w:type="dxa"/>
          </w:tcPr>
          <w:p w14:paraId="10BBBA74">
            <w:pPr>
              <w:pStyle w:val="9"/>
              <w:spacing w:line="360" w:lineRule="exact"/>
              <w:rPr>
                <w:color w:val="auto"/>
                <w:highlight w:val="none"/>
              </w:rPr>
            </w:pPr>
          </w:p>
        </w:tc>
        <w:tc>
          <w:tcPr>
            <w:tcW w:w="1811" w:type="dxa"/>
          </w:tcPr>
          <w:p w14:paraId="376B63D5">
            <w:pPr>
              <w:pStyle w:val="9"/>
              <w:spacing w:line="360" w:lineRule="exact"/>
              <w:rPr>
                <w:color w:val="auto"/>
                <w:highlight w:val="none"/>
              </w:rPr>
            </w:pPr>
          </w:p>
        </w:tc>
        <w:tc>
          <w:tcPr>
            <w:tcW w:w="1713" w:type="dxa"/>
          </w:tcPr>
          <w:p w14:paraId="7FD4C7C4">
            <w:pPr>
              <w:pStyle w:val="9"/>
              <w:spacing w:line="360" w:lineRule="exact"/>
              <w:rPr>
                <w:color w:val="auto"/>
                <w:highlight w:val="none"/>
              </w:rPr>
            </w:pPr>
          </w:p>
        </w:tc>
        <w:tc>
          <w:tcPr>
            <w:tcW w:w="1156" w:type="dxa"/>
          </w:tcPr>
          <w:p w14:paraId="4793FE0B">
            <w:pPr>
              <w:pStyle w:val="9"/>
              <w:spacing w:line="360" w:lineRule="exact"/>
              <w:rPr>
                <w:color w:val="auto"/>
                <w:highlight w:val="none"/>
              </w:rPr>
            </w:pPr>
          </w:p>
        </w:tc>
        <w:tc>
          <w:tcPr>
            <w:tcW w:w="826" w:type="dxa"/>
          </w:tcPr>
          <w:p w14:paraId="1A3F05AA">
            <w:pPr>
              <w:pStyle w:val="9"/>
              <w:spacing w:line="360" w:lineRule="exact"/>
              <w:rPr>
                <w:color w:val="auto"/>
                <w:highlight w:val="none"/>
              </w:rPr>
            </w:pPr>
          </w:p>
        </w:tc>
        <w:tc>
          <w:tcPr>
            <w:tcW w:w="826" w:type="dxa"/>
          </w:tcPr>
          <w:p w14:paraId="08BBB6BA">
            <w:pPr>
              <w:pStyle w:val="9"/>
              <w:spacing w:line="360" w:lineRule="exact"/>
              <w:rPr>
                <w:color w:val="auto"/>
                <w:highlight w:val="none"/>
              </w:rPr>
            </w:pPr>
          </w:p>
        </w:tc>
      </w:tr>
    </w:tbl>
    <w:p w14:paraId="148D6724">
      <w:pPr>
        <w:pStyle w:val="9"/>
        <w:rPr>
          <w:rFonts w:ascii="宋体" w:hAnsi="宋体" w:eastAsia="宋体" w:cs="宋体"/>
          <w:color w:val="auto"/>
          <w:sz w:val="24"/>
          <w:szCs w:val="24"/>
          <w:highlight w:val="none"/>
        </w:rPr>
      </w:pPr>
    </w:p>
    <w:p w14:paraId="1E039383">
      <w:pPr>
        <w:pStyle w:val="9"/>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注： </w:t>
      </w:r>
    </w:p>
    <w:p w14:paraId="3B22D62E">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对招标文件中的所有商务、技术要求，除本表所列明的所有偏离外，均视作</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已对之理解和响应。</w:t>
      </w:r>
    </w:p>
    <w:p w14:paraId="427F750F">
      <w:pPr>
        <w:pStyle w:val="9"/>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2.投标人应对招标文件“第五章 采购需求”中的所有条款进行点对点应答，</w:t>
      </w:r>
      <w:r>
        <w:rPr>
          <w:rFonts w:ascii="宋体" w:hAnsi="宋体" w:eastAsia="宋体" w:cs="宋体"/>
          <w:color w:val="auto"/>
          <w:sz w:val="24"/>
          <w:szCs w:val="24"/>
          <w:highlight w:val="none"/>
        </w:rPr>
        <w:t>此表中若无任何文字说明内容为空白的</w:t>
      </w:r>
      <w:r>
        <w:rPr>
          <w:rFonts w:hint="eastAsia" w:ascii="宋体" w:hAnsi="宋体" w:eastAsia="宋体" w:cs="宋体"/>
          <w:color w:val="auto"/>
          <w:sz w:val="24"/>
          <w:szCs w:val="24"/>
          <w:highlight w:val="none"/>
          <w:lang w:val="en-US" w:eastAsia="zh-CN"/>
        </w:rPr>
        <w:t>或未</w:t>
      </w:r>
      <w:r>
        <w:rPr>
          <w:rFonts w:hint="eastAsia" w:ascii="宋体" w:hAnsi="宋体" w:eastAsia="宋体" w:cs="宋体"/>
          <w:color w:val="auto"/>
          <w:sz w:val="24"/>
          <w:szCs w:val="24"/>
          <w:highlight w:val="none"/>
        </w:rPr>
        <w:t>对招标文件“第五章 采购需求”中的所有条款</w:t>
      </w:r>
      <w:r>
        <w:rPr>
          <w:rFonts w:hint="eastAsia" w:ascii="宋体" w:hAnsi="宋体" w:eastAsia="宋体" w:cs="宋体"/>
          <w:color w:val="auto"/>
          <w:sz w:val="24"/>
          <w:szCs w:val="24"/>
          <w:highlight w:val="none"/>
          <w:lang w:val="en-US" w:eastAsia="zh-CN"/>
        </w:rPr>
        <w:t>进行点对点应答的</w:t>
      </w:r>
      <w:r>
        <w:rPr>
          <w:rFonts w:ascii="宋体" w:hAnsi="宋体" w:eastAsia="宋体" w:cs="宋体"/>
          <w:color w:val="auto"/>
          <w:sz w:val="24"/>
          <w:szCs w:val="24"/>
          <w:highlight w:val="none"/>
        </w:rPr>
        <w:t>，</w:t>
      </w:r>
      <w:r>
        <w:rPr>
          <w:rFonts w:ascii="宋体" w:hAnsi="宋体" w:eastAsia="宋体" w:cs="宋体"/>
          <w:b/>
          <w:bCs/>
          <w:color w:val="auto"/>
          <w:sz w:val="24"/>
          <w:szCs w:val="24"/>
          <w:highlight w:val="none"/>
        </w:rPr>
        <w:t>投标无效</w:t>
      </w:r>
      <w:r>
        <w:rPr>
          <w:rFonts w:ascii="宋体" w:hAnsi="宋体" w:eastAsia="宋体" w:cs="宋体"/>
          <w:color w:val="auto"/>
          <w:sz w:val="24"/>
          <w:szCs w:val="24"/>
          <w:highlight w:val="none"/>
        </w:rPr>
        <w:t xml:space="preserve">。 </w:t>
      </w:r>
    </w:p>
    <w:p w14:paraId="586139CC">
      <w:pPr>
        <w:pStyle w:val="9"/>
        <w:spacing w:line="360" w:lineRule="auto"/>
        <w:ind w:firstLine="480" w:firstLineChars="200"/>
        <w:rPr>
          <w:color w:val="auto"/>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偏离情况</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列应据实填写</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无偏离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正偏离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或</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负偏离</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w:t>
      </w:r>
    </w:p>
    <w:p w14:paraId="186E8DD1">
      <w:pPr>
        <w:pStyle w:val="9"/>
        <w:rPr>
          <w:color w:val="auto"/>
          <w:highlight w:val="none"/>
        </w:rPr>
      </w:pPr>
    </w:p>
    <w:p w14:paraId="01DA5038">
      <w:pPr>
        <w:pStyle w:val="20"/>
        <w:rPr>
          <w:color w:val="auto"/>
          <w:highlight w:val="none"/>
        </w:rPr>
      </w:pPr>
    </w:p>
    <w:p w14:paraId="023646F4">
      <w:pPr>
        <w:adjustRightInd w:val="0"/>
        <w:snapToGrid w:val="0"/>
        <w:spacing w:line="360" w:lineRule="auto"/>
        <w:ind w:firstLine="480" w:firstLineChars="200"/>
        <w:rPr>
          <w:rFonts w:ascii="宋体"/>
          <w:color w:val="auto"/>
          <w:sz w:val="24"/>
          <w:highlight w:val="none"/>
          <w:u w:val="single"/>
        </w:rPr>
      </w:pPr>
      <w:r>
        <w:rPr>
          <w:rFonts w:hint="eastAsia" w:ascii="宋体"/>
          <w:color w:val="auto"/>
          <w:sz w:val="24"/>
          <w:highlight w:val="none"/>
        </w:rPr>
        <w:t>投标人名称（盖章）：</w:t>
      </w:r>
    </w:p>
    <w:p w14:paraId="1BF8CCE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0F65500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或授权代表（签字）</w:t>
      </w:r>
      <w:r>
        <w:rPr>
          <w:rFonts w:hint="eastAsia" w:ascii="宋体"/>
          <w:color w:val="auto"/>
          <w:sz w:val="24"/>
          <w:highlight w:val="none"/>
        </w:rPr>
        <w:t>：</w:t>
      </w:r>
    </w:p>
    <w:p w14:paraId="6E9C5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时间：年月日</w:t>
      </w:r>
    </w:p>
    <w:p w14:paraId="673D055F">
      <w:pPr>
        <w:spacing w:line="360" w:lineRule="auto"/>
        <w:jc w:val="center"/>
        <w:outlineLvl w:val="0"/>
        <w:rPr>
          <w:rFonts w:ascii="宋体" w:hAnsi="宋体" w:cs="宋体"/>
          <w:b/>
          <w:color w:val="auto"/>
          <w:sz w:val="24"/>
          <w:szCs w:val="28"/>
          <w:highlight w:val="none"/>
        </w:rPr>
        <w:sectPr>
          <w:footerReference r:id="rId7" w:type="default"/>
          <w:pgSz w:w="11906" w:h="16838"/>
          <w:pgMar w:top="1134" w:right="1134" w:bottom="1134" w:left="1417" w:header="680" w:footer="680" w:gutter="0"/>
          <w:cols w:space="720" w:num="1"/>
          <w:docGrid w:linePitch="312" w:charSpace="0"/>
        </w:sectPr>
      </w:pPr>
    </w:p>
    <w:p w14:paraId="669C3915">
      <w:pPr>
        <w:pStyle w:val="14"/>
        <w:spacing w:line="360" w:lineRule="auto"/>
        <w:outlineLvl w:val="0"/>
        <w:rPr>
          <w:rFonts w:ascii="宋体" w:hAnsi="宋体" w:cs="宋体"/>
          <w:b/>
          <w:color w:val="auto"/>
          <w:szCs w:val="28"/>
          <w:highlight w:val="none"/>
        </w:rPr>
      </w:pPr>
      <w:r>
        <w:rPr>
          <w:rFonts w:hint="eastAsia" w:ascii="宋体" w:hAnsi="宋体" w:cs="宋体"/>
          <w:b/>
          <w:color w:val="auto"/>
          <w:szCs w:val="28"/>
          <w:highlight w:val="none"/>
        </w:rPr>
        <w:t>格式五：</w:t>
      </w:r>
    </w:p>
    <w:p w14:paraId="550498E4">
      <w:pPr>
        <w:spacing w:line="360" w:lineRule="auto"/>
        <w:jc w:val="center"/>
        <w:outlineLvl w:val="0"/>
        <w:rPr>
          <w:rFonts w:ascii="宋体" w:hAnsi="宋体" w:cs="宋体"/>
          <w:b/>
          <w:color w:val="auto"/>
          <w:sz w:val="24"/>
          <w:szCs w:val="28"/>
          <w:highlight w:val="none"/>
        </w:rPr>
      </w:pPr>
      <w:r>
        <w:rPr>
          <w:rFonts w:hint="eastAsia" w:ascii="宋体" w:hAnsi="宋体" w:cs="宋体"/>
          <w:b/>
          <w:color w:val="auto"/>
          <w:sz w:val="24"/>
          <w:szCs w:val="28"/>
          <w:highlight w:val="none"/>
        </w:rPr>
        <w:t>售后服务承诺书（格式）</w:t>
      </w:r>
    </w:p>
    <w:p w14:paraId="18C6C483">
      <w:pPr>
        <w:spacing w:line="360" w:lineRule="auto"/>
        <w:jc w:val="center"/>
        <w:outlineLvl w:val="0"/>
        <w:rPr>
          <w:rFonts w:ascii="仿宋_GB2312" w:hAnsi="宋体" w:eastAsia="仿宋_GB2312"/>
          <w:b/>
          <w:bCs/>
          <w:color w:val="auto"/>
          <w:sz w:val="24"/>
          <w:szCs w:val="28"/>
          <w:highlight w:val="none"/>
        </w:rPr>
      </w:pPr>
    </w:p>
    <w:p w14:paraId="764D0C84">
      <w:pPr>
        <w:spacing w:line="360" w:lineRule="auto"/>
        <w:outlineLvl w:val="0"/>
        <w:rPr>
          <w:rFonts w:ascii="宋体" w:hAnsi="宋体" w:cs="宋体"/>
          <w:bCs/>
          <w:color w:val="auto"/>
          <w:sz w:val="24"/>
          <w:highlight w:val="none"/>
        </w:rPr>
      </w:pPr>
      <w:r>
        <w:rPr>
          <w:rFonts w:hint="eastAsia" w:ascii="宋体" w:hAnsi="宋体" w:cs="宋体"/>
          <w:color w:val="auto"/>
          <w:kern w:val="0"/>
          <w:sz w:val="24"/>
          <w:highlight w:val="none"/>
        </w:rPr>
        <w:t>中金招标有限责任公司</w:t>
      </w:r>
      <w:r>
        <w:rPr>
          <w:rFonts w:hint="eastAsia" w:ascii="宋体" w:hAnsi="宋体" w:cs="宋体"/>
          <w:bCs/>
          <w:color w:val="auto"/>
          <w:sz w:val="24"/>
          <w:highlight w:val="none"/>
        </w:rPr>
        <w:t>：</w:t>
      </w:r>
    </w:p>
    <w:p w14:paraId="55F377D7">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我公司自愿参加</w:t>
      </w:r>
      <w:r>
        <w:rPr>
          <w:rFonts w:hint="eastAsia" w:ascii="宋体" w:hAnsi="宋体" w:cs="宋体"/>
          <w:bCs/>
          <w:color w:val="auto"/>
          <w:sz w:val="24"/>
          <w:highlight w:val="none"/>
          <w:u w:val="single"/>
        </w:rPr>
        <w:t>　　　　</w:t>
      </w:r>
      <w:r>
        <w:rPr>
          <w:rFonts w:hint="eastAsia" w:ascii="宋体" w:hAnsi="宋体" w:cs="宋体"/>
          <w:bCs/>
          <w:color w:val="auto"/>
          <w:sz w:val="24"/>
          <w:highlight w:val="none"/>
        </w:rPr>
        <w:t>项目（项目编号</w:t>
      </w:r>
      <w:r>
        <w:rPr>
          <w:rFonts w:hint="eastAsia" w:ascii="宋体" w:hAnsi="宋体" w:cs="宋体"/>
          <w:color w:val="auto"/>
          <w:sz w:val="24"/>
          <w:highlight w:val="none"/>
        </w:rPr>
        <w:t>）的投标。我公司郑重承诺，如果我公司的投标被评定为中标，我公司对于中标货物，除完全响应招标文件合同条款对伴随服务和售后服务的所有要求外，还将按照以下条款提供优质和完善的售后服务：</w:t>
      </w:r>
    </w:p>
    <w:p w14:paraId="5FF885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p>
    <w:p w14:paraId="0857DE2D">
      <w:pPr>
        <w:pStyle w:val="25"/>
        <w:ind w:firstLine="480"/>
        <w:rPr>
          <w:rFonts w:ascii="宋体" w:hAnsi="宋体" w:cs="宋体"/>
          <w:color w:val="auto"/>
          <w:sz w:val="24"/>
          <w:highlight w:val="none"/>
        </w:rPr>
      </w:pPr>
      <w:r>
        <w:rPr>
          <w:rFonts w:hint="eastAsia" w:ascii="宋体" w:hAnsi="宋体" w:cs="宋体"/>
          <w:color w:val="auto"/>
          <w:sz w:val="24"/>
          <w:highlight w:val="none"/>
        </w:rPr>
        <w:t>2.</w:t>
      </w:r>
    </w:p>
    <w:p w14:paraId="624BB300">
      <w:pPr>
        <w:pStyle w:val="25"/>
        <w:ind w:firstLine="480"/>
        <w:rPr>
          <w:rFonts w:ascii="宋体" w:hAnsi="宋体" w:cs="宋体"/>
          <w:color w:val="auto"/>
          <w:sz w:val="24"/>
          <w:highlight w:val="none"/>
        </w:rPr>
      </w:pPr>
      <w:r>
        <w:rPr>
          <w:rFonts w:hint="eastAsia" w:ascii="宋体" w:hAnsi="宋体" w:cs="宋体"/>
          <w:color w:val="auto"/>
          <w:sz w:val="24"/>
          <w:highlight w:val="none"/>
        </w:rPr>
        <w:t>...</w:t>
      </w:r>
    </w:p>
    <w:p w14:paraId="312D7B2F">
      <w:pPr>
        <w:spacing w:line="360" w:lineRule="auto"/>
        <w:ind w:firstLine="480" w:firstLineChars="200"/>
        <w:rPr>
          <w:rFonts w:ascii="宋体" w:hAnsi="宋体" w:cs="宋体"/>
          <w:color w:val="auto"/>
          <w:sz w:val="24"/>
          <w:highlight w:val="none"/>
        </w:rPr>
      </w:pPr>
    </w:p>
    <w:p w14:paraId="21DB9770">
      <w:pPr>
        <w:spacing w:line="360" w:lineRule="auto"/>
        <w:ind w:firstLine="480" w:firstLineChars="200"/>
        <w:rPr>
          <w:rFonts w:ascii="宋体" w:hAnsi="宋体" w:cs="宋体"/>
          <w:color w:val="auto"/>
          <w:sz w:val="24"/>
          <w:highlight w:val="none"/>
        </w:rPr>
      </w:pPr>
    </w:p>
    <w:p w14:paraId="74AD4B9A">
      <w:pPr>
        <w:adjustRightInd w:val="0"/>
        <w:snapToGrid w:val="0"/>
        <w:spacing w:line="360" w:lineRule="auto"/>
        <w:ind w:firstLine="480" w:firstLineChars="200"/>
        <w:rPr>
          <w:rFonts w:ascii="宋体"/>
          <w:color w:val="auto"/>
          <w:sz w:val="24"/>
          <w:highlight w:val="none"/>
          <w:u w:val="single"/>
        </w:rPr>
      </w:pPr>
      <w:r>
        <w:rPr>
          <w:rFonts w:hint="eastAsia" w:ascii="宋体"/>
          <w:color w:val="auto"/>
          <w:sz w:val="24"/>
          <w:highlight w:val="none"/>
        </w:rPr>
        <w:t>投标人名称（盖章）：</w:t>
      </w:r>
    </w:p>
    <w:p w14:paraId="21BCAF4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2B21671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或授权代表（签字）</w:t>
      </w:r>
      <w:r>
        <w:rPr>
          <w:rFonts w:hint="eastAsia" w:ascii="宋体"/>
          <w:color w:val="auto"/>
          <w:sz w:val="24"/>
          <w:highlight w:val="none"/>
        </w:rPr>
        <w:t>：</w:t>
      </w:r>
    </w:p>
    <w:p w14:paraId="4EDEEDD6">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年  月   日</w:t>
      </w:r>
    </w:p>
    <w:p w14:paraId="22F4FCF3">
      <w:pPr>
        <w:pStyle w:val="14"/>
        <w:spacing w:line="360" w:lineRule="auto"/>
        <w:outlineLvl w:val="0"/>
        <w:rPr>
          <w:rFonts w:ascii="仿宋_GB2312" w:hAnsi="宋体" w:eastAsia="仿宋_GB2312"/>
          <w:color w:val="auto"/>
          <w:szCs w:val="24"/>
          <w:highlight w:val="none"/>
        </w:rPr>
      </w:pPr>
    </w:p>
    <w:p w14:paraId="76079F2A">
      <w:pPr>
        <w:pStyle w:val="14"/>
        <w:spacing w:line="360" w:lineRule="auto"/>
        <w:outlineLvl w:val="0"/>
        <w:rPr>
          <w:rFonts w:ascii="仿宋_GB2312" w:hAnsi="宋体" w:eastAsia="仿宋_GB2312"/>
          <w:b/>
          <w:color w:val="auto"/>
          <w:szCs w:val="28"/>
          <w:highlight w:val="none"/>
        </w:rPr>
      </w:pPr>
    </w:p>
    <w:p w14:paraId="225A1961">
      <w:pPr>
        <w:pStyle w:val="14"/>
        <w:spacing w:line="360" w:lineRule="auto"/>
        <w:outlineLvl w:val="0"/>
        <w:rPr>
          <w:rFonts w:ascii="仿宋_GB2312" w:hAnsi="宋体" w:eastAsia="仿宋_GB2312"/>
          <w:b/>
          <w:color w:val="auto"/>
          <w:szCs w:val="28"/>
          <w:highlight w:val="none"/>
        </w:rPr>
      </w:pPr>
    </w:p>
    <w:p w14:paraId="2F96FEB2">
      <w:pPr>
        <w:pStyle w:val="14"/>
        <w:spacing w:line="360" w:lineRule="auto"/>
        <w:outlineLvl w:val="0"/>
        <w:rPr>
          <w:rFonts w:ascii="仿宋_GB2312" w:hAnsi="宋体" w:eastAsia="仿宋_GB2312"/>
          <w:b/>
          <w:color w:val="auto"/>
          <w:szCs w:val="28"/>
          <w:highlight w:val="none"/>
        </w:rPr>
      </w:pPr>
    </w:p>
    <w:p w14:paraId="1BC64084">
      <w:pPr>
        <w:pStyle w:val="14"/>
        <w:spacing w:line="360" w:lineRule="auto"/>
        <w:outlineLvl w:val="0"/>
        <w:rPr>
          <w:rFonts w:ascii="仿宋_GB2312" w:hAnsi="宋体" w:eastAsia="仿宋_GB2312"/>
          <w:b/>
          <w:color w:val="auto"/>
          <w:szCs w:val="28"/>
          <w:highlight w:val="none"/>
        </w:rPr>
      </w:pPr>
    </w:p>
    <w:p w14:paraId="3B7AD928">
      <w:pPr>
        <w:pStyle w:val="14"/>
        <w:spacing w:line="360" w:lineRule="auto"/>
        <w:outlineLvl w:val="0"/>
        <w:rPr>
          <w:rFonts w:ascii="仿宋_GB2312" w:hAnsi="宋体" w:eastAsia="仿宋_GB2312"/>
          <w:b/>
          <w:color w:val="auto"/>
          <w:szCs w:val="28"/>
          <w:highlight w:val="none"/>
        </w:rPr>
        <w:sectPr>
          <w:pgSz w:w="11906" w:h="16838"/>
          <w:pgMar w:top="1134" w:right="1134" w:bottom="1134" w:left="1417" w:header="680" w:footer="680" w:gutter="0"/>
          <w:cols w:space="720" w:num="1"/>
          <w:docGrid w:linePitch="312" w:charSpace="0"/>
        </w:sectPr>
      </w:pPr>
    </w:p>
    <w:p w14:paraId="2F9F68B9">
      <w:pPr>
        <w:pStyle w:val="14"/>
        <w:spacing w:line="360" w:lineRule="auto"/>
        <w:outlineLvl w:val="0"/>
        <w:rPr>
          <w:rFonts w:ascii="宋体" w:hAnsi="宋体" w:cs="宋体"/>
          <w:b/>
          <w:color w:val="auto"/>
          <w:szCs w:val="28"/>
          <w:highlight w:val="none"/>
        </w:rPr>
      </w:pPr>
      <w:r>
        <w:rPr>
          <w:rFonts w:hint="eastAsia" w:ascii="宋体" w:hAnsi="宋体" w:cs="宋体"/>
          <w:b/>
          <w:color w:val="auto"/>
          <w:szCs w:val="28"/>
          <w:highlight w:val="none"/>
        </w:rPr>
        <w:t>格式六：</w:t>
      </w:r>
    </w:p>
    <w:p w14:paraId="58C4306F">
      <w:pPr>
        <w:spacing w:line="360" w:lineRule="auto"/>
        <w:jc w:val="center"/>
        <w:outlineLvl w:val="0"/>
        <w:rPr>
          <w:rFonts w:ascii="仿宋_GB2312" w:hAnsi="宋体" w:eastAsia="仿宋_GB2312"/>
          <w:b/>
          <w:color w:val="auto"/>
          <w:sz w:val="24"/>
          <w:szCs w:val="28"/>
          <w:highlight w:val="none"/>
        </w:rPr>
      </w:pPr>
      <w:r>
        <w:rPr>
          <w:rFonts w:hint="eastAsia" w:ascii="宋体" w:hAnsi="宋体" w:cs="宋体"/>
          <w:b/>
          <w:color w:val="auto"/>
          <w:sz w:val="24"/>
          <w:szCs w:val="28"/>
          <w:highlight w:val="none"/>
        </w:rPr>
        <w:t>法定代表人（单位负责人）身份证明（格式）</w:t>
      </w:r>
    </w:p>
    <w:p w14:paraId="5FE12633">
      <w:pPr>
        <w:spacing w:line="360" w:lineRule="auto"/>
        <w:jc w:val="center"/>
        <w:outlineLvl w:val="0"/>
        <w:rPr>
          <w:rFonts w:ascii="仿宋_GB2312" w:hAnsi="宋体" w:eastAsia="仿宋_GB2312"/>
          <w:color w:val="auto"/>
          <w:sz w:val="24"/>
          <w:highlight w:val="none"/>
        </w:rPr>
      </w:pPr>
    </w:p>
    <w:p w14:paraId="3391EEA8">
      <w:pPr>
        <w:spacing w:line="360" w:lineRule="auto"/>
        <w:outlineLvl w:val="0"/>
        <w:rPr>
          <w:rFonts w:ascii="宋体" w:hAnsi="宋体" w:cs="宋体"/>
          <w:color w:val="auto"/>
          <w:sz w:val="24"/>
          <w:highlight w:val="none"/>
        </w:rPr>
      </w:pPr>
      <w:r>
        <w:rPr>
          <w:rFonts w:ascii="宋体" w:hAnsi="宋体" w:cs="宋体"/>
          <w:color w:val="auto"/>
          <w:sz w:val="24"/>
          <w:highlight w:val="none"/>
        </w:rPr>
        <w:t xml:space="preserve">致：（采购人或采购代理机构） </w:t>
      </w:r>
    </w:p>
    <w:p w14:paraId="2FCA5D17">
      <w:pPr>
        <w:spacing w:line="360" w:lineRule="auto"/>
        <w:ind w:firstLine="480" w:firstLineChars="200"/>
        <w:outlineLvl w:val="0"/>
        <w:rPr>
          <w:rFonts w:ascii="宋体" w:hAnsi="宋体" w:cs="宋体"/>
          <w:color w:val="auto"/>
          <w:sz w:val="24"/>
          <w:highlight w:val="none"/>
        </w:rPr>
      </w:pPr>
      <w:r>
        <w:rPr>
          <w:rFonts w:ascii="宋体" w:hAnsi="宋体" w:cs="宋体"/>
          <w:color w:val="auto"/>
          <w:sz w:val="24"/>
          <w:highlight w:val="none"/>
        </w:rPr>
        <w:t>兹证明，姓名：____性别：____年龄：____职务：____系（投标人名称）的法定代表人（单位负责人）。</w:t>
      </w:r>
    </w:p>
    <w:p w14:paraId="4A55551A">
      <w:pPr>
        <w:spacing w:line="360" w:lineRule="auto"/>
        <w:outlineLvl w:val="0"/>
        <w:rPr>
          <w:rFonts w:ascii="宋体" w:hAnsi="宋体" w:cs="宋体"/>
          <w:color w:val="auto"/>
          <w:sz w:val="24"/>
          <w:highlight w:val="none"/>
        </w:rPr>
      </w:pPr>
      <w:r>
        <w:rPr>
          <w:rFonts w:ascii="宋体" w:hAnsi="宋体" w:cs="宋体"/>
          <w:color w:val="auto"/>
          <w:sz w:val="24"/>
          <w:highlight w:val="none"/>
        </w:rPr>
        <w:t>附：法定代表人（单位负责人）身份证、护照等身份证明文件电子件：</w:t>
      </w:r>
    </w:p>
    <w:p w14:paraId="3FB2DC34">
      <w:pPr>
        <w:spacing w:line="360" w:lineRule="auto"/>
        <w:ind w:firstLine="480" w:firstLineChars="200"/>
        <w:outlineLvl w:val="0"/>
        <w:rPr>
          <w:rFonts w:ascii="宋体" w:hAnsi="宋体" w:cs="宋体"/>
          <w:color w:val="auto"/>
          <w:sz w:val="24"/>
          <w:highlight w:val="none"/>
        </w:rPr>
      </w:pPr>
    </w:p>
    <w:p w14:paraId="099D1F69">
      <w:pPr>
        <w:adjustRightInd w:val="0"/>
        <w:snapToGrid w:val="0"/>
        <w:spacing w:line="360" w:lineRule="auto"/>
        <w:ind w:firstLine="480" w:firstLineChars="200"/>
        <w:rPr>
          <w:rFonts w:ascii="宋体"/>
          <w:color w:val="auto"/>
          <w:sz w:val="24"/>
          <w:highlight w:val="none"/>
          <w:u w:val="single"/>
        </w:rPr>
      </w:pPr>
      <w:r>
        <w:rPr>
          <w:rFonts w:hint="eastAsia" w:ascii="宋体"/>
          <w:color w:val="auto"/>
          <w:sz w:val="24"/>
          <w:highlight w:val="none"/>
        </w:rPr>
        <w:t>投标人名称（盖章）：</w:t>
      </w:r>
    </w:p>
    <w:p w14:paraId="7CBEE7A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法定代表人（单位负责人）（签字或盖章）</w:t>
      </w:r>
      <w:r>
        <w:rPr>
          <w:rFonts w:hint="eastAsia" w:ascii="宋体"/>
          <w:color w:val="auto"/>
          <w:sz w:val="24"/>
          <w:highlight w:val="none"/>
        </w:rPr>
        <w:t>：</w:t>
      </w:r>
    </w:p>
    <w:p w14:paraId="4BACA1C0">
      <w:pPr>
        <w:spacing w:line="360" w:lineRule="auto"/>
        <w:ind w:firstLine="480" w:firstLineChars="200"/>
        <w:outlineLvl w:val="0"/>
        <w:rPr>
          <w:rFonts w:ascii="宋体" w:hAnsi="宋体" w:cs="宋体"/>
          <w:color w:val="auto"/>
          <w:sz w:val="24"/>
          <w:highlight w:val="none"/>
        </w:rPr>
      </w:pPr>
      <w:r>
        <w:rPr>
          <w:rFonts w:ascii="宋体" w:hAnsi="宋体" w:cs="宋体"/>
          <w:color w:val="auto"/>
          <w:sz w:val="24"/>
          <w:highlight w:val="none"/>
        </w:rPr>
        <w:t>日期：_____年______月______日</w:t>
      </w:r>
    </w:p>
    <w:p w14:paraId="3EA7C07A">
      <w:pPr>
        <w:pStyle w:val="14"/>
        <w:spacing w:line="360" w:lineRule="auto"/>
        <w:outlineLvl w:val="0"/>
        <w:rPr>
          <w:rFonts w:ascii="宋体" w:hAnsi="宋体" w:cs="宋体"/>
          <w:color w:val="auto"/>
          <w:szCs w:val="24"/>
          <w:highlight w:val="none"/>
        </w:rPr>
      </w:pPr>
    </w:p>
    <w:p w14:paraId="38243748">
      <w:pPr>
        <w:pStyle w:val="14"/>
        <w:spacing w:line="360" w:lineRule="auto"/>
        <w:outlineLvl w:val="0"/>
        <w:rPr>
          <w:rFonts w:ascii="宋体" w:hAnsi="宋体" w:cs="宋体"/>
          <w:color w:val="auto"/>
          <w:szCs w:val="24"/>
          <w:highlight w:val="none"/>
        </w:rPr>
      </w:pPr>
    </w:p>
    <w:p w14:paraId="41F758E0">
      <w:pPr>
        <w:pStyle w:val="14"/>
        <w:spacing w:line="360" w:lineRule="auto"/>
        <w:outlineLvl w:val="0"/>
        <w:rPr>
          <w:rFonts w:ascii="仿宋_GB2312" w:hAnsi="宋体" w:eastAsia="仿宋_GB2312"/>
          <w:b/>
          <w:color w:val="auto"/>
          <w:szCs w:val="28"/>
          <w:highlight w:val="none"/>
        </w:rPr>
      </w:pPr>
    </w:p>
    <w:p w14:paraId="5E54E9AE">
      <w:pPr>
        <w:pStyle w:val="14"/>
        <w:spacing w:line="360" w:lineRule="auto"/>
        <w:outlineLvl w:val="0"/>
        <w:rPr>
          <w:rFonts w:ascii="仿宋_GB2312" w:hAnsi="宋体" w:eastAsia="仿宋_GB2312"/>
          <w:b/>
          <w:color w:val="auto"/>
          <w:szCs w:val="28"/>
          <w:highlight w:val="none"/>
        </w:rPr>
        <w:sectPr>
          <w:pgSz w:w="11906" w:h="16838"/>
          <w:pgMar w:top="1134" w:right="1134" w:bottom="1134" w:left="1417" w:header="680" w:footer="680" w:gutter="0"/>
          <w:cols w:space="720" w:num="1"/>
          <w:docGrid w:linePitch="312" w:charSpace="0"/>
        </w:sectPr>
      </w:pPr>
    </w:p>
    <w:p w14:paraId="36834C55">
      <w:pPr>
        <w:pStyle w:val="14"/>
        <w:spacing w:line="360" w:lineRule="auto"/>
        <w:outlineLvl w:val="0"/>
        <w:rPr>
          <w:rFonts w:ascii="宋体" w:hAnsi="宋体" w:cs="宋体"/>
          <w:b/>
          <w:color w:val="auto"/>
          <w:szCs w:val="28"/>
          <w:highlight w:val="none"/>
        </w:rPr>
      </w:pPr>
      <w:r>
        <w:rPr>
          <w:rFonts w:hint="eastAsia" w:ascii="宋体" w:hAnsi="宋体" w:cs="宋体"/>
          <w:b/>
          <w:color w:val="auto"/>
          <w:szCs w:val="28"/>
          <w:highlight w:val="none"/>
        </w:rPr>
        <w:t>格式七：</w:t>
      </w:r>
    </w:p>
    <w:p w14:paraId="16EC8CF0">
      <w:pPr>
        <w:snapToGrid w:val="0"/>
        <w:spacing w:line="360" w:lineRule="auto"/>
        <w:jc w:val="center"/>
        <w:textAlignment w:val="bottom"/>
        <w:rPr>
          <w:rFonts w:ascii="宋体" w:hAnsi="宋体" w:cs="宋体"/>
          <w:b/>
          <w:color w:val="auto"/>
          <w:sz w:val="24"/>
          <w:szCs w:val="28"/>
          <w:highlight w:val="none"/>
        </w:rPr>
      </w:pPr>
      <w:r>
        <w:rPr>
          <w:rFonts w:hint="eastAsia" w:ascii="宋体" w:hAnsi="宋体" w:cs="宋体"/>
          <w:b/>
          <w:color w:val="auto"/>
          <w:sz w:val="24"/>
          <w:szCs w:val="28"/>
          <w:highlight w:val="none"/>
        </w:rPr>
        <w:t>授权委托书（格式）</w:t>
      </w:r>
    </w:p>
    <w:p w14:paraId="5381690B">
      <w:pPr>
        <w:snapToGrid w:val="0"/>
        <w:spacing w:line="360" w:lineRule="auto"/>
        <w:jc w:val="center"/>
        <w:textAlignment w:val="bottom"/>
        <w:rPr>
          <w:rFonts w:ascii="仿宋_GB2312" w:hAnsi="宋体" w:eastAsia="仿宋_GB2312"/>
          <w:b/>
          <w:bCs/>
          <w:color w:val="auto"/>
          <w:sz w:val="24"/>
          <w:szCs w:val="28"/>
          <w:highlight w:val="none"/>
        </w:rPr>
      </w:pPr>
    </w:p>
    <w:p w14:paraId="0E60DF00">
      <w:pPr>
        <w:snapToGrid w:val="0"/>
        <w:spacing w:line="360" w:lineRule="auto"/>
        <w:ind w:firstLine="480" w:firstLineChars="200"/>
        <w:textAlignment w:val="bottom"/>
        <w:rPr>
          <w:rFonts w:ascii="宋体" w:hAnsi="宋体" w:cs="宋体"/>
          <w:color w:val="auto"/>
          <w:sz w:val="24"/>
          <w:highlight w:val="none"/>
        </w:rPr>
      </w:pPr>
      <w:r>
        <w:rPr>
          <w:rFonts w:ascii="宋体" w:hAnsi="宋体" w:cs="宋体"/>
          <w:color w:val="auto"/>
          <w:sz w:val="24"/>
          <w:highlight w:val="none"/>
        </w:rPr>
        <w:t>本人_______（姓名）系________________（投标人名称）的法定代表人（单位负责人），现委托_______（姓名）为我方代理人。代理人根据授权，以我方名义签署、澄清确认、</w:t>
      </w:r>
      <w:r>
        <w:rPr>
          <w:rFonts w:hint="eastAsia" w:ascii="宋体" w:hAnsi="宋体" w:cs="宋体"/>
          <w:color w:val="auto"/>
          <w:sz w:val="24"/>
          <w:highlight w:val="none"/>
        </w:rPr>
        <w:t>提</w:t>
      </w:r>
      <w:r>
        <w:rPr>
          <w:rFonts w:ascii="宋体" w:hAnsi="宋体" w:cs="宋体"/>
          <w:color w:val="auto"/>
          <w:sz w:val="24"/>
          <w:highlight w:val="none"/>
        </w:rPr>
        <w:t xml:space="preserve">交、撤回、修改________________（项目名称）投标文件和处理有关事宜，其法律后果由我方承担。 </w:t>
      </w:r>
    </w:p>
    <w:p w14:paraId="52849B26">
      <w:pPr>
        <w:snapToGrid w:val="0"/>
        <w:spacing w:line="360" w:lineRule="auto"/>
        <w:ind w:firstLine="480" w:firstLineChars="200"/>
        <w:textAlignment w:val="bottom"/>
        <w:rPr>
          <w:rFonts w:ascii="宋体" w:hAnsi="宋体" w:cs="宋体"/>
          <w:color w:val="auto"/>
          <w:sz w:val="24"/>
          <w:highlight w:val="none"/>
        </w:rPr>
      </w:pPr>
      <w:r>
        <w:rPr>
          <w:rFonts w:ascii="宋体" w:hAnsi="宋体" w:cs="宋体"/>
          <w:color w:val="auto"/>
          <w:sz w:val="24"/>
          <w:highlight w:val="none"/>
        </w:rPr>
        <w:t xml:space="preserve">委托期限：自本授权委托书签署之日起至投标有效期届满之日止。 </w:t>
      </w:r>
    </w:p>
    <w:p w14:paraId="74F3FF30">
      <w:pPr>
        <w:snapToGrid w:val="0"/>
        <w:spacing w:line="360" w:lineRule="auto"/>
        <w:ind w:firstLine="480" w:firstLineChars="200"/>
        <w:textAlignment w:val="bottom"/>
        <w:rPr>
          <w:rFonts w:ascii="宋体" w:hAnsi="宋体" w:cs="宋体"/>
          <w:color w:val="auto"/>
          <w:sz w:val="24"/>
          <w:highlight w:val="none"/>
        </w:rPr>
      </w:pPr>
      <w:r>
        <w:rPr>
          <w:rFonts w:ascii="宋体" w:hAnsi="宋体" w:cs="宋体"/>
          <w:color w:val="auto"/>
          <w:sz w:val="24"/>
          <w:highlight w:val="none"/>
        </w:rPr>
        <w:t>代理人无转委托权。</w:t>
      </w:r>
    </w:p>
    <w:p w14:paraId="3FEB7F43">
      <w:pPr>
        <w:snapToGrid w:val="0"/>
        <w:spacing w:line="360" w:lineRule="auto"/>
        <w:ind w:firstLine="975"/>
        <w:textAlignment w:val="bottom"/>
        <w:rPr>
          <w:rFonts w:ascii="宋体" w:hAnsi="宋体" w:cs="宋体"/>
          <w:color w:val="auto"/>
          <w:sz w:val="24"/>
          <w:highlight w:val="none"/>
        </w:rPr>
      </w:pPr>
    </w:p>
    <w:p w14:paraId="654D56FD">
      <w:pPr>
        <w:snapToGrid w:val="0"/>
        <w:spacing w:line="360" w:lineRule="auto"/>
        <w:textAlignment w:val="bottom"/>
        <w:rPr>
          <w:rFonts w:ascii="宋体" w:hAnsi="宋体" w:cs="宋体"/>
          <w:color w:val="auto"/>
          <w:sz w:val="24"/>
          <w:highlight w:val="none"/>
        </w:rPr>
      </w:pPr>
      <w:r>
        <w:rPr>
          <w:rFonts w:ascii="宋体" w:hAnsi="宋体" w:cs="宋体"/>
          <w:color w:val="auto"/>
          <w:sz w:val="24"/>
          <w:highlight w:val="none"/>
        </w:rPr>
        <w:t xml:space="preserve">投标人名称（加盖公章）：________________ </w:t>
      </w:r>
    </w:p>
    <w:p w14:paraId="6F1E49F3">
      <w:pPr>
        <w:snapToGrid w:val="0"/>
        <w:spacing w:line="360" w:lineRule="auto"/>
        <w:textAlignment w:val="bottom"/>
        <w:rPr>
          <w:rFonts w:ascii="宋体" w:hAnsi="宋体" w:cs="宋体"/>
          <w:color w:val="auto"/>
          <w:sz w:val="24"/>
          <w:highlight w:val="none"/>
        </w:rPr>
      </w:pPr>
      <w:r>
        <w:rPr>
          <w:rFonts w:ascii="宋体" w:hAnsi="宋体" w:cs="宋体"/>
          <w:color w:val="auto"/>
          <w:sz w:val="24"/>
          <w:highlight w:val="none"/>
        </w:rPr>
        <w:t xml:space="preserve">法定代表人（单位负责人）（签字或签章）：________________ </w:t>
      </w:r>
    </w:p>
    <w:p w14:paraId="0BC70314">
      <w:pPr>
        <w:snapToGrid w:val="0"/>
        <w:spacing w:line="360" w:lineRule="auto"/>
        <w:textAlignment w:val="bottom"/>
        <w:rPr>
          <w:rFonts w:ascii="宋体" w:hAnsi="宋体" w:cs="宋体"/>
          <w:color w:val="auto"/>
          <w:sz w:val="24"/>
          <w:highlight w:val="none"/>
        </w:rPr>
      </w:pPr>
      <w:r>
        <w:rPr>
          <w:rFonts w:ascii="宋体" w:hAnsi="宋体" w:cs="宋体"/>
          <w:color w:val="auto"/>
          <w:sz w:val="24"/>
          <w:highlight w:val="none"/>
        </w:rPr>
        <w:t xml:space="preserve">委托代理人（签字或签章）：________________ </w:t>
      </w:r>
    </w:p>
    <w:p w14:paraId="7C8D29DA">
      <w:pPr>
        <w:snapToGrid w:val="0"/>
        <w:spacing w:line="360" w:lineRule="auto"/>
        <w:textAlignment w:val="bottom"/>
        <w:rPr>
          <w:rFonts w:ascii="宋体" w:hAnsi="宋体" w:cs="宋体"/>
          <w:color w:val="auto"/>
          <w:sz w:val="24"/>
          <w:highlight w:val="none"/>
          <w:u w:val="single"/>
        </w:rPr>
      </w:pPr>
      <w:r>
        <w:rPr>
          <w:rFonts w:ascii="宋体" w:hAnsi="宋体" w:cs="宋体"/>
          <w:color w:val="auto"/>
          <w:sz w:val="24"/>
          <w:highlight w:val="none"/>
        </w:rPr>
        <w:t>日期：_____年______月______日</w:t>
      </w:r>
    </w:p>
    <w:p w14:paraId="045555AD">
      <w:pPr>
        <w:snapToGrid w:val="0"/>
        <w:spacing w:line="360" w:lineRule="auto"/>
        <w:textAlignment w:val="bottom"/>
        <w:rPr>
          <w:rFonts w:ascii="宋体" w:hAnsi="宋体" w:cs="宋体"/>
          <w:bCs/>
          <w:color w:val="auto"/>
          <w:sz w:val="24"/>
          <w:highlight w:val="none"/>
        </w:rPr>
      </w:pPr>
      <w:r>
        <w:rPr>
          <w:rFonts w:ascii="宋体" w:hAnsi="宋体" w:cs="宋体"/>
          <w:color w:val="auto"/>
          <w:sz w:val="24"/>
          <w:highlight w:val="none"/>
        </w:rPr>
        <w:t>附：法定代表人及委托代理人身份证明文件电子件：</w:t>
      </w:r>
    </w:p>
    <w:p w14:paraId="76EB8630">
      <w:pPr>
        <w:snapToGrid w:val="0"/>
        <w:spacing w:line="360" w:lineRule="auto"/>
        <w:textAlignment w:val="bottom"/>
        <w:rPr>
          <w:rFonts w:ascii="宋体" w:hAnsi="宋体" w:cs="宋体"/>
          <w:bCs/>
          <w:color w:val="auto"/>
          <w:sz w:val="24"/>
          <w:highlight w:val="none"/>
        </w:rPr>
      </w:pPr>
    </w:p>
    <w:p w14:paraId="2FEAD95E">
      <w:pPr>
        <w:snapToGrid w:val="0"/>
        <w:spacing w:line="360" w:lineRule="auto"/>
        <w:textAlignment w:val="bottom"/>
        <w:rPr>
          <w:rFonts w:ascii="宋体" w:hAnsi="宋体" w:cs="宋体"/>
          <w:bCs/>
          <w:color w:val="auto"/>
          <w:sz w:val="24"/>
          <w:highlight w:val="none"/>
        </w:rPr>
      </w:pPr>
    </w:p>
    <w:p w14:paraId="0BED4FB9">
      <w:pPr>
        <w:pStyle w:val="14"/>
        <w:spacing w:line="360" w:lineRule="auto"/>
        <w:outlineLvl w:val="0"/>
        <w:rPr>
          <w:rFonts w:ascii="宋体" w:hAnsi="宋体" w:cs="宋体"/>
          <w:color w:val="auto"/>
          <w:szCs w:val="24"/>
          <w:highlight w:val="none"/>
        </w:rPr>
      </w:pPr>
      <w:r>
        <w:rPr>
          <w:rFonts w:ascii="宋体" w:hAnsi="宋体" w:cs="宋体"/>
          <w:color w:val="auto"/>
          <w:szCs w:val="24"/>
          <w:highlight w:val="none"/>
        </w:rPr>
        <w:t xml:space="preserve">说明： </w:t>
      </w:r>
    </w:p>
    <w:p w14:paraId="75C3F61B">
      <w:pPr>
        <w:pStyle w:val="14"/>
        <w:numPr>
          <w:ilvl w:val="0"/>
          <w:numId w:val="11"/>
        </w:numPr>
        <w:spacing w:line="360" w:lineRule="auto"/>
        <w:outlineLvl w:val="0"/>
        <w:rPr>
          <w:rFonts w:ascii="宋体" w:hAnsi="宋体" w:cs="宋体"/>
          <w:color w:val="auto"/>
          <w:szCs w:val="24"/>
          <w:highlight w:val="none"/>
        </w:rPr>
      </w:pPr>
      <w:r>
        <w:rPr>
          <w:rFonts w:ascii="宋体" w:hAnsi="宋体" w:cs="宋体"/>
          <w:color w:val="auto"/>
          <w:szCs w:val="24"/>
          <w:highlight w:val="none"/>
        </w:rPr>
        <w:t>若</w:t>
      </w:r>
      <w:r>
        <w:rPr>
          <w:rFonts w:hint="eastAsia" w:ascii="宋体" w:hAnsi="宋体" w:cs="宋体"/>
          <w:color w:val="auto"/>
          <w:szCs w:val="24"/>
          <w:highlight w:val="none"/>
          <w:lang w:eastAsia="zh-CN"/>
        </w:rPr>
        <w:t>投标人</w:t>
      </w:r>
      <w:r>
        <w:rPr>
          <w:rFonts w:ascii="宋体" w:hAnsi="宋体" w:cs="宋体"/>
          <w:color w:val="auto"/>
          <w:szCs w:val="24"/>
          <w:highlight w:val="none"/>
        </w:rPr>
        <w:t xml:space="preserve">为事业单位或其他组织或分支机构，则法定代表人（单位负责人）处的签署人可为单位负责人。 </w:t>
      </w:r>
    </w:p>
    <w:p w14:paraId="484AA729">
      <w:pPr>
        <w:pStyle w:val="14"/>
        <w:numPr>
          <w:ilvl w:val="0"/>
          <w:numId w:val="11"/>
        </w:numPr>
        <w:spacing w:line="360" w:lineRule="auto"/>
        <w:outlineLvl w:val="0"/>
        <w:rPr>
          <w:rFonts w:ascii="宋体" w:hAnsi="宋体" w:cs="宋体"/>
          <w:color w:val="auto"/>
          <w:szCs w:val="24"/>
          <w:highlight w:val="none"/>
        </w:rPr>
      </w:pPr>
      <w:r>
        <w:rPr>
          <w:rFonts w:ascii="宋体" w:hAnsi="宋体" w:cs="宋体"/>
          <w:color w:val="auto"/>
          <w:szCs w:val="24"/>
          <w:highlight w:val="none"/>
        </w:rPr>
        <w:t>若投标文件中签字之处均为法定代表人（单位负责人）本人签署，则可不</w:t>
      </w:r>
      <w:r>
        <w:rPr>
          <w:rFonts w:hint="eastAsia" w:ascii="宋体" w:hAnsi="宋体" w:cs="宋体"/>
          <w:color w:val="auto"/>
          <w:szCs w:val="24"/>
          <w:highlight w:val="none"/>
        </w:rPr>
        <w:t>提</w:t>
      </w:r>
      <w:r>
        <w:rPr>
          <w:rFonts w:ascii="宋体" w:hAnsi="宋体" w:cs="宋体"/>
          <w:color w:val="auto"/>
          <w:szCs w:val="24"/>
          <w:highlight w:val="none"/>
        </w:rPr>
        <w:t>供本《授权委托书》，但须</w:t>
      </w:r>
      <w:r>
        <w:rPr>
          <w:rFonts w:hint="eastAsia" w:ascii="宋体" w:hAnsi="宋体" w:cs="宋体"/>
          <w:color w:val="auto"/>
          <w:szCs w:val="24"/>
          <w:highlight w:val="none"/>
        </w:rPr>
        <w:t>提</w:t>
      </w:r>
      <w:r>
        <w:rPr>
          <w:rFonts w:ascii="宋体" w:hAnsi="宋体" w:cs="宋体"/>
          <w:color w:val="auto"/>
          <w:szCs w:val="24"/>
          <w:highlight w:val="none"/>
        </w:rPr>
        <w:t>供《法定代表人（单位负责人）身份证明》；否则，不需要</w:t>
      </w:r>
      <w:r>
        <w:rPr>
          <w:rFonts w:hint="eastAsia" w:ascii="宋体" w:hAnsi="宋体" w:cs="宋体"/>
          <w:color w:val="auto"/>
          <w:szCs w:val="24"/>
          <w:highlight w:val="none"/>
        </w:rPr>
        <w:t>提</w:t>
      </w:r>
      <w:r>
        <w:rPr>
          <w:rFonts w:ascii="宋体" w:hAnsi="宋体" w:cs="宋体"/>
          <w:color w:val="auto"/>
          <w:szCs w:val="24"/>
          <w:highlight w:val="none"/>
        </w:rPr>
        <w:t xml:space="preserve">供《法 定代表人（单位负责人）身份证明》。 </w:t>
      </w:r>
    </w:p>
    <w:p w14:paraId="281E8B39">
      <w:pPr>
        <w:pStyle w:val="14"/>
        <w:numPr>
          <w:ilvl w:val="0"/>
          <w:numId w:val="11"/>
        </w:numPr>
        <w:spacing w:line="360" w:lineRule="auto"/>
        <w:outlineLvl w:val="0"/>
        <w:rPr>
          <w:rFonts w:ascii="宋体" w:hAnsi="宋体" w:cs="宋体"/>
          <w:color w:val="auto"/>
          <w:szCs w:val="24"/>
          <w:highlight w:val="none"/>
        </w:rPr>
      </w:pPr>
      <w:r>
        <w:rPr>
          <w:rFonts w:hint="eastAsia" w:ascii="宋体" w:hAnsi="宋体" w:cs="宋体"/>
          <w:color w:val="auto"/>
          <w:szCs w:val="24"/>
          <w:highlight w:val="none"/>
          <w:lang w:eastAsia="zh-CN"/>
        </w:rPr>
        <w:t>投标人</w:t>
      </w:r>
      <w:r>
        <w:rPr>
          <w:rFonts w:ascii="宋体" w:hAnsi="宋体" w:cs="宋体"/>
          <w:color w:val="auto"/>
          <w:szCs w:val="24"/>
          <w:highlight w:val="none"/>
        </w:rPr>
        <w:t>为自然人的情形，可不</w:t>
      </w:r>
      <w:r>
        <w:rPr>
          <w:rFonts w:hint="eastAsia" w:ascii="宋体" w:hAnsi="宋体" w:cs="宋体"/>
          <w:color w:val="auto"/>
          <w:szCs w:val="24"/>
          <w:highlight w:val="none"/>
        </w:rPr>
        <w:t>提</w:t>
      </w:r>
      <w:r>
        <w:rPr>
          <w:rFonts w:ascii="宋体" w:hAnsi="宋体" w:cs="宋体"/>
          <w:color w:val="auto"/>
          <w:szCs w:val="24"/>
          <w:highlight w:val="none"/>
        </w:rPr>
        <w:t xml:space="preserve">供本《授权委托书》。 </w:t>
      </w:r>
    </w:p>
    <w:p w14:paraId="49CEC86E">
      <w:pPr>
        <w:pStyle w:val="14"/>
        <w:spacing w:line="360" w:lineRule="auto"/>
        <w:outlineLvl w:val="0"/>
        <w:rPr>
          <w:rFonts w:ascii="宋体" w:hAnsi="宋体" w:cs="宋体"/>
          <w:color w:val="auto"/>
          <w:szCs w:val="24"/>
          <w:highlight w:val="none"/>
        </w:rPr>
      </w:pPr>
      <w:r>
        <w:rPr>
          <w:rFonts w:ascii="宋体" w:hAnsi="宋体" w:cs="宋体"/>
          <w:color w:val="auto"/>
          <w:szCs w:val="24"/>
          <w:highlight w:val="none"/>
        </w:rPr>
        <w:t>4.</w:t>
      </w:r>
      <w:r>
        <w:rPr>
          <w:rFonts w:hint="eastAsia" w:ascii="宋体" w:hAnsi="宋体" w:cs="宋体"/>
          <w:color w:val="auto"/>
          <w:szCs w:val="24"/>
          <w:highlight w:val="none"/>
          <w:lang w:eastAsia="zh-CN"/>
        </w:rPr>
        <w:t>投标人</w:t>
      </w:r>
      <w:r>
        <w:rPr>
          <w:rFonts w:ascii="宋体" w:hAnsi="宋体" w:cs="宋体"/>
          <w:color w:val="auto"/>
          <w:szCs w:val="24"/>
          <w:highlight w:val="none"/>
        </w:rPr>
        <w:t>应随本《授权委托书》同时</w:t>
      </w:r>
      <w:r>
        <w:rPr>
          <w:rFonts w:hint="eastAsia" w:ascii="宋体" w:hAnsi="宋体" w:cs="宋体"/>
          <w:color w:val="auto"/>
          <w:szCs w:val="24"/>
          <w:highlight w:val="none"/>
        </w:rPr>
        <w:t>提</w:t>
      </w:r>
      <w:r>
        <w:rPr>
          <w:rFonts w:ascii="宋体" w:hAnsi="宋体" w:cs="宋体"/>
          <w:color w:val="auto"/>
          <w:szCs w:val="24"/>
          <w:highlight w:val="none"/>
        </w:rPr>
        <w:t>供法定代表人（单位负责人）及委托代理人的有效的身份证、护照等身份证明文件电子件。</w:t>
      </w:r>
      <w:r>
        <w:rPr>
          <w:rFonts w:hint="eastAsia" w:ascii="宋体" w:hAnsi="宋体" w:cs="宋体"/>
          <w:color w:val="auto"/>
          <w:szCs w:val="24"/>
          <w:highlight w:val="none"/>
        </w:rPr>
        <w:t>提</w:t>
      </w:r>
      <w:r>
        <w:rPr>
          <w:rFonts w:ascii="宋体" w:hAnsi="宋体" w:cs="宋体"/>
          <w:color w:val="auto"/>
          <w:szCs w:val="24"/>
          <w:highlight w:val="none"/>
        </w:rPr>
        <w:t>供身份证的，应同时</w:t>
      </w:r>
      <w:r>
        <w:rPr>
          <w:rFonts w:hint="eastAsia" w:ascii="宋体" w:hAnsi="宋体" w:cs="宋体"/>
          <w:color w:val="auto"/>
          <w:szCs w:val="24"/>
          <w:highlight w:val="none"/>
        </w:rPr>
        <w:t>提</w:t>
      </w:r>
      <w:r>
        <w:rPr>
          <w:rFonts w:ascii="宋体" w:hAnsi="宋体" w:cs="宋体"/>
          <w:color w:val="auto"/>
          <w:szCs w:val="24"/>
          <w:highlight w:val="none"/>
        </w:rPr>
        <w:t>供身份证双面电子件</w:t>
      </w:r>
      <w:r>
        <w:rPr>
          <w:rFonts w:hint="eastAsia" w:ascii="宋体" w:hAnsi="宋体" w:cs="宋体"/>
          <w:color w:val="auto"/>
          <w:szCs w:val="24"/>
          <w:highlight w:val="none"/>
        </w:rPr>
        <w:t>。</w:t>
      </w:r>
    </w:p>
    <w:p w14:paraId="460E7578">
      <w:pPr>
        <w:snapToGrid w:val="0"/>
        <w:spacing w:line="360" w:lineRule="auto"/>
        <w:textAlignment w:val="bottom"/>
        <w:rPr>
          <w:rFonts w:ascii="宋体" w:hAnsi="宋体" w:cs="宋体"/>
          <w:b/>
          <w:bCs/>
          <w:color w:val="auto"/>
          <w:sz w:val="24"/>
          <w:szCs w:val="28"/>
          <w:highlight w:val="none"/>
        </w:rPr>
      </w:pPr>
    </w:p>
    <w:p w14:paraId="0FF7A298">
      <w:pPr>
        <w:pStyle w:val="13"/>
        <w:spacing w:line="500" w:lineRule="exact"/>
        <w:jc w:val="left"/>
        <w:rPr>
          <w:rFonts w:hint="default" w:hAnsi="宋体" w:cs="宋体"/>
          <w:b/>
          <w:color w:val="auto"/>
          <w:sz w:val="24"/>
          <w:szCs w:val="28"/>
          <w:highlight w:val="none"/>
        </w:rPr>
        <w:sectPr>
          <w:pgSz w:w="11906" w:h="16838"/>
          <w:pgMar w:top="1134" w:right="1134" w:bottom="1134" w:left="1417" w:header="680" w:footer="680" w:gutter="0"/>
          <w:cols w:space="720" w:num="1"/>
          <w:docGrid w:linePitch="312" w:charSpace="0"/>
        </w:sectPr>
      </w:pPr>
    </w:p>
    <w:p w14:paraId="3D18D4F8">
      <w:pPr>
        <w:pStyle w:val="13"/>
        <w:spacing w:line="360" w:lineRule="auto"/>
        <w:jc w:val="left"/>
        <w:rPr>
          <w:rFonts w:hint="default" w:hAnsi="宋体" w:cs="宋体"/>
          <w:b/>
          <w:color w:val="auto"/>
          <w:sz w:val="24"/>
          <w:szCs w:val="28"/>
          <w:highlight w:val="none"/>
        </w:rPr>
      </w:pPr>
      <w:r>
        <w:rPr>
          <w:rFonts w:hAnsi="宋体" w:cs="宋体"/>
          <w:b/>
          <w:color w:val="auto"/>
          <w:sz w:val="24"/>
          <w:szCs w:val="28"/>
          <w:highlight w:val="none"/>
        </w:rPr>
        <w:t>格式八：</w:t>
      </w:r>
    </w:p>
    <w:p w14:paraId="336A13C6">
      <w:pPr>
        <w:pStyle w:val="13"/>
        <w:spacing w:line="360" w:lineRule="auto"/>
        <w:jc w:val="center"/>
        <w:rPr>
          <w:rFonts w:hint="default" w:hAnsi="宋体" w:cs="宋体"/>
          <w:b/>
          <w:color w:val="auto"/>
          <w:sz w:val="24"/>
          <w:szCs w:val="28"/>
          <w:highlight w:val="none"/>
        </w:rPr>
      </w:pPr>
      <w:r>
        <w:rPr>
          <w:rFonts w:hAnsi="宋体" w:cs="宋体"/>
          <w:b/>
          <w:color w:val="auto"/>
          <w:sz w:val="24"/>
          <w:szCs w:val="28"/>
          <w:highlight w:val="none"/>
        </w:rPr>
        <w:t>中标服务费承诺书（格式）</w:t>
      </w:r>
    </w:p>
    <w:p w14:paraId="0B84710D">
      <w:pPr>
        <w:autoSpaceDE w:val="0"/>
        <w:autoSpaceDN w:val="0"/>
        <w:ind w:right="-36"/>
        <w:textAlignment w:val="bottom"/>
        <w:rPr>
          <w:rFonts w:ascii="宋体" w:hAnsi="宋体"/>
          <w:color w:val="auto"/>
          <w:highlight w:val="none"/>
        </w:rPr>
      </w:pPr>
    </w:p>
    <w:p w14:paraId="41208BD2">
      <w:pPr>
        <w:tabs>
          <w:tab w:val="left" w:pos="-360"/>
        </w:tabs>
        <w:autoSpaceDE w:val="0"/>
        <w:autoSpaceDN w:val="0"/>
        <w:spacing w:line="400" w:lineRule="exact"/>
        <w:ind w:left="5912" w:leftChars="2475" w:hanging="714" w:hangingChars="340"/>
        <w:textAlignment w:val="bottom"/>
        <w:rPr>
          <w:rFonts w:ascii="Arial" w:hAnsi="Arial" w:cs="Arial"/>
          <w:color w:val="auto"/>
          <w:szCs w:val="21"/>
          <w:highlight w:val="none"/>
        </w:rPr>
      </w:pPr>
    </w:p>
    <w:p w14:paraId="10096A8C">
      <w:pPr>
        <w:pStyle w:val="14"/>
        <w:spacing w:line="360" w:lineRule="auto"/>
        <w:outlineLvl w:val="0"/>
        <w:rPr>
          <w:rFonts w:ascii="宋体" w:hAnsi="宋体" w:cs="宋体"/>
          <w:color w:val="auto"/>
          <w:szCs w:val="24"/>
          <w:highlight w:val="none"/>
        </w:rPr>
      </w:pPr>
      <w:r>
        <w:rPr>
          <w:rFonts w:hint="eastAsia" w:ascii="宋体" w:hAnsi="宋体" w:cs="宋体"/>
          <w:color w:val="auto"/>
          <w:szCs w:val="24"/>
          <w:highlight w:val="none"/>
        </w:rPr>
        <w:t>致：中金招标有限责任公司</w:t>
      </w:r>
    </w:p>
    <w:p w14:paraId="0134BD8B">
      <w:pPr>
        <w:pStyle w:val="14"/>
        <w:spacing w:line="360" w:lineRule="auto"/>
        <w:outlineLvl w:val="0"/>
        <w:rPr>
          <w:rFonts w:ascii="宋体" w:hAnsi="宋体" w:cs="宋体"/>
          <w:color w:val="auto"/>
          <w:szCs w:val="24"/>
          <w:highlight w:val="none"/>
        </w:rPr>
      </w:pPr>
    </w:p>
    <w:p w14:paraId="4A658456">
      <w:pPr>
        <w:pStyle w:val="14"/>
        <w:spacing w:line="360" w:lineRule="auto"/>
        <w:ind w:firstLine="480" w:firstLineChars="200"/>
        <w:outlineLvl w:val="0"/>
        <w:rPr>
          <w:rFonts w:ascii="宋体" w:hAnsi="宋体" w:cs="宋体"/>
          <w:color w:val="auto"/>
          <w:szCs w:val="24"/>
          <w:highlight w:val="none"/>
        </w:rPr>
      </w:pPr>
      <w:r>
        <w:rPr>
          <w:rFonts w:hint="eastAsia" w:ascii="宋体" w:hAnsi="宋体" w:cs="宋体"/>
          <w:color w:val="auto"/>
          <w:szCs w:val="24"/>
          <w:highlight w:val="none"/>
        </w:rPr>
        <w:t>我们在贵公司代理的项目采购中若获成交（项目编号：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），我们保证在收到中标通知后2个工作日内按招标文件的规定，向贵公司即中金招标有限责任公司按照取费规定一次性支付中标服务费。</w:t>
      </w:r>
    </w:p>
    <w:p w14:paraId="67414AFC">
      <w:pPr>
        <w:pStyle w:val="14"/>
        <w:spacing w:line="360" w:lineRule="auto"/>
        <w:ind w:firstLine="480" w:firstLineChars="200"/>
        <w:outlineLvl w:val="0"/>
        <w:rPr>
          <w:rFonts w:ascii="宋体" w:cs="宋体"/>
          <w:color w:val="auto"/>
          <w:szCs w:val="24"/>
          <w:highlight w:val="none"/>
        </w:rPr>
      </w:pPr>
      <w:r>
        <w:rPr>
          <w:rFonts w:hint="eastAsia" w:ascii="宋体" w:cs="宋体"/>
          <w:color w:val="auto"/>
          <w:szCs w:val="24"/>
          <w:highlight w:val="none"/>
        </w:rPr>
        <w:t>特此承诺。</w:t>
      </w:r>
    </w:p>
    <w:p w14:paraId="34C83BFF">
      <w:pPr>
        <w:pStyle w:val="14"/>
        <w:spacing w:line="360" w:lineRule="auto"/>
        <w:outlineLvl w:val="0"/>
        <w:rPr>
          <w:rFonts w:ascii="宋体" w:hAnsi="宋体" w:cs="宋体"/>
          <w:color w:val="auto"/>
          <w:szCs w:val="24"/>
          <w:highlight w:val="none"/>
        </w:rPr>
      </w:pPr>
    </w:p>
    <w:p w14:paraId="12AFE46B">
      <w:pPr>
        <w:pStyle w:val="14"/>
        <w:spacing w:line="360" w:lineRule="auto"/>
        <w:outlineLvl w:val="0"/>
        <w:rPr>
          <w:rFonts w:ascii="宋体" w:hAnsi="宋体" w:cs="宋体"/>
          <w:color w:val="auto"/>
          <w:szCs w:val="24"/>
          <w:highlight w:val="none"/>
        </w:rPr>
      </w:pPr>
      <w:r>
        <w:rPr>
          <w:rFonts w:hint="eastAsia" w:ascii="宋体" w:hAnsi="宋体" w:cs="宋体"/>
          <w:color w:val="auto"/>
          <w:szCs w:val="24"/>
          <w:highlight w:val="none"/>
        </w:rPr>
        <w:t>承诺方法定名称：</w:t>
      </w:r>
    </w:p>
    <w:p w14:paraId="0E795A38">
      <w:pPr>
        <w:pStyle w:val="14"/>
        <w:spacing w:line="360" w:lineRule="auto"/>
        <w:outlineLvl w:val="0"/>
        <w:rPr>
          <w:rFonts w:ascii="宋体" w:hAnsi="宋体" w:cs="宋体"/>
          <w:color w:val="auto"/>
          <w:szCs w:val="24"/>
          <w:highlight w:val="none"/>
        </w:rPr>
      </w:pPr>
      <w:r>
        <w:rPr>
          <w:rFonts w:hint="eastAsia" w:ascii="宋体" w:hAnsi="宋体" w:cs="宋体"/>
          <w:color w:val="auto"/>
          <w:szCs w:val="24"/>
          <w:highlight w:val="none"/>
        </w:rPr>
        <w:t>地址：</w:t>
      </w:r>
    </w:p>
    <w:p w14:paraId="3FE26BBA">
      <w:pPr>
        <w:pStyle w:val="14"/>
        <w:spacing w:line="360" w:lineRule="auto"/>
        <w:outlineLvl w:val="0"/>
        <w:rPr>
          <w:rFonts w:ascii="宋体" w:hAnsi="宋体" w:cs="宋体"/>
          <w:color w:val="auto"/>
          <w:szCs w:val="24"/>
          <w:highlight w:val="none"/>
        </w:rPr>
      </w:pPr>
      <w:r>
        <w:rPr>
          <w:rFonts w:hint="eastAsia" w:ascii="宋体" w:hAnsi="宋体" w:cs="宋体"/>
          <w:color w:val="auto"/>
          <w:szCs w:val="24"/>
          <w:highlight w:val="none"/>
        </w:rPr>
        <w:t>电话：传真：</w:t>
      </w:r>
    </w:p>
    <w:p w14:paraId="5F4B15A9">
      <w:pPr>
        <w:pStyle w:val="14"/>
        <w:spacing w:line="360" w:lineRule="auto"/>
        <w:outlineLvl w:val="0"/>
        <w:rPr>
          <w:rFonts w:ascii="宋体" w:hAnsi="宋体" w:cs="宋体"/>
          <w:color w:val="auto"/>
          <w:szCs w:val="24"/>
          <w:highlight w:val="none"/>
        </w:rPr>
      </w:pPr>
      <w:r>
        <w:rPr>
          <w:rFonts w:hint="eastAsia" w:ascii="宋体" w:hAnsi="宋体" w:cs="宋体"/>
          <w:color w:val="auto"/>
          <w:szCs w:val="24"/>
          <w:highlight w:val="none"/>
        </w:rPr>
        <w:t>电传：邮编：</w:t>
      </w:r>
    </w:p>
    <w:p w14:paraId="37F67258">
      <w:pPr>
        <w:pStyle w:val="14"/>
        <w:spacing w:line="360" w:lineRule="auto"/>
        <w:outlineLvl w:val="0"/>
        <w:rPr>
          <w:rFonts w:ascii="宋体" w:hAnsi="宋体" w:cs="宋体"/>
          <w:color w:val="auto"/>
          <w:szCs w:val="24"/>
          <w:highlight w:val="none"/>
        </w:rPr>
      </w:pPr>
      <w:r>
        <w:rPr>
          <w:rFonts w:hint="eastAsia" w:ascii="宋体" w:hAnsi="宋体" w:cs="宋体"/>
          <w:color w:val="auto"/>
          <w:szCs w:val="24"/>
          <w:highlight w:val="none"/>
        </w:rPr>
        <w:t>承诺方授权代表签字：（承诺方盖章）</w:t>
      </w:r>
    </w:p>
    <w:p w14:paraId="34AA4279">
      <w:pPr>
        <w:pStyle w:val="14"/>
        <w:spacing w:line="360" w:lineRule="auto"/>
        <w:outlineLvl w:val="0"/>
        <w:rPr>
          <w:rFonts w:ascii="宋体" w:hAnsi="宋体" w:cs="宋体"/>
          <w:color w:val="auto"/>
          <w:szCs w:val="24"/>
          <w:highlight w:val="none"/>
        </w:rPr>
      </w:pPr>
      <w:r>
        <w:rPr>
          <w:rFonts w:hint="eastAsia" w:ascii="宋体" w:hAnsi="宋体" w:cs="宋体"/>
          <w:color w:val="auto"/>
          <w:szCs w:val="24"/>
          <w:highlight w:val="none"/>
        </w:rPr>
        <w:t>承诺日期：</w:t>
      </w:r>
    </w:p>
    <w:p w14:paraId="056FA925">
      <w:pPr>
        <w:snapToGrid w:val="0"/>
        <w:spacing w:line="360" w:lineRule="auto"/>
        <w:textAlignment w:val="bottom"/>
        <w:rPr>
          <w:rFonts w:ascii="宋体" w:hAnsi="宋体" w:cs="宋体"/>
          <w:b/>
          <w:bCs/>
          <w:color w:val="auto"/>
          <w:sz w:val="24"/>
          <w:szCs w:val="28"/>
          <w:highlight w:val="none"/>
        </w:rPr>
        <w:sectPr>
          <w:pgSz w:w="11906" w:h="16838"/>
          <w:pgMar w:top="1134" w:right="1134" w:bottom="1134" w:left="1417" w:header="680" w:footer="680" w:gutter="0"/>
          <w:cols w:space="720" w:num="1"/>
          <w:docGrid w:linePitch="312" w:charSpace="0"/>
        </w:sectPr>
      </w:pPr>
    </w:p>
    <w:p w14:paraId="76CC3FC7">
      <w:pPr>
        <w:snapToGrid w:val="0"/>
        <w:spacing w:line="360" w:lineRule="auto"/>
        <w:textAlignment w:val="bottom"/>
        <w:rPr>
          <w:rFonts w:ascii="宋体" w:hAnsi="宋体" w:cs="宋体"/>
          <w:b/>
          <w:color w:val="auto"/>
          <w:sz w:val="24"/>
          <w:szCs w:val="28"/>
          <w:highlight w:val="none"/>
        </w:rPr>
      </w:pPr>
      <w:r>
        <w:rPr>
          <w:rFonts w:hint="eastAsia" w:ascii="宋体" w:hAnsi="宋体" w:cs="宋体"/>
          <w:b/>
          <w:color w:val="auto"/>
          <w:sz w:val="24"/>
          <w:szCs w:val="28"/>
          <w:highlight w:val="none"/>
        </w:rPr>
        <w:t>格式九：</w:t>
      </w:r>
    </w:p>
    <w:p w14:paraId="1ABBCCC4">
      <w:pPr>
        <w:widowControl/>
        <w:autoSpaceDE w:val="0"/>
        <w:autoSpaceDN w:val="0"/>
        <w:ind w:right="-12"/>
        <w:jc w:val="center"/>
        <w:textAlignment w:val="bottom"/>
        <w:rPr>
          <w:rFonts w:ascii="宋体" w:hAnsi="宋体" w:cs="宋体"/>
          <w:b/>
          <w:color w:val="auto"/>
          <w:sz w:val="24"/>
          <w:highlight w:val="none"/>
        </w:rPr>
      </w:pPr>
      <w:r>
        <w:rPr>
          <w:rFonts w:hint="eastAsia" w:ascii="宋体" w:hAnsi="宋体" w:cs="宋体"/>
          <w:b/>
          <w:color w:val="auto"/>
          <w:sz w:val="24"/>
          <w:highlight w:val="none"/>
        </w:rPr>
        <w:t>中小企业声明函（货物）</w:t>
      </w:r>
    </w:p>
    <w:p w14:paraId="67FC70C7">
      <w:pPr>
        <w:pStyle w:val="21"/>
        <w:snapToGrid w:val="0"/>
        <w:spacing w:beforeAutospacing="0" w:afterAutospacing="0" w:line="440" w:lineRule="exact"/>
        <w:jc w:val="center"/>
        <w:rPr>
          <w:rFonts w:hint="default" w:eastAsia="宋体" w:cs="Times New Roman"/>
          <w:bCs/>
          <w:color w:val="auto"/>
          <w:highlight w:val="none"/>
          <w:lang w:val="en-US" w:eastAsia="zh-CN"/>
        </w:rPr>
      </w:pPr>
      <w:r>
        <w:rPr>
          <w:rFonts w:hint="eastAsia" w:cs="Times New Roman"/>
          <w:bCs/>
          <w:color w:val="auto"/>
          <w:highlight w:val="none"/>
          <w:lang w:eastAsia="zh-CN"/>
        </w:rPr>
        <w:t>（</w:t>
      </w:r>
      <w:r>
        <w:rPr>
          <w:rFonts w:hint="eastAsia" w:cs="Times New Roman"/>
          <w:bCs/>
          <w:color w:val="auto"/>
          <w:highlight w:val="none"/>
          <w:lang w:val="en-US" w:eastAsia="zh-CN"/>
        </w:rPr>
        <w:t>如果是，提供）</w:t>
      </w:r>
    </w:p>
    <w:p w14:paraId="4E0B78C1">
      <w:pPr>
        <w:pStyle w:val="21"/>
        <w:snapToGrid w:val="0"/>
        <w:spacing w:beforeAutospacing="0" w:afterAutospacing="0" w:line="360" w:lineRule="auto"/>
        <w:ind w:right="58" w:firstLine="480" w:firstLineChars="200"/>
        <w:rPr>
          <w:color w:val="auto"/>
          <w:highlight w:val="none"/>
        </w:rPr>
      </w:pPr>
      <w:r>
        <w:rPr>
          <w:rFonts w:hint="eastAsia"/>
          <w:color w:val="auto"/>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9CC0995">
      <w:pPr>
        <w:pStyle w:val="21"/>
        <w:snapToGrid w:val="0"/>
        <w:spacing w:beforeAutospacing="0" w:afterAutospacing="0" w:line="360" w:lineRule="auto"/>
        <w:ind w:right="58"/>
        <w:rPr>
          <w:color w:val="auto"/>
          <w:highlight w:val="none"/>
        </w:rPr>
      </w:pPr>
      <w:r>
        <w:rPr>
          <w:rFonts w:hint="eastAsia"/>
          <w:color w:val="auto"/>
          <w:highlight w:val="none"/>
        </w:rPr>
        <w:t>1.（标的名称），属于（采购文件中明确的所属行业）行业；制造商为（企业名称），从业人员人，营业收入为万元，资产总额为万元，属于（中型企业、小型企业、微型企业）；</w:t>
      </w:r>
    </w:p>
    <w:p w14:paraId="725F546A">
      <w:pPr>
        <w:pStyle w:val="21"/>
        <w:snapToGrid w:val="0"/>
        <w:spacing w:beforeAutospacing="0" w:afterAutospacing="0" w:line="360" w:lineRule="auto"/>
        <w:ind w:right="58"/>
        <w:rPr>
          <w:color w:val="auto"/>
          <w:highlight w:val="none"/>
        </w:rPr>
      </w:pPr>
      <w:r>
        <w:rPr>
          <w:rFonts w:hint="eastAsia"/>
          <w:color w:val="auto"/>
          <w:highlight w:val="none"/>
        </w:rPr>
        <w:t>2.（标的名称），属于（采购文件中明确的所属行业）行业；制造商为（企业名称），从业人员人，营业收入为万元，资产总额为万元，属于（中型企业、小型企业、微型企业）；</w:t>
      </w:r>
    </w:p>
    <w:p w14:paraId="3E4B0F59">
      <w:pPr>
        <w:pStyle w:val="21"/>
        <w:snapToGrid w:val="0"/>
        <w:spacing w:beforeAutospacing="0" w:afterAutospacing="0" w:line="360" w:lineRule="auto"/>
        <w:ind w:right="480" w:firstLine="3120" w:firstLineChars="1300"/>
        <w:rPr>
          <w:color w:val="auto"/>
          <w:highlight w:val="none"/>
        </w:rPr>
      </w:pPr>
      <w:r>
        <w:rPr>
          <w:rFonts w:hint="eastAsia"/>
          <w:color w:val="auto"/>
          <w:highlight w:val="none"/>
        </w:rPr>
        <w:t>……</w:t>
      </w:r>
    </w:p>
    <w:p w14:paraId="037AE439">
      <w:pPr>
        <w:pStyle w:val="21"/>
        <w:snapToGrid w:val="0"/>
        <w:spacing w:beforeAutospacing="0" w:afterAutospacing="0" w:line="360" w:lineRule="auto"/>
        <w:ind w:right="58"/>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0171CD08">
      <w:pPr>
        <w:pStyle w:val="21"/>
        <w:snapToGrid w:val="0"/>
        <w:spacing w:beforeAutospacing="0" w:afterAutospacing="0" w:line="360" w:lineRule="auto"/>
        <w:ind w:right="480"/>
        <w:rPr>
          <w:color w:val="auto"/>
          <w:highlight w:val="none"/>
        </w:rPr>
      </w:pPr>
      <w:r>
        <w:rPr>
          <w:rFonts w:hint="eastAsia"/>
          <w:color w:val="auto"/>
          <w:highlight w:val="none"/>
        </w:rPr>
        <w:t>本企业对上述声明内容的真实性负责。如有虚假，将依法承担相应责任。</w:t>
      </w:r>
    </w:p>
    <w:p w14:paraId="7FC4FA92">
      <w:pPr>
        <w:pStyle w:val="21"/>
        <w:snapToGrid w:val="0"/>
        <w:spacing w:beforeAutospacing="0" w:afterAutospacing="0" w:line="360" w:lineRule="auto"/>
        <w:ind w:right="480" w:firstLine="5640" w:firstLineChars="2350"/>
        <w:rPr>
          <w:color w:val="auto"/>
          <w:highlight w:val="none"/>
        </w:rPr>
      </w:pPr>
    </w:p>
    <w:p w14:paraId="47AC545E">
      <w:pPr>
        <w:pStyle w:val="21"/>
        <w:snapToGrid w:val="0"/>
        <w:spacing w:beforeAutospacing="0" w:afterAutospacing="0" w:line="360" w:lineRule="auto"/>
        <w:ind w:right="480" w:firstLine="5640" w:firstLineChars="2350"/>
        <w:rPr>
          <w:color w:val="auto"/>
          <w:highlight w:val="none"/>
        </w:rPr>
      </w:pPr>
      <w:r>
        <w:rPr>
          <w:rFonts w:hint="eastAsia"/>
          <w:color w:val="auto"/>
          <w:highlight w:val="none"/>
        </w:rPr>
        <w:t>企业名称（盖章）：</w:t>
      </w:r>
    </w:p>
    <w:p w14:paraId="5BF45E6F">
      <w:pPr>
        <w:pStyle w:val="21"/>
        <w:snapToGrid w:val="0"/>
        <w:spacing w:beforeAutospacing="0" w:afterAutospacing="0" w:line="360" w:lineRule="auto"/>
        <w:ind w:right="480" w:firstLine="5640" w:firstLineChars="2350"/>
        <w:rPr>
          <w:color w:val="auto"/>
          <w:highlight w:val="none"/>
        </w:rPr>
      </w:pPr>
      <w:r>
        <w:rPr>
          <w:rFonts w:hint="eastAsia"/>
          <w:color w:val="auto"/>
          <w:highlight w:val="none"/>
        </w:rPr>
        <w:t>日期：</w:t>
      </w:r>
    </w:p>
    <w:p w14:paraId="3D2A3FB9">
      <w:pPr>
        <w:pStyle w:val="21"/>
        <w:snapToGrid w:val="0"/>
        <w:spacing w:beforeAutospacing="0" w:afterAutospacing="0" w:line="360" w:lineRule="auto"/>
        <w:ind w:right="480" w:firstLine="5640" w:firstLineChars="2350"/>
        <w:rPr>
          <w:color w:val="auto"/>
          <w:highlight w:val="none"/>
        </w:rPr>
      </w:pPr>
    </w:p>
    <w:p w14:paraId="6E72A3D4">
      <w:pPr>
        <w:pStyle w:val="21"/>
        <w:snapToGrid w:val="0"/>
        <w:spacing w:beforeAutospacing="0" w:afterAutospacing="0" w:line="360" w:lineRule="auto"/>
        <w:ind w:right="480"/>
        <w:rPr>
          <w:color w:val="auto"/>
          <w:highlight w:val="none"/>
        </w:rPr>
      </w:pPr>
      <w:r>
        <w:rPr>
          <w:rFonts w:hint="eastAsia"/>
          <w:color w:val="auto"/>
          <w:highlight w:val="none"/>
        </w:rPr>
        <w:t>注：</w:t>
      </w:r>
    </w:p>
    <w:p w14:paraId="23EACA02">
      <w:pPr>
        <w:pStyle w:val="21"/>
        <w:snapToGrid w:val="0"/>
        <w:spacing w:beforeAutospacing="0" w:afterAutospacing="0" w:line="360" w:lineRule="auto"/>
        <w:ind w:right="58"/>
        <w:rPr>
          <w:b/>
          <w:bCs/>
          <w:color w:val="auto"/>
          <w:highlight w:val="none"/>
          <w:lang w:val="zh-CN"/>
        </w:rPr>
      </w:pPr>
      <w:r>
        <w:rPr>
          <w:rFonts w:hint="eastAsia"/>
          <w:color w:val="auto"/>
          <w:highlight w:val="none"/>
        </w:rPr>
        <w:t>1.从业人员、营业收入、资产总额填报上一年度数据，无上一年度数据的新成立企业可不填报。</w:t>
      </w:r>
    </w:p>
    <w:p w14:paraId="6E6276B9">
      <w:pPr>
        <w:spacing w:line="360" w:lineRule="auto"/>
        <w:rPr>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.中标人享受中小企业扶持政策的，将随中标结果一并公示，如声明函内容不实的，将视</w:t>
      </w:r>
      <w:r>
        <w:rPr>
          <w:rFonts w:hint="eastAsia" w:ascii="宋体" w:hAnsi="宋体" w:cs="宋体"/>
          <w:color w:val="auto"/>
          <w:sz w:val="24"/>
          <w:highlight w:val="none"/>
        </w:rPr>
        <w:t>为提供虚假材料谋取中标，将追究其法律责任。</w:t>
      </w:r>
    </w:p>
    <w:p w14:paraId="3535E8D5">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3.本项目所属行业：软件和信息技术服务业。</w:t>
      </w:r>
    </w:p>
    <w:p w14:paraId="2672F740">
      <w:pPr>
        <w:snapToGrid w:val="0"/>
        <w:spacing w:line="360" w:lineRule="auto"/>
        <w:textAlignment w:val="bottom"/>
        <w:rPr>
          <w:rFonts w:ascii="宋体" w:hAnsi="宋体" w:cs="宋体"/>
          <w:b/>
          <w:color w:val="auto"/>
          <w:sz w:val="24"/>
          <w:szCs w:val="28"/>
          <w:highlight w:val="none"/>
        </w:rPr>
      </w:pPr>
    </w:p>
    <w:p w14:paraId="32941C5F">
      <w:pPr>
        <w:snapToGrid w:val="0"/>
        <w:spacing w:line="360" w:lineRule="auto"/>
        <w:textAlignment w:val="bottom"/>
        <w:rPr>
          <w:rFonts w:ascii="宋体" w:hAnsi="宋体" w:cs="宋体"/>
          <w:b/>
          <w:color w:val="auto"/>
          <w:sz w:val="24"/>
          <w:szCs w:val="28"/>
          <w:highlight w:val="none"/>
        </w:rPr>
      </w:pPr>
    </w:p>
    <w:p w14:paraId="43713C8A">
      <w:pPr>
        <w:snapToGrid w:val="0"/>
        <w:spacing w:line="360" w:lineRule="auto"/>
        <w:textAlignment w:val="bottom"/>
        <w:rPr>
          <w:rFonts w:ascii="宋体" w:hAnsi="宋体" w:cs="宋体"/>
          <w:b/>
          <w:color w:val="auto"/>
          <w:sz w:val="24"/>
          <w:szCs w:val="28"/>
          <w:highlight w:val="none"/>
        </w:rPr>
      </w:pPr>
    </w:p>
    <w:p w14:paraId="1B7638F2">
      <w:pPr>
        <w:snapToGrid w:val="0"/>
        <w:spacing w:line="360" w:lineRule="auto"/>
        <w:textAlignment w:val="bottom"/>
        <w:rPr>
          <w:rFonts w:ascii="宋体" w:hAnsi="宋体" w:cs="宋体"/>
          <w:b/>
          <w:color w:val="auto"/>
          <w:sz w:val="24"/>
          <w:szCs w:val="28"/>
          <w:highlight w:val="none"/>
        </w:rPr>
      </w:pPr>
    </w:p>
    <w:p w14:paraId="194AD230">
      <w:pPr>
        <w:snapToGrid w:val="0"/>
        <w:spacing w:line="360" w:lineRule="auto"/>
        <w:textAlignment w:val="bottom"/>
        <w:rPr>
          <w:rFonts w:ascii="宋体" w:hAnsi="宋体" w:cs="宋体"/>
          <w:b/>
          <w:color w:val="auto"/>
          <w:sz w:val="24"/>
          <w:szCs w:val="28"/>
          <w:highlight w:val="none"/>
        </w:rPr>
      </w:pPr>
    </w:p>
    <w:p w14:paraId="465F2AD0">
      <w:pPr>
        <w:snapToGrid w:val="0"/>
        <w:spacing w:line="360" w:lineRule="auto"/>
        <w:textAlignment w:val="bottom"/>
        <w:rPr>
          <w:rFonts w:ascii="宋体" w:hAnsi="宋体" w:cs="宋体"/>
          <w:b/>
          <w:color w:val="auto"/>
          <w:sz w:val="24"/>
          <w:szCs w:val="28"/>
          <w:highlight w:val="none"/>
        </w:rPr>
      </w:pPr>
    </w:p>
    <w:p w14:paraId="5FDF2E8E">
      <w:pPr>
        <w:snapToGrid w:val="0"/>
        <w:spacing w:line="360" w:lineRule="auto"/>
        <w:textAlignment w:val="bottom"/>
        <w:rPr>
          <w:rFonts w:ascii="宋体" w:hAnsi="宋体" w:cs="宋体"/>
          <w:b/>
          <w:color w:val="auto"/>
          <w:sz w:val="24"/>
          <w:szCs w:val="28"/>
          <w:highlight w:val="none"/>
        </w:rPr>
      </w:pPr>
      <w:r>
        <w:rPr>
          <w:rFonts w:hint="eastAsia" w:ascii="宋体" w:hAnsi="宋体" w:cs="宋体"/>
          <w:b/>
          <w:color w:val="auto"/>
          <w:sz w:val="24"/>
          <w:szCs w:val="28"/>
          <w:highlight w:val="none"/>
        </w:rPr>
        <w:t>附：中小企业划型标准规定　</w:t>
      </w:r>
    </w:p>
    <w:p w14:paraId="67BBF4A6">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一、根据《中华人民共和国中小企业促进法》和《国务院关于进一步促进中小企业发展的若干意见》(国发〔2009〕36号)，制定本规定。</w:t>
      </w:r>
    </w:p>
    <w:p w14:paraId="53B71CC8">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二、中小企业划分为中型、小型、微型三种类型，具体标准根据企业从业人员、营业收入、资产总额等指标，结合行业特点制定。</w:t>
      </w:r>
    </w:p>
    <w:p w14:paraId="582EBF5E">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36FFE7">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四、各行业划型标准为：</w:t>
      </w:r>
    </w:p>
    <w:p w14:paraId="519B94CC">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（一）农、林、牧、渔业。营业收入20000万元以下的为中小微型企业。其中，营业收入500万元及以上的为中型企业，营业收入50万元及以上的为小型企业，营业收入50万元以下的为微型企业。</w:t>
      </w:r>
    </w:p>
    <w:p w14:paraId="03166D86">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FB500F">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E85C0B">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9B2148">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C4AEE4">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4AAF098">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188738">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95897E">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285488">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05D644">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3F0AE77">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31CA8F">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636F272">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2E1100C">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525D94">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（十六）其他未列明行业。从业人员300人以下的为中小微型企业。其中，从业人员100人及以上的为中型企业；从业人员10人及以上的为小型企业；从业人员10人以下的为微型企业。</w:t>
      </w:r>
    </w:p>
    <w:p w14:paraId="2255462E">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五、企业类型的划分以统计部门的统计数据为依据。</w:t>
      </w:r>
    </w:p>
    <w:p w14:paraId="6295307C">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六、本规定适用于在中华人民共和国境内依法设立的各类所有制和各种组织形式的企业。个体工商户和本规定以外的行业，参照本规定进行划型。</w:t>
      </w:r>
    </w:p>
    <w:p w14:paraId="4113DD52">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92DA031">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八、本规定由工业和信息化部、国家统计局会同有关部门根据《国民经济行业分类》修订情况和企业发展变化情况适时修订。</w:t>
      </w:r>
    </w:p>
    <w:p w14:paraId="47CDC139">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九、本规定由工业和信息化部、国家统计局会同有关部门负责解释。</w:t>
      </w:r>
    </w:p>
    <w:p w14:paraId="47CF96CA">
      <w:pPr>
        <w:snapToGrid w:val="0"/>
        <w:spacing w:line="360" w:lineRule="auto"/>
        <w:textAlignment w:val="bottom"/>
        <w:rPr>
          <w:rFonts w:ascii="宋体" w:hAnsi="宋体" w:cs="宋体"/>
          <w:bCs/>
          <w:color w:val="auto"/>
          <w:sz w:val="24"/>
          <w:szCs w:val="28"/>
          <w:highlight w:val="none"/>
        </w:rPr>
      </w:pPr>
      <w:r>
        <w:rPr>
          <w:rFonts w:hint="eastAsia" w:ascii="宋体" w:hAnsi="宋体" w:cs="宋体"/>
          <w:bCs/>
          <w:color w:val="auto"/>
          <w:sz w:val="24"/>
          <w:szCs w:val="28"/>
          <w:highlight w:val="none"/>
        </w:rPr>
        <w:t>十、本规定自发布之日起执行，原国家经贸委、原国家计委、财政部和国家统计局2003年颁布的《中小企业标准暂行规定》同时废止。</w:t>
      </w:r>
    </w:p>
    <w:p w14:paraId="1225BC46">
      <w:pPr>
        <w:pStyle w:val="33"/>
        <w:rPr>
          <w:rFonts w:ascii="宋体" w:hAnsi="宋体" w:cs="宋体"/>
          <w:b/>
          <w:color w:val="auto"/>
          <w:sz w:val="24"/>
          <w:szCs w:val="28"/>
          <w:highlight w:val="none"/>
        </w:rPr>
        <w:sectPr>
          <w:pgSz w:w="11906" w:h="16838"/>
          <w:pgMar w:top="1134" w:right="1134" w:bottom="1134" w:left="1417" w:header="680" w:footer="680" w:gutter="0"/>
          <w:cols w:space="720" w:num="1"/>
          <w:docGrid w:linePitch="312" w:charSpace="0"/>
        </w:sectPr>
      </w:pPr>
    </w:p>
    <w:p w14:paraId="43E0550A">
      <w:pPr>
        <w:widowControl/>
        <w:autoSpaceDE w:val="0"/>
        <w:autoSpaceDN w:val="0"/>
        <w:spacing w:line="360" w:lineRule="auto"/>
        <w:ind w:right="-12"/>
        <w:jc w:val="left"/>
        <w:textAlignment w:val="bottom"/>
        <w:rPr>
          <w:rFonts w:ascii="宋体" w:hAnsi="宋体" w:cs="宋体"/>
          <w:b/>
          <w:color w:val="auto"/>
          <w:sz w:val="24"/>
          <w:highlight w:val="none"/>
        </w:rPr>
      </w:pPr>
      <w:r>
        <w:rPr>
          <w:rFonts w:hint="eastAsia" w:ascii="宋体" w:hAnsi="宋体" w:cs="宋体"/>
          <w:b/>
          <w:color w:val="auto"/>
          <w:sz w:val="24"/>
          <w:highlight w:val="none"/>
        </w:rPr>
        <w:t>格式十：</w:t>
      </w:r>
    </w:p>
    <w:p w14:paraId="5602A575">
      <w:pPr>
        <w:widowControl/>
        <w:autoSpaceDE w:val="0"/>
        <w:autoSpaceDN w:val="0"/>
        <w:spacing w:line="360" w:lineRule="auto"/>
        <w:ind w:right="-12"/>
        <w:jc w:val="center"/>
        <w:textAlignment w:val="bottom"/>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4E9D723C">
      <w:pPr>
        <w:autoSpaceDE w:val="0"/>
        <w:autoSpaceDN w:val="0"/>
        <w:adjustRightInd w:val="0"/>
        <w:spacing w:line="360" w:lineRule="auto"/>
        <w:ind w:firstLine="480" w:firstLineChars="200"/>
        <w:rPr>
          <w:rFonts w:ascii="宋体" w:hAnsi="宋体"/>
          <w:snapToGrid w:val="0"/>
          <w:color w:val="auto"/>
          <w:kern w:val="0"/>
          <w:sz w:val="24"/>
          <w:highlight w:val="none"/>
        </w:rPr>
      </w:pPr>
    </w:p>
    <w:p w14:paraId="06D082E7">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4635EE">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13573CF9">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p>
    <w:p w14:paraId="3D8C3F10">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p>
    <w:p w14:paraId="6ED47BAC">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04" w:firstLineChars="20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单位名称（盖章）：</w:t>
      </w:r>
    </w:p>
    <w:p w14:paraId="535FC31B">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04" w:firstLineChars="20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1510A8E8">
      <w:pPr>
        <w:spacing w:line="360" w:lineRule="auto"/>
        <w:rPr>
          <w:color w:val="auto"/>
          <w:highlight w:val="none"/>
        </w:rPr>
      </w:pPr>
    </w:p>
    <w:p w14:paraId="0CF4EE6A">
      <w:pPr>
        <w:spacing w:line="360" w:lineRule="auto"/>
        <w:ind w:firstLine="602"/>
        <w:rPr>
          <w:b/>
          <w:bCs/>
          <w:color w:val="auto"/>
          <w:sz w:val="30"/>
          <w:szCs w:val="30"/>
          <w:highlight w:val="none"/>
        </w:rPr>
      </w:pPr>
    </w:p>
    <w:p w14:paraId="1CC5B5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lang w:eastAsia="zh-CN"/>
        </w:rPr>
        <w:t>注：</w:t>
      </w:r>
      <w:r>
        <w:rPr>
          <w:rFonts w:hint="eastAsia" w:ascii="宋体" w:hAnsi="宋体" w:eastAsia="宋体" w:cs="宋体"/>
          <w:b/>
          <w:bCs/>
          <w:color w:val="auto"/>
          <w:spacing w:val="6"/>
          <w:sz w:val="24"/>
          <w:szCs w:val="24"/>
          <w:highlight w:val="none"/>
        </w:rPr>
        <w:t>中标、成交</w:t>
      </w:r>
      <w:r>
        <w:rPr>
          <w:rFonts w:hint="eastAsia" w:ascii="宋体" w:hAnsi="宋体" w:cs="宋体"/>
          <w:b/>
          <w:bCs/>
          <w:color w:val="auto"/>
          <w:spacing w:val="6"/>
          <w:sz w:val="24"/>
          <w:szCs w:val="24"/>
          <w:highlight w:val="none"/>
          <w:lang w:eastAsia="zh-CN"/>
        </w:rPr>
        <w:t>投标人</w:t>
      </w:r>
      <w:r>
        <w:rPr>
          <w:rFonts w:hint="eastAsia" w:ascii="宋体" w:hAnsi="宋体" w:eastAsia="宋体" w:cs="宋体"/>
          <w:b/>
          <w:bCs/>
          <w:color w:val="auto"/>
          <w:spacing w:val="6"/>
          <w:sz w:val="24"/>
          <w:szCs w:val="24"/>
          <w:highlight w:val="none"/>
        </w:rPr>
        <w:t>为残疾人福利性单位的，采购人或者其委托的采购代理机构应当随中标、成交结果同时公告其《残疾人福利性单位声明函》，接受社会监督。</w:t>
      </w:r>
      <w:r>
        <w:rPr>
          <w:rFonts w:hint="eastAsia" w:ascii="宋体" w:hAnsi="宋体" w:cs="宋体"/>
          <w:b/>
          <w:bCs/>
          <w:color w:val="auto"/>
          <w:spacing w:val="6"/>
          <w:sz w:val="24"/>
          <w:szCs w:val="24"/>
          <w:highlight w:val="none"/>
          <w:lang w:eastAsia="zh-CN"/>
        </w:rPr>
        <w:t>投标人</w:t>
      </w:r>
      <w:r>
        <w:rPr>
          <w:rFonts w:hint="eastAsia" w:ascii="宋体" w:hAnsi="宋体" w:eastAsia="宋体" w:cs="宋体"/>
          <w:b/>
          <w:bCs/>
          <w:color w:val="auto"/>
          <w:spacing w:val="6"/>
          <w:sz w:val="24"/>
          <w:szCs w:val="24"/>
          <w:highlight w:val="none"/>
        </w:rPr>
        <w:t>提供的《残疾人福利性单位声明函》与事实不符的，依照《</w:t>
      </w:r>
      <w:r>
        <w:rPr>
          <w:rFonts w:hint="eastAsia" w:ascii="宋体" w:hAnsi="宋体" w:eastAsia="宋体" w:cs="宋体"/>
          <w:b/>
          <w:bCs/>
          <w:color w:val="auto"/>
          <w:spacing w:val="6"/>
          <w:sz w:val="24"/>
          <w:szCs w:val="24"/>
          <w:highlight w:val="none"/>
        </w:rPr>
        <w:fldChar w:fldCharType="begin"/>
      </w:r>
      <w:r>
        <w:rPr>
          <w:rFonts w:hint="eastAsia" w:ascii="宋体" w:hAnsi="宋体" w:eastAsia="宋体" w:cs="宋体"/>
          <w:b/>
          <w:bCs/>
          <w:color w:val="auto"/>
          <w:spacing w:val="6"/>
          <w:sz w:val="24"/>
          <w:szCs w:val="24"/>
          <w:highlight w:val="none"/>
        </w:rPr>
        <w:instrText xml:space="preserve"> HYPERLINK "https://www.shui5.cn/article/7c/179060.html" \t "https://www.shui5.cn/article/34/_blank" </w:instrText>
      </w:r>
      <w:r>
        <w:rPr>
          <w:rFonts w:hint="eastAsia" w:ascii="宋体" w:hAnsi="宋体" w:eastAsia="宋体" w:cs="宋体"/>
          <w:b/>
          <w:bCs/>
          <w:color w:val="auto"/>
          <w:spacing w:val="6"/>
          <w:sz w:val="24"/>
          <w:szCs w:val="24"/>
          <w:highlight w:val="none"/>
        </w:rPr>
        <w:fldChar w:fldCharType="separate"/>
      </w:r>
      <w:r>
        <w:rPr>
          <w:rFonts w:hint="eastAsia" w:ascii="宋体" w:hAnsi="宋体" w:eastAsia="宋体" w:cs="宋体"/>
          <w:b/>
          <w:bCs/>
          <w:color w:val="auto"/>
          <w:spacing w:val="6"/>
          <w:sz w:val="24"/>
          <w:szCs w:val="24"/>
          <w:highlight w:val="none"/>
        </w:rPr>
        <w:t>政府采购法</w:t>
      </w:r>
      <w:r>
        <w:rPr>
          <w:rFonts w:hint="eastAsia" w:ascii="宋体" w:hAnsi="宋体" w:eastAsia="宋体" w:cs="宋体"/>
          <w:b/>
          <w:bCs/>
          <w:color w:val="auto"/>
          <w:spacing w:val="6"/>
          <w:sz w:val="24"/>
          <w:szCs w:val="24"/>
          <w:highlight w:val="none"/>
        </w:rPr>
        <w:fldChar w:fldCharType="end"/>
      </w:r>
      <w:r>
        <w:rPr>
          <w:rFonts w:hint="eastAsia" w:ascii="宋体" w:hAnsi="宋体" w:eastAsia="宋体" w:cs="宋体"/>
          <w:b/>
          <w:bCs/>
          <w:color w:val="auto"/>
          <w:spacing w:val="6"/>
          <w:sz w:val="24"/>
          <w:szCs w:val="24"/>
          <w:highlight w:val="none"/>
        </w:rPr>
        <w:t>》第七十七条第一款的规定追究法律责任。</w:t>
      </w:r>
    </w:p>
    <w:p w14:paraId="7DE8B4BB">
      <w:pPr>
        <w:adjustRightInd w:val="0"/>
        <w:snapToGrid w:val="0"/>
        <w:spacing w:line="360" w:lineRule="auto"/>
        <w:ind w:firstLine="480" w:firstLineChars="200"/>
        <w:rPr>
          <w:rFonts w:ascii="宋体" w:hAnsi="宋体"/>
          <w:snapToGrid w:val="0"/>
          <w:color w:val="auto"/>
          <w:kern w:val="0"/>
          <w:sz w:val="24"/>
          <w:highlight w:val="none"/>
        </w:rPr>
      </w:pPr>
    </w:p>
    <w:p w14:paraId="72348AE1">
      <w:pPr>
        <w:spacing w:line="360" w:lineRule="auto"/>
        <w:rPr>
          <w:color w:val="auto"/>
          <w:highlight w:val="none"/>
        </w:rPr>
      </w:pPr>
    </w:p>
    <w:p w14:paraId="4787DB91">
      <w:pPr>
        <w:spacing w:line="360" w:lineRule="auto"/>
        <w:rPr>
          <w:color w:val="auto"/>
          <w:highlight w:val="none"/>
        </w:rPr>
      </w:pPr>
    </w:p>
    <w:p w14:paraId="753F3DD9">
      <w:pPr>
        <w:spacing w:line="360" w:lineRule="auto"/>
        <w:rPr>
          <w:b/>
          <w:bCs/>
          <w:color w:val="auto"/>
          <w:sz w:val="30"/>
          <w:szCs w:val="30"/>
          <w:highlight w:val="none"/>
        </w:rPr>
      </w:pPr>
    </w:p>
    <w:p w14:paraId="6E1AE16C">
      <w:pPr>
        <w:spacing w:line="360" w:lineRule="auto"/>
        <w:rPr>
          <w:b/>
          <w:bCs/>
          <w:color w:val="auto"/>
          <w:sz w:val="30"/>
          <w:szCs w:val="30"/>
          <w:highlight w:val="none"/>
        </w:rPr>
      </w:pPr>
    </w:p>
    <w:p w14:paraId="670A5F5F">
      <w:pPr>
        <w:rPr>
          <w:rFonts w:ascii="黑体" w:hAnsi="黑体" w:eastAsia="黑体"/>
          <w:color w:val="auto"/>
          <w:kern w:val="0"/>
          <w:sz w:val="30"/>
          <w:szCs w:val="30"/>
          <w:highlight w:val="none"/>
        </w:rPr>
      </w:pPr>
      <w:r>
        <w:rPr>
          <w:rFonts w:hint="eastAsia" w:ascii="黑体" w:hAnsi="黑体" w:eastAsia="黑体"/>
          <w:color w:val="auto"/>
          <w:kern w:val="0"/>
          <w:sz w:val="30"/>
          <w:szCs w:val="30"/>
          <w:highlight w:val="none"/>
        </w:rPr>
        <w:br w:type="page"/>
      </w:r>
    </w:p>
    <w:p w14:paraId="4C9E96E1">
      <w:pPr>
        <w:widowControl/>
        <w:autoSpaceDE w:val="0"/>
        <w:autoSpaceDN w:val="0"/>
        <w:spacing w:line="360" w:lineRule="auto"/>
        <w:ind w:right="-12"/>
        <w:textAlignment w:val="bottom"/>
        <w:rPr>
          <w:rFonts w:ascii="宋体" w:hAnsi="宋体" w:cs="宋体"/>
          <w:b/>
          <w:color w:val="auto"/>
          <w:sz w:val="24"/>
          <w:highlight w:val="none"/>
        </w:rPr>
      </w:pPr>
      <w:r>
        <w:rPr>
          <w:rFonts w:hint="eastAsia" w:ascii="宋体" w:hAnsi="宋体" w:cs="宋体"/>
          <w:b/>
          <w:color w:val="auto"/>
          <w:sz w:val="24"/>
          <w:highlight w:val="none"/>
        </w:rPr>
        <w:t>格式十一：</w:t>
      </w:r>
    </w:p>
    <w:p w14:paraId="61F21312">
      <w:pPr>
        <w:spacing w:line="360" w:lineRule="auto"/>
        <w:ind w:right="-12"/>
        <w:jc w:val="center"/>
        <w:rPr>
          <w:rFonts w:ascii="宋体" w:hAnsi="宋体" w:cs="宋体"/>
          <w:b/>
          <w:color w:val="auto"/>
          <w:sz w:val="24"/>
          <w:highlight w:val="none"/>
        </w:rPr>
      </w:pPr>
      <w:r>
        <w:rPr>
          <w:rFonts w:hint="eastAsia" w:ascii="宋体" w:hAnsi="宋体" w:cs="宋体"/>
          <w:b/>
          <w:color w:val="auto"/>
          <w:sz w:val="24"/>
          <w:highlight w:val="none"/>
        </w:rPr>
        <w:t>省级以上监狱管理局、戒毒管理局（含新疆生产建设兵团）出具的</w:t>
      </w:r>
    </w:p>
    <w:p w14:paraId="24E79889">
      <w:pPr>
        <w:spacing w:line="360" w:lineRule="auto"/>
        <w:ind w:right="-12"/>
        <w:jc w:val="center"/>
        <w:rPr>
          <w:rFonts w:ascii="宋体" w:hAnsi="宋体" w:cs="宋体"/>
          <w:b/>
          <w:color w:val="auto"/>
          <w:sz w:val="24"/>
          <w:highlight w:val="none"/>
        </w:rPr>
      </w:pPr>
      <w:r>
        <w:rPr>
          <w:rFonts w:hint="eastAsia" w:ascii="宋体" w:hAnsi="宋体" w:cs="宋体"/>
          <w:b/>
          <w:color w:val="auto"/>
          <w:sz w:val="24"/>
          <w:highlight w:val="none"/>
        </w:rPr>
        <w:t>属于监狱企业的证明文件</w:t>
      </w:r>
    </w:p>
    <w:p w14:paraId="7A607F58">
      <w:pPr>
        <w:autoSpaceDE w:val="0"/>
        <w:autoSpaceDN w:val="0"/>
        <w:adjustRightIn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（如果是，提供）</w:t>
      </w:r>
    </w:p>
    <w:p w14:paraId="3910DE4B">
      <w:pPr>
        <w:rPr>
          <w:color w:val="auto"/>
          <w:highlight w:val="none"/>
        </w:rPr>
      </w:pPr>
    </w:p>
    <w:p w14:paraId="4962D729">
      <w:pPr>
        <w:pStyle w:val="9"/>
        <w:rPr>
          <w:color w:val="auto"/>
          <w:highlight w:val="none"/>
        </w:rPr>
      </w:pPr>
    </w:p>
    <w:p w14:paraId="4954C4F4">
      <w:pPr>
        <w:pStyle w:val="9"/>
        <w:rPr>
          <w:color w:val="auto"/>
          <w:highlight w:val="none"/>
        </w:rPr>
      </w:pPr>
    </w:p>
    <w:p w14:paraId="1ABB2B8A">
      <w:pPr>
        <w:pStyle w:val="9"/>
        <w:rPr>
          <w:color w:val="auto"/>
          <w:highlight w:val="none"/>
        </w:rPr>
      </w:pPr>
    </w:p>
    <w:p w14:paraId="6CA5C6CC">
      <w:pPr>
        <w:pStyle w:val="9"/>
        <w:rPr>
          <w:color w:val="auto"/>
          <w:highlight w:val="none"/>
        </w:rPr>
      </w:pPr>
    </w:p>
    <w:p w14:paraId="6807370B">
      <w:pPr>
        <w:pStyle w:val="9"/>
        <w:rPr>
          <w:color w:val="auto"/>
          <w:highlight w:val="none"/>
        </w:rPr>
      </w:pPr>
    </w:p>
    <w:p w14:paraId="0C620AF4">
      <w:pPr>
        <w:pStyle w:val="9"/>
        <w:rPr>
          <w:color w:val="auto"/>
          <w:highlight w:val="none"/>
        </w:rPr>
      </w:pPr>
    </w:p>
    <w:p w14:paraId="24633E07">
      <w:pPr>
        <w:pStyle w:val="9"/>
        <w:rPr>
          <w:color w:val="auto"/>
          <w:highlight w:val="none"/>
        </w:rPr>
      </w:pPr>
    </w:p>
    <w:p w14:paraId="15E50267">
      <w:pPr>
        <w:pStyle w:val="9"/>
        <w:rPr>
          <w:color w:val="auto"/>
          <w:highlight w:val="none"/>
        </w:rPr>
      </w:pPr>
    </w:p>
    <w:p w14:paraId="788C3D0A">
      <w:pPr>
        <w:pStyle w:val="9"/>
        <w:rPr>
          <w:color w:val="auto"/>
          <w:highlight w:val="none"/>
        </w:rPr>
      </w:pPr>
    </w:p>
    <w:p w14:paraId="62E6428C">
      <w:pPr>
        <w:pStyle w:val="9"/>
        <w:rPr>
          <w:color w:val="auto"/>
          <w:highlight w:val="none"/>
        </w:rPr>
      </w:pPr>
    </w:p>
    <w:p w14:paraId="073AF985">
      <w:pPr>
        <w:pStyle w:val="9"/>
        <w:rPr>
          <w:color w:val="auto"/>
          <w:highlight w:val="none"/>
        </w:rPr>
      </w:pPr>
    </w:p>
    <w:p w14:paraId="0827BD75">
      <w:pPr>
        <w:pStyle w:val="9"/>
        <w:rPr>
          <w:color w:val="auto"/>
          <w:highlight w:val="none"/>
        </w:rPr>
      </w:pPr>
    </w:p>
    <w:p w14:paraId="49535093">
      <w:pPr>
        <w:pStyle w:val="9"/>
        <w:rPr>
          <w:color w:val="auto"/>
          <w:highlight w:val="none"/>
        </w:rPr>
      </w:pPr>
    </w:p>
    <w:p w14:paraId="7827FAFE">
      <w:pPr>
        <w:pStyle w:val="9"/>
        <w:rPr>
          <w:color w:val="auto"/>
          <w:highlight w:val="none"/>
        </w:rPr>
      </w:pPr>
    </w:p>
    <w:p w14:paraId="0F61E828">
      <w:pPr>
        <w:pStyle w:val="9"/>
        <w:rPr>
          <w:color w:val="auto"/>
          <w:highlight w:val="none"/>
        </w:rPr>
      </w:pPr>
    </w:p>
    <w:p w14:paraId="7D9119CF">
      <w:pPr>
        <w:pStyle w:val="9"/>
        <w:rPr>
          <w:color w:val="auto"/>
          <w:highlight w:val="none"/>
        </w:rPr>
      </w:pPr>
    </w:p>
    <w:p w14:paraId="6D94267C">
      <w:pPr>
        <w:pStyle w:val="9"/>
        <w:rPr>
          <w:color w:val="auto"/>
          <w:highlight w:val="none"/>
        </w:rPr>
      </w:pPr>
    </w:p>
    <w:p w14:paraId="4E83B652">
      <w:pPr>
        <w:pStyle w:val="9"/>
        <w:rPr>
          <w:color w:val="auto"/>
          <w:highlight w:val="none"/>
        </w:rPr>
      </w:pPr>
    </w:p>
    <w:p w14:paraId="40BE34A0">
      <w:pPr>
        <w:pStyle w:val="9"/>
        <w:rPr>
          <w:color w:val="auto"/>
          <w:highlight w:val="none"/>
        </w:rPr>
      </w:pPr>
    </w:p>
    <w:p w14:paraId="0EDE2EB4">
      <w:pPr>
        <w:pStyle w:val="9"/>
        <w:rPr>
          <w:color w:val="auto"/>
          <w:highlight w:val="none"/>
        </w:rPr>
      </w:pPr>
    </w:p>
    <w:p w14:paraId="1C65E111">
      <w:pPr>
        <w:pStyle w:val="9"/>
        <w:rPr>
          <w:color w:val="auto"/>
          <w:highlight w:val="none"/>
        </w:rPr>
      </w:pPr>
    </w:p>
    <w:p w14:paraId="48A344C8">
      <w:pPr>
        <w:pStyle w:val="9"/>
        <w:rPr>
          <w:color w:val="auto"/>
          <w:highlight w:val="none"/>
        </w:rPr>
      </w:pPr>
    </w:p>
    <w:p w14:paraId="5F0F23BE">
      <w:pPr>
        <w:pStyle w:val="9"/>
        <w:rPr>
          <w:color w:val="auto"/>
          <w:highlight w:val="none"/>
        </w:rPr>
      </w:pPr>
    </w:p>
    <w:p w14:paraId="590E3B7E">
      <w:pPr>
        <w:pStyle w:val="9"/>
        <w:rPr>
          <w:color w:val="auto"/>
          <w:highlight w:val="none"/>
        </w:rPr>
      </w:pPr>
    </w:p>
    <w:p w14:paraId="257CBF4B">
      <w:pPr>
        <w:pStyle w:val="9"/>
        <w:rPr>
          <w:color w:val="auto"/>
          <w:highlight w:val="none"/>
        </w:rPr>
      </w:pPr>
    </w:p>
    <w:p w14:paraId="534976B8">
      <w:pPr>
        <w:pStyle w:val="9"/>
        <w:rPr>
          <w:color w:val="auto"/>
          <w:highlight w:val="none"/>
        </w:rPr>
      </w:pPr>
    </w:p>
    <w:p w14:paraId="0488494D">
      <w:pPr>
        <w:pStyle w:val="9"/>
        <w:rPr>
          <w:color w:val="auto"/>
          <w:highlight w:val="none"/>
        </w:rPr>
      </w:pPr>
    </w:p>
    <w:p w14:paraId="751884A8">
      <w:pPr>
        <w:pStyle w:val="9"/>
        <w:rPr>
          <w:color w:val="auto"/>
          <w:highlight w:val="none"/>
        </w:rPr>
      </w:pPr>
    </w:p>
    <w:p w14:paraId="392D8E16">
      <w:pPr>
        <w:pStyle w:val="9"/>
        <w:rPr>
          <w:color w:val="auto"/>
          <w:highlight w:val="none"/>
        </w:rPr>
      </w:pPr>
    </w:p>
    <w:p w14:paraId="3B82E449">
      <w:pPr>
        <w:pStyle w:val="9"/>
        <w:rPr>
          <w:color w:val="auto"/>
          <w:highlight w:val="none"/>
        </w:rPr>
      </w:pPr>
    </w:p>
    <w:p w14:paraId="446EE981">
      <w:pPr>
        <w:pStyle w:val="9"/>
        <w:rPr>
          <w:color w:val="auto"/>
          <w:highlight w:val="none"/>
        </w:rPr>
      </w:pPr>
    </w:p>
    <w:p w14:paraId="2C3DFDEB">
      <w:pPr>
        <w:rPr>
          <w:color w:val="auto"/>
          <w:highlight w:val="none"/>
        </w:rPr>
      </w:pPr>
    </w:p>
    <w:sectPr>
      <w:headerReference r:id="rId8" w:type="default"/>
      <w:footerReference r:id="rId9" w:type="default"/>
      <w:pgSz w:w="11906" w:h="16838"/>
      <w:pgMar w:top="1134" w:right="1134" w:bottom="1134" w:left="1417" w:header="680"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F007B">
    <w:pPr>
      <w:pStyle w:val="16"/>
      <w:framePr w:wrap="around" w:vAnchor="text" w:hAnchor="margin" w:xAlign="center" w:y="1"/>
      <w:rPr>
        <w:rStyle w:val="30"/>
        <w:rFonts w:hint="default"/>
      </w:rPr>
    </w:pPr>
    <w:r>
      <w:fldChar w:fldCharType="begin"/>
    </w:r>
    <w:r>
      <w:rPr>
        <w:rStyle w:val="30"/>
      </w:rPr>
      <w:instrText xml:space="preserve">PAGE  </w:instrText>
    </w:r>
    <w:r>
      <w:fldChar w:fldCharType="separate"/>
    </w:r>
    <w:r>
      <w:rPr>
        <w:rStyle w:val="30"/>
        <w:rFonts w:hint="default"/>
      </w:rPr>
      <w:t>31</w:t>
    </w:r>
    <w:r>
      <w:fldChar w:fldCharType="end"/>
    </w:r>
  </w:p>
  <w:p w14:paraId="72645151">
    <w:pPr>
      <w:pStyle w:val="1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BA46E">
    <w:pPr>
      <w:pStyle w:val="16"/>
      <w:framePr w:wrap="around" w:vAnchor="text" w:hAnchor="margin" w:xAlign="center" w:y="1"/>
      <w:rPr>
        <w:rStyle w:val="30"/>
        <w:rFonts w:hint="default"/>
      </w:rPr>
    </w:pPr>
    <w:r>
      <w:fldChar w:fldCharType="begin"/>
    </w:r>
    <w:r>
      <w:rPr>
        <w:rStyle w:val="30"/>
      </w:rPr>
      <w:instrText xml:space="preserve">PAGE  </w:instrText>
    </w:r>
    <w:r>
      <w:fldChar w:fldCharType="separate"/>
    </w:r>
    <w:r>
      <w:rPr>
        <w:rStyle w:val="30"/>
      </w:rPr>
      <w:t>33</w:t>
    </w:r>
    <w:r>
      <w:fldChar w:fldCharType="end"/>
    </w:r>
  </w:p>
  <w:p w14:paraId="566EFD35">
    <w:pPr>
      <w:pStyle w:val="16"/>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C6CA6">
    <w:pPr>
      <w:pStyle w:val="16"/>
      <w:tabs>
        <w:tab w:val="center" w:pos="4320"/>
        <w:tab w:val="right" w:pos="8640"/>
        <w:tab w:val="clear" w:pos="4153"/>
        <w:tab w:val="clear" w:pos="8306"/>
      </w:tabs>
      <w:ind w:firstLine="7020" w:firstLineChars="3900"/>
      <w:jc w:val="both"/>
      <w:rPr>
        <w:rStyle w:val="30"/>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ffectLst/>
                    </wps:spPr>
                    <wps:txbx>
                      <w:txbxContent>
                        <w:p w14:paraId="37DD0237">
                          <w:pPr>
                            <w:snapToGrid w:val="0"/>
                            <w:rPr>
                              <w:sz w:val="18"/>
                              <w:szCs w:val="18"/>
                            </w:rPr>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wDgBNEAAAADAQAADwAAAAAAAAABACAAAAAiAAAAZHJzL2Rvd25yZXYueG1s&#10;UEsBAhQAFAAAAAgAh07iQAUdWsH/AQAADgQAAA4AAAAAAAAAAQAgAAAAIAEAAGRycy9lMm9Eb2Mu&#10;eG1sUEsFBgAAAAAGAAYAWQEAAJEFAAAAAA==&#10;">
              <v:fill on="f" focussize="0,0"/>
              <v:stroke on="f"/>
              <v:imagedata o:title=""/>
              <o:lock v:ext="edit" aspectratio="f"/>
              <v:textbox inset="0mm,0mm,0mm,0mm" style="mso-fit-shape-to-text:t;">
                <w:txbxContent>
                  <w:p w14:paraId="37DD0237">
                    <w:pPr>
                      <w:snapToGrid w:val="0"/>
                      <w:rPr>
                        <w:sz w:val="18"/>
                        <w:szCs w:val="18"/>
                      </w:rPr>
                    </w:pPr>
                    <w:r>
                      <w:fldChar w:fldCharType="begin"/>
                    </w:r>
                    <w:r>
                      <w:instrText xml:space="preserve"> PAGE  \* MERGEFORMAT </w:instrText>
                    </w:r>
                    <w:r>
                      <w:fldChar w:fldCharType="separate"/>
                    </w:r>
                    <w:r>
                      <w:t>27</w:t>
                    </w:r>
                    <w:r>
                      <w:fldChar w:fldCharType="end"/>
                    </w:r>
                  </w:p>
                </w:txbxContent>
              </v:textbox>
            </v:shape>
          </w:pict>
        </mc:Fallback>
      </mc:AlternateContent>
    </w:r>
    <w:r>
      <w:rPr>
        <w:rStyle w:val="30"/>
      </w:rPr>
      <w:t>中金招标有限责任公司编制</w:t>
    </w:r>
  </w:p>
  <w:p w14:paraId="043C781F">
    <w:pPr>
      <w:pStyle w:val="16"/>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EE8B">
    <w:pPr>
      <w:spacing w:line="172" w:lineRule="auto"/>
      <w:ind w:left="4200"/>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CA33CF">
                          <w:pPr>
                            <w:pStyle w:val="16"/>
                            <w:rPr>
                              <w:rFonts w:hint="default"/>
                            </w:rPr>
                          </w:pPr>
                          <w:r>
                            <w:fldChar w:fldCharType="begin"/>
                          </w:r>
                          <w:r>
                            <w:instrText xml:space="preserve"> PAGE  \* MERGEFORMAT </w:instrText>
                          </w:r>
                          <w:r>
                            <w:fldChar w:fldCharType="separate"/>
                          </w:r>
                          <w:r>
                            <w:rPr>
                              <w:rFonts w:hint="default"/>
                            </w:rP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8CA33CF">
                    <w:pPr>
                      <w:pStyle w:val="16"/>
                      <w:rPr>
                        <w:rFonts w:hint="default"/>
                      </w:rPr>
                    </w:pPr>
                    <w:r>
                      <w:fldChar w:fldCharType="begin"/>
                    </w:r>
                    <w:r>
                      <w:instrText xml:space="preserve"> PAGE  \* MERGEFORMAT </w:instrText>
                    </w:r>
                    <w:r>
                      <w:fldChar w:fldCharType="separate"/>
                    </w:r>
                    <w:r>
                      <w:rPr>
                        <w:rFonts w:hint="default"/>
                      </w:rP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D4FE">
    <w:pPr>
      <w:pStyle w:val="1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55BA993">
                          <w:pPr>
                            <w:pStyle w:val="16"/>
                            <w:rPr>
                              <w:rFonts w:hint="default"/>
                            </w:rPr>
                          </w:pPr>
                          <w:r>
                            <w:fldChar w:fldCharType="begin"/>
                          </w:r>
                          <w:r>
                            <w:instrText xml:space="preserve"> PAGE  \* MERGEFORMAT </w:instrText>
                          </w:r>
                          <w:r>
                            <w:fldChar w:fldCharType="separate"/>
                          </w:r>
                          <w:r>
                            <w:rPr>
                              <w:rFonts w:hint="default"/>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14:paraId="055BA993">
                    <w:pPr>
                      <w:pStyle w:val="16"/>
                      <w:rPr>
                        <w:rFonts w:hint="default"/>
                      </w:rPr>
                    </w:pPr>
                    <w:r>
                      <w:fldChar w:fldCharType="begin"/>
                    </w:r>
                    <w:r>
                      <w:instrText xml:space="preserve"> PAGE  \* MERGEFORMAT </w:instrText>
                    </w:r>
                    <w:r>
                      <w:fldChar w:fldCharType="separate"/>
                    </w:r>
                    <w:r>
                      <w:rPr>
                        <w:rFonts w:hint="default"/>
                      </w:rPr>
                      <w:t>90</w:t>
                    </w:r>
                    <w:r>
                      <w:fldChar w:fldCharType="end"/>
                    </w:r>
                  </w:p>
                </w:txbxContent>
              </v:textbox>
            </v:shape>
          </w:pict>
        </mc:Fallback>
      </mc:AlternateContent>
    </w:r>
  </w:p>
  <w:p w14:paraId="799DF22F">
    <w:pPr>
      <w:pStyle w:val="16"/>
      <w:ind w:right="359" w:rightChars="171" w:firstLine="1446" w:firstLineChars="800"/>
      <w:rPr>
        <w:rFonts w:hint="default"/>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9CD8">
    <w:pPr>
      <w:pStyle w:val="18"/>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C68F">
    <w:pPr>
      <w:pStyle w:val="18"/>
      <w:pBdr>
        <w:bottom w:val="none" w:color="auto" w:sz="0" w:space="0"/>
      </w:pBdr>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D174682"/>
    <w:multiLevelType w:val="singleLevel"/>
    <w:tmpl w:val="CD174682"/>
    <w:lvl w:ilvl="0" w:tentative="0">
      <w:start w:val="1"/>
      <w:numFmt w:val="decimal"/>
      <w:lvlText w:val="(%1)"/>
      <w:lvlJc w:val="left"/>
      <w:pPr>
        <w:tabs>
          <w:tab w:val="left" w:pos="312"/>
        </w:tabs>
      </w:p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12"/>
    <w:multiLevelType w:val="multilevel"/>
    <w:tmpl w:val="00000012"/>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02129C3"/>
    <w:multiLevelType w:val="singleLevel"/>
    <w:tmpl w:val="102129C3"/>
    <w:lvl w:ilvl="0" w:tentative="0">
      <w:start w:val="1"/>
      <w:numFmt w:val="decimal"/>
      <w:lvlText w:val="%1."/>
      <w:lvlJc w:val="left"/>
      <w:pPr>
        <w:tabs>
          <w:tab w:val="left" w:pos="312"/>
        </w:tabs>
      </w:pPr>
    </w:lvl>
  </w:abstractNum>
  <w:abstractNum w:abstractNumId="9">
    <w:nsid w:val="130C9117"/>
    <w:multiLevelType w:val="singleLevel"/>
    <w:tmpl w:val="130C9117"/>
    <w:lvl w:ilvl="0" w:tentative="0">
      <w:start w:val="2"/>
      <w:numFmt w:val="decimal"/>
      <w:lvlText w:val="%1."/>
      <w:lvlJc w:val="left"/>
      <w:pPr>
        <w:tabs>
          <w:tab w:val="left" w:pos="312"/>
        </w:tabs>
      </w:pPr>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9"/>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GM5ZjE4NGJiZDQ0NzU5OTlhMzcxOTZmMGY5ZjIifQ=="/>
  </w:docVars>
  <w:rsids>
    <w:rsidRoot w:val="00172A27"/>
    <w:rsid w:val="00006A58"/>
    <w:rsid w:val="00010DA5"/>
    <w:rsid w:val="00027ACF"/>
    <w:rsid w:val="00037738"/>
    <w:rsid w:val="00072AA6"/>
    <w:rsid w:val="000A1EA9"/>
    <w:rsid w:val="000E201B"/>
    <w:rsid w:val="0011760F"/>
    <w:rsid w:val="0015118F"/>
    <w:rsid w:val="00160318"/>
    <w:rsid w:val="00172A27"/>
    <w:rsid w:val="00177173"/>
    <w:rsid w:val="00183631"/>
    <w:rsid w:val="001A617D"/>
    <w:rsid w:val="001D4A9C"/>
    <w:rsid w:val="0020437A"/>
    <w:rsid w:val="00226DFF"/>
    <w:rsid w:val="00226F97"/>
    <w:rsid w:val="00245C38"/>
    <w:rsid w:val="00251BAE"/>
    <w:rsid w:val="002C61A0"/>
    <w:rsid w:val="00346CC8"/>
    <w:rsid w:val="003D2D3B"/>
    <w:rsid w:val="003E62EF"/>
    <w:rsid w:val="003E7DD7"/>
    <w:rsid w:val="00405680"/>
    <w:rsid w:val="0043572C"/>
    <w:rsid w:val="00435763"/>
    <w:rsid w:val="004A167F"/>
    <w:rsid w:val="004E7DAB"/>
    <w:rsid w:val="00512CFE"/>
    <w:rsid w:val="00536A92"/>
    <w:rsid w:val="00553307"/>
    <w:rsid w:val="0057636D"/>
    <w:rsid w:val="005A1412"/>
    <w:rsid w:val="005A30D3"/>
    <w:rsid w:val="005C1DAE"/>
    <w:rsid w:val="0060021B"/>
    <w:rsid w:val="00650981"/>
    <w:rsid w:val="00691D29"/>
    <w:rsid w:val="00754AE7"/>
    <w:rsid w:val="007967B1"/>
    <w:rsid w:val="00810110"/>
    <w:rsid w:val="008A6F5E"/>
    <w:rsid w:val="008E7BD6"/>
    <w:rsid w:val="008F549D"/>
    <w:rsid w:val="00910CE1"/>
    <w:rsid w:val="0091185C"/>
    <w:rsid w:val="00912995"/>
    <w:rsid w:val="009238FB"/>
    <w:rsid w:val="00963D6E"/>
    <w:rsid w:val="00965F57"/>
    <w:rsid w:val="0099595D"/>
    <w:rsid w:val="009B7783"/>
    <w:rsid w:val="009E37C6"/>
    <w:rsid w:val="009E38BC"/>
    <w:rsid w:val="00A668A1"/>
    <w:rsid w:val="00A73522"/>
    <w:rsid w:val="00AF1B76"/>
    <w:rsid w:val="00B11E12"/>
    <w:rsid w:val="00B32983"/>
    <w:rsid w:val="00B71F65"/>
    <w:rsid w:val="00B74B69"/>
    <w:rsid w:val="00BC371C"/>
    <w:rsid w:val="00BD0464"/>
    <w:rsid w:val="00C71180"/>
    <w:rsid w:val="00C91E2C"/>
    <w:rsid w:val="00C9599E"/>
    <w:rsid w:val="00D26E14"/>
    <w:rsid w:val="00D307AA"/>
    <w:rsid w:val="00D31671"/>
    <w:rsid w:val="00D57192"/>
    <w:rsid w:val="00D83D5A"/>
    <w:rsid w:val="00D97893"/>
    <w:rsid w:val="00DE2400"/>
    <w:rsid w:val="00E30FAC"/>
    <w:rsid w:val="00E81F96"/>
    <w:rsid w:val="00EA0B3B"/>
    <w:rsid w:val="00EB0391"/>
    <w:rsid w:val="00EE01F9"/>
    <w:rsid w:val="00EE7CB0"/>
    <w:rsid w:val="00EF5BDC"/>
    <w:rsid w:val="00EF6A81"/>
    <w:rsid w:val="00F5021D"/>
    <w:rsid w:val="00F74C0D"/>
    <w:rsid w:val="00FB01BE"/>
    <w:rsid w:val="00FB76E4"/>
    <w:rsid w:val="00FD5040"/>
    <w:rsid w:val="00FE0150"/>
    <w:rsid w:val="00FF0B55"/>
    <w:rsid w:val="01017684"/>
    <w:rsid w:val="01286B2B"/>
    <w:rsid w:val="01492AEC"/>
    <w:rsid w:val="01626374"/>
    <w:rsid w:val="01637748"/>
    <w:rsid w:val="016814B1"/>
    <w:rsid w:val="016D1B9F"/>
    <w:rsid w:val="0180691C"/>
    <w:rsid w:val="01A85D51"/>
    <w:rsid w:val="01B85A1D"/>
    <w:rsid w:val="01BA3F83"/>
    <w:rsid w:val="01BE271D"/>
    <w:rsid w:val="02223D56"/>
    <w:rsid w:val="023C321B"/>
    <w:rsid w:val="026D6C37"/>
    <w:rsid w:val="026F147C"/>
    <w:rsid w:val="0284231A"/>
    <w:rsid w:val="02987B74"/>
    <w:rsid w:val="02A839E8"/>
    <w:rsid w:val="02AB1817"/>
    <w:rsid w:val="02AB78A7"/>
    <w:rsid w:val="02AE55E9"/>
    <w:rsid w:val="02BC3862"/>
    <w:rsid w:val="02CB6DE4"/>
    <w:rsid w:val="02E41BD9"/>
    <w:rsid w:val="03274830"/>
    <w:rsid w:val="03433518"/>
    <w:rsid w:val="034E4F93"/>
    <w:rsid w:val="0361265C"/>
    <w:rsid w:val="03653EFA"/>
    <w:rsid w:val="037343E5"/>
    <w:rsid w:val="03801C58"/>
    <w:rsid w:val="03822186"/>
    <w:rsid w:val="03B30576"/>
    <w:rsid w:val="04021A35"/>
    <w:rsid w:val="040E3CD7"/>
    <w:rsid w:val="042F62B6"/>
    <w:rsid w:val="04387860"/>
    <w:rsid w:val="0466617C"/>
    <w:rsid w:val="047C3C16"/>
    <w:rsid w:val="048A04D0"/>
    <w:rsid w:val="04A77FAC"/>
    <w:rsid w:val="04D12434"/>
    <w:rsid w:val="051647BA"/>
    <w:rsid w:val="05372CBD"/>
    <w:rsid w:val="053F5E49"/>
    <w:rsid w:val="056846D8"/>
    <w:rsid w:val="056856A3"/>
    <w:rsid w:val="05C60BED"/>
    <w:rsid w:val="05CC0260"/>
    <w:rsid w:val="06112117"/>
    <w:rsid w:val="061439B5"/>
    <w:rsid w:val="06157AD8"/>
    <w:rsid w:val="06297A18"/>
    <w:rsid w:val="06302BC9"/>
    <w:rsid w:val="06541657"/>
    <w:rsid w:val="06771E26"/>
    <w:rsid w:val="06C90C44"/>
    <w:rsid w:val="06DC2725"/>
    <w:rsid w:val="06EB1C6F"/>
    <w:rsid w:val="07047ECE"/>
    <w:rsid w:val="07171CFD"/>
    <w:rsid w:val="071D077F"/>
    <w:rsid w:val="072C4328"/>
    <w:rsid w:val="073E6F3C"/>
    <w:rsid w:val="0757624F"/>
    <w:rsid w:val="0758727E"/>
    <w:rsid w:val="07666493"/>
    <w:rsid w:val="07765570"/>
    <w:rsid w:val="078D7EC3"/>
    <w:rsid w:val="07A145F4"/>
    <w:rsid w:val="086329D2"/>
    <w:rsid w:val="0896541C"/>
    <w:rsid w:val="089A2392"/>
    <w:rsid w:val="08DB2B00"/>
    <w:rsid w:val="09297778"/>
    <w:rsid w:val="093267F5"/>
    <w:rsid w:val="094C11AF"/>
    <w:rsid w:val="09714775"/>
    <w:rsid w:val="09774EFA"/>
    <w:rsid w:val="09A16026"/>
    <w:rsid w:val="09B47989"/>
    <w:rsid w:val="09BC05EC"/>
    <w:rsid w:val="0A0B50CF"/>
    <w:rsid w:val="0A3F4CA3"/>
    <w:rsid w:val="0A5D45FE"/>
    <w:rsid w:val="0A5E16A3"/>
    <w:rsid w:val="0A9D14CD"/>
    <w:rsid w:val="0AA277E2"/>
    <w:rsid w:val="0AAA4FE7"/>
    <w:rsid w:val="0AAB350E"/>
    <w:rsid w:val="0AD55E09"/>
    <w:rsid w:val="0AEE2B7D"/>
    <w:rsid w:val="0B1B7594"/>
    <w:rsid w:val="0B380146"/>
    <w:rsid w:val="0B421586"/>
    <w:rsid w:val="0B44096A"/>
    <w:rsid w:val="0B52745A"/>
    <w:rsid w:val="0B626F71"/>
    <w:rsid w:val="0B6639AB"/>
    <w:rsid w:val="0B97286B"/>
    <w:rsid w:val="0BB1242C"/>
    <w:rsid w:val="0BB828D6"/>
    <w:rsid w:val="0BF202F5"/>
    <w:rsid w:val="0C083FBC"/>
    <w:rsid w:val="0C1C1816"/>
    <w:rsid w:val="0C236700"/>
    <w:rsid w:val="0C7043B9"/>
    <w:rsid w:val="0C72601A"/>
    <w:rsid w:val="0C7B11E0"/>
    <w:rsid w:val="0C7F61B5"/>
    <w:rsid w:val="0CF307C8"/>
    <w:rsid w:val="0D120BE6"/>
    <w:rsid w:val="0D18022F"/>
    <w:rsid w:val="0D4C163D"/>
    <w:rsid w:val="0D6B1328"/>
    <w:rsid w:val="0D735465"/>
    <w:rsid w:val="0D7F02AE"/>
    <w:rsid w:val="0D8F2FAA"/>
    <w:rsid w:val="0D927FE1"/>
    <w:rsid w:val="0DA6260C"/>
    <w:rsid w:val="0DB40443"/>
    <w:rsid w:val="0DC24360"/>
    <w:rsid w:val="0DC44C24"/>
    <w:rsid w:val="0DD43C73"/>
    <w:rsid w:val="0DD8176C"/>
    <w:rsid w:val="0E0220F1"/>
    <w:rsid w:val="0E2F5830"/>
    <w:rsid w:val="0E3637A6"/>
    <w:rsid w:val="0E594512"/>
    <w:rsid w:val="0E6769F8"/>
    <w:rsid w:val="0E707BF7"/>
    <w:rsid w:val="0EB34B8E"/>
    <w:rsid w:val="0EC50FE0"/>
    <w:rsid w:val="0EDD2712"/>
    <w:rsid w:val="0EE36770"/>
    <w:rsid w:val="0F450033"/>
    <w:rsid w:val="0F492922"/>
    <w:rsid w:val="0F4E6429"/>
    <w:rsid w:val="0F557518"/>
    <w:rsid w:val="0F6549ED"/>
    <w:rsid w:val="0F6C4862"/>
    <w:rsid w:val="0FA363FB"/>
    <w:rsid w:val="0FB57FB7"/>
    <w:rsid w:val="0FD22917"/>
    <w:rsid w:val="0FD3668F"/>
    <w:rsid w:val="0FD51098"/>
    <w:rsid w:val="100B7BD7"/>
    <w:rsid w:val="102100D1"/>
    <w:rsid w:val="102125C2"/>
    <w:rsid w:val="1021389E"/>
    <w:rsid w:val="102158B2"/>
    <w:rsid w:val="102A21F7"/>
    <w:rsid w:val="10957A5D"/>
    <w:rsid w:val="10A341E6"/>
    <w:rsid w:val="10D17073"/>
    <w:rsid w:val="10FB5E9E"/>
    <w:rsid w:val="11422D28"/>
    <w:rsid w:val="117B2DA5"/>
    <w:rsid w:val="118603F5"/>
    <w:rsid w:val="11B16DB0"/>
    <w:rsid w:val="11CE552C"/>
    <w:rsid w:val="11F44397"/>
    <w:rsid w:val="121B2C49"/>
    <w:rsid w:val="121F5730"/>
    <w:rsid w:val="1239500D"/>
    <w:rsid w:val="124D0668"/>
    <w:rsid w:val="126A2A7E"/>
    <w:rsid w:val="127610E9"/>
    <w:rsid w:val="12A6669E"/>
    <w:rsid w:val="12A675A6"/>
    <w:rsid w:val="12BF3CEB"/>
    <w:rsid w:val="12C66F4B"/>
    <w:rsid w:val="12E46DE3"/>
    <w:rsid w:val="13063815"/>
    <w:rsid w:val="130D6CE6"/>
    <w:rsid w:val="132F1E2E"/>
    <w:rsid w:val="13446809"/>
    <w:rsid w:val="134A5690"/>
    <w:rsid w:val="136A10B9"/>
    <w:rsid w:val="13877EBC"/>
    <w:rsid w:val="139D4FEA"/>
    <w:rsid w:val="13BA5B9C"/>
    <w:rsid w:val="13D10FFB"/>
    <w:rsid w:val="13D44784"/>
    <w:rsid w:val="13E7095B"/>
    <w:rsid w:val="14072DAB"/>
    <w:rsid w:val="140826ED"/>
    <w:rsid w:val="140B289C"/>
    <w:rsid w:val="141B2952"/>
    <w:rsid w:val="14952165"/>
    <w:rsid w:val="14B4753E"/>
    <w:rsid w:val="14D56A06"/>
    <w:rsid w:val="14D91C66"/>
    <w:rsid w:val="14E242BD"/>
    <w:rsid w:val="14E42233"/>
    <w:rsid w:val="15035C84"/>
    <w:rsid w:val="150D0B2A"/>
    <w:rsid w:val="1530783C"/>
    <w:rsid w:val="15325697"/>
    <w:rsid w:val="154F0566"/>
    <w:rsid w:val="15793835"/>
    <w:rsid w:val="157C46B3"/>
    <w:rsid w:val="15A5462A"/>
    <w:rsid w:val="15C41F7B"/>
    <w:rsid w:val="15CA61E8"/>
    <w:rsid w:val="16094BB9"/>
    <w:rsid w:val="161C27C9"/>
    <w:rsid w:val="161D32EB"/>
    <w:rsid w:val="16314110"/>
    <w:rsid w:val="163E14A2"/>
    <w:rsid w:val="16461969"/>
    <w:rsid w:val="164B0F2D"/>
    <w:rsid w:val="166149F5"/>
    <w:rsid w:val="16754BE3"/>
    <w:rsid w:val="168464F8"/>
    <w:rsid w:val="16BF4740"/>
    <w:rsid w:val="16C7158A"/>
    <w:rsid w:val="16FE3FF2"/>
    <w:rsid w:val="16FF6030"/>
    <w:rsid w:val="17285DD4"/>
    <w:rsid w:val="17490E2B"/>
    <w:rsid w:val="17494A3D"/>
    <w:rsid w:val="17773603"/>
    <w:rsid w:val="17C22FFE"/>
    <w:rsid w:val="17C77413"/>
    <w:rsid w:val="17C92852"/>
    <w:rsid w:val="17D01D89"/>
    <w:rsid w:val="17E10BFF"/>
    <w:rsid w:val="17E11E4F"/>
    <w:rsid w:val="17E256C1"/>
    <w:rsid w:val="17FA27BD"/>
    <w:rsid w:val="17FA4E70"/>
    <w:rsid w:val="18273B97"/>
    <w:rsid w:val="18402737"/>
    <w:rsid w:val="18405AF4"/>
    <w:rsid w:val="18446597"/>
    <w:rsid w:val="185544CC"/>
    <w:rsid w:val="186865CE"/>
    <w:rsid w:val="18756535"/>
    <w:rsid w:val="1881201D"/>
    <w:rsid w:val="188E6453"/>
    <w:rsid w:val="18A706B9"/>
    <w:rsid w:val="18AE2BAD"/>
    <w:rsid w:val="18B80B47"/>
    <w:rsid w:val="18BB1698"/>
    <w:rsid w:val="18CE20EA"/>
    <w:rsid w:val="18D25736"/>
    <w:rsid w:val="18D45952"/>
    <w:rsid w:val="18D5593B"/>
    <w:rsid w:val="18E15979"/>
    <w:rsid w:val="190B70AE"/>
    <w:rsid w:val="19195D6C"/>
    <w:rsid w:val="19375EE1"/>
    <w:rsid w:val="19596259"/>
    <w:rsid w:val="197A63D2"/>
    <w:rsid w:val="198D0B61"/>
    <w:rsid w:val="19906B1B"/>
    <w:rsid w:val="199D3F96"/>
    <w:rsid w:val="19AA0461"/>
    <w:rsid w:val="1A0A54D3"/>
    <w:rsid w:val="1A0C4163"/>
    <w:rsid w:val="1A1E118C"/>
    <w:rsid w:val="1A330456"/>
    <w:rsid w:val="1A4408EE"/>
    <w:rsid w:val="1A8962C8"/>
    <w:rsid w:val="1A8C7B66"/>
    <w:rsid w:val="1A95159B"/>
    <w:rsid w:val="1A9B2956"/>
    <w:rsid w:val="1AA2382E"/>
    <w:rsid w:val="1AC601CC"/>
    <w:rsid w:val="1AC76DF0"/>
    <w:rsid w:val="1AF676AF"/>
    <w:rsid w:val="1B1D23CE"/>
    <w:rsid w:val="1B2B7FA9"/>
    <w:rsid w:val="1B34092A"/>
    <w:rsid w:val="1B4A3CA9"/>
    <w:rsid w:val="1BB955DD"/>
    <w:rsid w:val="1BBC5B46"/>
    <w:rsid w:val="1BC17CE4"/>
    <w:rsid w:val="1BC526B5"/>
    <w:rsid w:val="1BF1169D"/>
    <w:rsid w:val="1BF73705"/>
    <w:rsid w:val="1C0059AC"/>
    <w:rsid w:val="1C1E6EE4"/>
    <w:rsid w:val="1C28769B"/>
    <w:rsid w:val="1C3115DB"/>
    <w:rsid w:val="1C3B1844"/>
    <w:rsid w:val="1C3C2F59"/>
    <w:rsid w:val="1C550D17"/>
    <w:rsid w:val="1C640D9B"/>
    <w:rsid w:val="1C6A2129"/>
    <w:rsid w:val="1C731A89"/>
    <w:rsid w:val="1C781830"/>
    <w:rsid w:val="1CC45764"/>
    <w:rsid w:val="1CDF6673"/>
    <w:rsid w:val="1CE2478F"/>
    <w:rsid w:val="1D167BBB"/>
    <w:rsid w:val="1D3615FF"/>
    <w:rsid w:val="1D497F91"/>
    <w:rsid w:val="1D672109"/>
    <w:rsid w:val="1D7E300F"/>
    <w:rsid w:val="1DB7314C"/>
    <w:rsid w:val="1DC13869"/>
    <w:rsid w:val="1DD8692C"/>
    <w:rsid w:val="1DE21633"/>
    <w:rsid w:val="1DE636D3"/>
    <w:rsid w:val="1DF779ED"/>
    <w:rsid w:val="1E3353B1"/>
    <w:rsid w:val="1E360515"/>
    <w:rsid w:val="1E4B1ED9"/>
    <w:rsid w:val="1E51534F"/>
    <w:rsid w:val="1E571398"/>
    <w:rsid w:val="1E7159F1"/>
    <w:rsid w:val="1E7F010E"/>
    <w:rsid w:val="1E890F8D"/>
    <w:rsid w:val="1EA5271C"/>
    <w:rsid w:val="1EBB4EBE"/>
    <w:rsid w:val="1EF36406"/>
    <w:rsid w:val="1EF74148"/>
    <w:rsid w:val="1F0F32A8"/>
    <w:rsid w:val="1F286623"/>
    <w:rsid w:val="1F327ABD"/>
    <w:rsid w:val="1F5A4836"/>
    <w:rsid w:val="1F5C0442"/>
    <w:rsid w:val="1F673A0B"/>
    <w:rsid w:val="1F687E03"/>
    <w:rsid w:val="1F6D05EA"/>
    <w:rsid w:val="1F7E6617"/>
    <w:rsid w:val="1F861028"/>
    <w:rsid w:val="1F8D23B7"/>
    <w:rsid w:val="1FB30958"/>
    <w:rsid w:val="1FBF6637"/>
    <w:rsid w:val="1FE275CD"/>
    <w:rsid w:val="1FF10DB4"/>
    <w:rsid w:val="20053852"/>
    <w:rsid w:val="201746B3"/>
    <w:rsid w:val="204C4020"/>
    <w:rsid w:val="20536C87"/>
    <w:rsid w:val="208E6609"/>
    <w:rsid w:val="20945FD3"/>
    <w:rsid w:val="20955963"/>
    <w:rsid w:val="20B84B1D"/>
    <w:rsid w:val="20D20C64"/>
    <w:rsid w:val="20D43588"/>
    <w:rsid w:val="20DB7D86"/>
    <w:rsid w:val="20F751F5"/>
    <w:rsid w:val="21010B28"/>
    <w:rsid w:val="21130FE1"/>
    <w:rsid w:val="21823A71"/>
    <w:rsid w:val="2186530F"/>
    <w:rsid w:val="21893052"/>
    <w:rsid w:val="21912347"/>
    <w:rsid w:val="219C5065"/>
    <w:rsid w:val="21A17216"/>
    <w:rsid w:val="21AF1C06"/>
    <w:rsid w:val="21C05F24"/>
    <w:rsid w:val="21C5554D"/>
    <w:rsid w:val="21CB2367"/>
    <w:rsid w:val="21D01A2B"/>
    <w:rsid w:val="21D84D26"/>
    <w:rsid w:val="21E2595C"/>
    <w:rsid w:val="21F727E3"/>
    <w:rsid w:val="221D181A"/>
    <w:rsid w:val="223F7309"/>
    <w:rsid w:val="22433200"/>
    <w:rsid w:val="224F429B"/>
    <w:rsid w:val="22555D73"/>
    <w:rsid w:val="225D5E3B"/>
    <w:rsid w:val="22716983"/>
    <w:rsid w:val="227E0004"/>
    <w:rsid w:val="2280475D"/>
    <w:rsid w:val="22981E0A"/>
    <w:rsid w:val="22A04AF7"/>
    <w:rsid w:val="22A70C4F"/>
    <w:rsid w:val="22C91722"/>
    <w:rsid w:val="22CF17C5"/>
    <w:rsid w:val="22D8603F"/>
    <w:rsid w:val="22D94688"/>
    <w:rsid w:val="22E91FFA"/>
    <w:rsid w:val="22FE097A"/>
    <w:rsid w:val="232E56F6"/>
    <w:rsid w:val="235651B5"/>
    <w:rsid w:val="2366364A"/>
    <w:rsid w:val="237C1776"/>
    <w:rsid w:val="238B66C0"/>
    <w:rsid w:val="23C17232"/>
    <w:rsid w:val="23D9206E"/>
    <w:rsid w:val="23DA7B95"/>
    <w:rsid w:val="23E116ED"/>
    <w:rsid w:val="23EC11F3"/>
    <w:rsid w:val="23ED1676"/>
    <w:rsid w:val="240C7809"/>
    <w:rsid w:val="241704C3"/>
    <w:rsid w:val="241A4103"/>
    <w:rsid w:val="241D458E"/>
    <w:rsid w:val="242759DA"/>
    <w:rsid w:val="24340648"/>
    <w:rsid w:val="243A6885"/>
    <w:rsid w:val="24576924"/>
    <w:rsid w:val="245C6D60"/>
    <w:rsid w:val="245D7D8D"/>
    <w:rsid w:val="248A3E63"/>
    <w:rsid w:val="24C27CCB"/>
    <w:rsid w:val="24D26ABE"/>
    <w:rsid w:val="24E651F2"/>
    <w:rsid w:val="24E94FAF"/>
    <w:rsid w:val="24ED0FDA"/>
    <w:rsid w:val="25055EE9"/>
    <w:rsid w:val="251470D6"/>
    <w:rsid w:val="2536529E"/>
    <w:rsid w:val="25675458"/>
    <w:rsid w:val="25891872"/>
    <w:rsid w:val="25891E7E"/>
    <w:rsid w:val="259B19B1"/>
    <w:rsid w:val="25B5462B"/>
    <w:rsid w:val="25BF13DD"/>
    <w:rsid w:val="260333D3"/>
    <w:rsid w:val="26154155"/>
    <w:rsid w:val="262B7986"/>
    <w:rsid w:val="267F0609"/>
    <w:rsid w:val="269C3827"/>
    <w:rsid w:val="26E01966"/>
    <w:rsid w:val="26E33204"/>
    <w:rsid w:val="26E66850"/>
    <w:rsid w:val="26F01CCD"/>
    <w:rsid w:val="27361586"/>
    <w:rsid w:val="27400656"/>
    <w:rsid w:val="274912B9"/>
    <w:rsid w:val="275462B9"/>
    <w:rsid w:val="27652BB6"/>
    <w:rsid w:val="27666A17"/>
    <w:rsid w:val="276A1550"/>
    <w:rsid w:val="27712B16"/>
    <w:rsid w:val="27800A53"/>
    <w:rsid w:val="27846795"/>
    <w:rsid w:val="278B40E4"/>
    <w:rsid w:val="27AC35F6"/>
    <w:rsid w:val="27AF30E6"/>
    <w:rsid w:val="27B6468A"/>
    <w:rsid w:val="27BD4939"/>
    <w:rsid w:val="27EC39D0"/>
    <w:rsid w:val="280B2A12"/>
    <w:rsid w:val="281F64BE"/>
    <w:rsid w:val="28382F91"/>
    <w:rsid w:val="28620159"/>
    <w:rsid w:val="28620E68"/>
    <w:rsid w:val="28651722"/>
    <w:rsid w:val="286544E0"/>
    <w:rsid w:val="286914E7"/>
    <w:rsid w:val="28724840"/>
    <w:rsid w:val="28C055AB"/>
    <w:rsid w:val="28C85C6D"/>
    <w:rsid w:val="28D92B11"/>
    <w:rsid w:val="290D1479"/>
    <w:rsid w:val="291D0595"/>
    <w:rsid w:val="29534671"/>
    <w:rsid w:val="295B52D4"/>
    <w:rsid w:val="29700E23"/>
    <w:rsid w:val="298E38FB"/>
    <w:rsid w:val="29D22F47"/>
    <w:rsid w:val="2A047761"/>
    <w:rsid w:val="2A0A6837"/>
    <w:rsid w:val="2A1D16F6"/>
    <w:rsid w:val="2A4C7272"/>
    <w:rsid w:val="2A744A8B"/>
    <w:rsid w:val="2A7626F4"/>
    <w:rsid w:val="2A7A79DB"/>
    <w:rsid w:val="2A87017B"/>
    <w:rsid w:val="2A90025D"/>
    <w:rsid w:val="2A90415B"/>
    <w:rsid w:val="2A9A37BB"/>
    <w:rsid w:val="2AA12F13"/>
    <w:rsid w:val="2AA1677C"/>
    <w:rsid w:val="2AA230D3"/>
    <w:rsid w:val="2AB76FCC"/>
    <w:rsid w:val="2AE1247C"/>
    <w:rsid w:val="2AE3598F"/>
    <w:rsid w:val="2B065713"/>
    <w:rsid w:val="2B0D6AA1"/>
    <w:rsid w:val="2B22415A"/>
    <w:rsid w:val="2B261D0D"/>
    <w:rsid w:val="2B400C25"/>
    <w:rsid w:val="2B465B0F"/>
    <w:rsid w:val="2B502995"/>
    <w:rsid w:val="2B64127E"/>
    <w:rsid w:val="2BA7380D"/>
    <w:rsid w:val="2BBC4461"/>
    <w:rsid w:val="2BC37160"/>
    <w:rsid w:val="2BDA4BD6"/>
    <w:rsid w:val="2BF752D6"/>
    <w:rsid w:val="2C163734"/>
    <w:rsid w:val="2C4535E2"/>
    <w:rsid w:val="2C770676"/>
    <w:rsid w:val="2CB84ED5"/>
    <w:rsid w:val="2CB915A0"/>
    <w:rsid w:val="2CC37CAF"/>
    <w:rsid w:val="2CC62EB9"/>
    <w:rsid w:val="2CD6594A"/>
    <w:rsid w:val="2CEF5816"/>
    <w:rsid w:val="2CF57168"/>
    <w:rsid w:val="2D0331F2"/>
    <w:rsid w:val="2D1600F9"/>
    <w:rsid w:val="2D2D342B"/>
    <w:rsid w:val="2D301C53"/>
    <w:rsid w:val="2D311082"/>
    <w:rsid w:val="2D4F15F3"/>
    <w:rsid w:val="2DCA2A28"/>
    <w:rsid w:val="2DD97708"/>
    <w:rsid w:val="2DE72484"/>
    <w:rsid w:val="2DEB2F86"/>
    <w:rsid w:val="2DF87595"/>
    <w:rsid w:val="2E150147"/>
    <w:rsid w:val="2E395FA4"/>
    <w:rsid w:val="2E49413F"/>
    <w:rsid w:val="2E67471B"/>
    <w:rsid w:val="2E6E4129"/>
    <w:rsid w:val="2E6E6D5A"/>
    <w:rsid w:val="2E7E2A24"/>
    <w:rsid w:val="2E8452CD"/>
    <w:rsid w:val="2EA27501"/>
    <w:rsid w:val="2EA31BBD"/>
    <w:rsid w:val="2EC658E5"/>
    <w:rsid w:val="2ED00512"/>
    <w:rsid w:val="2F2919D0"/>
    <w:rsid w:val="2F3E71E0"/>
    <w:rsid w:val="2F520F27"/>
    <w:rsid w:val="2F57653D"/>
    <w:rsid w:val="2F6A0915"/>
    <w:rsid w:val="2F82482C"/>
    <w:rsid w:val="2FAD0204"/>
    <w:rsid w:val="2FC648A4"/>
    <w:rsid w:val="2FDA4DD7"/>
    <w:rsid w:val="2FDD58EE"/>
    <w:rsid w:val="2FEF6CF0"/>
    <w:rsid w:val="30562C99"/>
    <w:rsid w:val="305B22F3"/>
    <w:rsid w:val="3069477A"/>
    <w:rsid w:val="307849BD"/>
    <w:rsid w:val="309A30B2"/>
    <w:rsid w:val="30A304D5"/>
    <w:rsid w:val="30A752A2"/>
    <w:rsid w:val="311F20B7"/>
    <w:rsid w:val="313E33F5"/>
    <w:rsid w:val="31605B7D"/>
    <w:rsid w:val="31692558"/>
    <w:rsid w:val="31723B02"/>
    <w:rsid w:val="3179279B"/>
    <w:rsid w:val="31C25E79"/>
    <w:rsid w:val="31DB4398"/>
    <w:rsid w:val="31DE309F"/>
    <w:rsid w:val="320209E2"/>
    <w:rsid w:val="320D59D2"/>
    <w:rsid w:val="322546D1"/>
    <w:rsid w:val="32292413"/>
    <w:rsid w:val="3229409E"/>
    <w:rsid w:val="322A1E2D"/>
    <w:rsid w:val="322D7B6E"/>
    <w:rsid w:val="3236068C"/>
    <w:rsid w:val="32481CBD"/>
    <w:rsid w:val="324A05DB"/>
    <w:rsid w:val="32887345"/>
    <w:rsid w:val="32920E4E"/>
    <w:rsid w:val="329A7628"/>
    <w:rsid w:val="32A221C5"/>
    <w:rsid w:val="32AB107A"/>
    <w:rsid w:val="32BC5352"/>
    <w:rsid w:val="32C67055"/>
    <w:rsid w:val="32DA195F"/>
    <w:rsid w:val="32F7259B"/>
    <w:rsid w:val="32F80037"/>
    <w:rsid w:val="33092244"/>
    <w:rsid w:val="3317670F"/>
    <w:rsid w:val="337410FC"/>
    <w:rsid w:val="33D53ED4"/>
    <w:rsid w:val="33D91C17"/>
    <w:rsid w:val="33DE095E"/>
    <w:rsid w:val="34056568"/>
    <w:rsid w:val="341E4C2D"/>
    <w:rsid w:val="34280013"/>
    <w:rsid w:val="34282087"/>
    <w:rsid w:val="344065C8"/>
    <w:rsid w:val="3457581A"/>
    <w:rsid w:val="34605E94"/>
    <w:rsid w:val="3481359C"/>
    <w:rsid w:val="349001B3"/>
    <w:rsid w:val="349A35B1"/>
    <w:rsid w:val="349B22F7"/>
    <w:rsid w:val="349E7816"/>
    <w:rsid w:val="34F16FB7"/>
    <w:rsid w:val="34F91DA2"/>
    <w:rsid w:val="351277B3"/>
    <w:rsid w:val="3529097C"/>
    <w:rsid w:val="353335A8"/>
    <w:rsid w:val="35386B8B"/>
    <w:rsid w:val="353D7B49"/>
    <w:rsid w:val="3548107C"/>
    <w:rsid w:val="35691C57"/>
    <w:rsid w:val="35795DD6"/>
    <w:rsid w:val="35D34F88"/>
    <w:rsid w:val="35EE2907"/>
    <w:rsid w:val="36074D3E"/>
    <w:rsid w:val="361A1340"/>
    <w:rsid w:val="362C5340"/>
    <w:rsid w:val="362D5AA3"/>
    <w:rsid w:val="363B7446"/>
    <w:rsid w:val="3642337A"/>
    <w:rsid w:val="365F00A9"/>
    <w:rsid w:val="3667175C"/>
    <w:rsid w:val="36A97A6B"/>
    <w:rsid w:val="36B2324A"/>
    <w:rsid w:val="36B333BB"/>
    <w:rsid w:val="36FF3658"/>
    <w:rsid w:val="37026873"/>
    <w:rsid w:val="373359C5"/>
    <w:rsid w:val="374723CD"/>
    <w:rsid w:val="375F6AC0"/>
    <w:rsid w:val="37723024"/>
    <w:rsid w:val="37751B9C"/>
    <w:rsid w:val="378D51F2"/>
    <w:rsid w:val="37D44BCF"/>
    <w:rsid w:val="37F706C2"/>
    <w:rsid w:val="380C0D02"/>
    <w:rsid w:val="38134440"/>
    <w:rsid w:val="38585F53"/>
    <w:rsid w:val="385B52F0"/>
    <w:rsid w:val="387C0A5E"/>
    <w:rsid w:val="387E0CB5"/>
    <w:rsid w:val="3891486E"/>
    <w:rsid w:val="389866AB"/>
    <w:rsid w:val="389D6FEB"/>
    <w:rsid w:val="38C8225A"/>
    <w:rsid w:val="38CD2C15"/>
    <w:rsid w:val="38D03858"/>
    <w:rsid w:val="38D854C1"/>
    <w:rsid w:val="38F372D7"/>
    <w:rsid w:val="39054B04"/>
    <w:rsid w:val="3914724D"/>
    <w:rsid w:val="391B4A1A"/>
    <w:rsid w:val="394A3EC2"/>
    <w:rsid w:val="395D29A2"/>
    <w:rsid w:val="39973621"/>
    <w:rsid w:val="39A93E39"/>
    <w:rsid w:val="39BF13AF"/>
    <w:rsid w:val="39CB102E"/>
    <w:rsid w:val="39CF52B2"/>
    <w:rsid w:val="39DF5FE4"/>
    <w:rsid w:val="3A176FF5"/>
    <w:rsid w:val="3A231E3E"/>
    <w:rsid w:val="3A291AB8"/>
    <w:rsid w:val="3A2E433E"/>
    <w:rsid w:val="3A450F7E"/>
    <w:rsid w:val="3A59585F"/>
    <w:rsid w:val="3A6164C2"/>
    <w:rsid w:val="3A655FB2"/>
    <w:rsid w:val="3A6F5083"/>
    <w:rsid w:val="3A7206CF"/>
    <w:rsid w:val="3A7B5B8C"/>
    <w:rsid w:val="3A8A3C6B"/>
    <w:rsid w:val="3A8B1791"/>
    <w:rsid w:val="3A8B1D95"/>
    <w:rsid w:val="3A8F74D3"/>
    <w:rsid w:val="3A926730"/>
    <w:rsid w:val="3A9B5E78"/>
    <w:rsid w:val="3ACC7DDF"/>
    <w:rsid w:val="3ADC125C"/>
    <w:rsid w:val="3AED5FA8"/>
    <w:rsid w:val="3B0C4FC6"/>
    <w:rsid w:val="3B1348D0"/>
    <w:rsid w:val="3B2714BA"/>
    <w:rsid w:val="3B596F76"/>
    <w:rsid w:val="3B7B1805"/>
    <w:rsid w:val="3B8701AA"/>
    <w:rsid w:val="3B9823B7"/>
    <w:rsid w:val="3BA1126C"/>
    <w:rsid w:val="3BAB7B46"/>
    <w:rsid w:val="3BB422D1"/>
    <w:rsid w:val="3BB6772C"/>
    <w:rsid w:val="3BC0049B"/>
    <w:rsid w:val="3BC62A80"/>
    <w:rsid w:val="3C1463C3"/>
    <w:rsid w:val="3C172AFD"/>
    <w:rsid w:val="3C53017F"/>
    <w:rsid w:val="3C547C28"/>
    <w:rsid w:val="3C550A03"/>
    <w:rsid w:val="3C737FC3"/>
    <w:rsid w:val="3C8C5428"/>
    <w:rsid w:val="3CAF0F8A"/>
    <w:rsid w:val="3CE55188"/>
    <w:rsid w:val="3D175167"/>
    <w:rsid w:val="3D4936EF"/>
    <w:rsid w:val="3D625461"/>
    <w:rsid w:val="3D65007C"/>
    <w:rsid w:val="3D671D59"/>
    <w:rsid w:val="3D7E4DBD"/>
    <w:rsid w:val="3DC07176"/>
    <w:rsid w:val="3DC254CA"/>
    <w:rsid w:val="3DC43819"/>
    <w:rsid w:val="3E06185A"/>
    <w:rsid w:val="3E1B3FA9"/>
    <w:rsid w:val="3E35055F"/>
    <w:rsid w:val="3E587026"/>
    <w:rsid w:val="3E5D51F2"/>
    <w:rsid w:val="3E7739EC"/>
    <w:rsid w:val="3E807ACD"/>
    <w:rsid w:val="3E871344"/>
    <w:rsid w:val="3E993519"/>
    <w:rsid w:val="3E9D0B8D"/>
    <w:rsid w:val="3EE665F8"/>
    <w:rsid w:val="3EF568A9"/>
    <w:rsid w:val="3EFC5CE2"/>
    <w:rsid w:val="3F003982"/>
    <w:rsid w:val="3F042BEA"/>
    <w:rsid w:val="3F340649"/>
    <w:rsid w:val="3F4407F1"/>
    <w:rsid w:val="3F4D34B9"/>
    <w:rsid w:val="3F552CAC"/>
    <w:rsid w:val="3FA07F4C"/>
    <w:rsid w:val="3FA56E51"/>
    <w:rsid w:val="3FB13A48"/>
    <w:rsid w:val="3FC036C7"/>
    <w:rsid w:val="3FC31A76"/>
    <w:rsid w:val="3FC840D1"/>
    <w:rsid w:val="3FF97962"/>
    <w:rsid w:val="4004626D"/>
    <w:rsid w:val="40077B0C"/>
    <w:rsid w:val="40133A8C"/>
    <w:rsid w:val="40134C93"/>
    <w:rsid w:val="407E036F"/>
    <w:rsid w:val="40B25CC9"/>
    <w:rsid w:val="40BA51FC"/>
    <w:rsid w:val="40EE0EBF"/>
    <w:rsid w:val="40FD5F8C"/>
    <w:rsid w:val="410A5DAB"/>
    <w:rsid w:val="41264554"/>
    <w:rsid w:val="415831A1"/>
    <w:rsid w:val="416027DC"/>
    <w:rsid w:val="41BB0BAE"/>
    <w:rsid w:val="41DA235A"/>
    <w:rsid w:val="41DD0572"/>
    <w:rsid w:val="41F1637D"/>
    <w:rsid w:val="41FB36A0"/>
    <w:rsid w:val="41FD4234"/>
    <w:rsid w:val="420D2CD3"/>
    <w:rsid w:val="42101490"/>
    <w:rsid w:val="42207F18"/>
    <w:rsid w:val="4231433B"/>
    <w:rsid w:val="423F533B"/>
    <w:rsid w:val="4241231D"/>
    <w:rsid w:val="42613503"/>
    <w:rsid w:val="42752F30"/>
    <w:rsid w:val="427A0DA3"/>
    <w:rsid w:val="427D40B5"/>
    <w:rsid w:val="427E569F"/>
    <w:rsid w:val="429873D8"/>
    <w:rsid w:val="42D5481F"/>
    <w:rsid w:val="42D812EB"/>
    <w:rsid w:val="42DE4B54"/>
    <w:rsid w:val="43165F2F"/>
    <w:rsid w:val="43184A28"/>
    <w:rsid w:val="43252782"/>
    <w:rsid w:val="43291B47"/>
    <w:rsid w:val="43375621"/>
    <w:rsid w:val="43534C7B"/>
    <w:rsid w:val="43577B83"/>
    <w:rsid w:val="436513A3"/>
    <w:rsid w:val="43A53412"/>
    <w:rsid w:val="43B6785F"/>
    <w:rsid w:val="43BA1EB5"/>
    <w:rsid w:val="43E20674"/>
    <w:rsid w:val="43EF0B5F"/>
    <w:rsid w:val="44056110"/>
    <w:rsid w:val="440F2285"/>
    <w:rsid w:val="44103433"/>
    <w:rsid w:val="444353FB"/>
    <w:rsid w:val="444B446B"/>
    <w:rsid w:val="44564BBE"/>
    <w:rsid w:val="44572F25"/>
    <w:rsid w:val="44676BC0"/>
    <w:rsid w:val="446948F1"/>
    <w:rsid w:val="44A41D14"/>
    <w:rsid w:val="44B11174"/>
    <w:rsid w:val="44B518E4"/>
    <w:rsid w:val="44B51C8B"/>
    <w:rsid w:val="44C77869"/>
    <w:rsid w:val="4526024E"/>
    <w:rsid w:val="452F2323"/>
    <w:rsid w:val="453B1403"/>
    <w:rsid w:val="45460E2C"/>
    <w:rsid w:val="454F3AE7"/>
    <w:rsid w:val="45625926"/>
    <w:rsid w:val="45776651"/>
    <w:rsid w:val="45C53F9C"/>
    <w:rsid w:val="46116FEE"/>
    <w:rsid w:val="461A3235"/>
    <w:rsid w:val="466B0DF4"/>
    <w:rsid w:val="469B168B"/>
    <w:rsid w:val="46A9713D"/>
    <w:rsid w:val="46B362F7"/>
    <w:rsid w:val="46D52711"/>
    <w:rsid w:val="4746671B"/>
    <w:rsid w:val="47946B1A"/>
    <w:rsid w:val="479E48B1"/>
    <w:rsid w:val="482C6361"/>
    <w:rsid w:val="48825F81"/>
    <w:rsid w:val="488A662E"/>
    <w:rsid w:val="48934C60"/>
    <w:rsid w:val="489A7B1B"/>
    <w:rsid w:val="48A14D4B"/>
    <w:rsid w:val="48A23E08"/>
    <w:rsid w:val="48A258BD"/>
    <w:rsid w:val="48A815AB"/>
    <w:rsid w:val="48BE6A62"/>
    <w:rsid w:val="48CA1B30"/>
    <w:rsid w:val="48D10CB7"/>
    <w:rsid w:val="48D662CD"/>
    <w:rsid w:val="491F50AB"/>
    <w:rsid w:val="494B447F"/>
    <w:rsid w:val="495818CB"/>
    <w:rsid w:val="495E69EE"/>
    <w:rsid w:val="49627B61"/>
    <w:rsid w:val="4981092F"/>
    <w:rsid w:val="4981448B"/>
    <w:rsid w:val="49A50326"/>
    <w:rsid w:val="49B9575B"/>
    <w:rsid w:val="49C62911"/>
    <w:rsid w:val="4A070290"/>
    <w:rsid w:val="4A3F38FC"/>
    <w:rsid w:val="4A5E31D9"/>
    <w:rsid w:val="4A675B80"/>
    <w:rsid w:val="4A6D4A0F"/>
    <w:rsid w:val="4A9449E8"/>
    <w:rsid w:val="4A962EE6"/>
    <w:rsid w:val="4A9F106C"/>
    <w:rsid w:val="4AE253FD"/>
    <w:rsid w:val="4AE747C1"/>
    <w:rsid w:val="4AE80EF7"/>
    <w:rsid w:val="4B083B42"/>
    <w:rsid w:val="4B0921FB"/>
    <w:rsid w:val="4B09298A"/>
    <w:rsid w:val="4B3A6FE7"/>
    <w:rsid w:val="4B4B2FA2"/>
    <w:rsid w:val="4B6D2F19"/>
    <w:rsid w:val="4BAB0A29"/>
    <w:rsid w:val="4BDD5035"/>
    <w:rsid w:val="4C121D12"/>
    <w:rsid w:val="4C25125C"/>
    <w:rsid w:val="4C28166D"/>
    <w:rsid w:val="4C2B1737"/>
    <w:rsid w:val="4C3D7937"/>
    <w:rsid w:val="4C4023DB"/>
    <w:rsid w:val="4C536367"/>
    <w:rsid w:val="4C5639AD"/>
    <w:rsid w:val="4C65211D"/>
    <w:rsid w:val="4C6F1244"/>
    <w:rsid w:val="4C780F39"/>
    <w:rsid w:val="4C884529"/>
    <w:rsid w:val="4C996D42"/>
    <w:rsid w:val="4CAE7138"/>
    <w:rsid w:val="4CC33B2D"/>
    <w:rsid w:val="4CE94821"/>
    <w:rsid w:val="4CFA750F"/>
    <w:rsid w:val="4D457B98"/>
    <w:rsid w:val="4D493511"/>
    <w:rsid w:val="4D7A191D"/>
    <w:rsid w:val="4D8A4F60"/>
    <w:rsid w:val="4D8C65C7"/>
    <w:rsid w:val="4DAA180C"/>
    <w:rsid w:val="4DB85FD2"/>
    <w:rsid w:val="4DC0164E"/>
    <w:rsid w:val="4DC349EC"/>
    <w:rsid w:val="4DD75792"/>
    <w:rsid w:val="4E097547"/>
    <w:rsid w:val="4E0C3478"/>
    <w:rsid w:val="4E2D4BE1"/>
    <w:rsid w:val="4E364EFC"/>
    <w:rsid w:val="4E393E30"/>
    <w:rsid w:val="4E437F61"/>
    <w:rsid w:val="4E6F6FA8"/>
    <w:rsid w:val="4E9C3B15"/>
    <w:rsid w:val="4EA159EA"/>
    <w:rsid w:val="4EC1193F"/>
    <w:rsid w:val="4EC21B5E"/>
    <w:rsid w:val="4EFF657E"/>
    <w:rsid w:val="4F0040A4"/>
    <w:rsid w:val="4F2C30EB"/>
    <w:rsid w:val="4F355223"/>
    <w:rsid w:val="4F3A5808"/>
    <w:rsid w:val="4FA36CAA"/>
    <w:rsid w:val="4FAC15D6"/>
    <w:rsid w:val="4FB16006"/>
    <w:rsid w:val="4FB21842"/>
    <w:rsid w:val="4FEA1232"/>
    <w:rsid w:val="4FFF30B2"/>
    <w:rsid w:val="500876B4"/>
    <w:rsid w:val="5021033F"/>
    <w:rsid w:val="502847BE"/>
    <w:rsid w:val="502B33A2"/>
    <w:rsid w:val="50373AF5"/>
    <w:rsid w:val="50446212"/>
    <w:rsid w:val="5056546C"/>
    <w:rsid w:val="5066262C"/>
    <w:rsid w:val="507C3BFE"/>
    <w:rsid w:val="509E3B74"/>
    <w:rsid w:val="50B415EA"/>
    <w:rsid w:val="50B908C4"/>
    <w:rsid w:val="50BE7D72"/>
    <w:rsid w:val="50C64246"/>
    <w:rsid w:val="50C76D43"/>
    <w:rsid w:val="50EC5B96"/>
    <w:rsid w:val="51037E7B"/>
    <w:rsid w:val="51283B24"/>
    <w:rsid w:val="513D513B"/>
    <w:rsid w:val="514A7858"/>
    <w:rsid w:val="515B016F"/>
    <w:rsid w:val="518449C3"/>
    <w:rsid w:val="51A056CA"/>
    <w:rsid w:val="51AC406F"/>
    <w:rsid w:val="51B80C66"/>
    <w:rsid w:val="51C25640"/>
    <w:rsid w:val="51E8374D"/>
    <w:rsid w:val="51F02779"/>
    <w:rsid w:val="51FA75DE"/>
    <w:rsid w:val="520E04DE"/>
    <w:rsid w:val="522F366A"/>
    <w:rsid w:val="525070F0"/>
    <w:rsid w:val="525F7333"/>
    <w:rsid w:val="529C2335"/>
    <w:rsid w:val="52BE22AC"/>
    <w:rsid w:val="52DB2986"/>
    <w:rsid w:val="52E57838"/>
    <w:rsid w:val="52EF6909"/>
    <w:rsid w:val="52F32E33"/>
    <w:rsid w:val="52F93F3A"/>
    <w:rsid w:val="53342A5A"/>
    <w:rsid w:val="53350841"/>
    <w:rsid w:val="53426A39"/>
    <w:rsid w:val="53480A54"/>
    <w:rsid w:val="534B0512"/>
    <w:rsid w:val="53542C10"/>
    <w:rsid w:val="536C61AC"/>
    <w:rsid w:val="53917AB2"/>
    <w:rsid w:val="53AF5993"/>
    <w:rsid w:val="53B55BDB"/>
    <w:rsid w:val="53BD14E1"/>
    <w:rsid w:val="53C22197"/>
    <w:rsid w:val="53D02A8A"/>
    <w:rsid w:val="53D5117F"/>
    <w:rsid w:val="53E54525"/>
    <w:rsid w:val="54023D29"/>
    <w:rsid w:val="541A68BD"/>
    <w:rsid w:val="541F602D"/>
    <w:rsid w:val="54223342"/>
    <w:rsid w:val="54482775"/>
    <w:rsid w:val="54534157"/>
    <w:rsid w:val="545840B3"/>
    <w:rsid w:val="5484707F"/>
    <w:rsid w:val="549E3A35"/>
    <w:rsid w:val="54DA58B0"/>
    <w:rsid w:val="54EF499E"/>
    <w:rsid w:val="550D4D66"/>
    <w:rsid w:val="553B56A5"/>
    <w:rsid w:val="55482300"/>
    <w:rsid w:val="55520168"/>
    <w:rsid w:val="55556BB6"/>
    <w:rsid w:val="55821918"/>
    <w:rsid w:val="55B33C1E"/>
    <w:rsid w:val="55EA7A79"/>
    <w:rsid w:val="563811E9"/>
    <w:rsid w:val="564E413D"/>
    <w:rsid w:val="565C42B5"/>
    <w:rsid w:val="566B44F9"/>
    <w:rsid w:val="56777341"/>
    <w:rsid w:val="567B2E63"/>
    <w:rsid w:val="56D55E16"/>
    <w:rsid w:val="57305055"/>
    <w:rsid w:val="578B00EB"/>
    <w:rsid w:val="57AD28EF"/>
    <w:rsid w:val="57B52147"/>
    <w:rsid w:val="57BA5A77"/>
    <w:rsid w:val="57BC1EA5"/>
    <w:rsid w:val="57C12F74"/>
    <w:rsid w:val="57D3745F"/>
    <w:rsid w:val="57D811C1"/>
    <w:rsid w:val="57EC1F61"/>
    <w:rsid w:val="58070AEB"/>
    <w:rsid w:val="58142736"/>
    <w:rsid w:val="581F559B"/>
    <w:rsid w:val="58385D57"/>
    <w:rsid w:val="583D7F69"/>
    <w:rsid w:val="58507E4A"/>
    <w:rsid w:val="58647451"/>
    <w:rsid w:val="587A0A23"/>
    <w:rsid w:val="58A577D6"/>
    <w:rsid w:val="58AA0B7F"/>
    <w:rsid w:val="58AC0BB6"/>
    <w:rsid w:val="58C81963"/>
    <w:rsid w:val="58DA7696"/>
    <w:rsid w:val="590D1897"/>
    <w:rsid w:val="591F15CA"/>
    <w:rsid w:val="59331697"/>
    <w:rsid w:val="595E1448"/>
    <w:rsid w:val="59605E6B"/>
    <w:rsid w:val="597B26A5"/>
    <w:rsid w:val="597E3727"/>
    <w:rsid w:val="598B2406"/>
    <w:rsid w:val="598F04FE"/>
    <w:rsid w:val="599B50F5"/>
    <w:rsid w:val="59B44408"/>
    <w:rsid w:val="59C83FC9"/>
    <w:rsid w:val="59F2539E"/>
    <w:rsid w:val="59FB5B93"/>
    <w:rsid w:val="5A026F22"/>
    <w:rsid w:val="5A1A268C"/>
    <w:rsid w:val="5A276988"/>
    <w:rsid w:val="5A4A08C9"/>
    <w:rsid w:val="5A8F7307"/>
    <w:rsid w:val="5A93011F"/>
    <w:rsid w:val="5A975BAC"/>
    <w:rsid w:val="5AAD0BAA"/>
    <w:rsid w:val="5ADB0886"/>
    <w:rsid w:val="5AE339C5"/>
    <w:rsid w:val="5AEC2ECA"/>
    <w:rsid w:val="5B0472CB"/>
    <w:rsid w:val="5B264E92"/>
    <w:rsid w:val="5B56448A"/>
    <w:rsid w:val="5B6D486F"/>
    <w:rsid w:val="5B71609D"/>
    <w:rsid w:val="5B7939BA"/>
    <w:rsid w:val="5BCF72D8"/>
    <w:rsid w:val="5BD319A0"/>
    <w:rsid w:val="5BE03925"/>
    <w:rsid w:val="5C1E200D"/>
    <w:rsid w:val="5C2A3065"/>
    <w:rsid w:val="5C5E3CC0"/>
    <w:rsid w:val="5C84622D"/>
    <w:rsid w:val="5CE9261B"/>
    <w:rsid w:val="5CF12F8E"/>
    <w:rsid w:val="5CF14CB8"/>
    <w:rsid w:val="5D0347CB"/>
    <w:rsid w:val="5D3E1D96"/>
    <w:rsid w:val="5D3F66DF"/>
    <w:rsid w:val="5D404E6F"/>
    <w:rsid w:val="5D4434AF"/>
    <w:rsid w:val="5D580A21"/>
    <w:rsid w:val="5D6610AD"/>
    <w:rsid w:val="5DBE3102"/>
    <w:rsid w:val="5DC759A7"/>
    <w:rsid w:val="5DDC7A8A"/>
    <w:rsid w:val="5E252980"/>
    <w:rsid w:val="5E76367D"/>
    <w:rsid w:val="5E8F1271"/>
    <w:rsid w:val="5EA42C9D"/>
    <w:rsid w:val="5EC625F9"/>
    <w:rsid w:val="5ECA1304"/>
    <w:rsid w:val="5ECC5D50"/>
    <w:rsid w:val="5ED663CD"/>
    <w:rsid w:val="5EDB41E5"/>
    <w:rsid w:val="5EF552A7"/>
    <w:rsid w:val="5F051240"/>
    <w:rsid w:val="5F241EB5"/>
    <w:rsid w:val="5F257EF5"/>
    <w:rsid w:val="5F296CFF"/>
    <w:rsid w:val="5F544E26"/>
    <w:rsid w:val="5F5A7800"/>
    <w:rsid w:val="5F8E6071"/>
    <w:rsid w:val="5FB07420"/>
    <w:rsid w:val="5FC829BC"/>
    <w:rsid w:val="5FDE21DF"/>
    <w:rsid w:val="5FF7403C"/>
    <w:rsid w:val="5FFB798A"/>
    <w:rsid w:val="5FFF7F85"/>
    <w:rsid w:val="60054149"/>
    <w:rsid w:val="60065712"/>
    <w:rsid w:val="60143D15"/>
    <w:rsid w:val="6017749F"/>
    <w:rsid w:val="602D0A71"/>
    <w:rsid w:val="606D70BF"/>
    <w:rsid w:val="60A567B7"/>
    <w:rsid w:val="60BC7D2C"/>
    <w:rsid w:val="60C206B1"/>
    <w:rsid w:val="60CA62C0"/>
    <w:rsid w:val="60F877C3"/>
    <w:rsid w:val="612302FE"/>
    <w:rsid w:val="612A2EB4"/>
    <w:rsid w:val="61363955"/>
    <w:rsid w:val="613E75AA"/>
    <w:rsid w:val="61440A95"/>
    <w:rsid w:val="61692210"/>
    <w:rsid w:val="61736957"/>
    <w:rsid w:val="61774699"/>
    <w:rsid w:val="618473F6"/>
    <w:rsid w:val="61B0449C"/>
    <w:rsid w:val="61B56F70"/>
    <w:rsid w:val="61BC20AC"/>
    <w:rsid w:val="61D14D28"/>
    <w:rsid w:val="61D513C0"/>
    <w:rsid w:val="61E11B13"/>
    <w:rsid w:val="620E26AC"/>
    <w:rsid w:val="62127F1E"/>
    <w:rsid w:val="62194F79"/>
    <w:rsid w:val="62326812"/>
    <w:rsid w:val="623B5DD7"/>
    <w:rsid w:val="62502E8B"/>
    <w:rsid w:val="62562ED7"/>
    <w:rsid w:val="62671A25"/>
    <w:rsid w:val="627470F0"/>
    <w:rsid w:val="628B6911"/>
    <w:rsid w:val="62B62F9F"/>
    <w:rsid w:val="62E65752"/>
    <w:rsid w:val="62E713AB"/>
    <w:rsid w:val="62FC2EBF"/>
    <w:rsid w:val="63115B6B"/>
    <w:rsid w:val="63293771"/>
    <w:rsid w:val="632B6B50"/>
    <w:rsid w:val="63384014"/>
    <w:rsid w:val="63A4104A"/>
    <w:rsid w:val="63D00091"/>
    <w:rsid w:val="63D97AF2"/>
    <w:rsid w:val="64066D65"/>
    <w:rsid w:val="64177A6E"/>
    <w:rsid w:val="641B3B84"/>
    <w:rsid w:val="641F4B74"/>
    <w:rsid w:val="64412D3D"/>
    <w:rsid w:val="6442495B"/>
    <w:rsid w:val="64496236"/>
    <w:rsid w:val="64636051"/>
    <w:rsid w:val="647E5E7E"/>
    <w:rsid w:val="6496074B"/>
    <w:rsid w:val="649A6649"/>
    <w:rsid w:val="64BA1774"/>
    <w:rsid w:val="64C83B3C"/>
    <w:rsid w:val="64DD4813"/>
    <w:rsid w:val="64F34037"/>
    <w:rsid w:val="64F723C0"/>
    <w:rsid w:val="65006754"/>
    <w:rsid w:val="65055B18"/>
    <w:rsid w:val="652F7039"/>
    <w:rsid w:val="65621D4C"/>
    <w:rsid w:val="658729D1"/>
    <w:rsid w:val="65B821EF"/>
    <w:rsid w:val="65D47C5E"/>
    <w:rsid w:val="660579C3"/>
    <w:rsid w:val="660C1F62"/>
    <w:rsid w:val="660F6D5B"/>
    <w:rsid w:val="6618687F"/>
    <w:rsid w:val="66213730"/>
    <w:rsid w:val="664408C2"/>
    <w:rsid w:val="664A268E"/>
    <w:rsid w:val="6669159A"/>
    <w:rsid w:val="667A4407"/>
    <w:rsid w:val="66937EBB"/>
    <w:rsid w:val="669453A6"/>
    <w:rsid w:val="66A67020"/>
    <w:rsid w:val="66E00D6E"/>
    <w:rsid w:val="66E14363"/>
    <w:rsid w:val="66ED2D08"/>
    <w:rsid w:val="66EF082E"/>
    <w:rsid w:val="67107495"/>
    <w:rsid w:val="6712276E"/>
    <w:rsid w:val="67197C11"/>
    <w:rsid w:val="67392762"/>
    <w:rsid w:val="678E44EB"/>
    <w:rsid w:val="6798216B"/>
    <w:rsid w:val="68004FB2"/>
    <w:rsid w:val="68016A6B"/>
    <w:rsid w:val="681A4F31"/>
    <w:rsid w:val="682176C3"/>
    <w:rsid w:val="68265A65"/>
    <w:rsid w:val="68306EA0"/>
    <w:rsid w:val="683A061A"/>
    <w:rsid w:val="68684D3C"/>
    <w:rsid w:val="688A1939"/>
    <w:rsid w:val="6892632C"/>
    <w:rsid w:val="68B06F05"/>
    <w:rsid w:val="68B910F3"/>
    <w:rsid w:val="68F67D90"/>
    <w:rsid w:val="68F95994"/>
    <w:rsid w:val="691F08C9"/>
    <w:rsid w:val="69322896"/>
    <w:rsid w:val="693C1F2B"/>
    <w:rsid w:val="69836428"/>
    <w:rsid w:val="699B5D91"/>
    <w:rsid w:val="69B83AA1"/>
    <w:rsid w:val="69C9180A"/>
    <w:rsid w:val="69E40E79"/>
    <w:rsid w:val="69EA352F"/>
    <w:rsid w:val="6A2E6212"/>
    <w:rsid w:val="6A372B29"/>
    <w:rsid w:val="6A9811DC"/>
    <w:rsid w:val="6AAD06BA"/>
    <w:rsid w:val="6AAD6502"/>
    <w:rsid w:val="6AC371F0"/>
    <w:rsid w:val="6AC81AC2"/>
    <w:rsid w:val="6ACD04A5"/>
    <w:rsid w:val="6ADA17F5"/>
    <w:rsid w:val="6B071A52"/>
    <w:rsid w:val="6B1116BB"/>
    <w:rsid w:val="6B166CD1"/>
    <w:rsid w:val="6B300EF8"/>
    <w:rsid w:val="6B3709F5"/>
    <w:rsid w:val="6B481C9F"/>
    <w:rsid w:val="6B5C0F2F"/>
    <w:rsid w:val="6B5E5F82"/>
    <w:rsid w:val="6B771D7C"/>
    <w:rsid w:val="6B777044"/>
    <w:rsid w:val="6B99456A"/>
    <w:rsid w:val="6BBE15FB"/>
    <w:rsid w:val="6BE40007"/>
    <w:rsid w:val="6BE446D9"/>
    <w:rsid w:val="6BF14354"/>
    <w:rsid w:val="6C1A00FB"/>
    <w:rsid w:val="6C215E63"/>
    <w:rsid w:val="6C2B67AC"/>
    <w:rsid w:val="6C3D5024"/>
    <w:rsid w:val="6C5850C7"/>
    <w:rsid w:val="6C763F4D"/>
    <w:rsid w:val="6CB70040"/>
    <w:rsid w:val="6CCD33BF"/>
    <w:rsid w:val="6D042B59"/>
    <w:rsid w:val="6D3212B9"/>
    <w:rsid w:val="6D444D18"/>
    <w:rsid w:val="6D646CCA"/>
    <w:rsid w:val="6D6F010C"/>
    <w:rsid w:val="6D7E46BA"/>
    <w:rsid w:val="6D995997"/>
    <w:rsid w:val="6DCD73EF"/>
    <w:rsid w:val="6DF44854"/>
    <w:rsid w:val="6DFF2D12"/>
    <w:rsid w:val="6E0948CB"/>
    <w:rsid w:val="6E192FA9"/>
    <w:rsid w:val="6E4C180F"/>
    <w:rsid w:val="6EB21F32"/>
    <w:rsid w:val="6EC0256B"/>
    <w:rsid w:val="6EF015E7"/>
    <w:rsid w:val="6F241291"/>
    <w:rsid w:val="6F255735"/>
    <w:rsid w:val="6F267F8C"/>
    <w:rsid w:val="6F3D28BC"/>
    <w:rsid w:val="6F6C3A89"/>
    <w:rsid w:val="6F72024E"/>
    <w:rsid w:val="6F8436C1"/>
    <w:rsid w:val="6F865AA7"/>
    <w:rsid w:val="6F8A37EA"/>
    <w:rsid w:val="6F977CB5"/>
    <w:rsid w:val="6F9A74D8"/>
    <w:rsid w:val="6FBE7937"/>
    <w:rsid w:val="6FE00DF8"/>
    <w:rsid w:val="6FF9096F"/>
    <w:rsid w:val="7000585A"/>
    <w:rsid w:val="7015387B"/>
    <w:rsid w:val="7019404A"/>
    <w:rsid w:val="70414C6F"/>
    <w:rsid w:val="7065281C"/>
    <w:rsid w:val="70710447"/>
    <w:rsid w:val="70804EFB"/>
    <w:rsid w:val="708A4FF8"/>
    <w:rsid w:val="70DA6FF5"/>
    <w:rsid w:val="70E84C6C"/>
    <w:rsid w:val="712F289B"/>
    <w:rsid w:val="71486D25"/>
    <w:rsid w:val="714B7A18"/>
    <w:rsid w:val="714E0847"/>
    <w:rsid w:val="71503163"/>
    <w:rsid w:val="7161057A"/>
    <w:rsid w:val="7169675E"/>
    <w:rsid w:val="71742717"/>
    <w:rsid w:val="717B0A6A"/>
    <w:rsid w:val="719D2738"/>
    <w:rsid w:val="71C30E6D"/>
    <w:rsid w:val="71CB1E97"/>
    <w:rsid w:val="71E74F23"/>
    <w:rsid w:val="71F17B50"/>
    <w:rsid w:val="7205465F"/>
    <w:rsid w:val="722F68CA"/>
    <w:rsid w:val="72447276"/>
    <w:rsid w:val="7251239D"/>
    <w:rsid w:val="72681691"/>
    <w:rsid w:val="726F7E37"/>
    <w:rsid w:val="72BA3218"/>
    <w:rsid w:val="72C902B7"/>
    <w:rsid w:val="72D354A8"/>
    <w:rsid w:val="72D51220"/>
    <w:rsid w:val="72F76C38"/>
    <w:rsid w:val="73231130"/>
    <w:rsid w:val="7339694F"/>
    <w:rsid w:val="734276A9"/>
    <w:rsid w:val="73777ED7"/>
    <w:rsid w:val="738F5F22"/>
    <w:rsid w:val="739067B6"/>
    <w:rsid w:val="7390736A"/>
    <w:rsid w:val="739F3C1A"/>
    <w:rsid w:val="73B63025"/>
    <w:rsid w:val="73CB108F"/>
    <w:rsid w:val="73CD0149"/>
    <w:rsid w:val="73CF5C6F"/>
    <w:rsid w:val="73E3171A"/>
    <w:rsid w:val="73EA71DC"/>
    <w:rsid w:val="73F56649"/>
    <w:rsid w:val="73FC27DC"/>
    <w:rsid w:val="741F1268"/>
    <w:rsid w:val="743261FE"/>
    <w:rsid w:val="745A61D5"/>
    <w:rsid w:val="74625E90"/>
    <w:rsid w:val="74666BBB"/>
    <w:rsid w:val="747D1B6F"/>
    <w:rsid w:val="747D4C59"/>
    <w:rsid w:val="748A603A"/>
    <w:rsid w:val="74A17086"/>
    <w:rsid w:val="74BB6080"/>
    <w:rsid w:val="74C0740A"/>
    <w:rsid w:val="74C3440E"/>
    <w:rsid w:val="74CE0FCA"/>
    <w:rsid w:val="74D929EE"/>
    <w:rsid w:val="74E33682"/>
    <w:rsid w:val="75183646"/>
    <w:rsid w:val="751F048B"/>
    <w:rsid w:val="757A60AE"/>
    <w:rsid w:val="75A928A4"/>
    <w:rsid w:val="75C1080C"/>
    <w:rsid w:val="75C33980"/>
    <w:rsid w:val="75DD3FEB"/>
    <w:rsid w:val="75E62BEA"/>
    <w:rsid w:val="75F4375B"/>
    <w:rsid w:val="761932E9"/>
    <w:rsid w:val="761B3429"/>
    <w:rsid w:val="76200A04"/>
    <w:rsid w:val="762D4ECF"/>
    <w:rsid w:val="7655001D"/>
    <w:rsid w:val="768A1206"/>
    <w:rsid w:val="768A40CF"/>
    <w:rsid w:val="769C1E63"/>
    <w:rsid w:val="76B42FA7"/>
    <w:rsid w:val="76BE5B77"/>
    <w:rsid w:val="76C05D43"/>
    <w:rsid w:val="76CB721E"/>
    <w:rsid w:val="76E34717"/>
    <w:rsid w:val="76F9505E"/>
    <w:rsid w:val="772E05DD"/>
    <w:rsid w:val="777A2396"/>
    <w:rsid w:val="778815F5"/>
    <w:rsid w:val="779C4A83"/>
    <w:rsid w:val="77C41863"/>
    <w:rsid w:val="77D53A70"/>
    <w:rsid w:val="77E11C7D"/>
    <w:rsid w:val="77EA751B"/>
    <w:rsid w:val="780A12AC"/>
    <w:rsid w:val="78193ADB"/>
    <w:rsid w:val="78281DF2"/>
    <w:rsid w:val="78283BA0"/>
    <w:rsid w:val="78454752"/>
    <w:rsid w:val="78C31B1A"/>
    <w:rsid w:val="78D747B9"/>
    <w:rsid w:val="78DA1C62"/>
    <w:rsid w:val="78E33F6B"/>
    <w:rsid w:val="790D22C9"/>
    <w:rsid w:val="791A3E30"/>
    <w:rsid w:val="793A1DDD"/>
    <w:rsid w:val="794A5D98"/>
    <w:rsid w:val="79653A72"/>
    <w:rsid w:val="796F3009"/>
    <w:rsid w:val="79704968"/>
    <w:rsid w:val="79786DA9"/>
    <w:rsid w:val="79B64C9F"/>
    <w:rsid w:val="79BD2A0E"/>
    <w:rsid w:val="79CE0DD7"/>
    <w:rsid w:val="79CE4C1B"/>
    <w:rsid w:val="7A3C1B84"/>
    <w:rsid w:val="7A3E3B4E"/>
    <w:rsid w:val="7A41058C"/>
    <w:rsid w:val="7A41719B"/>
    <w:rsid w:val="7A4647B1"/>
    <w:rsid w:val="7A590988"/>
    <w:rsid w:val="7A6A66F1"/>
    <w:rsid w:val="7A7B26AD"/>
    <w:rsid w:val="7AC208F2"/>
    <w:rsid w:val="7ACC115A"/>
    <w:rsid w:val="7AD041FC"/>
    <w:rsid w:val="7AE04C06"/>
    <w:rsid w:val="7AF0563D"/>
    <w:rsid w:val="7AF84965"/>
    <w:rsid w:val="7B037CAB"/>
    <w:rsid w:val="7B045546"/>
    <w:rsid w:val="7B2A5BF0"/>
    <w:rsid w:val="7B445053"/>
    <w:rsid w:val="7B4E08CD"/>
    <w:rsid w:val="7B8B59F4"/>
    <w:rsid w:val="7BB51CA9"/>
    <w:rsid w:val="7BBC2F7D"/>
    <w:rsid w:val="7BCF048F"/>
    <w:rsid w:val="7BE03AF4"/>
    <w:rsid w:val="7BE4666D"/>
    <w:rsid w:val="7BEE3352"/>
    <w:rsid w:val="7C047953"/>
    <w:rsid w:val="7C0E7550"/>
    <w:rsid w:val="7C4370B6"/>
    <w:rsid w:val="7C43747B"/>
    <w:rsid w:val="7CAD3F03"/>
    <w:rsid w:val="7CB70747"/>
    <w:rsid w:val="7CB73744"/>
    <w:rsid w:val="7CC067ED"/>
    <w:rsid w:val="7CD15DCD"/>
    <w:rsid w:val="7CDF28E4"/>
    <w:rsid w:val="7CE84BE3"/>
    <w:rsid w:val="7CEA3B1A"/>
    <w:rsid w:val="7D034BDB"/>
    <w:rsid w:val="7D11554A"/>
    <w:rsid w:val="7D2012E9"/>
    <w:rsid w:val="7D5D253D"/>
    <w:rsid w:val="7D5E4928"/>
    <w:rsid w:val="7D671D5F"/>
    <w:rsid w:val="7D6B6C05"/>
    <w:rsid w:val="7D7211F8"/>
    <w:rsid w:val="7D8D0B17"/>
    <w:rsid w:val="7DA0242A"/>
    <w:rsid w:val="7DA10DBD"/>
    <w:rsid w:val="7DAB2123"/>
    <w:rsid w:val="7DBB4EAE"/>
    <w:rsid w:val="7DBC3708"/>
    <w:rsid w:val="7DCF72DB"/>
    <w:rsid w:val="7DF54E63"/>
    <w:rsid w:val="7E275D6F"/>
    <w:rsid w:val="7E2E3EDA"/>
    <w:rsid w:val="7E352A6C"/>
    <w:rsid w:val="7E411F3D"/>
    <w:rsid w:val="7E5E589E"/>
    <w:rsid w:val="7E682F48"/>
    <w:rsid w:val="7EF02F3D"/>
    <w:rsid w:val="7F0D6229"/>
    <w:rsid w:val="7F152403"/>
    <w:rsid w:val="7F231853"/>
    <w:rsid w:val="7F254573"/>
    <w:rsid w:val="7F572FBC"/>
    <w:rsid w:val="7F58120E"/>
    <w:rsid w:val="7F6628FC"/>
    <w:rsid w:val="7F842003"/>
    <w:rsid w:val="7F9D0B77"/>
    <w:rsid w:val="7FF30F37"/>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5"/>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rFonts w:eastAsia="华文中宋"/>
      <w:b/>
      <w:bCs/>
      <w:kern w:val="44"/>
      <w:sz w:val="32"/>
      <w:szCs w:val="44"/>
    </w:rPr>
  </w:style>
  <w:style w:type="paragraph" w:styleId="3">
    <w:name w:val="heading 2"/>
    <w:basedOn w:val="1"/>
    <w:next w:val="4"/>
    <w:autoRedefine/>
    <w:qFormat/>
    <w:uiPriority w:val="0"/>
    <w:pPr>
      <w:keepNext/>
      <w:keepLines/>
      <w:spacing w:line="416" w:lineRule="auto"/>
      <w:outlineLvl w:val="1"/>
    </w:pPr>
    <w:rPr>
      <w:rFonts w:hint="eastAsia" w:ascii="Arial" w:hAnsi="Arial" w:eastAsia="黑体"/>
      <w:b/>
      <w:bCs/>
      <w:sz w:val="32"/>
      <w:szCs w:val="32"/>
    </w:rPr>
  </w:style>
  <w:style w:type="paragraph" w:styleId="5">
    <w:name w:val="heading 3"/>
    <w:basedOn w:val="1"/>
    <w:next w:val="1"/>
    <w:autoRedefine/>
    <w:qFormat/>
    <w:uiPriority w:val="0"/>
    <w:pPr>
      <w:keepNext/>
      <w:keepLines/>
      <w:spacing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7">
    <w:name w:val="annotation text"/>
    <w:basedOn w:val="1"/>
    <w:link w:val="48"/>
    <w:autoRedefine/>
    <w:qFormat/>
    <w:uiPriority w:val="0"/>
    <w:pPr>
      <w:jc w:val="left"/>
    </w:pPr>
  </w:style>
  <w:style w:type="paragraph" w:styleId="8">
    <w:name w:val="Body Text 3"/>
    <w:basedOn w:val="1"/>
    <w:autoRedefine/>
    <w:qFormat/>
    <w:uiPriority w:val="0"/>
    <w:pPr>
      <w:spacing w:line="80" w:lineRule="atLeast"/>
    </w:pPr>
    <w:rPr>
      <w:rFonts w:ascii="楷体_GB2312" w:eastAsia="楷体_GB2312"/>
      <w:sz w:val="28"/>
    </w:rPr>
  </w:style>
  <w:style w:type="paragraph" w:styleId="9">
    <w:name w:val="Body Text"/>
    <w:basedOn w:val="1"/>
    <w:autoRedefine/>
    <w:qFormat/>
    <w:uiPriority w:val="0"/>
    <w:rPr>
      <w:rFonts w:eastAsia="楷体_GB2312"/>
      <w:sz w:val="30"/>
      <w:szCs w:val="20"/>
    </w:rPr>
  </w:style>
  <w:style w:type="paragraph" w:styleId="10">
    <w:name w:val="Body Text Indent"/>
    <w:basedOn w:val="1"/>
    <w:next w:val="1"/>
    <w:autoRedefine/>
    <w:qFormat/>
    <w:uiPriority w:val="0"/>
    <w:pPr>
      <w:ind w:firstLine="540"/>
    </w:pPr>
    <w:rPr>
      <w:rFonts w:eastAsia="楷体_GB2312"/>
      <w:sz w:val="30"/>
      <w:szCs w:val="20"/>
    </w:rPr>
  </w:style>
  <w:style w:type="paragraph" w:styleId="11">
    <w:name w:val="List 2"/>
    <w:basedOn w:val="1"/>
    <w:unhideWhenUsed/>
    <w:qFormat/>
    <w:uiPriority w:val="99"/>
    <w:pPr>
      <w:ind w:left="100" w:leftChars="200" w:hanging="200" w:hangingChars="200"/>
      <w:contextualSpacing/>
    </w:pPr>
  </w:style>
  <w:style w:type="paragraph" w:styleId="12">
    <w:name w:val="index 4"/>
    <w:basedOn w:val="1"/>
    <w:next w:val="1"/>
    <w:autoRedefine/>
    <w:qFormat/>
    <w:uiPriority w:val="0"/>
    <w:pPr>
      <w:ind w:left="600" w:leftChars="600"/>
    </w:pPr>
    <w:rPr>
      <w:rFonts w:ascii="DFKai-SB" w:hAnsi="Times New Roman" w:eastAsia="DFKai-SB"/>
      <w:sz w:val="28"/>
      <w:lang w:eastAsia="zh-TW"/>
    </w:rPr>
  </w:style>
  <w:style w:type="paragraph" w:styleId="13">
    <w:name w:val="Plain Text"/>
    <w:basedOn w:val="1"/>
    <w:autoRedefine/>
    <w:qFormat/>
    <w:uiPriority w:val="0"/>
    <w:rPr>
      <w:rFonts w:hint="eastAsia" w:ascii="宋体" w:hAnsi="Courier New"/>
      <w:szCs w:val="20"/>
    </w:rPr>
  </w:style>
  <w:style w:type="paragraph" w:styleId="14">
    <w:name w:val="Date"/>
    <w:basedOn w:val="1"/>
    <w:next w:val="1"/>
    <w:autoRedefine/>
    <w:qFormat/>
    <w:uiPriority w:val="0"/>
    <w:rPr>
      <w:sz w:val="24"/>
      <w:szCs w:val="20"/>
    </w:rPr>
  </w:style>
  <w:style w:type="paragraph" w:styleId="15">
    <w:name w:val="Balloon Text"/>
    <w:basedOn w:val="1"/>
    <w:link w:val="50"/>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hint="eastAsia"/>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rFonts w:hint="eastAsia"/>
      <w:sz w:val="18"/>
      <w:szCs w:val="18"/>
    </w:rPr>
  </w:style>
  <w:style w:type="paragraph" w:styleId="19">
    <w:name w:val="toc 1"/>
    <w:basedOn w:val="1"/>
    <w:next w:val="1"/>
    <w:autoRedefine/>
    <w:qFormat/>
    <w:uiPriority w:val="0"/>
    <w:pPr>
      <w:spacing w:line="360" w:lineRule="exact"/>
    </w:pPr>
    <w:rPr>
      <w:rFonts w:ascii="仿宋_GB2312" w:hAnsi="宋体" w:eastAsia="仿宋_GB2312"/>
      <w:b/>
      <w:bCs/>
      <w:sz w:val="28"/>
      <w:szCs w:val="28"/>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0"/>
    <w:pPr>
      <w:widowControl/>
      <w:spacing w:beforeAutospacing="1" w:afterAutospacing="1"/>
      <w:jc w:val="left"/>
    </w:pPr>
    <w:rPr>
      <w:rFonts w:ascii="宋体" w:hAnsi="宋体" w:cs="宋体"/>
      <w:kern w:val="0"/>
      <w:sz w:val="24"/>
    </w:rPr>
  </w:style>
  <w:style w:type="paragraph" w:styleId="22">
    <w:name w:val="Title"/>
    <w:basedOn w:val="1"/>
    <w:next w:val="1"/>
    <w:autoRedefine/>
    <w:qFormat/>
    <w:uiPriority w:val="10"/>
    <w:pPr>
      <w:spacing w:before="240" w:after="60" w:line="420" w:lineRule="atLeast"/>
      <w:jc w:val="center"/>
      <w:textAlignment w:val="baseline"/>
      <w:outlineLvl w:val="0"/>
    </w:pPr>
    <w:rPr>
      <w:rFonts w:hint="eastAsia" w:ascii="Arial" w:hAnsi="Arial"/>
      <w:b/>
      <w:sz w:val="32"/>
    </w:rPr>
  </w:style>
  <w:style w:type="paragraph" w:styleId="23">
    <w:name w:val="annotation subject"/>
    <w:basedOn w:val="7"/>
    <w:next w:val="7"/>
    <w:link w:val="49"/>
    <w:autoRedefine/>
    <w:unhideWhenUsed/>
    <w:qFormat/>
    <w:uiPriority w:val="0"/>
    <w:rPr>
      <w:b/>
      <w:bCs/>
    </w:rPr>
  </w:style>
  <w:style w:type="paragraph" w:styleId="24">
    <w:name w:val="Body Text First Indent"/>
    <w:basedOn w:val="9"/>
    <w:next w:val="1"/>
    <w:autoRedefine/>
    <w:qFormat/>
    <w:uiPriority w:val="0"/>
    <w:pPr>
      <w:ind w:firstLine="420" w:firstLineChars="100"/>
    </w:pPr>
  </w:style>
  <w:style w:type="paragraph" w:styleId="25">
    <w:name w:val="Body Text First Indent 2"/>
    <w:basedOn w:val="10"/>
    <w:next w:val="24"/>
    <w:autoRedefine/>
    <w:qFormat/>
    <w:uiPriority w:val="0"/>
    <w:pPr>
      <w:ind w:firstLine="420" w:firstLineChars="200"/>
    </w:pPr>
  </w:style>
  <w:style w:type="table" w:styleId="27">
    <w:name w:val="Table Grid"/>
    <w:basedOn w:val="2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annotation reference"/>
    <w:basedOn w:val="28"/>
    <w:autoRedefine/>
    <w:unhideWhenUsed/>
    <w:qFormat/>
    <w:uiPriority w:val="0"/>
    <w:rPr>
      <w:sz w:val="21"/>
      <w:szCs w:val="21"/>
    </w:rPr>
  </w:style>
  <w:style w:type="paragraph" w:customStyle="1" w:styleId="32">
    <w:name w:val="Default"/>
    <w:autoRedefine/>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BodyText1I2"/>
    <w:basedOn w:val="35"/>
    <w:autoRedefine/>
    <w:qFormat/>
    <w:uiPriority w:val="0"/>
    <w:pPr>
      <w:ind w:firstLine="420" w:firstLineChars="200"/>
    </w:pPr>
  </w:style>
  <w:style w:type="paragraph" w:customStyle="1" w:styleId="35">
    <w:name w:val="BodyTextIndent"/>
    <w:basedOn w:val="1"/>
    <w:autoRedefine/>
    <w:qFormat/>
    <w:uiPriority w:val="0"/>
    <w:pPr>
      <w:spacing w:after="120"/>
      <w:ind w:left="420" w:leftChars="200"/>
    </w:pPr>
  </w:style>
  <w:style w:type="paragraph" w:customStyle="1" w:styleId="36">
    <w:name w:val="列出段落1"/>
    <w:basedOn w:val="1"/>
    <w:autoRedefine/>
    <w:qFormat/>
    <w:uiPriority w:val="34"/>
    <w:pPr>
      <w:ind w:firstLine="420" w:firstLineChars="200"/>
    </w:pPr>
    <w:rPr>
      <w:szCs w:val="22"/>
    </w:rPr>
  </w:style>
  <w:style w:type="paragraph" w:customStyle="1" w:styleId="37">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8">
    <w:name w:val="正文（首行缩进）"/>
    <w:basedOn w:val="1"/>
    <w:autoRedefine/>
    <w:qFormat/>
    <w:uiPriority w:val="0"/>
    <w:pPr>
      <w:spacing w:line="360" w:lineRule="auto"/>
      <w:ind w:firstLine="200" w:firstLineChars="200"/>
    </w:pPr>
  </w:style>
  <w:style w:type="character" w:customStyle="1" w:styleId="39">
    <w:name w:val="font21"/>
    <w:basedOn w:val="28"/>
    <w:autoRedefine/>
    <w:qFormat/>
    <w:uiPriority w:val="0"/>
    <w:rPr>
      <w:rFonts w:hint="eastAsia" w:ascii="宋体" w:hAnsi="宋体" w:eastAsia="宋体" w:cs="宋体"/>
      <w:color w:val="000000"/>
      <w:sz w:val="20"/>
      <w:szCs w:val="20"/>
      <w:u w:val="none"/>
    </w:rPr>
  </w:style>
  <w:style w:type="character" w:customStyle="1" w:styleId="40">
    <w:name w:val="font91"/>
    <w:basedOn w:val="28"/>
    <w:autoRedefine/>
    <w:qFormat/>
    <w:uiPriority w:val="0"/>
    <w:rPr>
      <w:rFonts w:hint="eastAsia" w:ascii="宋体" w:hAnsi="宋体" w:eastAsia="宋体" w:cs="宋体"/>
      <w:color w:val="000000"/>
      <w:sz w:val="20"/>
      <w:szCs w:val="20"/>
      <w:u w:val="none"/>
    </w:rPr>
  </w:style>
  <w:style w:type="character" w:customStyle="1" w:styleId="41">
    <w:name w:val="font112"/>
    <w:basedOn w:val="28"/>
    <w:autoRedefine/>
    <w:qFormat/>
    <w:uiPriority w:val="0"/>
    <w:rPr>
      <w:rFonts w:ascii="宋体" w:hAnsi="宋体" w:eastAsia="宋体" w:cs="宋体"/>
      <w:color w:val="000000"/>
      <w:sz w:val="20"/>
      <w:szCs w:val="20"/>
      <w:u w:val="none"/>
    </w:rPr>
  </w:style>
  <w:style w:type="character" w:customStyle="1" w:styleId="42">
    <w:name w:val="font121"/>
    <w:basedOn w:val="28"/>
    <w:autoRedefine/>
    <w:qFormat/>
    <w:uiPriority w:val="0"/>
    <w:rPr>
      <w:rFonts w:ascii="微软雅黑" w:hAnsi="微软雅黑" w:eastAsia="微软雅黑" w:cs="微软雅黑"/>
      <w:color w:val="000000"/>
      <w:sz w:val="20"/>
      <w:szCs w:val="20"/>
      <w:u w:val="none"/>
    </w:rPr>
  </w:style>
  <w:style w:type="character" w:customStyle="1" w:styleId="43">
    <w:name w:val="font101"/>
    <w:basedOn w:val="28"/>
    <w:autoRedefine/>
    <w:qFormat/>
    <w:uiPriority w:val="0"/>
    <w:rPr>
      <w:rFonts w:hint="eastAsia" w:ascii="宋体" w:hAnsi="宋体" w:eastAsia="宋体" w:cs="宋体"/>
      <w:color w:val="000000"/>
      <w:sz w:val="20"/>
      <w:szCs w:val="20"/>
      <w:u w:val="none"/>
    </w:rPr>
  </w:style>
  <w:style w:type="character" w:customStyle="1" w:styleId="44">
    <w:name w:val="font81"/>
    <w:basedOn w:val="28"/>
    <w:autoRedefine/>
    <w:qFormat/>
    <w:uiPriority w:val="0"/>
    <w:rPr>
      <w:rFonts w:hint="eastAsia" w:ascii="宋体" w:hAnsi="宋体" w:eastAsia="宋体" w:cs="宋体"/>
      <w:color w:val="000000"/>
      <w:sz w:val="20"/>
      <w:szCs w:val="20"/>
      <w:u w:val="none"/>
    </w:rPr>
  </w:style>
  <w:style w:type="character" w:customStyle="1" w:styleId="45">
    <w:name w:val="NormalCharacter"/>
    <w:link w:val="1"/>
    <w:autoRedefine/>
    <w:qFormat/>
    <w:uiPriority w:val="0"/>
    <w:rPr>
      <w:rFonts w:ascii="Calibri" w:hAnsi="Calibri" w:eastAsia="宋体" w:cs="Times New Roman"/>
      <w:kern w:val="2"/>
      <w:sz w:val="21"/>
      <w:szCs w:val="24"/>
      <w:lang w:val="en-US" w:eastAsia="zh-CN" w:bidi="ar-SA"/>
    </w:rPr>
  </w:style>
  <w:style w:type="character" w:customStyle="1" w:styleId="46">
    <w:name w:val="font61"/>
    <w:basedOn w:val="28"/>
    <w:autoRedefine/>
    <w:qFormat/>
    <w:uiPriority w:val="0"/>
    <w:rPr>
      <w:rFonts w:hint="eastAsia" w:ascii="宋体" w:hAnsi="宋体" w:eastAsia="宋体" w:cs="宋体"/>
      <w:color w:val="000000"/>
      <w:sz w:val="20"/>
      <w:szCs w:val="20"/>
      <w:u w:val="none"/>
    </w:rPr>
  </w:style>
  <w:style w:type="character" w:customStyle="1" w:styleId="47">
    <w:name w:val="font01"/>
    <w:basedOn w:val="28"/>
    <w:autoRedefine/>
    <w:qFormat/>
    <w:uiPriority w:val="0"/>
    <w:rPr>
      <w:rFonts w:hint="eastAsia" w:ascii="宋体" w:hAnsi="宋体" w:eastAsia="宋体" w:cs="宋体"/>
      <w:color w:val="000000"/>
      <w:sz w:val="20"/>
      <w:szCs w:val="20"/>
      <w:u w:val="none"/>
    </w:rPr>
  </w:style>
  <w:style w:type="character" w:customStyle="1" w:styleId="48">
    <w:name w:val="批注文字 Char"/>
    <w:basedOn w:val="28"/>
    <w:link w:val="7"/>
    <w:autoRedefine/>
    <w:qFormat/>
    <w:uiPriority w:val="0"/>
    <w:rPr>
      <w:rFonts w:ascii="Calibri" w:hAnsi="Calibri"/>
      <w:kern w:val="2"/>
      <w:sz w:val="21"/>
      <w:szCs w:val="24"/>
    </w:rPr>
  </w:style>
  <w:style w:type="character" w:customStyle="1" w:styleId="49">
    <w:name w:val="批注主题 Char"/>
    <w:basedOn w:val="48"/>
    <w:link w:val="23"/>
    <w:autoRedefine/>
    <w:semiHidden/>
    <w:qFormat/>
    <w:uiPriority w:val="0"/>
    <w:rPr>
      <w:rFonts w:ascii="Calibri" w:hAnsi="Calibri"/>
      <w:b/>
      <w:bCs/>
      <w:kern w:val="2"/>
      <w:sz w:val="21"/>
      <w:szCs w:val="24"/>
    </w:rPr>
  </w:style>
  <w:style w:type="character" w:customStyle="1" w:styleId="50">
    <w:name w:val="批注框文本 Char"/>
    <w:basedOn w:val="28"/>
    <w:link w:val="15"/>
    <w:autoRedefine/>
    <w:qFormat/>
    <w:uiPriority w:val="0"/>
    <w:rPr>
      <w:rFonts w:ascii="Calibri" w:hAnsi="Calibri"/>
      <w:kern w:val="2"/>
      <w:sz w:val="18"/>
      <w:szCs w:val="18"/>
    </w:rPr>
  </w:style>
  <w:style w:type="paragraph" w:customStyle="1" w:styleId="51">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2">
    <w:name w:val="样式1"/>
    <w:basedOn w:val="1"/>
    <w:autoRedefine/>
    <w:qFormat/>
    <w:uiPriority w:val="99"/>
    <w:pPr>
      <w:numPr>
        <w:ilvl w:val="0"/>
        <w:numId w:val="1"/>
      </w:numPr>
    </w:pPr>
    <w:rPr>
      <w:rFonts w:ascii="宋体" w:hAnsi="宋体" w:cs="宋体"/>
    </w:rPr>
  </w:style>
  <w:style w:type="paragraph" w:customStyle="1" w:styleId="53">
    <w:name w:val="_Style 1"/>
    <w:basedOn w:val="1"/>
    <w:autoRedefine/>
    <w:qFormat/>
    <w:uiPriority w:val="99"/>
    <w:pPr>
      <w:ind w:firstLine="420" w:firstLineChars="200"/>
    </w:pPr>
  </w:style>
  <w:style w:type="paragraph" w:customStyle="1" w:styleId="54">
    <w:name w:val="正文文本1"/>
    <w:basedOn w:val="1"/>
    <w:qFormat/>
    <w:uiPriority w:val="0"/>
    <w:rPr>
      <w:rFonts w:eastAsia="楷体_GB2312"/>
      <w:sz w:val="30"/>
      <w:szCs w:val="20"/>
    </w:rPr>
  </w:style>
  <w:style w:type="paragraph" w:customStyle="1" w:styleId="55">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5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7">
    <w:name w:val="List Paragraph"/>
    <w:basedOn w:val="1"/>
    <w:qFormat/>
    <w:uiPriority w:val="99"/>
    <w:pPr>
      <w:ind w:firstLine="420" w:firstLineChars="200"/>
    </w:pPr>
  </w:style>
  <w:style w:type="paragraph" w:styleId="58">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26145</Words>
  <Characters>27784</Characters>
  <Lines>475</Lines>
  <Paragraphs>133</Paragraphs>
  <TotalTime>25</TotalTime>
  <ScaleCrop>false</ScaleCrop>
  <LinksUpToDate>false</LinksUpToDate>
  <CharactersWithSpaces>30076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2024-03-11T02:37:00Z</dcterms:created>
  <dc:creator>lenovo</dc:creator>
  <cp:lastModifiedBy>Administrator</cp:lastModifiedBy>
  <cp:lastPrinted>2025-05-27T08:31:00Z</cp:lastPrinted>
  <dcterms:modified xsi:type="dcterms:W3CDTF">2025-07-15T05:06:29Z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EDD9AC62E0194DA68875B672F3E98E3C_13</vt:lpwstr>
  </property>
  <property fmtid="{D5CDD505-2E9C-101B-9397-08002B2CF9AE}" pid="4" name="KSOTemplateDocerSaveRecord">
    <vt:lpwstr>eyJoZGlkIjoiMjNlZGZjNDdlZGFiZjAzZmM2NWNlOTI2ZGFlY2M5ZjIiLCJ1c2VySWQiOiIyNDg1NDUwNDIifQ==</vt:lpwstr>
  </property>
</Properties>
</file>