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643"/>
        <w:rPr>
          <w:rFonts w:ascii="仿宋_GB2312" w:eastAsia="仿宋_GB2312"/>
        </w:rPr>
      </w:pPr>
    </w:p>
    <w:p>
      <w:pPr>
        <w:ind w:firstLine="640"/>
        <w:jc w:val="center"/>
        <w:rPr>
          <w:rFonts w:ascii="仿宋_GB2312" w:eastAsia="仿宋_GB2312"/>
          <w:sz w:val="32"/>
          <w:szCs w:val="32"/>
        </w:rPr>
      </w:pPr>
    </w:p>
    <w:p>
      <w:pPr>
        <w:spacing w:line="600" w:lineRule="exact"/>
        <w:ind w:firstLine="600"/>
        <w:jc w:val="center"/>
        <w:rPr>
          <w:rFonts w:ascii="仿宋_GB2312" w:eastAsia="仿宋_GB2312"/>
          <w:sz w:val="30"/>
          <w:szCs w:val="30"/>
        </w:rPr>
      </w:pPr>
      <w:r>
        <w:rPr>
          <w:rFonts w:hint="eastAsia" w:ascii="仿宋_GB2312" w:eastAsia="仿宋_GB2312"/>
          <w:sz w:val="30"/>
          <w:szCs w:val="30"/>
        </w:rPr>
        <w:t>浙江省舟山市自然灾害应急能力提升工程预警指挥项目提升综合风险监测预警和指挥支撑保障能力分项采购项目</w:t>
      </w:r>
      <w:r>
        <w:rPr>
          <w:rFonts w:hint="eastAsia" w:ascii="仿宋_GB2312" w:eastAsia="仿宋_GB2312"/>
          <w:sz w:val="30"/>
          <w:szCs w:val="30"/>
        </w:rPr>
        <w:tab/>
      </w:r>
    </w:p>
    <w:p>
      <w:pPr>
        <w:pStyle w:val="11"/>
        <w:jc w:val="center"/>
      </w:pPr>
    </w:p>
    <w:p>
      <w:pPr>
        <w:spacing w:line="600" w:lineRule="exact"/>
        <w:ind w:firstLine="600"/>
        <w:jc w:val="center"/>
        <w:rPr>
          <w:rFonts w:ascii="仿宋_GB2312" w:eastAsia="仿宋_GB2312"/>
          <w:sz w:val="24"/>
          <w:szCs w:val="24"/>
        </w:rPr>
      </w:pPr>
    </w:p>
    <w:p>
      <w:pPr>
        <w:jc w:val="center"/>
        <w:rPr>
          <w:rFonts w:ascii="仿宋_GB2312" w:eastAsia="仿宋_GB2312"/>
          <w:sz w:val="24"/>
          <w:szCs w:val="24"/>
        </w:rPr>
      </w:pPr>
    </w:p>
    <w:p>
      <w:pPr>
        <w:spacing w:line="600" w:lineRule="exact"/>
        <w:ind w:firstLine="600"/>
        <w:jc w:val="center"/>
        <w:rPr>
          <w:rFonts w:ascii="仿宋_GB2312" w:eastAsia="仿宋_GB2312"/>
          <w:sz w:val="30"/>
          <w:szCs w:val="30"/>
        </w:rPr>
      </w:pPr>
      <w:r>
        <w:rPr>
          <w:rFonts w:hint="eastAsia" w:ascii="仿宋_GB2312" w:eastAsia="仿宋_GB2312"/>
          <w:sz w:val="30"/>
          <w:szCs w:val="30"/>
        </w:rPr>
        <w:t>公开招标文件</w:t>
      </w:r>
    </w:p>
    <w:p>
      <w:pPr>
        <w:spacing w:line="600" w:lineRule="exact"/>
        <w:ind w:firstLine="600"/>
        <w:jc w:val="center"/>
        <w:rPr>
          <w:rFonts w:ascii="仿宋_GB2312" w:eastAsia="仿宋_GB2312"/>
          <w:sz w:val="30"/>
          <w:szCs w:val="30"/>
        </w:rPr>
      </w:pPr>
      <w:r>
        <w:rPr>
          <w:rFonts w:hint="eastAsia" w:ascii="仿宋_GB2312" w:eastAsia="仿宋_GB2312"/>
          <w:sz w:val="30"/>
          <w:szCs w:val="30"/>
        </w:rPr>
        <w:t>（电子招投标）</w:t>
      </w:r>
    </w:p>
    <w:p>
      <w:pPr>
        <w:spacing w:line="600" w:lineRule="exact"/>
        <w:ind w:firstLine="600"/>
        <w:jc w:val="center"/>
        <w:rPr>
          <w:rFonts w:ascii="仿宋_GB2312" w:eastAsia="仿宋_GB2312"/>
          <w:color w:val="000000" w:themeColor="text1"/>
          <w:sz w:val="30"/>
          <w:szCs w:val="30"/>
        </w:rPr>
      </w:pPr>
      <w:r>
        <w:rPr>
          <w:rFonts w:hint="eastAsia" w:ascii="仿宋_GB2312" w:eastAsia="仿宋_GB2312"/>
          <w:color w:val="000000" w:themeColor="text1"/>
          <w:sz w:val="30"/>
          <w:szCs w:val="30"/>
        </w:rPr>
        <w:t>编号:ZSZFCG2024-ZB-013</w:t>
      </w: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舟山市应急管理局、普朱管委会、普陀区应急管理局、岱山县应急管理局、嵊泗县应急管委局、普陀山镇人民政府、定海区应急管理局</w:t>
      </w:r>
      <w:r>
        <w:rPr>
          <w:rFonts w:hint="eastAsia" w:ascii="仿宋_GB2312" w:eastAsia="仿宋_GB2312"/>
          <w:sz w:val="30"/>
          <w:szCs w:val="30"/>
        </w:rPr>
        <w:br w:type="textWrapping"/>
      </w:r>
      <w:r>
        <w:rPr>
          <w:rFonts w:hint="eastAsia" w:ascii="仿宋_GB2312" w:eastAsia="仿宋_GB2312"/>
          <w:sz w:val="30"/>
          <w:szCs w:val="30"/>
        </w:rPr>
        <w:t>舟山市公共资源交易中心</w:t>
      </w:r>
    </w:p>
    <w:p>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2024年</w:t>
      </w:r>
      <w:r>
        <w:rPr>
          <w:rFonts w:hint="eastAsia" w:ascii="仿宋_GB2312" w:eastAsia="仿宋_GB2312"/>
          <w:sz w:val="30"/>
          <w:szCs w:val="30"/>
          <w:lang w:val="en-US" w:eastAsia="zh-CN"/>
        </w:rPr>
        <w:t>5</w:t>
      </w:r>
      <w:r>
        <w:rPr>
          <w:rFonts w:hint="eastAsia" w:ascii="仿宋_GB2312" w:eastAsia="仿宋_GB2312"/>
          <w:sz w:val="30"/>
          <w:szCs w:val="30"/>
        </w:rPr>
        <w:t>月</w:t>
      </w:r>
    </w:p>
    <w:p>
      <w:pPr>
        <w:adjustRightInd w:val="0"/>
        <w:snapToGrid w:val="0"/>
        <w:rPr>
          <w:rFonts w:ascii="仿宋_GB2312" w:eastAsia="仿宋_GB2312"/>
          <w:sz w:val="24"/>
          <w:szCs w:val="24"/>
        </w:rPr>
      </w:pPr>
      <w:r>
        <w:rPr>
          <w:rFonts w:hint="eastAsia" w:ascii="仿宋_GB2312" w:eastAsia="仿宋_GB2312"/>
          <w:sz w:val="24"/>
          <w:szCs w:val="24"/>
        </w:rPr>
        <w:br w:type="page"/>
      </w:r>
      <w:bookmarkStart w:id="0" w:name="_Hlt67893495"/>
      <w:bookmarkEnd w:id="0"/>
    </w:p>
    <w:p>
      <w:pPr>
        <w:rPr>
          <w:rFonts w:ascii="仿宋_GB2312" w:eastAsia="仿宋_GB2312"/>
          <w:sz w:val="24"/>
          <w:szCs w:val="24"/>
        </w:rPr>
      </w:pPr>
    </w:p>
    <w:p>
      <w:pPr>
        <w:ind w:firstLine="562"/>
        <w:jc w:val="center"/>
        <w:rPr>
          <w:rFonts w:ascii="仿宋_GB2312" w:hAnsi="宋体" w:eastAsia="仿宋_GB2312"/>
          <w:b/>
          <w:sz w:val="28"/>
          <w:szCs w:val="28"/>
        </w:rPr>
      </w:pPr>
      <w:r>
        <w:rPr>
          <w:rFonts w:hint="eastAsia" w:ascii="仿宋_GB2312" w:hAnsi="宋体" w:eastAsia="仿宋_GB2312"/>
          <w:b/>
          <w:sz w:val="28"/>
          <w:szCs w:val="28"/>
        </w:rPr>
        <w:t>目  录</w:t>
      </w:r>
    </w:p>
    <w:p>
      <w:pPr>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pPr>
        <w:rPr>
          <w:rFonts w:ascii="仿宋_GB2312" w:hAnsi="黑体" w:eastAsia="仿宋_GB2312"/>
          <w:sz w:val="24"/>
          <w:szCs w:val="24"/>
        </w:rPr>
      </w:pPr>
      <w:bookmarkStart w:id="1" w:name="_Hlt91233176"/>
      <w:bookmarkEnd w:id="1"/>
      <w:bookmarkStart w:id="2" w:name="_Toc91899869"/>
    </w:p>
    <w:p>
      <w:pPr>
        <w:rPr>
          <w:rFonts w:ascii="仿宋_GB2312" w:hAnsi="黑体"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ind w:firstLine="3360" w:firstLineChars="1400"/>
        <w:outlineLvl w:val="0"/>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sz w:val="32"/>
          <w:szCs w:val="32"/>
        </w:rPr>
        <w:t>第一部分招标公告</w:t>
      </w:r>
    </w:p>
    <w:p>
      <w:pPr>
        <w:spacing w:line="420" w:lineRule="exact"/>
        <w:ind w:firstLine="482" w:firstLineChars="200"/>
        <w:contextualSpacing/>
        <w:rPr>
          <w:rFonts w:ascii="仿宋_GB2312" w:eastAsia="仿宋_GB2312"/>
          <w:b/>
          <w:sz w:val="24"/>
          <w:szCs w:val="24"/>
        </w:rPr>
      </w:pPr>
    </w:p>
    <w:p>
      <w:pPr>
        <w:spacing w:line="420" w:lineRule="exact"/>
        <w:ind w:firstLine="480" w:firstLineChars="200"/>
        <w:contextualSpacing/>
        <w:rPr>
          <w:rFonts w:ascii="仿宋_GB2312" w:eastAsia="仿宋_GB2312"/>
          <w:sz w:val="24"/>
          <w:szCs w:val="24"/>
        </w:rPr>
      </w:pPr>
      <w:r>
        <w:rPr>
          <w:rFonts w:hint="eastAsia" w:ascii="仿宋_GB2312" w:eastAsia="仿宋_GB2312"/>
          <w:bCs/>
          <w:sz w:val="24"/>
          <w:szCs w:val="24"/>
        </w:rPr>
        <w:t>浙江省舟山市自然灾害应急能力提升工程预警指挥项目提升综合风险监测预警和指挥支撑保障能力分项采购项目</w:t>
      </w:r>
      <w:r>
        <w:rPr>
          <w:rFonts w:hint="eastAsia" w:ascii="仿宋_GB2312" w:eastAsia="仿宋_GB2312"/>
          <w:sz w:val="24"/>
          <w:szCs w:val="24"/>
        </w:rPr>
        <w:t>的潜在投标人应在政采云平</w:t>
      </w:r>
      <w:r>
        <w:rPr>
          <w:rFonts w:hint="eastAsia" w:ascii="仿宋_GB2312" w:eastAsia="仿宋_GB2312"/>
          <w:color w:val="000000" w:themeColor="text1"/>
          <w:sz w:val="24"/>
          <w:szCs w:val="24"/>
        </w:rPr>
        <w:t>台（</w:t>
      </w:r>
      <w:r>
        <w:fldChar w:fldCharType="begin"/>
      </w:r>
      <w:r>
        <w:instrText xml:space="preserve"> HYPERLINK "https://www.zcygov.cn/）获取（下载）招标文件，并于2024年5月10日9点15分00秒" </w:instrText>
      </w:r>
      <w:r>
        <w:fldChar w:fldCharType="separate"/>
      </w:r>
      <w:r>
        <w:rPr>
          <w:rStyle w:val="28"/>
          <w:rFonts w:hint="eastAsia" w:ascii="仿宋_GB2312" w:eastAsia="仿宋_GB2312"/>
          <w:color w:val="000000" w:themeColor="text1"/>
          <w:sz w:val="24"/>
          <w:szCs w:val="24"/>
        </w:rPr>
        <w:t>https://www.zcygov.cn/）获取（下载）招标文件，并于2024年5月</w:t>
      </w:r>
      <w:r>
        <w:rPr>
          <w:rStyle w:val="28"/>
          <w:rFonts w:hint="eastAsia" w:ascii="仿宋_GB2312" w:eastAsia="仿宋_GB2312"/>
          <w:color w:val="000000" w:themeColor="text1"/>
          <w:sz w:val="24"/>
          <w:szCs w:val="24"/>
          <w:lang w:val="en-US" w:eastAsia="zh-CN"/>
        </w:rPr>
        <w:t>28</w:t>
      </w:r>
      <w:r>
        <w:rPr>
          <w:rStyle w:val="28"/>
          <w:rFonts w:hint="eastAsia" w:ascii="仿宋_GB2312" w:eastAsia="仿宋_GB2312"/>
          <w:color w:val="000000" w:themeColor="text1"/>
          <w:sz w:val="24"/>
          <w:szCs w:val="24"/>
        </w:rPr>
        <w:t>日9点1</w:t>
      </w:r>
      <w:r>
        <w:rPr>
          <w:rStyle w:val="28"/>
          <w:rFonts w:hint="eastAsia" w:ascii="仿宋_GB2312" w:eastAsia="仿宋_GB2312"/>
          <w:color w:val="000000" w:themeColor="text1"/>
          <w:sz w:val="24"/>
          <w:szCs w:val="24"/>
          <w:lang w:val="en-US" w:eastAsia="zh-CN"/>
        </w:rPr>
        <w:t>0</w:t>
      </w:r>
      <w:r>
        <w:rPr>
          <w:rStyle w:val="28"/>
          <w:rFonts w:hint="eastAsia" w:ascii="仿宋_GB2312" w:eastAsia="仿宋_GB2312"/>
          <w:color w:val="000000" w:themeColor="text1"/>
          <w:sz w:val="24"/>
          <w:szCs w:val="24"/>
        </w:rPr>
        <w:t>分00秒</w:t>
      </w:r>
      <w:r>
        <w:rPr>
          <w:rStyle w:val="28"/>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rPr>
        <w:t>（</w:t>
      </w:r>
      <w:r>
        <w:rPr>
          <w:rFonts w:hint="eastAsia" w:ascii="仿宋_GB2312" w:eastAsia="仿宋_GB2312"/>
          <w:sz w:val="24"/>
          <w:szCs w:val="24"/>
        </w:rPr>
        <w:t>北京时间）前递交（上传）投标文件。</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pPr>
        <w:spacing w:line="420" w:lineRule="exact"/>
        <w:ind w:firstLine="480" w:firstLineChars="200"/>
        <w:contextualSpacing/>
        <w:rPr>
          <w:rFonts w:ascii="仿宋_GB2312" w:eastAsia="仿宋_GB2312"/>
          <w:color w:val="000000" w:themeColor="text1"/>
          <w:sz w:val="24"/>
          <w:szCs w:val="24"/>
        </w:rPr>
      </w:pPr>
      <w:r>
        <w:rPr>
          <w:rFonts w:hint="eastAsia" w:ascii="仿宋_GB2312" w:eastAsia="仿宋_GB2312"/>
          <w:sz w:val="24"/>
          <w:szCs w:val="24"/>
        </w:rPr>
        <w:t>项目编号：</w:t>
      </w:r>
      <w:r>
        <w:rPr>
          <w:rFonts w:hint="eastAsia" w:ascii="仿宋_GB2312" w:eastAsia="仿宋_GB2312"/>
          <w:color w:val="000000" w:themeColor="text1"/>
          <w:sz w:val="24"/>
          <w:szCs w:val="24"/>
        </w:rPr>
        <w:t>ZSZFCG2024-ZB-013</w:t>
      </w:r>
    </w:p>
    <w:p>
      <w:pPr>
        <w:spacing w:line="420" w:lineRule="exact"/>
        <w:ind w:firstLine="480" w:firstLineChars="200"/>
        <w:contextualSpacing/>
        <w:rPr>
          <w:rFonts w:ascii="仿宋_GB2312" w:eastAsia="仿宋_GB2312"/>
          <w:bCs/>
          <w:color w:val="000000" w:themeColor="text1"/>
          <w:sz w:val="24"/>
          <w:szCs w:val="24"/>
        </w:rPr>
      </w:pPr>
      <w:r>
        <w:rPr>
          <w:rFonts w:hint="eastAsia" w:ascii="仿宋_GB2312" w:eastAsia="仿宋_GB2312"/>
          <w:bCs/>
          <w:color w:val="000000" w:themeColor="text1"/>
          <w:sz w:val="24"/>
          <w:szCs w:val="24"/>
        </w:rPr>
        <w:t>项目名称：浙江省舟山市自然灾害应急能力提升工程预警指挥项目提升综合风险监测预警和指挥支撑保障能力分项采购项目</w:t>
      </w:r>
      <w:r>
        <w:rPr>
          <w:rFonts w:hint="eastAsia" w:ascii="仿宋_GB2312" w:eastAsia="仿宋_GB2312"/>
          <w:bCs/>
          <w:color w:val="000000" w:themeColor="text1"/>
          <w:sz w:val="24"/>
          <w:szCs w:val="24"/>
        </w:rPr>
        <w:tab/>
      </w:r>
    </w:p>
    <w:p>
      <w:pPr>
        <w:spacing w:line="420" w:lineRule="exact"/>
        <w:ind w:firstLine="480" w:firstLineChars="200"/>
        <w:contextualSpacing/>
        <w:rPr>
          <w:rFonts w:ascii="仿宋_GB2312" w:eastAsia="仿宋_GB2312"/>
          <w:bCs/>
          <w:color w:val="000000" w:themeColor="text1"/>
          <w:sz w:val="24"/>
          <w:szCs w:val="24"/>
        </w:rPr>
      </w:pPr>
      <w:r>
        <w:rPr>
          <w:rFonts w:hint="eastAsia" w:ascii="仿宋_GB2312" w:eastAsia="仿宋_GB2312"/>
          <w:bCs/>
          <w:color w:val="000000" w:themeColor="text1"/>
          <w:sz w:val="24"/>
          <w:szCs w:val="24"/>
        </w:rPr>
        <w:t>预算金额（元）：标项一：品目一（市本级）：12086000元、品目二（普朱管委会）:81000元、品目三（普陀区）：339000元、品目四（岱山县）：114000元、品目五（嵊泗县）：72000元；</w:t>
      </w:r>
    </w:p>
    <w:p>
      <w:pPr>
        <w:pStyle w:val="11"/>
        <w:rPr>
          <w:rFonts w:ascii="仿宋_GB2312" w:eastAsia="仿宋_GB2312"/>
          <w:bCs/>
          <w:color w:val="000000" w:themeColor="text1"/>
          <w:szCs w:val="24"/>
        </w:rPr>
      </w:pPr>
      <w:r>
        <w:rPr>
          <w:rFonts w:hint="eastAsia" w:ascii="仿宋_GB2312" w:eastAsia="仿宋_GB2312"/>
          <w:bCs/>
          <w:color w:val="000000" w:themeColor="text1"/>
          <w:szCs w:val="24"/>
        </w:rPr>
        <w:t>标项二：品目一（市本级）：970000元、品目二（普朱管委会）:5000元、品目三（普陀区）：602000元、品目四（岱山县）：105000元、品目五（嵊泗县）：375000元；品目六（普陀山镇）:120000元、品目七（定海区）：5000元；</w:t>
      </w:r>
    </w:p>
    <w:p>
      <w:pPr>
        <w:spacing w:line="420" w:lineRule="exact"/>
        <w:ind w:firstLine="480" w:firstLineChars="200"/>
        <w:contextualSpacing/>
        <w:rPr>
          <w:rFonts w:ascii="仿宋_GB2312" w:eastAsia="仿宋_GB2312"/>
          <w:bCs/>
          <w:sz w:val="24"/>
          <w:szCs w:val="24"/>
        </w:rPr>
      </w:pPr>
      <w:r>
        <w:rPr>
          <w:rFonts w:hint="eastAsia" w:ascii="仿宋_GB2312" w:eastAsia="仿宋_GB2312"/>
          <w:bCs/>
          <w:color w:val="000000" w:themeColor="text1"/>
          <w:sz w:val="24"/>
          <w:szCs w:val="24"/>
        </w:rPr>
        <w:t>最高限价（元）：标项一：品目一：12086000元、品目二:81000元、品目三：</w:t>
      </w:r>
      <w:r>
        <w:rPr>
          <w:rFonts w:hint="eastAsia" w:ascii="仿宋_GB2312" w:eastAsia="仿宋_GB2312"/>
          <w:bCs/>
          <w:sz w:val="24"/>
          <w:szCs w:val="24"/>
        </w:rPr>
        <w:t>339000元、品目四：114000元、品目五：72000元；</w:t>
      </w:r>
    </w:p>
    <w:p>
      <w:pPr>
        <w:pStyle w:val="11"/>
        <w:rPr>
          <w:rFonts w:ascii="仿宋_GB2312" w:eastAsia="仿宋_GB2312"/>
          <w:bCs/>
          <w:color w:val="000000" w:themeColor="text1"/>
          <w:szCs w:val="24"/>
        </w:rPr>
      </w:pPr>
      <w:r>
        <w:rPr>
          <w:rFonts w:hint="eastAsia" w:ascii="仿宋_GB2312" w:eastAsia="仿宋_GB2312"/>
          <w:bCs/>
          <w:color w:val="000000" w:themeColor="text1"/>
          <w:szCs w:val="24"/>
        </w:rPr>
        <w:t>标项二：品目一（市本级）：970000元、品目二（普朱管委会）:5000元、品目三（普陀区）：602000元、品目四（岱山县）：105000元、品目五（嵊泗县）：375000元；品目六（普陀山镇）:120000元、品目七（定海区）：5000元；</w:t>
      </w:r>
    </w:p>
    <w:p>
      <w:pPr>
        <w:spacing w:line="420" w:lineRule="exact"/>
        <w:ind w:firstLine="480" w:firstLineChars="200"/>
        <w:contextualSpacing/>
        <w:rPr>
          <w:rFonts w:ascii="仿宋_GB2312" w:eastAsia="仿宋_GB2312"/>
          <w:color w:val="000000" w:themeColor="text1"/>
          <w:sz w:val="24"/>
          <w:szCs w:val="24"/>
        </w:rPr>
      </w:pPr>
      <w:r>
        <w:rPr>
          <w:rFonts w:hint="eastAsia" w:ascii="仿宋_GB2312" w:eastAsia="仿宋_GB2312"/>
          <w:color w:val="000000" w:themeColor="text1"/>
          <w:sz w:val="24"/>
          <w:szCs w:val="24"/>
        </w:rPr>
        <w:t>采购需求：详见招标文件第三部分采购需求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合同履约期限：详见采购文件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eastAsia" w:ascii="仿宋_GB2312" w:eastAsia="仿宋_GB2312"/>
          <w:sz w:val="24"/>
          <w:szCs w:val="24"/>
        </w:rPr>
        <w:sym w:font="Wingdings" w:char="00A8"/>
      </w:r>
      <w:r>
        <w:rPr>
          <w:rFonts w:hint="eastAsia" w:ascii="仿宋_GB2312" w:eastAsia="仿宋_GB2312"/>
          <w:sz w:val="24"/>
          <w:szCs w:val="24"/>
        </w:rPr>
        <w:t>否，</w:t>
      </w:r>
      <w:sdt>
        <w:sdtPr>
          <w:rPr>
            <w:rFonts w:hint="eastAsia" w:ascii="仿宋_GB2312" w:eastAsia="仿宋_GB2312"/>
            <w:sz w:val="24"/>
            <w:szCs w:val="24"/>
          </w:rPr>
          <w:id w:val="2035453831"/>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2"/>
        </w:sdtPr>
        <w:sdtEndPr>
          <w:rPr>
            <w:rFonts w:hint="eastAsia" w:ascii="仿宋_GB2312" w:eastAsia="仿宋_GB2312"/>
            <w:sz w:val="24"/>
            <w:szCs w:val="24"/>
          </w:rPr>
        </w:sdtEndPr>
        <w:sdtContent/>
      </w:sdt>
      <w:r>
        <w:rPr>
          <w:rFonts w:hint="eastAsia" w:ascii="仿宋_GB2312" w:eastAsia="仿宋_GB2312"/>
          <w:sz w:val="24"/>
          <w:szCs w:val="24"/>
        </w:rPr>
        <w:t>是。</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2.落实政府采购政策需满足的资格要求：</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1902925274"/>
        </w:sdtPr>
        <w:sdtEndPr>
          <w:rPr>
            <w:rFonts w:hint="eastAsia" w:ascii="仿宋_GB2312" w:eastAsia="仿宋_GB2312"/>
            <w:sz w:val="24"/>
            <w:szCs w:val="24"/>
          </w:rPr>
        </w:sdtEndPr>
        <w:sdtContent>
          <w:sdt>
            <w:sdtPr>
              <w:rPr>
                <w:rFonts w:hint="eastAsia" w:ascii="仿宋_GB2312" w:eastAsia="仿宋_GB2312"/>
                <w:sz w:val="24"/>
                <w:szCs w:val="24"/>
              </w:rPr>
              <w:id w:val="156501047"/>
            </w:sdtPr>
            <w:sdtEndPr>
              <w:rPr>
                <w:rFonts w:hint="eastAsia" w:ascii="仿宋_GB2312" w:eastAsia="仿宋_GB2312"/>
                <w:b/>
                <w:sz w:val="24"/>
                <w:szCs w:val="24"/>
              </w:rPr>
            </w:sdtEndPr>
            <w:sdtContent>
              <w:sdt>
                <w:sdtPr>
                  <w:rPr>
                    <w:rFonts w:hint="eastAsia" w:ascii="仿宋_GB2312" w:eastAsia="仿宋_GB2312"/>
                    <w:sz w:val="24"/>
                    <w:szCs w:val="24"/>
                  </w:rPr>
                  <w:id w:val="3267788"/>
                </w:sdtPr>
                <w:sdtEndPr>
                  <w:rPr>
                    <w:rFonts w:hint="eastAsia" w:ascii="仿宋_GB2312" w:eastAsia="仿宋_GB2312"/>
                    <w:sz w:val="24"/>
                    <w:szCs w:val="24"/>
                  </w:rPr>
                </w:sdtEndPr>
                <w:sdtContent>
                  <w:r>
                    <w:rPr>
                      <w:rFonts w:hint="eastAsia" w:ascii="仿宋_GB2312" w:eastAsia="仿宋_GB2312"/>
                      <w:b/>
                      <w:sz w:val="24"/>
                      <w:szCs w:val="24"/>
                    </w:rPr>
                    <w:sym w:font="Wingdings" w:char="00FE"/>
                  </w:r>
                </w:sdtContent>
              </w:sdt>
            </w:sdtContent>
          </w:sdt>
        </w:sdtContent>
      </w:sdt>
      <w:r>
        <w:rPr>
          <w:rFonts w:hint="eastAsia" w:ascii="仿宋_GB2312" w:eastAsia="仿宋_GB2312"/>
          <w:sz w:val="24"/>
          <w:szCs w:val="24"/>
        </w:rPr>
        <w:t>无</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69264797"/>
        </w:sdtPr>
        <w:sdtEndPr>
          <w:rPr>
            <w:rFonts w:hint="eastAsia" w:ascii="仿宋_GB2312" w:eastAsia="仿宋_GB2312"/>
            <w:sz w:val="24"/>
            <w:szCs w:val="24"/>
          </w:rPr>
        </w:sdtEndPr>
        <w:sdtContent>
          <w:sdt>
            <w:sdtPr>
              <w:rPr>
                <w:rFonts w:hint="eastAsia" w:ascii="仿宋_GB2312" w:eastAsia="仿宋_GB2312"/>
                <w:sz w:val="24"/>
                <w:szCs w:val="24"/>
              </w:rPr>
              <w:id w:val="1648123872"/>
            </w:sdtPr>
            <w:sdtEndPr>
              <w:rPr>
                <w:rFonts w:hint="eastAsia" w:ascii="仿宋_GB2312" w:eastAsia="仿宋_GB2312"/>
                <w:sz w:val="24"/>
                <w:szCs w:val="24"/>
              </w:rPr>
            </w:sdtEndPr>
            <w:sdtContent>
              <w:sdt>
                <w:sdtPr>
                  <w:rPr>
                    <w:rFonts w:hint="eastAsia" w:ascii="仿宋_GB2312" w:eastAsia="仿宋_GB2312"/>
                    <w:sz w:val="24"/>
                    <w:szCs w:val="24"/>
                  </w:rPr>
                  <w:id w:val="1648123875"/>
                </w:sdtPr>
                <w:sdtEndPr>
                  <w:rPr>
                    <w:rFonts w:hint="eastAsia" w:ascii="仿宋_GB2312" w:eastAsia="仿宋_GB2312"/>
                    <w:sz w:val="24"/>
                    <w:szCs w:val="24"/>
                  </w:rPr>
                </w:sdtEndPr>
                <w:sdtContent>
                  <w:sdt>
                    <w:sdtPr>
                      <w:rPr>
                        <w:rFonts w:hint="eastAsia" w:ascii="仿宋_GB2312" w:eastAsia="仿宋_GB2312"/>
                        <w:sz w:val="24"/>
                        <w:szCs w:val="24"/>
                      </w:rPr>
                      <w:id w:val="613081803"/>
                    </w:sdtPr>
                    <w:sdtEndPr>
                      <w:rPr>
                        <w:rFonts w:hint="eastAsia" w:ascii="仿宋_GB2312" w:eastAsia="仿宋_GB2312"/>
                        <w:b/>
                        <w:sz w:val="24"/>
                        <w:szCs w:val="24"/>
                      </w:rPr>
                    </w:sdtEndPr>
                    <w:sdtContent>
                      <w:sdt>
                        <w:sdtPr>
                          <w:rPr>
                            <w:rFonts w:hint="eastAsia" w:ascii="仿宋_GB2312" w:eastAsia="仿宋_GB2312"/>
                            <w:sz w:val="24"/>
                            <w:szCs w:val="24"/>
                          </w:rPr>
                          <w:id w:val="156501049"/>
                        </w:sdtPr>
                        <w:sdtEndPr>
                          <w:rPr>
                            <w:rFonts w:hint="eastAsia" w:ascii="仿宋_GB2312" w:eastAsia="仿宋_GB2312"/>
                            <w:sz w:val="24"/>
                            <w:szCs w:val="24"/>
                          </w:rPr>
                        </w:sdtEndPr>
                        <w:sdtContent>
                          <w:sdt>
                            <w:sdtPr>
                              <w:rPr>
                                <w:rFonts w:hint="eastAsia" w:ascii="仿宋_GB2312" w:eastAsia="仿宋_GB2312"/>
                                <w:sz w:val="24"/>
                                <w:szCs w:val="24"/>
                              </w:rPr>
                              <w:id w:val="3267786"/>
                            </w:sdtPr>
                            <w:sdtEndPr>
                              <w:rPr>
                                <w:rFonts w:hint="eastAsia" w:ascii="仿宋_GB2312" w:eastAsia="仿宋_GB2312"/>
                                <w:b/>
                                <w:sz w:val="24"/>
                                <w:szCs w:val="24"/>
                              </w:rPr>
                            </w:sdtEndPr>
                            <w:sdtContent>
                              <w:r>
                                <w:rPr>
                                  <w:rFonts w:hint="eastAsia" w:ascii="仿宋_GB2312" w:eastAsia="仿宋_GB2312"/>
                                  <w:b/>
                                  <w:sz w:val="24"/>
                                  <w:szCs w:val="24"/>
                                </w:rPr>
                                <w:sym w:font="Wingdings" w:char="00A8"/>
                              </w:r>
                            </w:sdtContent>
                          </w:sdt>
                        </w:sdtContent>
                      </w:sdt>
                    </w:sdtContent>
                  </w:sdt>
                </w:sdtContent>
              </w:sdt>
            </w:sdtContent>
          </w:sdt>
        </w:sdtContent>
      </w:sdt>
      <w:r>
        <w:rPr>
          <w:rFonts w:hint="eastAsia" w:ascii="仿宋_GB2312" w:eastAsia="仿宋_GB2312"/>
          <w:sz w:val="24"/>
          <w:szCs w:val="24"/>
        </w:rPr>
        <w:t>专门面向中小企业</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2"/>
        </w:sdtPr>
        <w:sdtEndPr>
          <w:rPr>
            <w:rFonts w:hint="eastAsia" w:ascii="仿宋_GB2312" w:eastAsia="仿宋_GB2312"/>
            <w:sz w:val="24"/>
            <w:szCs w:val="24"/>
          </w:rPr>
        </w:sdtEndPr>
        <w:sdtContent>
          <w:sdt>
            <w:sdtPr>
              <w:rPr>
                <w:rFonts w:hint="eastAsia" w:ascii="仿宋_GB2312" w:eastAsia="仿宋_GB2312"/>
                <w:sz w:val="24"/>
                <w:szCs w:val="24"/>
              </w:rPr>
              <w:id w:val="269264799"/>
            </w:sdtPr>
            <w:sdtEndPr>
              <w:rPr>
                <w:rFonts w:hint="eastAsia" w:ascii="仿宋_GB2312" w:eastAsia="仿宋_GB2312"/>
                <w:sz w:val="24"/>
                <w:szCs w:val="24"/>
              </w:rPr>
            </w:sdtEndPr>
            <w:sdtContent>
              <w:r>
                <w:rPr>
                  <w:rFonts w:hint="eastAsia" w:ascii="仿宋_GB2312" w:eastAsia="仿宋_GB2312"/>
                  <w:b/>
                  <w:sz w:val="24"/>
                  <w:szCs w:val="24"/>
                </w:rPr>
                <w:sym w:font="Wingdings" w:char="00A8"/>
              </w:r>
              <w:r>
                <w:rPr>
                  <w:rFonts w:hint="eastAsia" w:ascii="仿宋_GB2312" w:eastAsia="仿宋_GB2312"/>
                  <w:sz w:val="24"/>
                  <w:szCs w:val="24"/>
                </w:rPr>
                <w:t>货物全部由符合政策要求的中小企业制造，提供中小企业声明函；</w:t>
              </w:r>
            </w:sdtContent>
          </w:sdt>
        </w:sdtContent>
      </w:sdt>
    </w:p>
    <w:p>
      <w:pPr>
        <w:spacing w:line="420" w:lineRule="exact"/>
        <w:ind w:firstLine="960" w:firstLineChars="400"/>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sdt>
        <w:sdtPr>
          <w:rPr>
            <w:rFonts w:hint="eastAsia" w:ascii="仿宋_GB2312" w:eastAsia="仿宋_GB2312"/>
            <w:sz w:val="24"/>
            <w:szCs w:val="24"/>
          </w:rPr>
          <w:id w:val="15"/>
        </w:sdtPr>
        <w:sdtEndPr>
          <w:rPr>
            <w:rFonts w:hint="eastAsia" w:ascii="仿宋_GB2312" w:eastAsia="仿宋_GB2312"/>
            <w:b/>
            <w:sz w:val="24"/>
            <w:szCs w:val="24"/>
          </w:rPr>
        </w:sdtEndPr>
        <w:sdtContent>
          <w:sdt>
            <w:sdtPr>
              <w:rPr>
                <w:rFonts w:hint="eastAsia" w:ascii="仿宋_GB2312" w:eastAsia="仿宋_GB2312"/>
                <w:sz w:val="24"/>
                <w:szCs w:val="24"/>
              </w:rPr>
              <w:id w:val="613081805"/>
            </w:sdtPr>
            <w:sdtEndPr>
              <w:rPr>
                <w:rFonts w:hint="eastAsia" w:ascii="仿宋_GB2312" w:eastAsia="仿宋_GB2312"/>
                <w:b/>
                <w:sz w:val="24"/>
                <w:szCs w:val="24"/>
              </w:rPr>
            </w:sdtEndPr>
            <w:sdtContent>
              <w:sdt>
                <w:sdtPr>
                  <w:rPr>
                    <w:rFonts w:hint="eastAsia" w:ascii="仿宋_GB2312" w:eastAsia="仿宋_GB2312"/>
                    <w:sz w:val="24"/>
                    <w:szCs w:val="24"/>
                  </w:rPr>
                  <w:id w:val="156501051"/>
                </w:sdtPr>
                <w:sdtEndPr>
                  <w:rPr>
                    <w:rFonts w:hint="eastAsia" w:ascii="仿宋_GB2312" w:eastAsia="仿宋_GB2312"/>
                    <w:sz w:val="24"/>
                    <w:szCs w:val="24"/>
                  </w:rPr>
                </w:sdtEndPr>
                <w:sdtContent>
                  <w:sdt>
                    <w:sdtPr>
                      <w:rPr>
                        <w:rFonts w:hint="eastAsia" w:ascii="仿宋_GB2312" w:eastAsia="仿宋_GB2312"/>
                        <w:sz w:val="24"/>
                        <w:szCs w:val="24"/>
                      </w:rPr>
                      <w:id w:val="3267792"/>
                      <w:showingPlcHdr/>
                    </w:sdtPr>
                    <w:sdtEndPr>
                      <w:rPr>
                        <w:rFonts w:hint="eastAsia" w:ascii="仿宋_GB2312" w:eastAsia="仿宋_GB2312"/>
                        <w:b/>
                        <w:sz w:val="24"/>
                        <w:szCs w:val="24"/>
                      </w:rPr>
                    </w:sdtEndPr>
                    <w:sdtContent/>
                  </w:sdt>
                </w:sdtContent>
              </w:sdt>
            </w:sdtContent>
          </w:sdt>
        </w:sdtContent>
      </w:sdt>
      <w:r>
        <w:rPr>
          <w:rFonts w:hint="eastAsia" w:ascii="仿宋_GB2312" w:eastAsia="仿宋_GB2312"/>
          <w:sz w:val="24"/>
          <w:szCs w:val="24"/>
        </w:rPr>
        <w:t>服务全部由符合政策要求的中小企业承接，提供中小企业声明函；</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服务全部由符合政策要求的小微企业承接，提供中小企业声明函；</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0"/>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34630645"/>
        </w:sdtPr>
        <w:sdtEndPr>
          <w:rPr>
            <w:rFonts w:hint="eastAsia" w:ascii="仿宋_GB2312" w:eastAsia="仿宋_GB2312"/>
            <w:sz w:val="24"/>
            <w:szCs w:val="24"/>
          </w:rPr>
        </w:sdtEndPr>
        <w:sdtContent>
          <w:sdt>
            <w:sdtPr>
              <w:rPr>
                <w:rFonts w:hint="eastAsia" w:ascii="仿宋_GB2312" w:eastAsia="仿宋_GB2312"/>
                <w:sz w:val="24"/>
                <w:szCs w:val="24"/>
              </w:rPr>
              <w:id w:val="1648123874"/>
            </w:sdtPr>
            <w:sdtEndPr>
              <w:rPr>
                <w:rFonts w:hint="eastAsia" w:ascii="仿宋_GB2312" w:eastAsia="仿宋_GB2312"/>
                <w:sz w:val="24"/>
                <w:szCs w:val="24"/>
              </w:rPr>
            </w:sdtEndPr>
            <w:sdtContent>
              <w:sdt>
                <w:sdtPr>
                  <w:rPr>
                    <w:rFonts w:hint="eastAsia" w:ascii="仿宋_GB2312" w:eastAsia="仿宋_GB2312"/>
                    <w:sz w:val="24"/>
                    <w:szCs w:val="24"/>
                  </w:rPr>
                  <w:id w:val="23"/>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时间：/至2024年5月</w:t>
      </w:r>
      <w:r>
        <w:rPr>
          <w:rFonts w:hint="eastAsia" w:ascii="仿宋_GB2312" w:eastAsia="仿宋_GB2312"/>
          <w:sz w:val="24"/>
          <w:szCs w:val="24"/>
          <w:lang w:val="en-US" w:eastAsia="zh-CN"/>
        </w:rPr>
        <w:t>28</w:t>
      </w:r>
      <w:r>
        <w:rPr>
          <w:rFonts w:hint="eastAsia" w:ascii="仿宋_GB2312" w:eastAsia="仿宋_GB2312"/>
          <w:sz w:val="24"/>
          <w:szCs w:val="24"/>
        </w:rPr>
        <w:t>日，每天上午00:00至12:00 ，下午12:00至23:59（北京时间，线上获取法定节假日均可，线下获取文件法定节假日除外的工作时间）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提交投标文件截止时间：2024年 5月</w:t>
      </w:r>
      <w:r>
        <w:rPr>
          <w:rFonts w:hint="eastAsia" w:ascii="仿宋_GB2312" w:eastAsia="仿宋_GB2312"/>
          <w:sz w:val="24"/>
          <w:szCs w:val="24"/>
          <w:lang w:val="en-US" w:eastAsia="zh-CN"/>
        </w:rPr>
        <w:t>28</w:t>
      </w:r>
      <w:r>
        <w:rPr>
          <w:rFonts w:hint="eastAsia" w:ascii="仿宋_GB2312" w:eastAsia="仿宋_GB2312"/>
          <w:sz w:val="24"/>
          <w:szCs w:val="24"/>
        </w:rPr>
        <w:t>日9点1</w:t>
      </w:r>
      <w:r>
        <w:rPr>
          <w:rFonts w:hint="eastAsia" w:ascii="仿宋_GB2312" w:eastAsia="仿宋_GB2312"/>
          <w:sz w:val="24"/>
          <w:szCs w:val="24"/>
          <w:lang w:val="en-US" w:eastAsia="zh-CN"/>
        </w:rPr>
        <w:t>0</w:t>
      </w:r>
      <w:r>
        <w:rPr>
          <w:rFonts w:hint="eastAsia" w:ascii="仿宋_GB2312" w:eastAsia="仿宋_GB2312"/>
          <w:sz w:val="24"/>
          <w:szCs w:val="24"/>
        </w:rPr>
        <w:t>分 （北京时间）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开标时间：2024年5月 </w:t>
      </w:r>
      <w:r>
        <w:rPr>
          <w:rFonts w:hint="eastAsia" w:ascii="仿宋_GB2312" w:eastAsia="仿宋_GB2312"/>
          <w:sz w:val="24"/>
          <w:szCs w:val="24"/>
          <w:lang w:val="en-US" w:eastAsia="zh-CN"/>
        </w:rPr>
        <w:t>28</w:t>
      </w:r>
      <w:r>
        <w:rPr>
          <w:rFonts w:hint="eastAsia" w:ascii="仿宋_GB2312" w:eastAsia="仿宋_GB2312"/>
          <w:sz w:val="24"/>
          <w:szCs w:val="24"/>
        </w:rPr>
        <w:t>日9点1</w:t>
      </w:r>
      <w:r>
        <w:rPr>
          <w:rFonts w:hint="eastAsia" w:ascii="仿宋_GB2312" w:eastAsia="仿宋_GB2312"/>
          <w:sz w:val="24"/>
          <w:szCs w:val="24"/>
          <w:lang w:val="en-US" w:eastAsia="zh-CN"/>
        </w:rPr>
        <w:t>0</w:t>
      </w:r>
      <w:r>
        <w:rPr>
          <w:rFonts w:hint="eastAsia" w:ascii="仿宋_GB2312" w:eastAsia="仿宋_GB2312"/>
          <w:sz w:val="24"/>
          <w:szCs w:val="24"/>
        </w:rPr>
        <w:t xml:space="preserve">分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pPr>
        <w:spacing w:line="360" w:lineRule="auto"/>
        <w:ind w:left="479" w:leftChars="228"/>
        <w:rPr>
          <w:rFonts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pPr>
        <w:spacing w:line="360" w:lineRule="auto"/>
        <w:ind w:left="479" w:leftChars="228"/>
        <w:rPr>
          <w:rFonts w:ascii="仿宋_GB2312" w:eastAsia="仿宋_GB2312"/>
          <w:bCs/>
          <w:color w:val="FF0000"/>
          <w:sz w:val="24"/>
          <w:szCs w:val="24"/>
        </w:rPr>
      </w:pPr>
      <w:r>
        <w:rPr>
          <w:rFonts w:hint="eastAsia" w:ascii="仿宋_GB2312" w:hAnsi="仿宋_GB2312" w:eastAsia="仿宋_GB2312" w:cs="仿宋_GB2312"/>
          <w:sz w:val="24"/>
          <w:szCs w:val="24"/>
        </w:rPr>
        <w:t>名称:</w:t>
      </w:r>
      <w:r>
        <w:rPr>
          <w:rFonts w:hint="eastAsia" w:ascii="仿宋_GB2312" w:eastAsia="仿宋_GB2312"/>
          <w:bCs/>
          <w:sz w:val="24"/>
          <w:szCs w:val="24"/>
        </w:rPr>
        <w:t>品目一：舟山市应急管理局、品目二:普朱管委会应急管理局、品目三：普陀区应急管理局、品目四：岱山县应急管理局、品目五：嵊泗县应急管理局；品目六：普陀山镇人民政</w:t>
      </w:r>
      <w:r>
        <w:rPr>
          <w:rFonts w:hint="eastAsia" w:ascii="仿宋_GB2312" w:eastAsia="仿宋_GB2312"/>
          <w:bCs/>
          <w:color w:val="000000" w:themeColor="text1"/>
          <w:sz w:val="24"/>
          <w:szCs w:val="24"/>
        </w:rPr>
        <w:t>府、品目七：定海区应急管理局</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地址: 舟山市定海区新城海天大道681号</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传真:/0580-2283019</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项目联系人（询问）: 李先生</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项目联系方式（询问）：0580-2282922</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质疑联系人：黄先生</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质疑联系方式：0580-2282951</w:t>
      </w:r>
    </w:p>
    <w:p>
      <w:pPr>
        <w:spacing w:line="360" w:lineRule="auto"/>
        <w:ind w:firstLine="480"/>
        <w:rPr>
          <w:rFonts w:ascii="仿宋_GB2312" w:eastAsia="仿宋_GB2312"/>
          <w:sz w:val="24"/>
          <w:szCs w:val="24"/>
        </w:rPr>
      </w:pPr>
      <w:r>
        <w:rPr>
          <w:rFonts w:hint="eastAsia" w:ascii="仿宋_GB2312" w:eastAsia="仿宋_GB2312"/>
          <w:sz w:val="24"/>
          <w:szCs w:val="24"/>
        </w:rPr>
        <w:t>2.采购代理机构信息</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名称：舟山市公共资源交易中心</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地址：舟山市新城翁山路555号四楼（大宗商品交易中心同幢西边）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传真：/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项目联系人（询问）：陈女士</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项目联系方式（询问）： 0580-2280969</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质疑联系人：丁先生</w:t>
      </w:r>
    </w:p>
    <w:p>
      <w:pPr>
        <w:spacing w:line="420" w:lineRule="exact"/>
        <w:ind w:firstLine="48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质疑联系方式：0580-2280948　 </w:t>
      </w:r>
    </w:p>
    <w:p>
      <w:pPr>
        <w:numPr>
          <w:ilvl w:val="0"/>
          <w:numId w:val="2"/>
        </w:numPr>
        <w:spacing w:line="420" w:lineRule="exact"/>
        <w:ind w:firstLine="480"/>
        <w:contextualSpacing/>
        <w:rPr>
          <w:rFonts w:ascii="仿宋_GB2312" w:eastAsia="仿宋_GB2312"/>
          <w:sz w:val="24"/>
          <w:szCs w:val="24"/>
        </w:rPr>
      </w:pPr>
      <w:r>
        <w:rPr>
          <w:rFonts w:hint="eastAsia" w:ascii="仿宋_GB2312" w:eastAsia="仿宋_GB2312"/>
          <w:sz w:val="24"/>
          <w:szCs w:val="24"/>
        </w:rPr>
        <w:t>同级政府采购监督管理部门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名称：舟山市财政局政府采购监管处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地址：舟山市定海区新城海天大道681号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传真：0580-2282591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pPr>
        <w:spacing w:line="540" w:lineRule="exact"/>
        <w:ind w:firstLine="560"/>
        <w:contextualSpacing/>
        <w:rPr>
          <w:rFonts w:ascii="仿宋_GB2312" w:eastAsia="仿宋_GB2312"/>
          <w:sz w:val="28"/>
          <w:szCs w:val="28"/>
        </w:rPr>
      </w:pPr>
    </w:p>
    <w:p>
      <w:pPr>
        <w:ind w:firstLine="2940" w:firstLineChars="1050"/>
        <w:jc w:val="left"/>
        <w:outlineLvl w:val="0"/>
        <w:rPr>
          <w:rFonts w:ascii="仿宋_GB2312" w:hAnsi="宋体" w:eastAsia="仿宋_GB2312"/>
          <w:b/>
          <w:sz w:val="28"/>
          <w:szCs w:val="28"/>
        </w:rPr>
      </w:pPr>
      <w:r>
        <w:rPr>
          <w:rFonts w:hint="eastAsia" w:ascii="仿宋_GB2312" w:eastAsia="仿宋_GB2312"/>
          <w:sz w:val="28"/>
          <w:szCs w:val="28"/>
        </w:rPr>
        <w:br w:type="page"/>
      </w:r>
      <w:r>
        <w:rPr>
          <w:rFonts w:hint="eastAsia"/>
          <w:sz w:val="32"/>
          <w:szCs w:val="32"/>
        </w:rPr>
        <w:t>第二部分</w:t>
      </w:r>
      <w:bookmarkEnd w:id="8"/>
      <w:r>
        <w:rPr>
          <w:rFonts w:hint="eastAsia"/>
          <w:sz w:val="32"/>
          <w:szCs w:val="32"/>
        </w:rPr>
        <w:t>投标人须知</w:t>
      </w:r>
      <w:bookmarkEnd w:id="9"/>
    </w:p>
    <w:bookmarkEnd w:id="10"/>
    <w:p>
      <w:pPr>
        <w:spacing w:line="540" w:lineRule="exact"/>
        <w:contextualSpacing/>
        <w:jc w:val="center"/>
        <w:rPr>
          <w:rFonts w:ascii="仿宋_GB2312" w:eastAsia="仿宋_GB2312"/>
          <w:sz w:val="24"/>
          <w:szCs w:val="24"/>
        </w:rPr>
      </w:pPr>
      <w:bookmarkStart w:id="11" w:name="_Toc164416483"/>
      <w:bookmarkStart w:id="12" w:name="第三部分"/>
      <w:r>
        <w:rPr>
          <w:rFonts w:hint="eastAsia" w:ascii="仿宋_GB2312" w:eastAsia="仿宋_GB2312"/>
          <w:sz w:val="24"/>
          <w:szCs w:val="24"/>
        </w:rPr>
        <w:t>前附表</w:t>
      </w:r>
    </w:p>
    <w:tbl>
      <w:tblPr>
        <w:tblStyle w:val="2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2.投标报价超过招标文件中规定的每品目预算金额或者最高限价的;</w:t>
            </w:r>
          </w:p>
          <w:p>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69463700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rPr>
              <w:t xml:space="preserve"> A同意将非主、非关键性的</w:t>
            </w:r>
            <w:r>
              <w:rPr>
                <w:rFonts w:hint="eastAsia" w:ascii="仿宋_GB2312" w:eastAsia="仿宋_GB2312"/>
                <w:sz w:val="24"/>
                <w:szCs w:val="24"/>
                <w:u w:val="single"/>
              </w:rPr>
              <w:t xml:space="preserve"> 标项一：中载云台安装施工   标项二：直放站安装        </w:t>
            </w:r>
            <w:r>
              <w:rPr>
                <w:rFonts w:hint="eastAsia" w:ascii="仿宋_GB2312" w:eastAsia="仿宋_GB2312"/>
                <w:sz w:val="24"/>
                <w:szCs w:val="24"/>
              </w:rPr>
              <w:t>分包。</w:t>
            </w:r>
          </w:p>
          <w:p>
            <w:pPr>
              <w:spacing w:line="400" w:lineRule="exact"/>
              <w:contextualSpacing/>
              <w:rPr>
                <w:rFonts w:ascii="仿宋_GB2312" w:eastAsia="仿宋_GB2312"/>
                <w:sz w:val="24"/>
                <w:szCs w:val="24"/>
              </w:rPr>
            </w:pPr>
            <w:r>
              <w:rPr>
                <w:rFonts w:hint="eastAsia" w:ascii="仿宋_GB2312" w:eastAsia="仿宋_GB2312"/>
                <w:sz w:val="24"/>
                <w:szCs w:val="24"/>
              </w:rPr>
              <w:t>本项目上述允许分包的合同份额所占合同总金额小于30%。</w:t>
            </w:r>
          </w:p>
          <w:p>
            <w:pPr>
              <w:spacing w:line="400" w:lineRule="exact"/>
              <w:contextualSpacing/>
              <w:rPr>
                <w:rFonts w:ascii="仿宋_GB2312" w:eastAsia="仿宋_GB2312"/>
                <w:sz w:val="24"/>
                <w:szCs w:val="24"/>
              </w:rPr>
            </w:pPr>
            <w:sdt>
              <w:sdtPr>
                <w:rPr>
                  <w:rFonts w:hint="eastAsia" w:ascii="仿宋_GB2312" w:eastAsia="仿宋_GB2312"/>
                  <w:sz w:val="24"/>
                  <w:szCs w:val="24"/>
                </w:rPr>
                <w:id w:val="25"/>
              </w:sdtPr>
              <w:sdtEndPr>
                <w:rPr>
                  <w:rFonts w:hint="eastAsia" w:ascii="仿宋_GB2312" w:eastAsia="仿宋_GB2312"/>
                  <w:sz w:val="24"/>
                  <w:szCs w:val="24"/>
                </w:rPr>
              </w:sdtEndPr>
              <w:sdtContent>
                <w:sdt>
                  <w:sdtPr>
                    <w:rPr>
                      <w:rFonts w:hint="eastAsia" w:ascii="仿宋_GB2312" w:eastAsia="仿宋_GB2312"/>
                      <w:sz w:val="24"/>
                      <w:szCs w:val="24"/>
                    </w:rPr>
                    <w:id w:val="40571220"/>
                  </w:sdtPr>
                  <w:sdtEndPr>
                    <w:rPr>
                      <w:rFonts w:hint="eastAsia" w:ascii="仿宋_GB2312" w:eastAsia="仿宋_GB2312"/>
                      <w:sz w:val="24"/>
                      <w:szCs w:val="24"/>
                    </w:rPr>
                  </w:sdtEndPr>
                  <w:sdtContent>
                    <w:sdt>
                      <w:sdtPr>
                        <w:rPr>
                          <w:rFonts w:hint="eastAsia" w:ascii="仿宋_GB2312" w:eastAsia="仿宋_GB2312"/>
                          <w:sz w:val="24"/>
                          <w:szCs w:val="24"/>
                        </w:rPr>
                        <w:id w:val="131437253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B不同意分包。</w:t>
            </w:r>
          </w:p>
          <w:p>
            <w:pPr>
              <w:pStyle w:val="11"/>
              <w:ind w:firstLine="0" w:firstLineChars="0"/>
              <w:rPr>
                <w:rFonts w:ascii="仿宋_GB2312" w:eastAsia="仿宋_GB2312"/>
                <w:szCs w:val="24"/>
              </w:rPr>
            </w:pPr>
            <w:r>
              <w:rPr>
                <w:rFonts w:hint="eastAsia" w:ascii="仿宋_GB2312" w:eastAsia="仿宋_GB2312"/>
                <w:szCs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bookmarkStart w:id="13" w:name="PO_15528_PM040"/>
            <w:bookmarkEnd w:id="13"/>
            <w:sdt>
              <w:sdtPr>
                <w:rPr>
                  <w:rFonts w:hint="eastAsia" w:ascii="仿宋_GB2312" w:eastAsia="仿宋_GB2312"/>
                  <w:sz w:val="24"/>
                  <w:szCs w:val="24"/>
                </w:rPr>
                <w:id w:val="28"/>
              </w:sdtPr>
              <w:sdtEndPr>
                <w:rPr>
                  <w:rFonts w:hint="eastAsia" w:ascii="微软雅黑" w:hAnsi="微软雅黑" w:eastAsia="微软雅黑"/>
                  <w:color w:val="171A1D"/>
                  <w:sz w:val="18"/>
                  <w:szCs w:val="18"/>
                  <w:shd w:val="clear" w:color="auto" w:fill="FFFFFF"/>
                </w:rPr>
              </w:sdtEndPr>
              <w:sdtContent>
                <w:sdt>
                  <w:sdtPr>
                    <w:rPr>
                      <w:rFonts w:hint="eastAsia" w:ascii="仿宋_GB2312" w:eastAsia="仿宋_GB2312"/>
                      <w:sz w:val="24"/>
                      <w:szCs w:val="24"/>
                    </w:rPr>
                    <w:id w:val="346402517"/>
                  </w:sdtPr>
                  <w:sdtEndPr>
                    <w:rPr>
                      <w:rFonts w:hint="eastAsia" w:ascii="微软雅黑" w:hAnsi="微软雅黑" w:eastAsia="微软雅黑"/>
                      <w:color w:val="171A1D"/>
                      <w:sz w:val="18"/>
                      <w:szCs w:val="18"/>
                      <w:shd w:val="clear" w:color="auto" w:fill="FFFFFF"/>
                    </w:rPr>
                  </w:sdtEndPr>
                  <w:sdtContent/>
                </w:sdt>
              </w:sdtContent>
            </w:sdt>
            <w:sdt>
              <w:sdtPr>
                <w:rPr>
                  <w:rFonts w:hint="eastAsia" w:ascii="仿宋_GB2312" w:eastAsia="仿宋_GB2312"/>
                  <w:sz w:val="24"/>
                  <w:szCs w:val="24"/>
                </w:rPr>
                <w:id w:val="100"/>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A不组织。</w:t>
            </w:r>
          </w:p>
          <w:p>
            <w:pPr>
              <w:spacing w:line="500" w:lineRule="exact"/>
              <w:jc w:val="left"/>
              <w:rPr>
                <w:rFonts w:ascii="仿宋_GB2312" w:eastAsia="仿宋_GB2312"/>
                <w:sz w:val="24"/>
                <w:szCs w:val="24"/>
              </w:rPr>
            </w:pPr>
            <w:sdt>
              <w:sdtPr>
                <w:rPr>
                  <w:rFonts w:hint="eastAsia" w:ascii="仿宋_GB2312" w:eastAsia="仿宋_GB2312"/>
                  <w:sz w:val="24"/>
                  <w:szCs w:val="24"/>
                </w:rPr>
                <w:id w:val="10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46402516"/>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A不要求提供。</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snapToGrid w:val="0"/>
                <w:kern w:val="28"/>
                <w:sz w:val="24"/>
                <w:szCs w:val="24"/>
              </w:rPr>
              <w:t>样品：</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napToGrid w:val="0"/>
                <w:kern w:val="28"/>
                <w:sz w:val="24"/>
                <w:szCs w:val="24"/>
              </w:rPr>
              <w:t>样品制作的标准和要求：</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（3）样品的评审方法以及评审标准</w:t>
            </w:r>
            <w:r>
              <w:rPr>
                <w:rFonts w:hint="eastAsia" w:ascii="仿宋_GB2312" w:hAnsi="宋体" w:eastAsia="仿宋_GB2312" w:cs="宋体"/>
                <w:snapToGrid w:val="0"/>
                <w:kern w:val="28"/>
                <w:sz w:val="24"/>
                <w:szCs w:val="24"/>
              </w:rPr>
              <w:t>：详见</w:t>
            </w:r>
            <w:r>
              <w:rPr>
                <w:rFonts w:hint="eastAsia" w:ascii="仿宋_GB2312" w:hAnsi="宋体" w:eastAsia="仿宋_GB2312" w:cs="宋体"/>
                <w:sz w:val="24"/>
                <w:szCs w:val="24"/>
                <w:u w:val="single"/>
              </w:rPr>
              <w:t>评标办法</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（4）是否需要随样品提交检测报告：</w:t>
            </w:r>
            <w:sdt>
              <w:sdtPr>
                <w:rPr>
                  <w:rFonts w:hint="eastAsia" w:ascii="仿宋_GB2312" w:hAnsi="宋体" w:eastAsia="仿宋_GB2312" w:cs="宋体"/>
                  <w:kern w:val="0"/>
                  <w:sz w:val="24"/>
                  <w:szCs w:val="24"/>
                </w:rPr>
                <w:id w:val="1303421454"/>
              </w:sdtPr>
              <w:sdtEndPr>
                <w:rPr>
                  <w:rFonts w:hint="eastAsia" w:ascii="仿宋_GB2312" w:hAnsi="宋体" w:eastAsia="仿宋_GB2312" w:cs="宋体"/>
                  <w:kern w:val="0"/>
                  <w:sz w:val="24"/>
                  <w:szCs w:val="24"/>
                </w:rPr>
              </w:sdtEndPr>
              <w:sdtContent>
                <w:r>
                  <w:rPr>
                    <w:rFonts w:hint="eastAsia" w:ascii="仿宋_GB2312" w:hAnsi="MS Gothic" w:eastAsia="MS Gothic" w:cs="宋体"/>
                    <w:kern w:val="0"/>
                    <w:sz w:val="24"/>
                    <w:szCs w:val="24"/>
                  </w:rPr>
                  <w:t>☐</w:t>
                </w:r>
              </w:sdtContent>
            </w:sdt>
            <w:r>
              <w:rPr>
                <w:rFonts w:hint="eastAsia" w:ascii="仿宋_GB2312" w:hAnsi="宋体" w:eastAsia="仿宋_GB2312" w:cs="宋体"/>
                <w:kern w:val="0"/>
                <w:sz w:val="24"/>
                <w:szCs w:val="24"/>
              </w:rPr>
              <w:t>否；</w:t>
            </w:r>
            <w:sdt>
              <w:sdtPr>
                <w:rPr>
                  <w:rFonts w:hint="eastAsia" w:ascii="仿宋_GB2312" w:hAnsi="宋体" w:eastAsia="仿宋_GB2312" w:cs="宋体"/>
                  <w:kern w:val="0"/>
                  <w:sz w:val="24"/>
                  <w:szCs w:val="24"/>
                </w:rPr>
                <w:id w:val="1621728433"/>
              </w:sdtPr>
              <w:sdtEndPr>
                <w:rPr>
                  <w:rFonts w:hint="eastAsia" w:ascii="仿宋_GB2312" w:hAnsi="宋体" w:eastAsia="仿宋_GB2312" w:cs="宋体"/>
                  <w:kern w:val="0"/>
                  <w:sz w:val="24"/>
                  <w:szCs w:val="24"/>
                </w:rPr>
              </w:sdtEndPr>
              <w:sdtContent>
                <w:r>
                  <w:rPr>
                    <w:rFonts w:hint="eastAsia" w:ascii="仿宋_GB2312" w:hAnsi="MS Mincho" w:eastAsia="MS Mincho" w:cs="MS Mincho"/>
                    <w:kern w:val="0"/>
                    <w:sz w:val="24"/>
                    <w:szCs w:val="24"/>
                  </w:rPr>
                  <w:t>☐</w:t>
                </w:r>
              </w:sdtContent>
            </w:sdt>
            <w:r>
              <w:rPr>
                <w:rFonts w:hint="eastAsia" w:ascii="仿宋_GB2312" w:hAnsi="宋体" w:eastAsia="仿宋_GB2312" w:cs="宋体"/>
                <w:kern w:val="0"/>
                <w:sz w:val="24"/>
                <w:szCs w:val="24"/>
              </w:rPr>
              <w:t>是，检测机构的要求</w:t>
            </w:r>
            <w:r>
              <w:rPr>
                <w:rFonts w:hint="eastAsia" w:ascii="仿宋_GB2312" w:hAnsi="宋体" w:eastAsia="仿宋_GB2312" w:cs="宋体"/>
                <w:sz w:val="24"/>
                <w:szCs w:val="24"/>
              </w:rPr>
              <w:t>：</w:t>
            </w:r>
            <w:r>
              <w:rPr>
                <w:rFonts w:hint="eastAsia" w:ascii="仿宋_GB2312" w:hAnsi="宋体" w:eastAsia="仿宋_GB2312" w:cs="宋体"/>
                <w:kern w:val="0"/>
                <w:sz w:val="24"/>
                <w:szCs w:val="24"/>
              </w:rPr>
              <w:t>；检测内容</w:t>
            </w:r>
            <w:r>
              <w:rPr>
                <w:rFonts w:hint="eastAsia" w:ascii="仿宋_GB2312" w:hAnsi="宋体" w:eastAsia="仿宋_GB2312" w:cs="宋体"/>
                <w:sz w:val="24"/>
                <w:szCs w:val="24"/>
              </w:rPr>
              <w:t>：</w:t>
            </w:r>
            <w:r>
              <w:rPr>
                <w:rFonts w:hint="eastAsia" w:ascii="仿宋_GB2312" w:hAnsi="宋体" w:eastAsia="仿宋_GB2312" w:cs="宋体"/>
                <w:kern w:val="0"/>
                <w:sz w:val="24"/>
                <w:szCs w:val="24"/>
              </w:rPr>
              <w:t>。</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（5）提供样品的时间：</w:t>
            </w:r>
            <w:r>
              <w:rPr>
                <w:rFonts w:hint="eastAsia" w:ascii="仿宋_GB2312" w:hAnsi="宋体" w:eastAsia="仿宋_GB2312" w:cs="宋体"/>
                <w:kern w:val="0"/>
                <w:sz w:val="24"/>
                <w:szCs w:val="24"/>
              </w:rPr>
              <w:t>；地点：；联系人</w:t>
            </w:r>
            <w:r>
              <w:rPr>
                <w:rFonts w:hint="eastAsia" w:ascii="仿宋_GB2312" w:hAnsi="宋体" w:eastAsia="仿宋_GB2312" w:cs="宋体"/>
                <w:sz w:val="24"/>
                <w:szCs w:val="24"/>
              </w:rPr>
              <w:t>：，</w:t>
            </w:r>
            <w:r>
              <w:rPr>
                <w:rFonts w:hint="eastAsia" w:ascii="仿宋_GB2312" w:hAnsi="宋体" w:eastAsia="仿宋_GB2312" w:cs="宋体"/>
                <w:kern w:val="28"/>
                <w:sz w:val="24"/>
                <w:szCs w:val="24"/>
              </w:rPr>
              <w:t>联系电话：</w:t>
            </w:r>
            <w:r>
              <w:rPr>
                <w:rFonts w:hint="eastAsia" w:ascii="仿宋_GB2312" w:hAnsi="宋体" w:eastAsia="仿宋_GB2312" w:cs="宋体"/>
                <w:sz w:val="24"/>
                <w:szCs w:val="24"/>
              </w:rPr>
              <w:t>。请投标人在上述时间内提供样品并按规定位置安装完毕。超过截止时间的，采购人或采购代理机构将不予接收，并将清场并封闭样品现场。</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contextualSpacing/>
              <w:rPr>
                <w:rFonts w:ascii="仿宋_GB2312" w:eastAsia="仿宋_GB2312"/>
                <w:sz w:val="24"/>
                <w:szCs w:val="24"/>
              </w:rPr>
            </w:pPr>
            <w:r>
              <w:rPr>
                <w:rFonts w:hint="eastAsia" w:ascii="仿宋_GB2312" w:hAnsi="宋体" w:eastAsia="仿宋_GB2312" w:cs="宋体"/>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highlight w:val="yellow"/>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5"/>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sdt>
                      <w:sdtPr>
                        <w:rPr>
                          <w:rFonts w:hint="eastAsia" w:ascii="仿宋_GB2312" w:eastAsia="仿宋_GB2312"/>
                          <w:sz w:val="24"/>
                          <w:szCs w:val="24"/>
                        </w:rPr>
                        <w:id w:val="37"/>
                      </w:sdtPr>
                      <w:sdtEndPr>
                        <w:rPr>
                          <w:rFonts w:hint="eastAsia" w:ascii="仿宋_GB2312" w:eastAsia="仿宋_GB2312"/>
                          <w:sz w:val="24"/>
                          <w:szCs w:val="24"/>
                        </w:rPr>
                      </w:sdtEndPr>
                      <w:sdtContent>
                        <w:sdt>
                          <w:sdtPr>
                            <w:rPr>
                              <w:rFonts w:hint="eastAsia" w:ascii="仿宋_GB2312" w:eastAsia="仿宋_GB2312"/>
                              <w:sz w:val="24"/>
                              <w:szCs w:val="24"/>
                            </w:rPr>
                            <w:id w:val="114596229"/>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40"/>
                  </w:sdtPr>
                  <w:sdtEndPr>
                    <w:rPr>
                      <w:rFonts w:hint="eastAsia" w:ascii="仿宋_GB2312" w:eastAsia="仿宋_GB2312"/>
                      <w:sz w:val="24"/>
                      <w:szCs w:val="24"/>
                    </w:rPr>
                  </w:sdtEndPr>
                  <w:sdtContent>
                    <w:sdt>
                      <w:sdtPr>
                        <w:rPr>
                          <w:rFonts w:hint="eastAsia" w:ascii="仿宋_GB2312" w:eastAsia="仿宋_GB2312"/>
                          <w:sz w:val="24"/>
                          <w:szCs w:val="24"/>
                        </w:rPr>
                        <w:id w:val="41"/>
                        <w:showingPlcHdr/>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sdtContent>
            </w:sdt>
            <w:r>
              <w:rPr>
                <w:rFonts w:hint="eastAsia" w:ascii="仿宋_GB2312" w:eastAsia="仿宋_GB2312"/>
                <w:sz w:val="24"/>
                <w:szCs w:val="24"/>
              </w:rPr>
              <w:t>B组织。</w:t>
            </w:r>
          </w:p>
          <w:p>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20（编制时可根据项目情况进行调整）</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3（编制时可根据项目情况进行调整）</w:t>
            </w:r>
            <w:r>
              <w:rPr>
                <w:rFonts w:hint="eastAsia" w:ascii="仿宋_GB2312" w:eastAsia="仿宋_GB2312"/>
                <w:sz w:val="24"/>
                <w:szCs w:val="24"/>
              </w:rPr>
              <w:t>人。讲解演示结束后按要求解答评标委员会提问。</w:t>
            </w:r>
          </w:p>
          <w:p>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pPr>
              <w:spacing w:line="400" w:lineRule="exact"/>
              <w:contextualSpacing/>
              <w:rPr>
                <w:rFonts w:ascii="仿宋_GB2312" w:eastAsia="仿宋_GB2312"/>
                <w:sz w:val="24"/>
                <w:szCs w:val="24"/>
              </w:rPr>
            </w:pPr>
            <w:sdt>
              <w:sdtPr>
                <w:rPr>
                  <w:rFonts w:hint="eastAsia" w:ascii="仿宋_GB2312" w:eastAsia="仿宋_GB2312"/>
                  <w:sz w:val="24"/>
                  <w:szCs w:val="24"/>
                </w:rPr>
                <w:id w:val="42"/>
              </w:sdtPr>
              <w:sdtEndPr>
                <w:rPr>
                  <w:rFonts w:hint="eastAsia" w:ascii="仿宋_GB2312" w:eastAsia="仿宋_GB2312"/>
                  <w:sz w:val="24"/>
                  <w:szCs w:val="24"/>
                </w:rPr>
              </w:sdtEndPr>
              <w:sdtContent>
                <w:sdt>
                  <w:sdtPr>
                    <w:rPr>
                      <w:rFonts w:hint="eastAsia" w:ascii="仿宋_GB2312" w:eastAsia="仿宋_GB2312"/>
                      <w:sz w:val="24"/>
                      <w:szCs w:val="24"/>
                    </w:rPr>
                    <w:id w:val="114596244"/>
                  </w:sdtPr>
                  <w:sdtEndPr>
                    <w:rPr>
                      <w:rFonts w:hint="eastAsia" w:ascii="仿宋_GB2312" w:eastAsia="仿宋_GB2312"/>
                      <w:sz w:val="24"/>
                      <w:szCs w:val="24"/>
                    </w:rPr>
                  </w:sdtEndPr>
                  <w:sdtContent>
                    <w:sdt>
                      <w:sdtPr>
                        <w:rPr>
                          <w:rFonts w:hint="eastAsia" w:ascii="仿宋_GB2312" w:eastAsia="仿宋_GB2312"/>
                          <w:sz w:val="24"/>
                          <w:szCs w:val="24"/>
                        </w:rPr>
                        <w:id w:val="114"/>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sdtContent>
            </w:sdt>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pPr>
              <w:spacing w:line="400" w:lineRule="exact"/>
              <w:contextualSpacing/>
              <w:rPr>
                <w:rFonts w:ascii="仿宋_GB2312" w:eastAsia="仿宋_GB2312"/>
                <w:sz w:val="24"/>
                <w:szCs w:val="24"/>
              </w:rPr>
            </w:pPr>
            <w:sdt>
              <w:sdtPr>
                <w:rPr>
                  <w:rFonts w:hint="eastAsia" w:ascii="仿宋_GB2312" w:eastAsia="仿宋_GB2312"/>
                  <w:sz w:val="24"/>
                  <w:szCs w:val="24"/>
                </w:rPr>
                <w:id w:val="4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45"/>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本项目不允许采购进口产品。</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
              <w:ind w:firstLine="0" w:firstLineChars="0"/>
              <w:rPr>
                <w:rFonts w:ascii="仿宋_GB2312" w:eastAsia="仿宋_GB2312"/>
                <w:szCs w:val="24"/>
              </w:rPr>
            </w:pPr>
            <w:r>
              <w:rPr>
                <w:rFonts w:hint="eastAsia" w:ascii="仿宋_GB2312" w:eastAsia="仿宋_GB2312"/>
                <w:szCs w:val="24"/>
              </w:rPr>
              <w:t>货物类，单一产品或核心产品为：</w:t>
            </w:r>
            <w:r>
              <w:rPr>
                <w:rFonts w:hint="eastAsia" w:ascii="仿宋_GB2312" w:eastAsia="仿宋_GB2312"/>
                <w:szCs w:val="24"/>
                <w:u w:val="single"/>
              </w:rPr>
              <w:t xml:space="preserve">标项一：热成像中载云台  标项二：网络型可编程中央控制主机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szCs w:val="24"/>
              </w:rPr>
            </w:pPr>
            <w:r>
              <w:rPr>
                <w:rFonts w:hint="eastAsia" w:ascii="仿宋_GB2312" w:hAnsi="仿宋" w:eastAsia="仿宋_GB2312"/>
                <w:sz w:val="24"/>
                <w:szCs w:val="24"/>
              </w:rPr>
              <w:t>采购标的： 详见采购需求 ，所属行业：详见采购需求。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eastAsia="仿宋_GB2312"/>
                <w:sz w:val="24"/>
                <w:szCs w:val="24"/>
                <w:lang w:val="zh-CN"/>
              </w:rPr>
            </w:pPr>
            <w:r>
              <w:rPr>
                <w:rFonts w:hint="eastAsia" w:ascii="仿宋_GB2312" w:eastAsia="仿宋_GB2312"/>
                <w:sz w:val="24"/>
                <w:szCs w:val="24"/>
              </w:rPr>
              <w:sym w:font="Wingdings" w:char="00FE"/>
            </w:r>
            <w:r>
              <w:rPr>
                <w:rFonts w:hint="eastAsia" w:ascii="仿宋_GB2312"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仿宋_GB2312" w:eastAsia="仿宋_GB2312"/>
                  <w:sz w:val="24"/>
                  <w:szCs w:val="24"/>
                </w:rPr>
                <w:id w:val="1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sdt>
              <w:sdtPr>
                <w:rPr>
                  <w:rFonts w:hint="eastAsia" w:ascii="仿宋_GB2312" w:eastAsia="仿宋_GB2312"/>
                  <w:sz w:val="24"/>
                  <w:szCs w:val="24"/>
                </w:rPr>
                <w:id w:val="121646487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rPr>
              <w:t>▲</w:t>
            </w:r>
            <w:r>
              <w:rPr>
                <w:rFonts w:hint="eastAsia" w:ascii="仿宋_GB2312" w:eastAsia="仿宋_GB2312"/>
                <w:sz w:val="24"/>
                <w:szCs w:val="24"/>
                <w:lang w:val="zh-CN"/>
              </w:rPr>
              <w:t>对</w:t>
            </w:r>
            <w:r>
              <w:rPr>
                <w:rFonts w:hint="eastAsia" w:ascii="仿宋_GB2312" w:eastAsia="仿宋_GB2312"/>
                <w:sz w:val="24"/>
                <w:szCs w:val="24"/>
                <w:u w:val="single"/>
              </w:rPr>
              <w:t xml:space="preserve">     标项二：信创操作电脑  </w:t>
            </w:r>
            <w:r>
              <w:rPr>
                <w:rFonts w:hint="eastAsia" w:ascii="仿宋_GB2312" w:eastAsia="仿宋_GB2312"/>
                <w:sz w:val="24"/>
                <w:szCs w:val="24"/>
                <w:lang w:val="zh-CN"/>
              </w:rPr>
              <w:t>实施政府强制采购，投标人</w:t>
            </w:r>
            <w:r>
              <w:rPr>
                <w:rFonts w:hint="eastAsia" w:ascii="仿宋_GB2312" w:eastAsia="仿宋_GB2312"/>
                <w:sz w:val="24"/>
                <w:szCs w:val="24"/>
              </w:rPr>
              <w:t>就</w:t>
            </w:r>
            <w:r>
              <w:rPr>
                <w:rFonts w:hint="eastAsia" w:ascii="仿宋_GB2312" w:eastAsia="仿宋_GB2312"/>
                <w:sz w:val="24"/>
                <w:szCs w:val="24"/>
                <w:lang w:val="zh-CN"/>
              </w:rPr>
              <w:t>相应的投标产品未</w:t>
            </w:r>
            <w:r>
              <w:rPr>
                <w:rFonts w:hint="eastAsia" w:ascii="仿宋_GB2312" w:eastAsia="仿宋_GB2312"/>
                <w:sz w:val="24"/>
                <w:szCs w:val="24"/>
              </w:rPr>
              <w:t>提供</w:t>
            </w:r>
            <w:r>
              <w:rPr>
                <w:rFonts w:hint="eastAsia" w:ascii="仿宋_GB2312" w:eastAsia="仿宋_GB2312"/>
                <w:sz w:val="24"/>
                <w:szCs w:val="24"/>
                <w:lang w:val="zh-CN"/>
              </w:rPr>
              <w:t>国家确定的认证机构出具的、处于有效期之内的节能产品认证证书的，投标无效。</w:t>
            </w:r>
          </w:p>
          <w:p>
            <w:pPr>
              <w:spacing w:line="360" w:lineRule="auto"/>
              <w:ind w:firstLine="480" w:firstLineChars="200"/>
              <w:rPr>
                <w:rFonts w:ascii="仿宋_GB2312" w:eastAsia="仿宋_GB2312"/>
                <w:sz w:val="24"/>
                <w:szCs w:val="24"/>
                <w:lang w:val="zh-CN"/>
              </w:rPr>
            </w:pPr>
            <w:sdt>
              <w:sdtPr>
                <w:rPr>
                  <w:rFonts w:hint="eastAsia" w:ascii="仿宋_GB2312" w:eastAsia="仿宋_GB2312"/>
                  <w:sz w:val="24"/>
                  <w:szCs w:val="24"/>
                </w:rPr>
                <w:id w:val="183178446"/>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lang w:val="zh-CN"/>
              </w:rPr>
              <w:t>依据国家确定的认证机构出具的、处于有效期之内的环境标志产品认证证书，对获得证书的</w:t>
            </w:r>
            <w:r>
              <w:rPr>
                <w:rFonts w:hint="eastAsia" w:ascii="仿宋_GB2312" w:eastAsia="仿宋_GB2312"/>
                <w:sz w:val="24"/>
                <w:szCs w:val="24"/>
                <w:u w:val="single"/>
              </w:rPr>
              <w:t xml:space="preserve">  标项二：信创操作电脑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p>
          <w:p>
            <w:pPr>
              <w:spacing w:line="40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59426652"/>
              </w:sdtPr>
              <w:sdtEndPr>
                <w:rPr>
                  <w:rFonts w:hint="eastAsia" w:ascii="仿宋_GB2312" w:eastAsia="仿宋_GB2312"/>
                  <w:sz w:val="24"/>
                  <w:szCs w:val="24"/>
                </w:rPr>
              </w:sdtEndPr>
              <w:sdtContent>
                <w:sdt>
                  <w:sdtPr>
                    <w:rPr>
                      <w:rFonts w:hint="eastAsia" w:ascii="仿宋_GB2312" w:eastAsia="仿宋_GB2312"/>
                      <w:sz w:val="24"/>
                      <w:szCs w:val="24"/>
                    </w:rPr>
                    <w:id w:val="2084333943"/>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r>
              <w:rPr>
                <w:rFonts w:hint="eastAsia" w:ascii="仿宋_GB2312" w:eastAsia="仿宋_GB2312"/>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pStyle w:val="3"/>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是否需要履约保证金: </w:t>
            </w:r>
            <w:sdt>
              <w:sdtPr>
                <w:rPr>
                  <w:rFonts w:hint="eastAsia" w:ascii="仿宋_GB2312" w:eastAsia="仿宋_GB2312"/>
                  <w:sz w:val="24"/>
                  <w:szCs w:val="24"/>
                </w:rPr>
                <w:id w:val="185291820"/>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504719723"/>
              </w:sdtPr>
              <w:sdtEndPr>
                <w:rPr>
                  <w:rFonts w:hint="eastAsia" w:ascii="仿宋_GB2312" w:eastAsia="仿宋_GB2312"/>
                  <w:sz w:val="24"/>
                  <w:szCs w:val="24"/>
                </w:rPr>
              </w:sdtEndPr>
              <w:sdtContent>
                <w:r>
                  <w:rPr>
                    <w:rFonts w:hint="eastAsia" w:ascii="仿宋_GB2312" w:eastAsia="仿宋_GB2312"/>
                    <w:sz w:val="24"/>
                    <w:szCs w:val="24"/>
                  </w:rPr>
                  <w:t>是</w:t>
                </w:r>
                <w:sdt>
                  <w:sdtPr>
                    <w:rPr>
                      <w:rFonts w:hint="eastAsia" w:ascii="仿宋_GB2312" w:eastAsia="仿宋_GB2312"/>
                      <w:sz w:val="24"/>
                      <w:szCs w:val="24"/>
                    </w:rPr>
                    <w:id w:val="504719725"/>
                  </w:sdtPr>
                  <w:sdtEndPr>
                    <w:rPr>
                      <w:rFonts w:hint="eastAsia" w:ascii="仿宋_GB2312" w:hAnsi="MS Mincho" w:eastAsia="仿宋_GB2312" w:cs="MS Mincho"/>
                      <w:sz w:val="24"/>
                      <w:szCs w:val="24"/>
                    </w:rPr>
                  </w:sdtEndPr>
                  <w:sdtContent>
                    <w:sdt>
                      <w:sdtPr>
                        <w:rPr>
                          <w:rFonts w:hint="eastAsia" w:ascii="仿宋_GB2312" w:eastAsia="仿宋_GB2312"/>
                          <w:sz w:val="24"/>
                          <w:szCs w:val="24"/>
                        </w:rPr>
                        <w:id w:val="366925715"/>
                      </w:sdtPr>
                      <w:sdtEndPr>
                        <w:rPr>
                          <w:rFonts w:hint="eastAsia" w:ascii="仿宋_GB2312" w:eastAsia="仿宋_GB2312"/>
                          <w:sz w:val="24"/>
                          <w:szCs w:val="24"/>
                        </w:rPr>
                      </w:sdtEndPr>
                      <w:sdtContent>
                        <w:sdt>
                          <w:sdtPr>
                            <w:rPr>
                              <w:rFonts w:hint="eastAsia" w:ascii="仿宋_GB2312" w:eastAsia="仿宋_GB2312"/>
                              <w:sz w:val="24"/>
                              <w:szCs w:val="24"/>
                            </w:rPr>
                            <w:id w:val="5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否</w:t>
                </w:r>
                <w:bookmarkStart w:id="410" w:name="_GoBack"/>
                <w:bookmarkEnd w:id="410"/>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联合体投标的，联合体各方分别提供与联合体协议中规定的分工内容相应的业绩证明材料，业绩数量以提供材料较少的一方为准。</w:t>
            </w:r>
          </w:p>
          <w:p>
            <w:pPr>
              <w:spacing w:line="400" w:lineRule="exact"/>
              <w:rPr>
                <w:rFonts w:ascii="仿宋_GB2312" w:eastAsia="仿宋_GB2312"/>
                <w:sz w:val="24"/>
                <w:szCs w:val="24"/>
              </w:rPr>
            </w:pPr>
            <w:sdt>
              <w:sdtPr>
                <w:rPr>
                  <w:rFonts w:hint="eastAsia" w:ascii="仿宋_GB2312" w:eastAsia="仿宋_GB2312"/>
                  <w:sz w:val="24"/>
                  <w:szCs w:val="24"/>
                </w:rPr>
                <w:id w:val="5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联合体投标的，联合体各方均需按招标文件第四部分评标办法提供资信证明文件，否则视为不符合相关要求。</w:t>
            </w:r>
          </w:p>
          <w:p>
            <w:pPr>
              <w:pStyle w:val="3"/>
              <w:spacing w:line="400" w:lineRule="exact"/>
              <w:rPr>
                <w:rFonts w:ascii="仿宋_GB2312" w:eastAsia="仿宋_GB2312"/>
                <w:sz w:val="24"/>
                <w:szCs w:val="24"/>
              </w:rPr>
            </w:pPr>
            <w:sdt>
              <w:sdtPr>
                <w:rPr>
                  <w:rFonts w:hint="eastAsia" w:ascii="仿宋_GB2312" w:eastAsia="仿宋_GB2312"/>
                  <w:sz w:val="24"/>
                  <w:szCs w:val="24"/>
                </w:rPr>
                <w:id w:val="52"/>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联合体投标的，联合体中有一方或者联合体成员根据分工按招标文件第四部分评标办法提供资信证明文件的，视为符合了相关要求。</w:t>
            </w:r>
          </w:p>
        </w:tc>
      </w:tr>
    </w:tbl>
    <w:p>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一、总则</w:t>
      </w:r>
    </w:p>
    <w:p>
      <w:pPr>
        <w:tabs>
          <w:tab w:val="left" w:pos="8001"/>
        </w:tabs>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1.适用范围</w:t>
      </w:r>
      <w:r>
        <w:rPr>
          <w:rFonts w:hint="eastAsia" w:ascii="仿宋_GB2312" w:eastAsia="仿宋_GB2312"/>
          <w:sz w:val="24"/>
          <w:szCs w:val="24"/>
        </w:rPr>
        <w:tab/>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“▲”系指实质性要求条款，“</w:t>
      </w:r>
      <w:r>
        <w:rPr>
          <w:rFonts w:hint="eastAsia" w:ascii="仿宋_GB2312" w:hAnsi="仿宋_GB2312" w:eastAsia="仿宋_GB2312" w:cs="仿宋_GB2312"/>
          <w:sz w:val="24"/>
          <w:szCs w:val="24"/>
        </w:rPr>
        <w:t>★</w:t>
      </w:r>
      <w:r>
        <w:rPr>
          <w:rFonts w:hint="eastAsia" w:ascii="仿宋_GB2312" w:eastAsia="仿宋_GB2312"/>
          <w:sz w:val="24"/>
          <w:szCs w:val="24"/>
        </w:rPr>
        <w:t>”系产品采购项目中单一产品或核心产品，“</w:t>
      </w:r>
      <w:sdt>
        <w:sdtPr>
          <w:rPr>
            <w:rFonts w:hint="eastAsia" w:ascii="仿宋_GB2312" w:eastAsia="仿宋_GB2312"/>
            <w:sz w:val="24"/>
            <w:szCs w:val="24"/>
          </w:rPr>
          <w:id w:val="512970236"/>
        </w:sdtPr>
        <w:sdtEndPr>
          <w:rPr>
            <w:rFonts w:hint="eastAsia" w:ascii="仿宋_GB2312" w:eastAsia="仿宋_GB2312"/>
            <w:sz w:val="24"/>
            <w:szCs w:val="24"/>
          </w:rPr>
        </w:sdtEndPr>
        <w:sdtContent>
          <w:sdt>
            <w:sdtPr>
              <w:rPr>
                <w:rFonts w:hint="eastAsia" w:ascii="仿宋_GB2312" w:eastAsia="仿宋_GB2312"/>
                <w:sz w:val="24"/>
                <w:szCs w:val="24"/>
              </w:rPr>
              <w:id w:val="54"/>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系指不适用本项目的要求。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eastAsia="仿宋_GB2312"/>
          <w:b/>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spacing w:line="420" w:lineRule="exact"/>
        <w:rPr>
          <w:rFonts w:ascii="仿宋_GB2312" w:eastAsia="仿宋_GB2312"/>
          <w:sz w:val="24"/>
          <w:szCs w:val="24"/>
        </w:rPr>
      </w:pPr>
      <w:r>
        <w:rPr>
          <w:rFonts w:hint="eastAsia" w:ascii="仿宋_GB2312" w:eastAsia="仿宋_GB2312"/>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3.3支持中小企业发展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3.3.2.3在服务采购项目中，服务由中小企业承接，即提供服务的人员为中小企业依照《中华人民共和国劳动合同法》订立劳动合同的从业人员。</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w:t>
      </w:r>
      <w:r>
        <w:rPr>
          <w:rFonts w:hint="eastAsia" w:ascii="仿宋_GB2312" w:eastAsia="仿宋_GB2312"/>
          <w:sz w:val="24"/>
          <w:szCs w:val="24"/>
          <w:u w:val="single"/>
        </w:rPr>
        <w:t>10%</w:t>
      </w:r>
      <w:r>
        <w:rPr>
          <w:rFonts w:hint="eastAsia" w:ascii="仿宋_GB2312"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eastAsia="仿宋_GB2312"/>
          <w:sz w:val="24"/>
          <w:szCs w:val="24"/>
          <w:u w:val="single"/>
        </w:rPr>
        <w:t>4%</w:t>
      </w:r>
      <w:r>
        <w:rPr>
          <w:rFonts w:hint="eastAsia" w:ascii="仿宋_GB2312"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420" w:lineRule="exact"/>
        <w:ind w:firstLine="482"/>
        <w:contextualSpacing/>
        <w:rPr>
          <w:rFonts w:ascii="仿宋_GB2312" w:eastAsia="仿宋_GB2312"/>
          <w:b/>
          <w:sz w:val="24"/>
          <w:szCs w:val="24"/>
        </w:rPr>
      </w:pPr>
      <w:r>
        <w:rPr>
          <w:rFonts w:hint="eastAsia" w:ascii="仿宋_GB2312" w:eastAsia="仿宋_GB2312"/>
          <w:b/>
          <w:sz w:val="24"/>
          <w:szCs w:val="24"/>
        </w:rPr>
        <w:t xml:space="preserve">    三、投标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11.1.2落实政府采购政策需满足的资格要求（如果有）;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11.1.3本项目的特定资格要求（如果有）；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11.1.4联合协议（如果有）；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11.1.5分包意向协议（如果有）。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11.2.2授权委托书或法定代表人（单位负责人）身份证明；</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11.2.7评标标准相应的商务技术资料；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11.2.8投标标的清单（如果有）；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11.2.9商务技术偏离表（如果有）；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11.2.10政府采购供应商廉洁自律承诺书。</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11.3.3详细阐述关于不影响产品质量或者诚信履约的具体原因（如果报价低于项目预算50%的）。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12.投标文件的编制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pPr>
        <w:spacing w:line="420" w:lineRule="exact"/>
        <w:ind w:firstLine="480" w:firstLineChars="200"/>
        <w:contextualSpacing/>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22.确定中标供应商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23.中标通知与中标结果公告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5" w:name="_Hlt68403820"/>
      <w:bookmarkEnd w:id="15"/>
      <w:bookmarkStart w:id="16" w:name="_Hlt68073093"/>
      <w:bookmarkEnd w:id="16"/>
      <w:bookmarkStart w:id="17" w:name="_Hlt75236011"/>
      <w:bookmarkEnd w:id="17"/>
      <w:bookmarkStart w:id="18" w:name="_Hlt74707468"/>
      <w:bookmarkEnd w:id="18"/>
      <w:bookmarkStart w:id="19" w:name="_Hlt68072990"/>
      <w:bookmarkEnd w:id="19"/>
      <w:bookmarkStart w:id="20" w:name="_Hlt75236101"/>
      <w:bookmarkEnd w:id="20"/>
      <w:bookmarkStart w:id="21" w:name="_Hlt68072998"/>
      <w:bookmarkEnd w:id="21"/>
      <w:bookmarkStart w:id="22" w:name="_Hlt75236290"/>
      <w:bookmarkEnd w:id="22"/>
      <w:bookmarkStart w:id="23" w:name="_Hlt74730295"/>
      <w:bookmarkEnd w:id="23"/>
      <w:bookmarkStart w:id="24" w:name="_Hlt68057669"/>
      <w:bookmarkEnd w:id="24"/>
      <w:bookmarkStart w:id="25" w:name="_Hlt74729768"/>
      <w:bookmarkEnd w:id="25"/>
      <w:bookmarkStart w:id="26" w:name="_Hlt74714665"/>
      <w:bookmarkEnd w:id="26"/>
    </w:p>
    <w:bookmarkEnd w:id="11"/>
    <w:bookmarkEnd w:id="12"/>
    <w:p>
      <w:pPr>
        <w:numPr>
          <w:ilvl w:val="0"/>
          <w:numId w:val="3"/>
        </w:numPr>
        <w:ind w:firstLine="2731" w:firstLineChars="850"/>
        <w:jc w:val="left"/>
        <w:outlineLvl w:val="0"/>
        <w:rPr>
          <w:b/>
          <w:sz w:val="32"/>
          <w:szCs w:val="32"/>
        </w:rPr>
      </w:pPr>
      <w:bookmarkStart w:id="27" w:name="第四部分"/>
      <w:r>
        <w:rPr>
          <w:rFonts w:hint="eastAsia"/>
          <w:b/>
          <w:sz w:val="32"/>
          <w:szCs w:val="32"/>
        </w:rPr>
        <w:t xml:space="preserve">  采购需求</w:t>
      </w:r>
    </w:p>
    <w:p>
      <w:pPr>
        <w:pStyle w:val="6"/>
        <w:snapToGrid w:val="0"/>
        <w:spacing w:before="0" w:after="0" w:line="360" w:lineRule="auto"/>
        <w:ind w:firstLine="482" w:firstLineChars="200"/>
        <w:rPr>
          <w:rFonts w:ascii="仿宋_GB2312" w:hAnsi="仿宋_GB2312" w:eastAsia="仿宋_GB2312" w:cs="仿宋_GB2312"/>
          <w:sz w:val="24"/>
          <w:szCs w:val="24"/>
        </w:rPr>
      </w:pPr>
      <w:bookmarkStart w:id="28" w:name="_Hlk56759931"/>
      <w:bookmarkStart w:id="29" w:name="_Hlk56610403"/>
      <w:bookmarkStart w:id="30" w:name="_Hlk57127289"/>
      <w:r>
        <w:rPr>
          <w:rFonts w:hint="eastAsia" w:ascii="仿宋_GB2312" w:hAnsi="仿宋_GB2312" w:eastAsia="仿宋_GB2312" w:cs="仿宋_GB2312"/>
          <w:sz w:val="24"/>
          <w:szCs w:val="24"/>
        </w:rPr>
        <w:t>标项一：</w:t>
      </w:r>
    </w:p>
    <w:p>
      <w:pPr>
        <w:pStyle w:val="6"/>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一、项目背景</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 w:val="24"/>
          <w:szCs w:val="24"/>
        </w:rPr>
        <w:t>防灾减灾救灾事关人民群众生命财产安全，事关社会和谐稳定。2023年以来，党中央、国务院对提升防灾减灾救灾能力、有效防范化解自然灾害重大风险做出了系列部署,2023年8月17日，中共中央政治局常务委员会召开会议，研究部署防汛抗洪救灾和灾后恢复重建工作，指出要进一步加强气象预警与灾害预报的联动，突出临灾预警，做好点对点精准预报和滚动更新，强化预警指向性，落实直达基层防汛责任人的临灾预警“叫应”机制，加强预警和应急响应联动，落实应急预案行动措施，把握工作主动权；要认真排查总结，抓紧补短板、强弱项，进一步提升我国防灾减灾救灾能力。要进一步建强各级应急指挥部体系，完善调度指挥、会商研判、业务保障等设施设备和系统，确保上下贯通、一体应对。10月份，国家计划增发1万亿元人民币国债，将推动实施自然灾害应急能力提升工程作为其中一项重要内容。</w:t>
      </w:r>
    </w:p>
    <w:p>
      <w:pPr>
        <w:pStyle w:val="6"/>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二、建设目标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应急管理部和省应急管理厅统一部署，2024年底前，推动各地建成跨地域、跨层级的自然灾害防治预警指挥体系，实现自然灾害防治数据横向互联、纵向贯通；加强自然灾害综合风险感知能力，提高灾害风险研判、预警提醒和应急叫应能力; 进一步建强各级应急指挥中心，形成“上下贯通、左右联通”的应急指挥调度通信网络，增强应急通信保底手段，提升指挥系统抗灾能力、网络安全感知能力和科技支撑保障能力。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项目按照浙江省应急管理厅下发的《浙江省自然灾害应急提升工程预警指挥项目可行性研究报告》，在舟山市应急管理局已建的部分感知网络基础上，进一步提升视频汇聚级联能力，聚焦山洪灾害易发多发区、森林草原防火重点区、地质灾害隐患点、城市易涝点等多灾易灾地区和避难场所等，针对视频监控盲区等补点建设视频监控设备，实现对重点区域的全天候监测和突发灾害异常情况的实时监控和动态预警，并通过视频级联节点推送至省级视频监控平台。补齐本地区视频监控短板，强化自然灾害综合风险的智能分析，提升灾害综合风险监测预警能力。</w:t>
      </w:r>
    </w:p>
    <w:p>
      <w:pPr>
        <w:pStyle w:val="6"/>
        <w:snapToGrid w:val="0"/>
        <w:spacing w:before="0" w:after="0" w:line="360" w:lineRule="auto"/>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sz w:val="24"/>
          <w:szCs w:val="24"/>
        </w:rPr>
        <w:t>三、建设内容及要求</w:t>
      </w:r>
    </w:p>
    <w:p>
      <w:pPr>
        <w:numPr>
          <w:ilvl w:val="0"/>
          <w:numId w:val="4"/>
        </w:numPr>
        <w:tabs>
          <w:tab w:val="left" w:pos="840"/>
        </w:tabs>
        <w:spacing w:line="360" w:lineRule="auto"/>
        <w:ind w:left="0"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在自然灾害重点风险区域（如森林）补充建设96个热成像中载云台视频监控，提高视频监控覆盖范围。</w:t>
      </w:r>
    </w:p>
    <w:p>
      <w:pPr>
        <w:tabs>
          <w:tab w:val="left" w:pos="840"/>
        </w:tabs>
        <w:spacing w:line="360" w:lineRule="auto"/>
        <w:ind w:firstLine="420" w:firstLineChars="175"/>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 xml:space="preserve">前端视频监控终端建设围绕山洪灾害易发多发区、森林草原防火重点区、防汛防台海塘堤坝、地质灾害隐患点、城市易涝点等多灾易灾地区等，针对视频监控盲区，基于高位挂载体、电力、通信网络等基础设施部署高点视频监控设备，在全市多灾易灾地区部署智能视频监控终端，具备智能烟火检测、水位检测、区域入侵监测等边缘计算能力，能够将识别的风险隐患以视频流、图片等方式推送至省级视频监控系统，实现对重点区域的全天候监测和突发灾害异常情况的实时监控和动态预警。视频点位（共96处）如下表： </w:t>
      </w:r>
    </w:p>
    <w:tbl>
      <w:tblPr>
        <w:tblStyle w:val="24"/>
        <w:tblW w:w="8854" w:type="dxa"/>
        <w:tblInd w:w="98" w:type="dxa"/>
        <w:tblLayout w:type="fixed"/>
        <w:tblCellMar>
          <w:top w:w="0" w:type="dxa"/>
          <w:left w:w="108" w:type="dxa"/>
          <w:bottom w:w="0" w:type="dxa"/>
          <w:right w:w="108" w:type="dxa"/>
        </w:tblCellMar>
      </w:tblPr>
      <w:tblGrid>
        <w:gridCol w:w="412"/>
        <w:gridCol w:w="1060"/>
        <w:gridCol w:w="1001"/>
        <w:gridCol w:w="1749"/>
        <w:gridCol w:w="1159"/>
        <w:gridCol w:w="1146"/>
        <w:gridCol w:w="1312"/>
        <w:gridCol w:w="1015"/>
      </w:tblGrid>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序号</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地点</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所属县区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站点地址</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经度</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纬度</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监控区域类型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挂载地址类型</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定海大沙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浙江省舟山市定海区大沙峙岙塘村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122.0218124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30.14292336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379"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定海马岙安家村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定海马岙安家村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122.0860443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30.1221199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定海移动公司</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浙江省舟山市定海区定海移动公司</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122.1009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30.02585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642"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定海盐仓</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浙江省舟山市定海区盐仓坝桥村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122.0641556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30.03290558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定海南洞五雷寺</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浙江省舟山市定海区五雷寺</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122.1084952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30.08576497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6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舟山自来水厂</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浙江省舟山市定海临城舟山自来水公司楼顶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122.230691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29.990948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定海金塘野岭</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浙江省舟山市定海区金塘镇野岭山上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121.8600006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30.02208519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619"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舟山金塘大鹏</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浙江省舟山市定海区金塘大鹏</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121.823512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30.070772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舟山白泉小支</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浙江省舟山市定海区白展线小支村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122.1895142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30.07937622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普陀山梵音洞</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浙江省舟山市普陀区山梵音洞</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122.4089432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30.00247192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40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普陀大展</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浙江省舟山市普陀区普陀大展</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122.2805023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30.03250122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普陀塘头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浙江省舟山市普陀区塘头渔业村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122.3405304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30.01662254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普陀朱家尖大山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浙江省舟山市普陀区东沙村度假村路</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122.4164124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29.90569687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82"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普陀大青山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浙江省舟山市普陀区普陀大青山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122.38783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29.85668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普陀桃花庵跟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浙江省舟山市普陀区桃花庵跟村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122.285361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29.819584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普陀六横凉帽潭</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浙江省舟山市普陀区六横平蛟凉帽潭</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122.1672134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29.72468185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普陀龙山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浙江省舟山市普陀区龙山村鑫亚大道</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122.1040726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29.77671051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岱山魔星山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浙江省舟山市岱山县魔星山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122.1844482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30.2644049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岱山大衢观音山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浙江省舟山市岱山县大衢观音山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122.31088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30.4287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嵊泗大象山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浙江省舟山市嵊泗县东海路菜圃</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122.44922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30.71494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舟山干览东契头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浙江省舟山市定海区共建路东契头村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122.1527786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30.11138725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定海413医院</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浙江省舟山市定海区四一三医院内小山包上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122.111908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30.03016853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舟山东岠岛东岙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浙江省舟山市定海区东岠岛东岙村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122.119957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29.97859383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舟山北蝉小展</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浙江省舟山市定海区北蝉乡小展岭隧道过去300米处</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122.2377777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30.06028175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定海石礁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浙江省舟山市定海区双桥镇石礁路边</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122.0467224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30.04452324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舟山小沙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浙江省舟山市定海区双小线陈家桥金鹰集团</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122.0550003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30.12610054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定海岑港天童</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浙江省舟山市定海岑港天童</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122.011322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30.04699707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舟山长白</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浙江省舟山市定海区长白乡长白乡政府</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122.0344467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30.17427635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定海册子凤凰山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浙江省舟山市定海区册子凤凰山山顶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121.9339142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30.08285522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舟山北蝉新奥能源</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舟山北蝉新奥能源南侧</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30.097546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舟山岙山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浙江省舟山市定海区长岙公路岙山村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122.1380692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29.95296097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定海白泉皋泄</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浙江省舟山市定海区定海白泉皋泄</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122.1558304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30.05028152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舟山三江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浙江省舟山市定海区鸭东线三江码头</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122.112703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30.137201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海通公司</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浙江省舟山市定海区岑港西岙村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121.9810944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30.05871201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舟山西蟹峙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浙江省舟山市定海区盘峙村西蟹峙</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122.0494461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29.98277664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舟山岑港地坂里</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浙江省舟山市定海区岑港地板里外外回峰寺北侧山坡上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121.9907761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30.08848381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定海烟墩马鞍山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浙江省舟山市定海区岑港镇烟墩社区马鞍山上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121.9747696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30.13487244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定海临城凉眼契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浙江省舟山市定海区临城凉眼契山包上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122.232048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29.99116135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定海临城韩家</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浙江省舟山市定海区临城风景沁园北侧沙井头村东南侧山坡</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122.2115326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30.0073204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定海临城金鸡山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浙江省舟山市定海区临城金鸡山山上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122.1986466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30.00774384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59"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舟山临城高道山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浙江省舟山市定海区临城高云寺山后</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122.1804571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30.01736318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定海开发区</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浙江省舟山市定海区开发B区甬东村山包上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122.1466827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29.998703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舟山双桥紫微</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浙江省舟山市定海区双桥镇紫薇村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122.0372238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30.0838871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马岙北海村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浙江省舟山市定海区马岙北海村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122.0886917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30.15343285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定海大沙紫窟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浙江省舟山市定海区大沙镇马目乡紫窟村长了尚山坡上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121.9894485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30.15119171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舟山城东郑家</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浙江省舟山市定海区城东郑家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122.1580353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30.01735687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舟山岑港柴戴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浙江省舟山市定海区岑柴线柴戴村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122.0295715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30.09937096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定海金塘老牛岗</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浙江省舟山市定海区金塘岛双礁村东向老牛岗山坡上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121.8703156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29.97481728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定海城北王家塘</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浙江省舟山市定海城北王家塘</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122.1053619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30.04428864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定海干榄南洞</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浙江省舟山市定海区干榄南洞</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122.1285095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30.09073067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定海岑港大桥</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浙江省舟山市定海区岑港大桥旁山包上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121.991946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30.073365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舟山岑港马目</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浙江省舟山市定海区岑港镇马目村山顶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121.9475555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30.17421722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舟山市定海区和平花苑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浙江省舟山市定海区和平花苑2幢</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122.105202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舟山金塘长沙北岙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舟山金塘长沙北岙</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121.9164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30.0417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普陀六横双塘</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浙江省舟山市普陀区大梅线双塘村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122.1352768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29.72361183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普陀桃花海洋渔业公司</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浙江省舟山市普陀区桃花海洋渔业公司东面山坡</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122.2861633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29.83720016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普陀芦花舵岙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浙江省舟山市普陀区芦花舵岙村白象山子小村后山上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122.2856064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29.96759605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普陀南岙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浙江省舟山市普陀区南岙村应螺线</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122.2966995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29.98670006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普陀展茅螺门码头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浙江省舟山市普陀区展茅街道螺门村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122.280098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30.06370163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普陀东港陈家后</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普陀东港海边人家周围区域</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122.3199234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29.99378967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普陀鲁家峙佘家山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浙江省舟山市普陀区鲁家峙村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122.3013916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29.93694305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普陀六横老鹰咀</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浙江省舟山市普陀区六横台门镇老鹰咀</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122.1807556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29.66330147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普陀小干欧华船厂</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浙江省舟山市普陀区大干路1弄东岙村欧华船厂后山上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122.2445297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29.95219612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普陀六横涨起港</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浙江省舟山市普陀区普陀六横涨起港</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122.0618134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29.74760056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普陀蚂蚁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浙江省舟山市普陀区后岙村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122.2690811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29.87255096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普陀朱家尖白沙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浙江省舟山市普陀区小沙头村白沙乡</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122.4497223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29.94527626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普陀山紫竹林</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浙江省舟山市普陀区龙湾村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122.3861542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29.98151016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朱家尖大青山猫跳</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浙江省舟山市朱家尖大青山猫跳</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122.4025497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29.83341026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桃花射雕城</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舟山市普陀区桃花射雕城</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122.2404022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29.83964157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普陀朱家尖大黄岩</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浙江省舟山市普陀区朱家尖大黄岩</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122.368909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29.866179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普陀朱家尖老佃房</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浙江省舟山市普陀区香月线月岙村山顶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122.405644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29.936556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普陀桃花米鱼洋</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浙江省舟山市普陀区对峙村沙乌线</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122.303055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29.786388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普陀朱家尖海洋馆</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浙江省舟山市普陀区朱家尖海洋科技馆</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122.3463135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29.94815063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普陀朱家尖白山头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浙江省舟山市普陀区金沙大道白山头村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122.369823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29.940444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普陀朱家尖牛角尖</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浙江省舟山市普陀区朱家尖镇牛角湾山咀庙筲线</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122.383228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29.877051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普陀山合兴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浙江省舟山市普陀区普陀山合兴村索道旁</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122.396515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30.018451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普陀朱家尖顺母</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浙江省舟山市普陀区凉樟线顺母村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122.3362503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29.92653084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普陀东极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浙江省舟山市普陀区东极镇庙子湖村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122.6848831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30.19818878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岱山岱西</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浙江省舟山市岱山岱西小山村山坡上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122.1240082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30.30503845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岱山东沙泥峙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浙江省舟山市岱山县南峰路泥峙社区</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122.178093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30.30831909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岱山岱东</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浙江省舟山市岱山县县岱东镇东海路185号对面岱东中</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122.1975174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30.29133034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岱山秀山凉帽山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浙江省舟山市岱山县外凤凰村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122.1520386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30.18862534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岱山长涂倭井潭</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浙江省舟山市岱山县长涂镇政府后小山上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122.2995071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30.25534821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岱山高亭磨盘山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浙江省舟山市岱山县高亭磨盘山蓬莱公园山顶上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122.2086029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30.24448586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岱山大衢黄泽山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浙江省舟山市岱山县衢山镇黄泽山村靠近黄泽南岙村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122.3315582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30.51367188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岱山秀山三礁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浙江省舟山市岱山县红九线三礁村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122.1863937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30.17375183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岱山大衢鼠浪</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浙江省舟山市岱山县南湖村鼠浪</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122.4623337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30.43487167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小洋沈家湾</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浙江省舟山市嵊泗县小洋沈家湾</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122.125557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30.60472107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嵊泗菜园仰天院</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浙江省舟山市嵊泗县菜园镇仰天院上面</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122.4425507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30.7287941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嵊泗嵊山壁下</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浙江省舟山市嵊泗县嵊山壁下</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122.7825012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30.78994751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嵊泗枸杞小西天</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浙江省舟山市嵊泗县枸杞岛小西天</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122.7780609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30.7238884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嵊泗嵊山政府</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浙江省舟山市嵊泗县箱子岙嵊山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122.810051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30.72268295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嵊泗黄沙岙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浙江省舟山市嵊泗县五龙乡黄沙岙</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122.4997711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30.70760727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嵊泗石柱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浙江省舟山市嵊泗县菜园镇石柱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122.4571686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30.69628906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嵊泗花鸟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浙江省舟山市嵊泗县花鸟乡嵊泗县花鸟</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122.6938934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30.85233116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嵊泗黄龙东嘴头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浙江省舟山市嵊泗县黄龙东嘴头</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122.5731125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30.66291046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bl>
    <w:p>
      <w:pPr>
        <w:numPr>
          <w:ilvl w:val="0"/>
          <w:numId w:val="4"/>
        </w:numPr>
        <w:tabs>
          <w:tab w:val="left" w:pos="840"/>
        </w:tabs>
        <w:spacing w:line="360" w:lineRule="auto"/>
        <w:ind w:left="0" w:firstLine="560"/>
        <w:rPr>
          <w:rFonts w:ascii="仿宋_GB2312" w:hAnsi="仿宋_GB2312" w:eastAsia="仿宋_GB2312" w:cs="仿宋_GB2312"/>
          <w:sz w:val="24"/>
          <w:szCs w:val="24"/>
        </w:rPr>
      </w:pPr>
      <w:r>
        <w:rPr>
          <w:rFonts w:hint="eastAsia" w:ascii="仿宋_GB2312" w:hAnsi="仿宋_GB2312" w:eastAsia="仿宋_GB2312" w:cs="仿宋_GB2312"/>
          <w:sz w:val="24"/>
          <w:szCs w:val="24"/>
        </w:rPr>
        <w:t>建设1套市级视频汇聚平台。</w:t>
      </w:r>
    </w:p>
    <w:p>
      <w:pPr>
        <w:tabs>
          <w:tab w:val="left" w:pos="840"/>
        </w:tabs>
        <w:spacing w:line="360" w:lineRule="auto"/>
        <w:ind w:firstLine="420" w:firstLineChars="175"/>
        <w:rPr>
          <w:rFonts w:ascii="仿宋_GB2312" w:hAnsi="仿宋_GB2312" w:eastAsia="仿宋_GB2312" w:cs="仿宋_GB2312"/>
          <w:sz w:val="24"/>
          <w:szCs w:val="24"/>
        </w:rPr>
      </w:pPr>
      <w:r>
        <w:rPr>
          <w:rFonts w:hint="eastAsia" w:ascii="仿宋_GB2312" w:hAnsi="仿宋_GB2312" w:eastAsia="仿宋_GB2312" w:cs="仿宋_GB2312"/>
          <w:sz w:val="24"/>
          <w:szCs w:val="24"/>
        </w:rPr>
        <w:t>部署1套市级视频监控资源汇聚级联，实现对本地区防汛、林火、地质等自然灾害监控视频，政府相关部门自然灾害类监控视频的接入，接入能力不少</w:t>
      </w:r>
      <w:r>
        <w:rPr>
          <w:rFonts w:hint="eastAsia" w:ascii="仿宋_GB2312" w:hAnsi="仿宋_GB2312" w:eastAsia="仿宋_GB2312" w:cs="仿宋_GB2312"/>
          <w:color w:val="auto"/>
          <w:sz w:val="24"/>
          <w:szCs w:val="24"/>
        </w:rPr>
        <w:t>于10万路</w:t>
      </w:r>
      <w:r>
        <w:rPr>
          <w:rFonts w:hint="eastAsia" w:ascii="仿宋_GB2312" w:hAnsi="仿宋_GB2312" w:eastAsia="仿宋_GB2312" w:cs="仿宋_GB2312"/>
          <w:sz w:val="24"/>
          <w:szCs w:val="24"/>
        </w:rPr>
        <w:t>，通过视频级联节点，将本地区接入的视频监控，推送至省级视频监控平台，实现与省级视频监控平台的互联互通。并配置满足视频资源汇聚系统所需的相应硬件资源。</w:t>
      </w:r>
    </w:p>
    <w:p>
      <w:pPr>
        <w:spacing w:line="360" w:lineRule="auto"/>
        <w:ind w:firstLine="410" w:firstLineChars="171"/>
        <w:rPr>
          <w:rFonts w:ascii="仿宋_GB2312" w:hAnsi="仿宋_GB2312" w:eastAsia="仿宋_GB2312" w:cs="仿宋_GB2312"/>
          <w:sz w:val="24"/>
          <w:szCs w:val="24"/>
        </w:rPr>
      </w:pPr>
      <w:r>
        <w:rPr>
          <w:rFonts w:hint="eastAsia" w:ascii="仿宋_GB2312" w:hAnsi="仿宋_GB2312" w:eastAsia="仿宋_GB2312" w:cs="仿宋_GB2312"/>
          <w:sz w:val="24"/>
          <w:szCs w:val="24"/>
        </w:rPr>
        <w:t>3.市县应急部门购买224台天通卫星电话，市县两级分配如下表：</w:t>
      </w:r>
    </w:p>
    <w:tbl>
      <w:tblPr>
        <w:tblStyle w:val="24"/>
        <w:tblW w:w="8195" w:type="dxa"/>
        <w:jc w:val="center"/>
        <w:tblLayout w:type="fixed"/>
        <w:tblCellMar>
          <w:top w:w="0" w:type="dxa"/>
          <w:left w:w="108" w:type="dxa"/>
          <w:bottom w:w="0" w:type="dxa"/>
          <w:right w:w="108" w:type="dxa"/>
        </w:tblCellMar>
      </w:tblPr>
      <w:tblGrid>
        <w:gridCol w:w="1132"/>
        <w:gridCol w:w="891"/>
        <w:gridCol w:w="1037"/>
        <w:gridCol w:w="1150"/>
        <w:gridCol w:w="977"/>
        <w:gridCol w:w="901"/>
        <w:gridCol w:w="939"/>
        <w:gridCol w:w="1168"/>
      </w:tblGrid>
      <w:tr>
        <w:tblPrEx>
          <w:tblCellMar>
            <w:top w:w="0" w:type="dxa"/>
            <w:left w:w="108" w:type="dxa"/>
            <w:bottom w:w="0" w:type="dxa"/>
            <w:right w:w="108" w:type="dxa"/>
          </w:tblCellMar>
        </w:tblPrEx>
        <w:trPr>
          <w:trHeight w:val="79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设备名称</w:t>
            </w:r>
          </w:p>
        </w:tc>
        <w:tc>
          <w:tcPr>
            <w:tcW w:w="891"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市本级</w:t>
            </w:r>
          </w:p>
        </w:tc>
        <w:tc>
          <w:tcPr>
            <w:tcW w:w="1037"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普朱管委会</w:t>
            </w:r>
          </w:p>
        </w:tc>
        <w:tc>
          <w:tcPr>
            <w:tcW w:w="1150"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定海区</w:t>
            </w:r>
          </w:p>
        </w:tc>
        <w:tc>
          <w:tcPr>
            <w:tcW w:w="977"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普陀区</w:t>
            </w:r>
          </w:p>
        </w:tc>
        <w:tc>
          <w:tcPr>
            <w:tcW w:w="9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岱山县</w:t>
            </w:r>
          </w:p>
        </w:tc>
        <w:tc>
          <w:tcPr>
            <w:tcW w:w="939"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嵊泗县</w:t>
            </w:r>
          </w:p>
        </w:tc>
        <w:tc>
          <w:tcPr>
            <w:tcW w:w="1168"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全市合计</w:t>
            </w:r>
          </w:p>
        </w:tc>
      </w:tr>
      <w:tr>
        <w:tblPrEx>
          <w:tblCellMar>
            <w:top w:w="0" w:type="dxa"/>
            <w:left w:w="108" w:type="dxa"/>
            <w:bottom w:w="0" w:type="dxa"/>
            <w:right w:w="108" w:type="dxa"/>
          </w:tblCellMar>
        </w:tblPrEx>
        <w:trPr>
          <w:trHeight w:val="509" w:hRule="atLeast"/>
          <w:jc w:val="center"/>
        </w:trPr>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天通卫星</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0</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113</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24</w:t>
            </w:r>
          </w:p>
        </w:tc>
        <w:tc>
          <w:tcPr>
            <w:tcW w:w="116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kern w:val="0"/>
                <w:szCs w:val="21"/>
              </w:rPr>
              <w:t>224</w:t>
            </w:r>
          </w:p>
        </w:tc>
      </w:tr>
    </w:tbl>
    <w:p>
      <w:pPr>
        <w:tabs>
          <w:tab w:val="left" w:pos="840"/>
        </w:tabs>
        <w:spacing w:line="360" w:lineRule="auto"/>
        <w:ind w:firstLine="420" w:firstLineChars="175"/>
        <w:rPr>
          <w:rFonts w:ascii="仿宋_GB2312" w:hAnsi="仿宋_GB2312" w:eastAsia="仿宋_GB2312" w:cs="仿宋_GB2312"/>
          <w:sz w:val="24"/>
          <w:szCs w:val="24"/>
        </w:rPr>
      </w:pPr>
    </w:p>
    <w:p>
      <w:pPr>
        <w:pStyle w:val="6"/>
        <w:numPr>
          <w:ilvl w:val="0"/>
          <w:numId w:val="5"/>
        </w:numPr>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采购清单及性能要求</w:t>
      </w:r>
    </w:p>
    <w:p>
      <w:pPr>
        <w:pStyle w:val="2"/>
        <w:ind w:firstLine="46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4"/>
        </w:rPr>
        <w:t>项目采购预算金额：12692000元，含5个品目，如下表：</w:t>
      </w:r>
    </w:p>
    <w:p>
      <w:pPr>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4.1采购清单</w:t>
      </w:r>
    </w:p>
    <w:tbl>
      <w:tblPr>
        <w:tblStyle w:val="24"/>
        <w:tblW w:w="8300" w:type="dxa"/>
        <w:tblInd w:w="134" w:type="dxa"/>
        <w:tblLayout w:type="fixed"/>
        <w:tblCellMar>
          <w:top w:w="0" w:type="dxa"/>
          <w:left w:w="108" w:type="dxa"/>
          <w:bottom w:w="0" w:type="dxa"/>
          <w:right w:w="108" w:type="dxa"/>
        </w:tblCellMar>
      </w:tblPr>
      <w:tblGrid>
        <w:gridCol w:w="638"/>
        <w:gridCol w:w="2234"/>
        <w:gridCol w:w="1319"/>
        <w:gridCol w:w="1218"/>
        <w:gridCol w:w="1663"/>
        <w:gridCol w:w="1228"/>
      </w:tblGrid>
      <w:tr>
        <w:tblPrEx>
          <w:tblCellMar>
            <w:top w:w="0" w:type="dxa"/>
            <w:left w:w="108" w:type="dxa"/>
            <w:bottom w:w="0" w:type="dxa"/>
            <w:right w:w="108" w:type="dxa"/>
          </w:tblCellMar>
        </w:tblPrEx>
        <w:trPr>
          <w:trHeight w:val="708"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序号</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设备名称</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数量</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单位</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b/>
                <w:bCs/>
                <w:color w:val="000000" w:themeColor="text1"/>
                <w:kern w:val="0"/>
                <w:sz w:val="20"/>
              </w:rPr>
              <w:t>备注</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b/>
                <w:bCs/>
                <w:color w:val="000000" w:themeColor="text1"/>
                <w:kern w:val="0"/>
                <w:sz w:val="20"/>
              </w:rPr>
              <w:t>中小企业划分标准所属行业</w:t>
            </w:r>
          </w:p>
        </w:tc>
      </w:tr>
      <w:tr>
        <w:tblPrEx>
          <w:tblCellMar>
            <w:top w:w="0" w:type="dxa"/>
            <w:left w:w="108" w:type="dxa"/>
            <w:bottom w:w="0" w:type="dxa"/>
            <w:right w:w="108" w:type="dxa"/>
          </w:tblCellMar>
        </w:tblPrEx>
        <w:trPr>
          <w:trHeight w:val="446"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（一）品目一：舟山市应急管理局        预算金额：12086000元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p>
        </w:tc>
      </w:tr>
      <w:tr>
        <w:tblPrEx>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市级视频汇聚平台</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套</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软件和信息技术服务</w:t>
            </w:r>
          </w:p>
        </w:tc>
      </w:tr>
      <w:tr>
        <w:tblPrEx>
          <w:tblCellMar>
            <w:top w:w="0" w:type="dxa"/>
            <w:left w:w="108" w:type="dxa"/>
            <w:bottom w:w="0" w:type="dxa"/>
            <w:right w:w="108" w:type="dxa"/>
          </w:tblCellMar>
        </w:tblPrEx>
        <w:trPr>
          <w:trHeight w:val="409"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2</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磁盘阵列</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93"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3</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硬盘</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84"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视频智能分析仪</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355"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分析卡</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8</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张</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509"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6</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管理型以太网交换机</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55"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7</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万兆光模块</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608"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★热成像中载云台</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96</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68"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22</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市本级</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41"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600" w:firstLineChars="300"/>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（二）品目二：普朱管委会      预算金额：81000元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451"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27</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普朱</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396"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（三）品目三：普陀区应急管理局        预算金额：339000元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396"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113</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普陀</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378"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（四）品目四：岱山县应急管理局        预算金额：114000元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442"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38</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岱山</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32"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kern w:val="0"/>
                <w:sz w:val="20"/>
                <w:lang w:val="en-US" w:eastAsia="zh-CN"/>
              </w:rPr>
              <w:t>五</w:t>
            </w:r>
            <w:r>
              <w:rPr>
                <w:rFonts w:hint="eastAsia" w:ascii="仿宋_GB2312" w:hAnsi="仿宋_GB2312" w:eastAsia="仿宋_GB2312" w:cs="仿宋_GB2312"/>
                <w:color w:val="000000" w:themeColor="text1"/>
                <w:kern w:val="0"/>
                <w:sz w:val="20"/>
              </w:rPr>
              <w:t>）品目五：嵊泗县应急管理局        预算金额：72000元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24</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嵊泗</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bl>
    <w:p>
      <w:pPr>
        <w:rPr>
          <w:rFonts w:ascii="仿宋_GB2312" w:hAnsi="仿宋_GB2312" w:eastAsia="仿宋_GB2312" w:cs="仿宋_GB2312"/>
          <w:color w:val="000000" w:themeColor="text1"/>
          <w:sz w:val="24"/>
          <w:szCs w:val="24"/>
        </w:rPr>
      </w:pPr>
    </w:p>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4.2 技术性能要求</w:t>
      </w:r>
    </w:p>
    <w:tbl>
      <w:tblPr>
        <w:tblStyle w:val="24"/>
        <w:tblW w:w="9169" w:type="dxa"/>
        <w:tblInd w:w="-344" w:type="dxa"/>
        <w:tblLayout w:type="fixed"/>
        <w:tblCellMar>
          <w:top w:w="0" w:type="dxa"/>
          <w:left w:w="108" w:type="dxa"/>
          <w:bottom w:w="0" w:type="dxa"/>
          <w:right w:w="108" w:type="dxa"/>
        </w:tblCellMar>
      </w:tblPr>
      <w:tblGrid>
        <w:gridCol w:w="427"/>
        <w:gridCol w:w="791"/>
        <w:gridCol w:w="7009"/>
        <w:gridCol w:w="542"/>
        <w:gridCol w:w="400"/>
      </w:tblGrid>
      <w:tr>
        <w:tblPrEx>
          <w:tblCellMar>
            <w:top w:w="0" w:type="dxa"/>
            <w:left w:w="108" w:type="dxa"/>
            <w:bottom w:w="0" w:type="dxa"/>
            <w:right w:w="108" w:type="dxa"/>
          </w:tblCellMar>
        </w:tblPrEx>
        <w:trPr>
          <w:trHeight w:val="601"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名称</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参数要求</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数量</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单位</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市级视频汇聚平台</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市级视频监控资源汇聚级联，实现对本地区防汛、林火、地质等自然灾害监控视频，政府相关部门自然灾害类监控视频的接入，接</w:t>
            </w:r>
            <w:r>
              <w:rPr>
                <w:rFonts w:hint="eastAsia" w:ascii="仿宋_GB2312" w:hAnsi="仿宋_GB2312" w:eastAsia="仿宋_GB2312" w:cs="仿宋_GB2312"/>
                <w:kern w:val="0"/>
                <w:sz w:val="20"/>
              </w:rPr>
              <w:t>入能力不少</w:t>
            </w:r>
            <w:r>
              <w:rPr>
                <w:rFonts w:hint="eastAsia" w:ascii="仿宋_GB2312" w:hAnsi="仿宋_GB2312" w:eastAsia="仿宋_GB2312" w:cs="仿宋_GB2312"/>
                <w:color w:val="000000" w:themeColor="text1"/>
                <w:kern w:val="0"/>
                <w:sz w:val="20"/>
              </w:rPr>
              <w:t xml:space="preserve">于10万路，通过视频级联节点，将本地区接入的视频监控，推送至省级视频监控平台，实现与省级视频监控平台的互联互通。市级视频监控资源汇聚要求如下：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视频资源接入与共享。可以通过平台联网的方式接入各类下级平台的视频资源，上下级平台的联网对接应满足GB/T28181的标准强制项要求。包括（1）GB/T28181-2022 国标协议对接；（2）非标平台升级改造对接；（3）非标平台网关改造对接（SDK 对接）；（4）视频直接接入；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视频基础应用:包括（1）视频实时预览；（2）轮巡预览；（3）云台控制；（4）媒体分发；（5）视频点播；（6）地图服务；（7）录像存储与回放。</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3.开放接口服务：包括（1）取流接口；（2）设备管理接口；（3）统计服务；（4）资源目录服务接口；（5）视频应用服务接口。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点位搜索。通过点位搜索，实现视频资源在多种筛选条件下的快速搜索，并在电子地图上展示搜索结果。</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标签管理。标签中心提供基于应急业务的标签治理能力，可根据实际业务需求，对设备进行场景化标签标注，多样业务标签提升业务价值。</w:t>
            </w:r>
          </w:p>
          <w:p>
            <w:pPr>
              <w:widowControl/>
              <w:jc w:val="left"/>
              <w:textAlignment w:val="center"/>
            </w:pPr>
            <w:r>
              <w:rPr>
                <w:rFonts w:hint="eastAsia" w:ascii="仿宋_GB2312" w:hAnsi="仿宋_GB2312" w:eastAsia="仿宋_GB2312" w:cs="仿宋_GB2312"/>
                <w:color w:val="000000" w:themeColor="text1"/>
                <w:kern w:val="0"/>
                <w:sz w:val="20"/>
              </w:rPr>
              <w:t>6.</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设备治理：包括（1）设备质量监测；（2）治理清单管理；（3）空间信息治理；（3）场所类型标定；（5）设备坐标系转换；（6）批量关联标定；（7）标签级联。</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套</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2</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磁盘阵列</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 △单颗64位多核高性能处理器，6U机箱，1+1冗余电源，48盘位，单盘最大支持20TB硬盘，支持硬盘热插拔；</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2.不少于4个千兆数据网口，1个百兆管理网口，支持扩展4个千兆数据网口，可选配万兆光口PCIE网卡，可选配千兆电口PCIE网卡；</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3.1个HDMI，4个USB，1个eSATA，1个RS232；</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4.支持RAID0/1/5/6/10/50/60，SRAID，支持全局热备和局部热备盘；</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5.支持320路H.264/H.265混合接入，网络带宽800Mbps接入，800Mbps存储，800Mbps转发；</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6.可通过ONVIF、GB28181、RTSP、视图库、主动注册等协议管理不同厂家前端摄像头，实现视频存储；</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7.支持通过IPSAN、NAS（Samba、FTP、NFS）、视频直存模式访问存储资源；</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8.支持iSCSI客户端模式，访问第三方存储资源，增加存储空间，延长存储周期；</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9.支持硬盘健康状态监测，定期巡检，针对异常硬盘风险预警，支持系统盘、风扇、电源等异常告警；</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10.可结合硬盘状态、RAID配置、存储模式、网络状态、录像状态等信息，智能诊断用户配置合规性，保障整机可靠运行；</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11.可配合智能前端摄像头，实现结构化告警、周界告警、入户电梯告警等多种报警事件、图片透传平台；</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12.支持关键录像加锁，确保不被循环覆盖；</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13.☆支持纠删码技术，最多可以支持16个盘掉线或者损坏，数据仍然有效，保留的硬盘中的数据可正常读出，且新数据可正常写入.创建RAID后即为同步完成状态（</w:t>
            </w:r>
            <w:r>
              <w:rPr>
                <w:rFonts w:hint="eastAsia" w:ascii="仿宋_GB2312" w:hAnsi="仿宋_GB2312" w:eastAsia="仿宋_GB2312" w:cs="仿宋_GB2312"/>
                <w:color w:val="000000" w:themeColor="text1"/>
                <w:kern w:val="0"/>
                <w:sz w:val="20"/>
              </w:rPr>
              <w:t>提供第三方具备CNAS或CMA认证资质的机构出具的检测报告。）</w:t>
            </w:r>
            <w:r>
              <w:rPr>
                <w:rFonts w:hint="eastAsia" w:ascii="仿宋_GB2312" w:hAnsi="仿宋_GB2312" w:eastAsia="仿宋_GB2312" w:cs="仿宋_GB2312"/>
                <w:color w:val="000000" w:themeColor="text1"/>
                <w:sz w:val="20"/>
              </w:rPr>
              <w:t>14.支持N+M集群模式，可实现单台或多台设备故障时，故障设备业务自动迁移到其它健康设备上，保障业务不中断；</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15.国产自研文件系统，存储密度高，读写性能好，掉电保护；</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16.采用国产操作系统，性能高、稳定、可控，安全性高；</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17.☆支持扩展 MiniSAS HD 接口，支持通过电口 SAS 线或光口 SAS 线进行互联， 能够通过 SAS 线进行上行和下行的数据通信；支持任意N台设备（N≥2） 通过 SAS数据线组成环状结构集群，设备集群之间数据能够通过环状结构进行传递和通信， 其中任意1台设备都可以访问其下游设备中的数据（</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18.☆支持多台设备组成 SAS 数据环集群，当环状结构上的任意 1 个节点出现故障（包括主控盒硬件故障、 软件故障或者网络故障等），该节点设备上的硬盘通过 SAS 链路被上游设备接管，该节点设备的上业务也会迁移到上游设备继续执行，从而实现业务不中断、录像不丢失，同时该故障设备的硬盘中数据可以被上游设备读取（</w:t>
            </w:r>
            <w:r>
              <w:rPr>
                <w:rFonts w:hint="eastAsia" w:ascii="仿宋_GB2312" w:hAnsi="仿宋_GB2312" w:eastAsia="仿宋_GB2312" w:cs="仿宋_GB2312"/>
                <w:color w:val="000000" w:themeColor="text1"/>
                <w:kern w:val="0"/>
                <w:sz w:val="20"/>
              </w:rPr>
              <w:t>提供第三方具备CNAS或CMA认证资质的机构出具的检测报告。）</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702"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3</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硬盘</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单盘容量：8TB；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2.硬盘接口：SATA；</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3.转速：7200RPM；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4.缓存：256MB。</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120</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视频智能分析仪</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主处理器：2颗国产化CPU，24核，2.6GHz；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w:t>
            </w:r>
            <w:r>
              <w:rPr>
                <w:rFonts w:hint="eastAsia" w:ascii="仿宋_GB2312" w:hAnsi="仿宋_GB2312" w:eastAsia="仿宋_GB2312" w:cs="仿宋_GB2312"/>
                <w:color w:val="000000" w:themeColor="text1"/>
                <w:kern w:val="0"/>
                <w:sz w:val="24"/>
                <w:szCs w:val="24"/>
              </w:rPr>
              <w:t>▲</w:t>
            </w:r>
            <w:r>
              <w:rPr>
                <w:rFonts w:hint="eastAsia" w:ascii="仿宋_GB2312" w:hAnsi="仿宋_GB2312" w:eastAsia="仿宋_GB2312" w:cs="仿宋_GB2312"/>
                <w:color w:val="000000" w:themeColor="text1"/>
                <w:kern w:val="0"/>
                <w:sz w:val="20"/>
              </w:rPr>
              <w:t>操作系统：国产操作系统；</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3.智能卡数量：可以支持8张分析卡(A/N/E/T卡)；</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4.内存：4根32GB DDR4内存条，最大槽位数16个槽位；</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5.硬盘：1块2.5寸480GB SSD硬盘，2块3.5寸4TB 机械硬盘，最大硬盘槽位数12槽位；</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6.接口：不少于4个千兆自适应网口；前置2个USB3.0接口，后置2个USB3.0接口；2个VGA接口；1个RJ45管理网口，1个RJ45调试串口。</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分析卡</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内存规格：LPDDR4X 24GB；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AI算力：单卡纯硬件算力，半精度（FP16）：50 TFLOPS（峰值算力）；整数精度（INT8）：100 TOPS（峰值算力）；</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3.PCIe接口：x16 Lanes，兼容x8，PCIe Gen4.0；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4.人脸：单卡支持不少于300张/秒人脸小图目标分析；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5.结构化：单卡支持不少于80路200万或40路400万或20路800万分辨率的实时视频活动目标分析，单卡支持不少于150张/秒200万或75张/秒400万~800万分辨率的结构化图片目标分析；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6.车辆：单卡支持日处理不少于600万张车辆图片目标分析(图片分辨率200万-900万)。</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8</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张</w:t>
            </w:r>
          </w:p>
        </w:tc>
      </w:tr>
      <w:tr>
        <w:tblPrEx>
          <w:tblCellMar>
            <w:top w:w="0" w:type="dxa"/>
            <w:left w:w="108" w:type="dxa"/>
            <w:bottom w:w="0" w:type="dxa"/>
            <w:right w:w="108" w:type="dxa"/>
          </w:tblCellMar>
        </w:tblPrEx>
        <w:trPr>
          <w:trHeight w:val="1233"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6</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管理型以太网交换机</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kern w:val="0"/>
                <w:szCs w:val="21"/>
              </w:rPr>
              <w:t>△不少于</w:t>
            </w:r>
            <w:r>
              <w:rPr>
                <w:rFonts w:hint="eastAsia" w:ascii="仿宋_GB2312" w:hAnsi="仿宋_GB2312" w:eastAsia="仿宋_GB2312" w:cs="仿宋_GB2312"/>
                <w:color w:val="000000" w:themeColor="text1"/>
                <w:kern w:val="0"/>
                <w:sz w:val="20"/>
              </w:rPr>
              <w:t>24个10/100/1000 BASE-T电口，4个1G/10G Base-X光口；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2.交换容量：</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336Gbps/3.36Tbps，包转发率：</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108Mpps；</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3.支持STP/RSTP/MSTP；</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支持EAPS以太网链路自动保护协议，环网切换＜50ms</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5.支持GVRP；支持QinQ功能；支持Private VLAN；支持Voice vlan；</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6.支持静态、动态链路聚合；</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7.支持IGMP v1/v2/v3；支持IGMP Snooping；支持IGMP Fast Leave；支持组播组策略及组播组数量限制；支持组播流量跨VLAN复制；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8.支持虚拟化堆叠技术；支持VRRP；</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9.支持DHCP Client、DHCP Snooping、DHCP Relay、DHCP Server；</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10.支持ARP、RARP、免费ARP；支持Dynamic ARP Inspection；支持ARP anti-attack；支持ARP源抑制；</w:t>
            </w:r>
          </w:p>
          <w:p>
            <w:pPr>
              <w:widowControl/>
              <w:jc w:val="left"/>
              <w:textAlignment w:val="center"/>
              <w:rPr>
                <w:rFonts w:ascii="仿宋_GB2312" w:hAnsi="仿宋_GB2312" w:eastAsia="仿宋_GB2312" w:cs="仿宋_GB2312"/>
                <w:color w:val="000000" w:themeColor="text1"/>
                <w:kern w:val="0"/>
                <w:sz w:val="20"/>
                <w:highlight w:val="yellow"/>
              </w:rPr>
            </w:pPr>
            <w:r>
              <w:rPr>
                <w:rFonts w:hint="eastAsia" w:ascii="仿宋_GB2312" w:hAnsi="仿宋_GB2312" w:eastAsia="仿宋_GB2312" w:cs="仿宋_GB2312"/>
                <w:color w:val="000000" w:themeColor="text1"/>
                <w:kern w:val="0"/>
                <w:sz w:val="20"/>
              </w:rPr>
              <w:t>11.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支持基于L2/L3/L4协议头各字段的流量分类；支持流量监管、流量整形和限速；支持802.1P/DSCP优先级重新标记</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支持二层、三层、四层ACL，支持IPv4、IPv6 ACL，支持VLAN ACL；支持标准和扩展ACL，支持IP ACL、支持基于源/目的IP、三层IP协议号、TCP/UDP四层端口号、IP优先级、ToS、时间范围对数据进行过滤。</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13.支持ICMPv6、DHCPv6、ACLv6、IPv6 Telnet；支持IPv6邻居发现；支持Path MTU发现；支持MLD v1/v2；支持MLD Snooping；</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14.支持FTP/TFTP加载升级；支持命令行接口(CLI)、Telnet、Console口进行配置；支持SNMP v1/v2c/v3；支持系统日志、分级告警、调试信息输出；支持NTP；支持Ping、Tracert；支持LLDP；支持Loopback-detection 端口环回检测。</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416"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7</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万兆光模块</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 xml:space="preserve"> △</w:t>
            </w:r>
            <w:r>
              <w:rPr>
                <w:rFonts w:hint="eastAsia" w:ascii="仿宋_GB2312" w:hAnsi="仿宋_GB2312" w:eastAsia="仿宋_GB2312" w:cs="仿宋_GB2312"/>
                <w:color w:val="000000" w:themeColor="text1"/>
                <w:kern w:val="0"/>
                <w:sz w:val="20"/>
              </w:rPr>
              <w:t>工业级万兆SFP+光模块（收发一体）；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2.光纤类型：多模双纤；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3.接口类型：LC；</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4.波长：</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850nm发送，</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850nm接收；</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5.传输距离：</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300m。</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r>
      <w:tr>
        <w:tblPrEx>
          <w:tblCellMar>
            <w:top w:w="0" w:type="dxa"/>
            <w:left w:w="108" w:type="dxa"/>
            <w:bottom w:w="0" w:type="dxa"/>
            <w:right w:w="108" w:type="dxa"/>
          </w:tblCellMar>
        </w:tblPrEx>
        <w:trPr>
          <w:trHeight w:val="1348"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热成像中载云台</w:t>
            </w:r>
          </w:p>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（核心设备）</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1.△热成像分辨率：不小于384 × 288，热成像焦距：不小于100 mm，热成像视场角：3.74° (H)× 2.80°(V)</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2.☆传感器类型：1/1.8英寸CMOS；最大分辨率：不小于2688×1520；可见光像素：400万；</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3.☆可见光透雾功能：支持光学透雾和算法透雾；</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4.☆可见光防抖功能：陀螺仪电子防抖，水平范围：360°连续旋转，垂直范围：+40°~-90°</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5.☆可见光视场角：48.26°(H)28.43°(V)-0.92°(H)0.56°(V)；</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6.雨刷功能：支持手动/自动启动，支持单次/多次可设，雨刷频率、持续时间可设；</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7.补光类型：激光；激光补光距离：≥800m；激光测距距离：≥1000m；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sz w:val="20"/>
              </w:rPr>
              <w:t>8.☆在不增加外接设备、不扩展外置模块、不改变外观的情况下，激光补光模块和激光测距模块可同时正常工作（</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9.☆火点侦测距离（最远）：≥6000m（目标大小2m×2m）；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10.周界防范距离（人）：≥1000m（目标大小1.8m×0.5m）；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11.周界防范距离（车）：≥3000m（目标大小4m×1.4m）；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12.☆烟雾检测距离：≥6000m（目标大小5m×5m）；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13.船只检测距离：≥3000m（目标大小10m×5m）；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14.网络接口：不少于1个，10M/100M以太网口（RJ-45）；</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15.报警输入：不少于7 路开关量输入(0-5vDC)；报警输出：不少于2 路，支持报警联动；</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16.音频输入：不少于1路（LINE IN；裸线）；音频输出：不少于1路（LINE OUT；裸线）；</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17.具有集成智能火点算法和可见光深度学习火点误报过滤算法设置选项，实现烟火检测、行为分析、测温应用、废气检测、车辆检测、雷达联动等智能应用；</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18.支持热成像镜头磁编反馈系统，含有姿态感知模块，支持3个MCU独立控制系统；</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19.☆在浏览器下应具有世界大地坐标系WGS84和国家大地坐标系CGCS2000设置选项（</w:t>
            </w:r>
            <w:r>
              <w:rPr>
                <w:rFonts w:hint="eastAsia" w:ascii="仿宋_GB2312" w:hAnsi="仿宋_GB2312" w:eastAsia="仿宋_GB2312" w:cs="仿宋_GB2312"/>
                <w:color w:val="000000" w:themeColor="text1"/>
                <w:kern w:val="0"/>
                <w:sz w:val="20"/>
              </w:rPr>
              <w:t>提供第三方具备CNAS或CMA认证资质的机构出具的检测报告。）</w:t>
            </w:r>
            <w:r>
              <w:rPr>
                <w:rFonts w:hint="eastAsia" w:ascii="仿宋_GB2312" w:hAnsi="仿宋_GB2312" w:eastAsia="仿宋_GB2312" w:cs="仿宋_GB2312"/>
                <w:color w:val="000000" w:themeColor="text1"/>
                <w:sz w:val="20"/>
              </w:rPr>
              <w:t>；</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sz w:val="20"/>
              </w:rPr>
              <w:t>20.☆应支持人员聚集行为检测，当监控画面中设定区域内聚集人数达到对应阈值时，可通过客户端软件或浏览器给出报警提示；人员聚集灵敏度可设置，0-10级可调（</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注：部署及运维要求：</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1）云台挂载在离地20m以上高位挂载体上，挂载平台位置必须在采购方提供的点位周边100米以内，视野无大面积遮挡；</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2）需包含安装云台所需的各类杆件、高位底座等各类配套辅材；</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3）选址点应确保提供UPS或其他后备电源作为保障；</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4）视频监控设备接入需使用数据专线进行接入，带宽需大于</w:t>
            </w:r>
            <w:r>
              <w:rPr>
                <w:rStyle w:val="75"/>
                <w:rFonts w:ascii="仿宋_GB2312" w:hAnsi="仿宋_GB2312" w:eastAsia="仿宋_GB2312" w:cs="仿宋_GB2312"/>
                <w:color w:val="000000" w:themeColor="text1"/>
              </w:rPr>
              <w:t>等于</w:t>
            </w:r>
            <w:r>
              <w:rPr>
                <w:rStyle w:val="75"/>
                <w:rFonts w:hint="default" w:ascii="仿宋_GB2312" w:hAnsi="仿宋_GB2312" w:eastAsia="仿宋_GB2312" w:cs="仿宋_GB2312"/>
                <w:color w:val="000000" w:themeColor="text1"/>
              </w:rPr>
              <w:t>10M；</w:t>
            </w:r>
          </w:p>
          <w:p>
            <w:pPr>
              <w:widowControl/>
              <w:jc w:val="left"/>
              <w:rPr>
                <w:rFonts w:ascii="仿宋_GB2312" w:hAnsi="仿宋_GB2312" w:eastAsia="仿宋" w:cs="仿宋_GB2312"/>
                <w:color w:val="000000" w:themeColor="text1"/>
              </w:rPr>
            </w:pPr>
            <w:r>
              <w:rPr>
                <w:rStyle w:val="75"/>
                <w:rFonts w:hint="default" w:ascii="仿宋" w:hAnsi="仿宋" w:eastAsia="仿宋" w:cs="仿宋"/>
                <w:color w:val="000000" w:themeColor="text1"/>
              </w:rPr>
              <w:t>5）视频及相关数据应根据采购方要求接入相应管理平台，预警信息汇聚管理平台</w:t>
            </w:r>
            <w:r>
              <w:rPr>
                <w:rFonts w:hint="eastAsia" w:ascii="仿宋" w:hAnsi="仿宋" w:eastAsia="仿宋" w:cs="仿宋"/>
                <w:color w:val="000000" w:themeColor="text1"/>
                <w:kern w:val="0"/>
                <w:sz w:val="20"/>
              </w:rPr>
              <w:t>。</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96</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124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1.△支持国产自主可控卫星资源，支持 2.4kbps 等多种话音速率；</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2.最大卫星数据速率不低于 9.6kbps；</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r>
              <w:rPr>
                <w:rFonts w:hint="eastAsia" w:ascii="仿宋_GB2312" w:hAnsi="仿宋_GB2312" w:eastAsia="仿宋_GB2312" w:cs="仿宋_GB2312"/>
                <w:color w:val="000000" w:themeColor="text1"/>
                <w:kern w:val="0"/>
                <w:szCs w:val="21"/>
              </w:rPr>
              <w:t>△</w:t>
            </w:r>
            <w:r>
              <w:rPr>
                <w:rFonts w:hint="eastAsia" w:ascii="仿宋_GB2312" w:hAnsi="仿宋_GB2312" w:eastAsia="仿宋_GB2312" w:cs="仿宋_GB2312"/>
                <w:color w:val="000000" w:themeColor="text1"/>
                <w:sz w:val="20"/>
              </w:rPr>
              <w:t>支持北斗定位（单北斗），防护等≥IP67。</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注：含一部话机+一年卫星通信费。</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224</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bl>
    <w:p>
      <w:pPr>
        <w:rPr>
          <w:rFonts w:ascii="仿宋_GB2312" w:hAnsi="仿宋_GB2312" w:eastAsia="仿宋_GB2312" w:cs="仿宋_GB2312"/>
          <w:color w:val="000000" w:themeColor="text1"/>
        </w:rPr>
      </w:pPr>
    </w:p>
    <w:p>
      <w:pPr>
        <w:rPr>
          <w:rFonts w:ascii="仿宋_GB2312" w:hAnsi="仿宋_GB2312" w:eastAsia="仿宋_GB2312" w:cs="仿宋_GB2312"/>
          <w:color w:val="000000" w:themeColor="text1"/>
        </w:rPr>
      </w:pPr>
    </w:p>
    <w:p>
      <w:pPr>
        <w:spacing w:line="288"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【说明】</w:t>
      </w:r>
    </w:p>
    <w:p>
      <w:pPr>
        <w:spacing w:line="360" w:lineRule="auto"/>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▲1.本次项目采购的市级视频监控资源汇聚须</w:t>
      </w:r>
      <w:r>
        <w:rPr>
          <w:rFonts w:hint="eastAsia" w:ascii="仿宋_GB2312" w:hAnsi="仿宋_GB2312" w:eastAsia="仿宋_GB2312" w:cs="仿宋_GB2312"/>
          <w:color w:val="000000" w:themeColor="text1"/>
          <w:sz w:val="24"/>
          <w:szCs w:val="24"/>
        </w:rPr>
        <w:t>实现与省级视频监控平台的互联互通</w:t>
      </w:r>
      <w:r>
        <w:rPr>
          <w:rFonts w:hint="eastAsia" w:ascii="仿宋_GB2312" w:hAnsi="仿宋_GB2312" w:eastAsia="仿宋_GB2312" w:cs="仿宋_GB2312"/>
          <w:color w:val="000000" w:themeColor="text1"/>
          <w:kern w:val="0"/>
          <w:sz w:val="24"/>
          <w:szCs w:val="24"/>
        </w:rPr>
        <w:t>。投标人需提供盖有投标人公章的相关承诺函（格式自拟），如中标人实际不能做到的，采购人</w:t>
      </w:r>
      <w:r>
        <w:rPr>
          <w:rFonts w:hint="eastAsia" w:ascii="仿宋_GB2312" w:hAnsi="仿宋_GB2312" w:eastAsia="仿宋_GB2312" w:cs="仿宋_GB2312"/>
          <w:color w:val="000000" w:themeColor="text1"/>
          <w:sz w:val="24"/>
          <w:szCs w:val="24"/>
        </w:rPr>
        <w:t>有权单方面解除合同，并依法追究相关责任</w:t>
      </w:r>
      <w:r>
        <w:rPr>
          <w:rFonts w:hint="eastAsia" w:ascii="仿宋_GB2312" w:hAnsi="仿宋_GB2312" w:eastAsia="仿宋_GB2312" w:cs="仿宋_GB2312"/>
          <w:color w:val="000000" w:themeColor="text1"/>
          <w:kern w:val="0"/>
          <w:sz w:val="24"/>
          <w:szCs w:val="24"/>
        </w:rPr>
        <w:t>。</w:t>
      </w:r>
    </w:p>
    <w:p>
      <w:pPr>
        <w:spacing w:line="360" w:lineRule="auto"/>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▲2.投标人需在本项目限定的时间工期内完成所有点位的建设并符合采购需求。如投标人在中标以后实际不能做到的，采购人</w:t>
      </w:r>
      <w:r>
        <w:rPr>
          <w:rFonts w:hint="eastAsia" w:ascii="仿宋_GB2312" w:hAnsi="仿宋_GB2312" w:eastAsia="仿宋_GB2312" w:cs="仿宋_GB2312"/>
          <w:color w:val="000000" w:themeColor="text1"/>
          <w:sz w:val="24"/>
          <w:szCs w:val="24"/>
        </w:rPr>
        <w:t>有权单方面解除合同，并依法追究相关责任</w:t>
      </w:r>
      <w:r>
        <w:rPr>
          <w:rFonts w:hint="eastAsia" w:ascii="仿宋_GB2312" w:hAnsi="仿宋_GB2312" w:eastAsia="仿宋_GB2312" w:cs="仿宋_GB2312"/>
          <w:color w:val="000000" w:themeColor="text1"/>
          <w:kern w:val="0"/>
          <w:sz w:val="24"/>
          <w:szCs w:val="24"/>
        </w:rPr>
        <w:t>。</w:t>
      </w:r>
    </w:p>
    <w:p>
      <w:pPr>
        <w:pStyle w:val="2"/>
        <w:spacing w:line="360" w:lineRule="auto"/>
        <w:ind w:firstLine="480"/>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pacing w:val="0"/>
          <w:szCs w:val="24"/>
        </w:rPr>
        <w:t>3.中标人提供的视频汇聚平台在终验后一年内需达到三级等保及密评要求，相关费用由中标人承担。</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四、工期、供货地点、质保期（运维期）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1.工期：合同签订之日起至9月底前完成系统功能测试并实现与省级视频监控平台的互联互通，且通过初步验收；10月份进入试运行，11月底完成终验并交付使用。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2.供货地点：根据采购人安排送至指定地点。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▲3.质保期及运维期要求：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质保期：本项目所采购的各项设备及系统（上述清单1-9项）质保期从项目终验合格开始计算，投标人应提供不少于3年的质保服务，在质保期内投标人应免费上门对损坏的部件或设备或系统进行维修、安装、更换、调试等；质保期</w:t>
      </w:r>
      <w:r>
        <w:rPr>
          <w:rFonts w:hint="eastAsia" w:ascii="仿宋_GB2312" w:hAnsi="仿宋_GB2312" w:eastAsia="仿宋_GB2312" w:cs="仿宋_GB2312"/>
          <w:bCs/>
          <w:color w:val="000000" w:themeColor="text1"/>
          <w:sz w:val="24"/>
          <w:szCs w:val="24"/>
        </w:rPr>
        <w:t>内免费更换的设备零部质保期应自更换之日起计不少于3年。</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（2）运维期：本项目所采购的各项设备、系统及相关服务的运维期</w:t>
      </w:r>
      <w:r>
        <w:rPr>
          <w:rFonts w:hint="eastAsia" w:ascii="仿宋_GB2312" w:hAnsi="仿宋_GB2312" w:eastAsia="仿宋_GB2312" w:cs="仿宋_GB2312"/>
          <w:color w:val="000000" w:themeColor="text1"/>
          <w:sz w:val="24"/>
          <w:szCs w:val="24"/>
        </w:rPr>
        <w:t>从项目终验合格开始计算，投标人应提供不少于5年的运维服务，包括中载云台的链路租赁费、挂载费、电费及数据服务费等；其中天通卫星电话需提供一年的卫星通信费。</w:t>
      </w:r>
      <w:r>
        <w:rPr>
          <w:rFonts w:hint="eastAsia" w:ascii="仿宋_GB2312" w:hAnsi="仿宋_GB2312" w:eastAsia="仿宋_GB2312" w:cs="仿宋_GB2312"/>
          <w:color w:val="000000" w:themeColor="text1"/>
          <w:sz w:val="24"/>
          <w:szCs w:val="24"/>
          <w:shd w:val="clear" w:color="auto" w:fill="FFFFFF"/>
        </w:rPr>
        <w:t>期间7*24小时监测系统运行情况，48小时内完成故障处理。</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五、供货、安装及验收要求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1.所有产品必须是厂家原装生产,原厂、原包装送货到采购人指定地点。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2.根据96个监控点位的安装条件，做好热成像中载云台的安装、挂载、系统安装调试等工作，并承担运维期内的日常电费。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3.中标人应做好安全防护措施，落实安全生产制度，并与采购人签订安全生产协议，在项目实施工程中的一切安全责任均由中标人自行承担。</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4.中标人须派遣技术熟练的专业技术人员按照国家有关标准进行设备安装、调试直至设备验收合格通过。</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Cs/>
          <w:color w:val="000000" w:themeColor="text1"/>
          <w:sz w:val="24"/>
          <w:szCs w:val="24"/>
        </w:rPr>
        <w:t>5.本项目设备安装完成后，由采购人组织相关人员进行验收，验收合格条件为相关对接或数据要求均已完成，使用效果符合国家及省级相关标准、采购文件技术规格要求、中标人投标文件中的承诺，并得到采购人的认可。</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六、售后服务及运维服务要求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1.中标人应提供上门售后服务，并提供7×24小时热线电话服务。</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2.响应时间：中标人应在接到采购人通报故障的电话或传真后应立即响应，对于无法通过电话或传真指导排除故障的，中标人在接到通知后2小时内响应，6小时内到达故障现场，无特殊情况在当天负责将系统恢复正常使用。修理费用由中标人承担，</w:t>
      </w:r>
      <w:r>
        <w:rPr>
          <w:rFonts w:hint="eastAsia" w:ascii="仿宋_GB2312" w:hAnsi="仿宋_GB2312" w:eastAsia="仿宋_GB2312" w:cs="仿宋_GB2312"/>
          <w:bCs/>
          <w:color w:val="000000" w:themeColor="text1"/>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themeColor="text1"/>
          <w:sz w:val="24"/>
          <w:szCs w:val="24"/>
        </w:rPr>
        <w:t>货到现场后由于采购人保管不当造成的问题，中标人亦应负责修复，但费用由采购人负担。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3.质保期内因产品质量问题而引起的维修费用（包括材料和人工费以及措施费等一切费用）均由中标人承担。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4.在质保期内设备出现2次维修不合格时，应及时更换新设备，以满足设备正常运行。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5.运维期内，提供维保服务，包括免费更换损坏的设备，维护人员对维护的视频监控设备进行全面检测一年两次，每半年维护保养一次。根据系统检测情况对系统实行维护，参数调整，保洁，故障维修等。</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6.维护监控设备：对现有的96个监控点位的所有设备进行维护保养；</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7.设备维护要求：</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每周基于视频管理平台至少一次对设备进行全面巡查，发现问题通过即时通信工具通知主管，如系线路故障的立即通知线路运营商修复，如设备损坏的立即带备品备件更换，2小时内响应，6小时内到达故障现场，无特殊情况在当天负责将系统恢复正常使用。</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8.维护单位需在舟山市有本岛常驻维护人员不少于1名,驻点维护车辆不少于1辆，必要的时候，根据用户需要，可以直接前往监控点位，进行维保工作。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9.维护人员应有足够的备件在公司或用户单位，从而以最快的速度解决系统的故障。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10.若用户对现有监控点位需要进行调整时，中标人需协调设备厂商必须免费进行配合选址和架设等工作，并在最短时间内完成监控恢复运行。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11.在用户承担重大活动保卫任务期间，根据用户要求，需派技术人员提前到场，保证任务期间系统正常运行。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12.任何部件出现故障（除人为和自然不可抗力以外），中标人需协调原生产厂商进行免费维修，元器件免费更换，直至修复系统。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13、各系统中的高功率损耗部件，如出现老化损耗现象，中标人可向用户建议整机更新，视情况收取相应成本费。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14、</w:t>
      </w:r>
      <w:r>
        <w:rPr>
          <w:rFonts w:hint="eastAsia" w:ascii="仿宋_GB2312" w:hAnsi="仿宋_GB2312" w:eastAsia="仿宋_GB2312" w:cs="仿宋_GB2312"/>
          <w:bCs/>
          <w:color w:val="000000" w:themeColor="text1"/>
          <w:sz w:val="24"/>
          <w:szCs w:val="24"/>
        </w:rPr>
        <w:t>质保期（运维期）</w:t>
      </w:r>
      <w:r>
        <w:rPr>
          <w:rFonts w:hint="eastAsia" w:ascii="仿宋_GB2312" w:hAnsi="仿宋_GB2312" w:eastAsia="仿宋_GB2312" w:cs="仿宋_GB2312"/>
          <w:color w:val="000000" w:themeColor="text1"/>
          <w:sz w:val="24"/>
          <w:szCs w:val="24"/>
        </w:rPr>
        <w:t>结束前，须由中标人和采购人进行一次全面检查，任何缺陷必须由中标人负责修理，在修理之后，中标人应将缺陷原因、修理内容、完成修理及恢复正常的时间和日期等报告给采购人，报告一式两份。</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七、培训要求</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1.为使采购人能正确使用产品，应对采购人相关人员进行操作、维修、维护的培训，使产品能正确的为采购人使用并达到使用效果。</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（1）需要培训的人数：按照实际情况需求，由采购人确定。</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（2）培训方式：用户现场培训。</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（3）培训费用：由中标人承担。</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（4）培训完成时间：培训工作直至用户人员能独立并正确使用该产品为止。</w:t>
      </w:r>
    </w:p>
    <w:p>
      <w:pPr>
        <w:pStyle w:val="11"/>
        <w:ind w:firstLine="482"/>
        <w:rPr>
          <w:rFonts w:ascii="仿宋_GB2312" w:hAnsi="仿宋_GB2312" w:eastAsia="仿宋_GB2312" w:cs="仿宋_GB2312"/>
          <w:b/>
          <w:bCs/>
        </w:rPr>
      </w:pPr>
    </w:p>
    <w:p>
      <w:pPr>
        <w:pStyle w:val="11"/>
        <w:ind w:firstLine="482"/>
        <w:rPr>
          <w:rFonts w:ascii="仿宋_GB2312" w:hAnsi="仿宋_GB2312" w:eastAsia="仿宋_GB2312" w:cs="仿宋_GB2312"/>
          <w:b/>
          <w:bCs/>
        </w:rPr>
      </w:pPr>
    </w:p>
    <w:p>
      <w:pPr>
        <w:pStyle w:val="6"/>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标项二：</w:t>
      </w:r>
    </w:p>
    <w:p>
      <w:pPr>
        <w:pStyle w:val="6"/>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一、项目背景</w:t>
      </w:r>
    </w:p>
    <w:p>
      <w:pPr>
        <w:spacing w:line="360" w:lineRule="auto"/>
        <w:ind w:firstLine="48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 w:val="24"/>
          <w:szCs w:val="24"/>
        </w:rPr>
        <w:t>防灾减灾救灾事关人民群众生命财产安全，事关社会和谐稳定。2023年以来，党中央、国务院对提升防灾减灾救灾能力、有效防范化解自然灾害重大风险做出了系列部署,2023年8月17日，中共中央政治局常务委员会召开会议，研究部署防汛抗洪救灾和灾后恢复重建工作，指出要进一步加强气象预警与灾害预报的联动，突出临灾预警，做好点对点精准预报和滚动更新，强化预警指向性，落实直达基层防汛责任人的临灾预警“叫应”机制，加强预警和应急响应联动，落实应急预案行动措施，把握工作主动权；要认真排查总结，抓紧补短板、强弱项，进一步提升我国防灾减灾救灾能力。要进一步建强各级应急指挥部体系，完善调度指挥、会商研判、业务保障等设施设备和系统，确保上下贯通、一体应对。10月份，国家计划增发1万亿元人民币国债，将推动实施自然灾害应急能力提升工程作为其中一项重要内容。</w:t>
      </w:r>
    </w:p>
    <w:p>
      <w:pPr>
        <w:pStyle w:val="6"/>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二、建设目标</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应急管理部和省应急管理厅统一部署，2024年底前，推动各地建成跨地域、跨层级的自然灾害防治预警指挥体系，实现自然灾害防治数据横向互联、纵向贯通；加强自然灾害综合风险感知能力，提高灾害风险研判、预警提醒和应急叫应能力; 进一步建强各级应急指挥中心，形成“上下贯通、左右联通”的应急指挥调度通信网络，增强应急通信保底手段，提升指挥系统抗灾能力、网络安全感知能力和科技支撑保障能力。</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本项目按照浙江省应急管理厅下发的《浙江省自然灾害应急提升工程预警指挥项目可行性研究报告》，在舟山市应</w:t>
      </w:r>
      <w:r>
        <w:rPr>
          <w:rFonts w:hint="eastAsia" w:ascii="仿宋_GB2312" w:hAnsi="仿宋_GB2312" w:eastAsia="仿宋_GB2312" w:cs="仿宋_GB2312"/>
          <w:color w:val="000000"/>
          <w:sz w:val="24"/>
          <w:szCs w:val="24"/>
        </w:rPr>
        <w:t>急管理局现有的应急指挥体系和网络安全防护体系基础上，重点加强市县的应急指挥指挥中心功能，提升应急指挥信息网的网络安全态势感知能力，充分实现网络安全监测预警与应急处置协同联动。</w:t>
      </w:r>
    </w:p>
    <w:p>
      <w:pPr>
        <w:pStyle w:val="6"/>
        <w:snapToGrid w:val="0"/>
        <w:spacing w:before="0" w:after="0" w:line="360" w:lineRule="auto"/>
        <w:ind w:firstLine="482"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三、建设内容及要求</w:t>
      </w:r>
    </w:p>
    <w:p>
      <w:pPr>
        <w:tabs>
          <w:tab w:val="left" w:pos="840"/>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1.强化全市各级应急指挥部功能，升级市、县两级屏幕、扩音、指挥调度音视频等信息化基础设施，建设内容参见采购清单。</w:t>
      </w:r>
    </w:p>
    <w:p>
      <w:pPr>
        <w:tabs>
          <w:tab w:val="left" w:pos="840"/>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2.提升支撑保障能力。</w:t>
      </w:r>
    </w:p>
    <w:p>
      <w:pPr>
        <w:spacing w:line="360" w:lineRule="auto"/>
        <w:ind w:firstLine="410" w:firstLineChars="171"/>
        <w:rPr>
          <w:rFonts w:ascii="仿宋_GB2312" w:hAnsi="仿宋_GB2312" w:eastAsia="仿宋_GB2312" w:cs="仿宋_GB2312"/>
          <w:sz w:val="24"/>
          <w:szCs w:val="24"/>
        </w:rPr>
      </w:pPr>
      <w:r>
        <w:rPr>
          <w:rFonts w:hint="eastAsia" w:ascii="仿宋_GB2312" w:hAnsi="仿宋_GB2312" w:eastAsia="仿宋_GB2312" w:cs="仿宋_GB2312"/>
          <w:sz w:val="24"/>
          <w:szCs w:val="24"/>
        </w:rPr>
        <w:t>通过本次建设任务提升应急指挥信息网的网络安全态势感知能力，充分实现网络安全监测预警与应急处置协同联动。满足省级应急管理部门统一感知监测全省网络安全态势要求，监控指挥信息网违规外联情况，管控入网终端安全，汇聚全省各类安全威胁监测数据并向部级平台实时共享。</w:t>
      </w:r>
    </w:p>
    <w:p>
      <w:pPr>
        <w:spacing w:line="360" w:lineRule="auto"/>
        <w:ind w:firstLine="410" w:firstLineChars="171"/>
        <w:rPr>
          <w:rFonts w:ascii="仿宋_GB2312" w:hAnsi="仿宋_GB2312" w:eastAsia="仿宋_GB2312" w:cs="仿宋_GB2312"/>
          <w:color w:val="FF0000"/>
        </w:rPr>
      </w:pPr>
      <w:r>
        <w:rPr>
          <w:rFonts w:hint="eastAsia" w:ascii="仿宋_GB2312" w:hAnsi="仿宋_GB2312" w:eastAsia="仿宋_GB2312" w:cs="仿宋_GB2312"/>
          <w:sz w:val="24"/>
          <w:szCs w:val="24"/>
        </w:rPr>
        <w:t>本项目为市县两级应急部门配置1台流量检测探针、7台SDWAN网关（边界侧）、1台违规外联检测探针、1台终端准入网关。</w:t>
      </w:r>
    </w:p>
    <w:p>
      <w:pPr>
        <w:pStyle w:val="6"/>
        <w:numPr>
          <w:ilvl w:val="0"/>
          <w:numId w:val="5"/>
        </w:numPr>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采购清单及性能要求 </w:t>
      </w:r>
    </w:p>
    <w:p>
      <w:pPr>
        <w:pStyle w:val="2"/>
        <w:ind w:firstLine="46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4"/>
        </w:rPr>
        <w:t>项目采购预算金额：2182000元</w:t>
      </w:r>
      <w:r>
        <w:rPr>
          <w:rFonts w:hint="eastAsia" w:ascii="仿宋_GB2312" w:hAnsi="仿宋_GB2312" w:eastAsia="仿宋_GB2312" w:cs="仿宋_GB2312"/>
          <w:color w:val="000000"/>
          <w:szCs w:val="24"/>
          <w:highlight w:val="none"/>
        </w:rPr>
        <w:t>，含</w:t>
      </w:r>
      <w:r>
        <w:rPr>
          <w:rFonts w:hint="eastAsia" w:ascii="仿宋_GB2312" w:hAnsi="仿宋_GB2312" w:eastAsia="仿宋_GB2312" w:cs="仿宋_GB2312"/>
          <w:color w:val="000000"/>
          <w:szCs w:val="24"/>
          <w:highlight w:val="none"/>
          <w:lang w:val="en-US" w:eastAsia="zh-CN"/>
        </w:rPr>
        <w:t>7</w:t>
      </w:r>
      <w:r>
        <w:rPr>
          <w:rFonts w:hint="eastAsia" w:ascii="仿宋_GB2312" w:hAnsi="仿宋_GB2312" w:eastAsia="仿宋_GB2312" w:cs="仿宋_GB2312"/>
          <w:color w:val="000000"/>
          <w:szCs w:val="24"/>
          <w:highlight w:val="none"/>
        </w:rPr>
        <w:t>个品目，如</w:t>
      </w:r>
      <w:r>
        <w:rPr>
          <w:rFonts w:hint="eastAsia" w:ascii="仿宋_GB2312" w:hAnsi="仿宋_GB2312" w:eastAsia="仿宋_GB2312" w:cs="仿宋_GB2312"/>
          <w:color w:val="000000" w:themeColor="text1"/>
          <w:szCs w:val="24"/>
        </w:rPr>
        <w:t>下表：</w:t>
      </w:r>
    </w:p>
    <w:p>
      <w:pPr>
        <w:spacing w:line="360" w:lineRule="auto"/>
        <w:ind w:firstLine="480" w:firstLineChars="200"/>
        <w:rPr>
          <w:rFonts w:ascii="仿宋_GB2312" w:hAnsi="仿宋_GB2312" w:eastAsia="仿宋_GB2312" w:cs="仿宋_GB2312"/>
          <w:color w:val="FF0000"/>
          <w:sz w:val="24"/>
          <w:szCs w:val="24"/>
          <w:shd w:val="clear" w:color="auto" w:fill="FFFFFF"/>
        </w:rPr>
      </w:pPr>
      <w:r>
        <w:rPr>
          <w:rFonts w:hint="eastAsia" w:ascii="仿宋_GB2312" w:hAnsi="仿宋_GB2312" w:eastAsia="仿宋_GB2312" w:cs="仿宋_GB2312"/>
          <w:color w:val="171A1D"/>
          <w:sz w:val="24"/>
          <w:szCs w:val="24"/>
          <w:shd w:val="clear" w:color="auto" w:fill="FFFFFF"/>
        </w:rPr>
        <w:t>4.1采购清单</w:t>
      </w:r>
      <w:r>
        <w:rPr>
          <w:rFonts w:hint="eastAsia" w:ascii="仿宋_GB2312" w:hAnsi="仿宋_GB2312" w:eastAsia="仿宋_GB2312" w:cs="仿宋_GB2312"/>
          <w:color w:val="FF0000"/>
          <w:sz w:val="24"/>
          <w:szCs w:val="24"/>
          <w:shd w:val="clear" w:color="auto" w:fill="FFFFFF"/>
        </w:rPr>
        <w:t xml:space="preserve"> </w:t>
      </w:r>
    </w:p>
    <w:tbl>
      <w:tblPr>
        <w:tblStyle w:val="24"/>
        <w:tblW w:w="9111" w:type="dxa"/>
        <w:tblInd w:w="-553" w:type="dxa"/>
        <w:tblLayout w:type="fixed"/>
        <w:tblCellMar>
          <w:top w:w="0" w:type="dxa"/>
          <w:left w:w="108" w:type="dxa"/>
          <w:bottom w:w="0" w:type="dxa"/>
          <w:right w:w="108" w:type="dxa"/>
        </w:tblCellMar>
      </w:tblPr>
      <w:tblGrid>
        <w:gridCol w:w="806"/>
        <w:gridCol w:w="2290"/>
        <w:gridCol w:w="977"/>
        <w:gridCol w:w="924"/>
        <w:gridCol w:w="2702"/>
        <w:gridCol w:w="1412"/>
      </w:tblGrid>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序号</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设备名称</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数量</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单位</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备注</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kern w:val="0"/>
                <w:sz w:val="20"/>
                <w:szCs w:val="20"/>
              </w:rPr>
              <w:t>中小企业划分标准所属行业</w:t>
            </w:r>
          </w:p>
        </w:tc>
      </w:tr>
      <w:tr>
        <w:tblPrEx>
          <w:tblCellMar>
            <w:top w:w="0" w:type="dxa"/>
            <w:left w:w="108" w:type="dxa"/>
            <w:bottom w:w="0" w:type="dxa"/>
            <w:right w:w="108" w:type="dxa"/>
          </w:tblCellMar>
        </w:tblPrEx>
        <w:trPr>
          <w:trHeight w:val="421" w:hRule="atLeast"/>
        </w:trPr>
        <w:tc>
          <w:tcPr>
            <w:tcW w:w="769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（一）品目一：舟山市应急管理局     预算一：970000元</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FF0000"/>
                <w:kern w:val="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数字调音台接口箱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分布式输入输出节点</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曲面屏</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服务器机柜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机房配套</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机柜承重支架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机柜专用PDU</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管线配套</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信创防火墙带路由功能</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抬头屏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911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流量检测探针</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restart"/>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 xml:space="preserve">市本级 </w:t>
            </w: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违规外联检测探针</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终端准入网关</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仿宋_GB2312" w:hAnsi="仿宋_GB2312" w:eastAsia="仿宋_GB2312" w:cs="仿宋_GB2312"/>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二</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二</w:t>
            </w:r>
            <w:r>
              <w:rPr>
                <w:rFonts w:hint="eastAsia" w:ascii="仿宋_GB2312" w:hAnsi="仿宋_GB2312" w:eastAsia="仿宋_GB2312" w:cs="仿宋_GB2312"/>
                <w:b/>
                <w:bCs/>
                <w:color w:val="000000" w:themeColor="text1"/>
                <w:kern w:val="0"/>
                <w:sz w:val="20"/>
              </w:rPr>
              <w:t>：普朱管委会   预算</w:t>
            </w:r>
            <w:r>
              <w:rPr>
                <w:rFonts w:ascii="仿宋_GB2312" w:hAnsi="仿宋_GB2312" w:eastAsia="仿宋_GB2312" w:cs="仿宋_GB2312"/>
                <w:b/>
                <w:bCs/>
                <w:color w:val="000000" w:themeColor="text1"/>
                <w:kern w:val="0"/>
                <w:sz w:val="20"/>
              </w:rPr>
              <w:t>二</w:t>
            </w:r>
            <w:r>
              <w:rPr>
                <w:rFonts w:hint="eastAsia" w:ascii="仿宋_GB2312" w:hAnsi="仿宋_GB2312" w:eastAsia="仿宋_GB2312" w:cs="仿宋_GB2312"/>
                <w:b/>
                <w:bCs/>
                <w:color w:val="000000" w:themeColor="text1"/>
                <w:kern w:val="0"/>
                <w:sz w:val="20"/>
              </w:rPr>
              <w:t>：5000元</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themeColor="text1"/>
                <w:sz w:val="20"/>
              </w:rPr>
            </w:pPr>
            <w:r>
              <w:rPr>
                <w:rFonts w:hint="eastAsia" w:ascii="仿宋_GB2312" w:hAnsi="仿宋_GB2312" w:eastAsia="仿宋_GB2312" w:cs="仿宋_GB2312"/>
                <w:b/>
                <w:bCs/>
                <w:color w:val="000000" w:themeColor="text1"/>
                <w:kern w:val="0"/>
                <w:sz w:val="20"/>
              </w:rPr>
              <w:t>一、安全设备</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普朱</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三</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三</w:t>
            </w:r>
            <w:r>
              <w:rPr>
                <w:rFonts w:hint="eastAsia" w:ascii="仿宋_GB2312" w:hAnsi="仿宋_GB2312" w:eastAsia="仿宋_GB2312" w:cs="仿宋_GB2312"/>
                <w:b/>
                <w:bCs/>
                <w:color w:val="000000" w:themeColor="text1"/>
                <w:kern w:val="0"/>
                <w:sz w:val="20"/>
              </w:rPr>
              <w:t>：普陀区应急管理局      预算</w:t>
            </w:r>
            <w:r>
              <w:rPr>
                <w:rFonts w:ascii="仿宋_GB2312" w:hAnsi="仿宋_GB2312" w:eastAsia="仿宋_GB2312" w:cs="仿宋_GB2312"/>
                <w:b/>
                <w:bCs/>
                <w:color w:val="000000" w:themeColor="text1"/>
                <w:kern w:val="0"/>
                <w:sz w:val="20"/>
              </w:rPr>
              <w:t>三</w:t>
            </w:r>
            <w:r>
              <w:rPr>
                <w:rFonts w:hint="eastAsia" w:ascii="仿宋_GB2312" w:hAnsi="仿宋_GB2312" w:eastAsia="仿宋_GB2312" w:cs="仿宋_GB2312"/>
                <w:b/>
                <w:bCs/>
                <w:color w:val="000000" w:themeColor="text1"/>
                <w:kern w:val="0"/>
                <w:sz w:val="20"/>
              </w:rPr>
              <w:t>：602000元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000000" w:sz="4" w:space="0"/>
            </w:tcBorders>
            <w:vAlign w:val="center"/>
          </w:tcPr>
          <w:p>
            <w:pPr>
              <w:ind w:firstLine="513"/>
              <w:jc w:val="left"/>
              <w:rPr>
                <w:rFonts w:ascii="仿宋_GB2312" w:hAnsi="仿宋_GB2312" w:eastAsia="仿宋_GB2312" w:cs="仿宋_GB2312"/>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P1.2全彩屏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20.3</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平方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ind w:firstLine="513"/>
              <w:jc w:val="left"/>
              <w:rPr>
                <w:rFonts w:ascii="仿宋_GB2312" w:hAnsi="仿宋_GB2312" w:eastAsia="仿宋_GB2312" w:cs="仿宋_GB2312"/>
              </w:rPr>
            </w:pPr>
            <w:r>
              <w:rPr>
                <w:rFonts w:hint="eastAsia" w:ascii="仿宋_GB2312" w:hAnsi="仿宋_GB2312" w:eastAsia="仿宋_GB2312" w:cs="仿宋_GB2312"/>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独立主控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拼接处理器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安装钢结构及包边</w:t>
            </w:r>
          </w:p>
        </w:tc>
        <w:tc>
          <w:tcPr>
            <w:tcW w:w="977" w:type="dxa"/>
            <w:tcBorders>
              <w:top w:val="nil"/>
              <w:left w:val="nil"/>
              <w:bottom w:val="nil"/>
              <w:right w:val="nil"/>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主音箱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主音箱功放</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音频处理器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调音台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一拖二手持话筒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天线分配器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抑制器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★网络型可编程中央控制主机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中控系统</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p>
            <w:pPr>
              <w:ind w:firstLine="496"/>
              <w:jc w:val="left"/>
              <w:rPr>
                <w:rFonts w:ascii="仿宋_GB2312" w:hAnsi="仿宋_GB2312" w:eastAsia="仿宋_GB2312" w:cs="仿宋_GB2312"/>
              </w:rPr>
            </w:pPr>
            <w:r>
              <w:rPr>
                <w:rFonts w:hint="eastAsia" w:ascii="仿宋_GB2312" w:hAnsi="仿宋_GB2312" w:eastAsia="仿宋_GB2312" w:cs="仿宋_GB2312"/>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电源控制器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控制平板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中控软件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kern w:val="0"/>
                <w:sz w:val="20"/>
                <w:szCs w:val="20"/>
              </w:rPr>
              <w:t>软件和信息技术服务</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会议摄像机</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普陀</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四</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四</w:t>
            </w:r>
            <w:r>
              <w:rPr>
                <w:rFonts w:hint="eastAsia" w:ascii="仿宋_GB2312" w:hAnsi="仿宋_GB2312" w:eastAsia="仿宋_GB2312" w:cs="仿宋_GB2312"/>
                <w:b/>
                <w:bCs/>
                <w:color w:val="000000" w:themeColor="text1"/>
                <w:kern w:val="0"/>
                <w:sz w:val="20"/>
              </w:rPr>
              <w:t>：岱山县应急管理局       预算</w:t>
            </w:r>
            <w:r>
              <w:rPr>
                <w:rFonts w:ascii="仿宋_GB2312" w:hAnsi="仿宋_GB2312" w:eastAsia="仿宋_GB2312" w:cs="仿宋_GB2312"/>
                <w:b/>
                <w:bCs/>
                <w:color w:val="000000" w:themeColor="text1"/>
                <w:kern w:val="0"/>
                <w:sz w:val="20"/>
              </w:rPr>
              <w:t>四</w:t>
            </w:r>
            <w:r>
              <w:rPr>
                <w:rFonts w:hint="eastAsia" w:ascii="仿宋_GB2312" w:hAnsi="仿宋_GB2312" w:eastAsia="仿宋_GB2312" w:cs="仿宋_GB2312"/>
                <w:b/>
                <w:bCs/>
                <w:color w:val="000000" w:themeColor="text1"/>
                <w:kern w:val="0"/>
                <w:sz w:val="20"/>
              </w:rPr>
              <w:t>：105000元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20KVA UPS主机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蓄电池</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节</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电池柜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岱山</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五</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五</w:t>
            </w:r>
            <w:r>
              <w:rPr>
                <w:rFonts w:hint="eastAsia" w:ascii="仿宋_GB2312" w:hAnsi="仿宋_GB2312" w:eastAsia="仿宋_GB2312" w:cs="仿宋_GB2312"/>
                <w:b/>
                <w:bCs/>
                <w:color w:val="000000" w:themeColor="text1"/>
                <w:kern w:val="0"/>
                <w:sz w:val="20"/>
              </w:rPr>
              <w:t>：嵊泗县应急管理局    预算</w:t>
            </w:r>
            <w:r>
              <w:rPr>
                <w:rFonts w:ascii="仿宋_GB2312" w:hAnsi="仿宋_GB2312" w:eastAsia="仿宋_GB2312" w:cs="仿宋_GB2312"/>
                <w:b/>
                <w:bCs/>
                <w:color w:val="000000" w:themeColor="text1"/>
                <w:kern w:val="0"/>
                <w:sz w:val="20"/>
              </w:rPr>
              <w:t>五</w:t>
            </w:r>
            <w:r>
              <w:rPr>
                <w:rFonts w:hint="eastAsia" w:ascii="仿宋_GB2312" w:hAnsi="仿宋_GB2312" w:eastAsia="仿宋_GB2312" w:cs="仿宋_GB2312"/>
                <w:b/>
                <w:bCs/>
                <w:color w:val="000000" w:themeColor="text1"/>
                <w:kern w:val="0"/>
                <w:sz w:val="20"/>
              </w:rPr>
              <w:t>：375000元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auto" w:sz="4" w:space="0"/>
              <w:bottom w:val="single" w:color="000000" w:sz="4" w:space="0"/>
              <w:right w:val="single" w:color="auto"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主扩声专业音箱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主扩声专业功放</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辅助专业音箱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辅助专业功放</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音频处理器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调音台</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一拖二手持话筒</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智能混音器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音频隔离器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天线分配器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一键式会议协作系统</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电子桌牌</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eastAsia="仿宋_GB2312"/>
                <w:color w:val="000000" w:themeColor="text1"/>
                <w:sz w:val="24"/>
                <w:szCs w:val="24"/>
              </w:rPr>
              <w:t>▲</w:t>
            </w:r>
            <w:r>
              <w:rPr>
                <w:rFonts w:hint="eastAsia" w:ascii="仿宋_GB2312" w:hAnsi="仿宋_GB2312" w:eastAsia="仿宋_GB2312" w:cs="仿宋_GB2312"/>
                <w:color w:val="000000" w:themeColor="text1"/>
                <w:kern w:val="0"/>
                <w:sz w:val="20"/>
              </w:rPr>
              <w:t>信创操作电脑</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会议抬头屏</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移动会议系统</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网络型可编程中央控制主机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中控系统</w:t>
            </w: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tabs>
                <w:tab w:val="left" w:pos="521"/>
              </w:tabs>
              <w:jc w:val="left"/>
              <w:rPr>
                <w:rFonts w:ascii="仿宋_GB2312" w:hAnsi="仿宋_GB2312" w:eastAsia="仿宋_GB2312" w:cs="仿宋_GB2312"/>
                <w:color w:val="000000"/>
                <w:sz w:val="20"/>
              </w:rPr>
            </w:pPr>
            <w:r>
              <w:rPr>
                <w:rFonts w:hint="eastAsia" w:ascii="仿宋_GB2312" w:hAnsi="仿宋_GB2312" w:eastAsia="仿宋_GB2312" w:cs="仿宋_GB2312"/>
                <w:color w:val="000000"/>
                <w:sz w:val="20"/>
              </w:rPr>
              <w:tab/>
            </w: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电源控制器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控制平板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中控软件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kern w:val="0"/>
                <w:sz w:val="20"/>
                <w:szCs w:val="20"/>
              </w:rPr>
              <w:t>软件和信息技术服务</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信创安全网关</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tabs>
                <w:tab w:val="left" w:pos="513"/>
              </w:tabs>
              <w:jc w:val="left"/>
              <w:rPr>
                <w:rFonts w:ascii="仿宋_GB2312" w:hAnsi="仿宋_GB2312" w:eastAsia="仿宋_GB2312" w:cs="仿宋_GB2312"/>
                <w:color w:val="000000"/>
                <w:sz w:val="20"/>
              </w:rPr>
            </w:pPr>
            <w:r>
              <w:rPr>
                <w:rFonts w:hint="eastAsia" w:ascii="仿宋_GB2312" w:hAnsi="仿宋_GB2312" w:eastAsia="仿宋_GB2312" w:cs="仿宋_GB2312"/>
                <w:color w:val="000000"/>
                <w:sz w:val="20"/>
              </w:rPr>
              <w:tab/>
            </w: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二、安全设备</w:t>
            </w:r>
          </w:p>
        </w:tc>
        <w:tc>
          <w:tcPr>
            <w:tcW w:w="1412" w:type="dxa"/>
            <w:tcBorders>
              <w:top w:val="single" w:color="000000" w:sz="4" w:space="0"/>
              <w:left w:val="single" w:color="000000" w:sz="4" w:space="0"/>
              <w:bottom w:val="single" w:color="auto"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936"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 xml:space="preserve"> 嵊泗县 </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1" w:hRule="atLeast"/>
        </w:trPr>
        <w:tc>
          <w:tcPr>
            <w:tcW w:w="7699" w:type="dxa"/>
            <w:gridSpan w:val="5"/>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六</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六</w:t>
            </w:r>
            <w:r>
              <w:rPr>
                <w:rFonts w:hint="eastAsia" w:ascii="仿宋_GB2312" w:hAnsi="仿宋_GB2312" w:eastAsia="仿宋_GB2312" w:cs="仿宋_GB2312"/>
                <w:b/>
                <w:bCs/>
                <w:color w:val="000000" w:themeColor="text1"/>
                <w:kern w:val="0"/>
                <w:sz w:val="20"/>
              </w:rPr>
              <w:t>：普陀山镇人民政府   预算二：120000元</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P1.2全彩屏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6.144</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平方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restart"/>
            <w:tcBorders>
              <w:top w:val="single" w:color="auto"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LED屏拼控处理器</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安装钢结构及包边</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 xml:space="preserve"> </w:t>
            </w:r>
            <w:r>
              <w:rPr>
                <w:rFonts w:hint="eastAsia" w:ascii="仿宋_GB2312" w:hAnsi="仿宋_GB2312" w:eastAsia="仿宋_GB2312" w:cs="仿宋_GB2312"/>
                <w:b/>
                <w:bCs/>
                <w:color w:val="auto"/>
                <w:kern w:val="0"/>
                <w:sz w:val="20"/>
              </w:rPr>
              <w:t>（七）品目七：定海区应急管理局    预算七： 5000元</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1</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SDWAN网关（边界侧）</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1</w:t>
            </w: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台</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 xml:space="preserve"> 定海区</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sz w:val="20"/>
              </w:rPr>
              <w:t>工业</w:t>
            </w:r>
          </w:p>
        </w:tc>
      </w:tr>
    </w:tbl>
    <w:p>
      <w:pPr>
        <w:spacing w:line="360" w:lineRule="auto"/>
        <w:ind w:firstLine="480" w:firstLineChars="200"/>
        <w:rPr>
          <w:rFonts w:ascii="仿宋_GB2312" w:hAnsi="仿宋_GB2312" w:eastAsia="仿宋_GB2312" w:cs="仿宋_GB2312"/>
          <w:color w:val="171A1D"/>
          <w:sz w:val="24"/>
          <w:szCs w:val="24"/>
          <w:shd w:val="clear" w:color="auto" w:fill="FFFFFF"/>
        </w:rPr>
      </w:pPr>
    </w:p>
    <w:p>
      <w:pPr>
        <w:spacing w:line="360" w:lineRule="auto"/>
        <w:ind w:firstLine="480" w:firstLineChars="200"/>
        <w:rPr>
          <w:rFonts w:ascii="仿宋_GB2312" w:hAnsi="仿宋_GB2312" w:eastAsia="仿宋_GB2312" w:cs="仿宋_GB2312"/>
          <w:color w:val="171A1D"/>
          <w:sz w:val="24"/>
          <w:szCs w:val="24"/>
          <w:shd w:val="clear" w:color="auto" w:fill="FFFFFF"/>
        </w:rPr>
      </w:pPr>
      <w:r>
        <w:rPr>
          <w:rFonts w:hint="eastAsia" w:ascii="仿宋_GB2312" w:hAnsi="仿宋_GB2312" w:eastAsia="仿宋_GB2312" w:cs="仿宋_GB2312"/>
          <w:color w:val="171A1D"/>
          <w:sz w:val="24"/>
          <w:szCs w:val="24"/>
          <w:shd w:val="clear" w:color="auto" w:fill="FFFFFF"/>
        </w:rPr>
        <w:t>4.2 技术性能要求</w:t>
      </w:r>
    </w:p>
    <w:tbl>
      <w:tblPr>
        <w:tblStyle w:val="24"/>
        <w:tblW w:w="8964" w:type="dxa"/>
        <w:tblInd w:w="-559" w:type="dxa"/>
        <w:tblLayout w:type="fixed"/>
        <w:tblCellMar>
          <w:top w:w="0" w:type="dxa"/>
          <w:left w:w="108" w:type="dxa"/>
          <w:bottom w:w="0" w:type="dxa"/>
          <w:right w:w="108" w:type="dxa"/>
        </w:tblCellMar>
      </w:tblPr>
      <w:tblGrid>
        <w:gridCol w:w="884"/>
        <w:gridCol w:w="1979"/>
        <w:gridCol w:w="6101"/>
      </w:tblGrid>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序号</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设备名称</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技术参数</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一、指挥调度音视频等信息化基础设施</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（一）市本级</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数字调音台接口箱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▲一、总体要求：</w:t>
            </w:r>
            <w:r>
              <w:rPr>
                <w:rFonts w:hint="eastAsia" w:ascii="仿宋_GB2312" w:hAnsi="仿宋_GB2312" w:eastAsia="仿宋_GB2312" w:cs="仿宋_GB2312"/>
                <w:color w:val="000000" w:themeColor="text1"/>
              </w:rPr>
              <w:t>本次采购需兼容原有设备（</w:t>
            </w:r>
            <w:r>
              <w:rPr>
                <w:rFonts w:hint="eastAsia" w:ascii="宋体" w:hAnsi="宋体" w:cs="宋体"/>
                <w:color w:val="000000" w:themeColor="text1"/>
                <w:kern w:val="0"/>
                <w:sz w:val="20"/>
              </w:rPr>
              <w:t>原</w:t>
            </w:r>
            <w:r>
              <w:rPr>
                <w:rFonts w:hint="eastAsia"/>
                <w:color w:val="000000" w:themeColor="text1"/>
              </w:rPr>
              <w:t>调音台品牌型号为YAMAHA TF3</w:t>
            </w:r>
            <w:r>
              <w:rPr>
                <w:rFonts w:hint="eastAsia" w:ascii="仿宋_GB2312" w:hAnsi="仿宋_GB2312" w:eastAsia="仿宋_GB2312" w:cs="仿宋_GB2312"/>
                <w:color w:val="000000" w:themeColor="text1"/>
              </w:rPr>
              <w:t>）：</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1、接口箱：</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≥16个模拟输入，采用经典模拟话放带+48 V 幻象电源；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≥8 路线路输出；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2、接口卡：</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调音台的Dante网络扩展卡。通过和接口箱连接，可以组成一个多达40路输入和24路输出的多功能接口箱系统。</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分布式输入输出节点</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仿宋_GB2312" w:eastAsia="仿宋_GB2312" w:cs="仿宋_GB2312"/>
                <w:b/>
                <w:bCs/>
                <w:color w:val="000000" w:themeColor="text1"/>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rPr>
              <w:t>1、整体要求</w:t>
            </w:r>
            <w:r>
              <w:rPr>
                <w:rFonts w:hint="eastAsia" w:ascii="仿宋_GB2312" w:hAnsi="仿宋_GB2312" w:eastAsia="仿宋_GB2312" w:cs="仿宋_GB2312"/>
                <w:color w:val="000000"/>
              </w:rPr>
              <w:t>：</w:t>
            </w:r>
            <w:r>
              <w:rPr>
                <w:rFonts w:hint="eastAsia" w:ascii="仿宋_GB2312" w:hAnsi="仿宋_GB2312" w:eastAsia="仿宋_GB2312" w:cs="仿宋_GB2312"/>
                <w:color w:val="000000"/>
                <w:szCs w:val="21"/>
              </w:rPr>
              <w:t>必须无缝接入原分布式系统，可获取原分布式输入</w:t>
            </w:r>
            <w:r>
              <w:rPr>
                <w:rFonts w:hint="eastAsia" w:ascii="仿宋_GB2312" w:hAnsi="仿宋_GB2312" w:eastAsia="仿宋_GB2312" w:cs="仿宋_GB2312"/>
                <w:color w:val="000000" w:themeColor="text1"/>
                <w:szCs w:val="21"/>
              </w:rPr>
              <w:t>输出出节点和本次新配备分布式输入输出节点的音视频信号。</w:t>
            </w:r>
            <w:r>
              <w:rPr>
                <w:rFonts w:hint="eastAsia" w:ascii="仿宋_GB2312" w:hAnsi="仿宋_GB2312" w:eastAsia="仿宋_GB2312" w:cs="仿宋_GB2312"/>
                <w:color w:val="000000" w:themeColor="text1"/>
                <w:kern w:val="0"/>
                <w:sz w:val="20"/>
              </w:rPr>
              <w:t>分布式输入输出节点各17台。</w:t>
            </w:r>
          </w:p>
          <w:p>
            <w:pP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1"/>
              </w:rPr>
              <w:t>2、</w:t>
            </w:r>
            <w:r>
              <w:rPr>
                <w:rFonts w:hint="eastAsia" w:ascii="仿宋_GB2312" w:hAnsi="仿宋_GB2312" w:eastAsia="仿宋_GB2312" w:cs="仿宋_GB2312"/>
                <w:b/>
                <w:bCs/>
                <w:color w:val="000000" w:themeColor="text1"/>
              </w:rPr>
              <w:t>原分布式输入节点设备参数如下：</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①采用无风扇静音设计，嵌入式硬件，具备1路HDMI输入接口、1路HDMI环出接口、1路模拟音频输入接口、1路模拟音频输出接口、1路MIC接口、1路RJ45接口、1路232接口、1路485接口、3路IO/IR 接口、3路RELAY接口、2路USB接口、1路KVM HID接口、1路 SEARCH 复位按键；</w:t>
            </w:r>
          </w:p>
          <w:p>
            <w:pPr>
              <w:rPr>
                <w:rFonts w:ascii="仿宋_GB2312" w:hAnsi="仿宋_GB2312" w:eastAsia="仿宋_GB2312" w:cs="仿宋_GB2312"/>
                <w:szCs w:val="21"/>
              </w:rPr>
            </w:pPr>
            <w:r>
              <w:rPr>
                <w:rFonts w:hint="eastAsia" w:ascii="仿宋_GB2312" w:hAnsi="仿宋_GB2312" w:eastAsia="仿宋_GB2312" w:cs="仿宋_GB2312"/>
                <w:color w:val="000000" w:themeColor="text1"/>
                <w:szCs w:val="21"/>
              </w:rPr>
              <w:t>②支持 4K 分辨率输入，且分</w:t>
            </w:r>
            <w:r>
              <w:rPr>
                <w:rFonts w:hint="eastAsia" w:ascii="仿宋_GB2312" w:hAnsi="仿宋_GB2312" w:eastAsia="仿宋_GB2312" w:cs="仿宋_GB2312"/>
                <w:szCs w:val="21"/>
              </w:rPr>
              <w:t>辨率和帧率自适应向下兼容，确保图像动态细节和流畅性；</w:t>
            </w:r>
          </w:p>
          <w:p>
            <w:pPr>
              <w:rPr>
                <w:rFonts w:ascii="仿宋_GB2312" w:hAnsi="仿宋_GB2312" w:eastAsia="仿宋_GB2312" w:cs="仿宋_GB2312"/>
                <w:szCs w:val="21"/>
              </w:rPr>
            </w:pPr>
            <w:r>
              <w:rPr>
                <w:rFonts w:hint="eastAsia" w:ascii="仿宋_GB2312" w:hAnsi="仿宋_GB2312" w:eastAsia="仿宋_GB2312" w:cs="仿宋_GB2312"/>
                <w:szCs w:val="21"/>
              </w:rPr>
              <w:t>③节点 HDMI 视频接口具备 1 至 7 级可调节伸缩保护卡扣装置；</w:t>
            </w:r>
          </w:p>
          <w:p>
            <w:pPr>
              <w:rPr>
                <w:rFonts w:ascii="仿宋_GB2312" w:hAnsi="仿宋_GB2312" w:eastAsia="仿宋_GB2312" w:cs="仿宋_GB2312"/>
                <w:szCs w:val="21"/>
              </w:rPr>
            </w:pPr>
            <w:r>
              <w:rPr>
                <w:rFonts w:hint="eastAsia" w:ascii="仿宋_GB2312" w:hAnsi="仿宋_GB2312" w:eastAsia="仿宋_GB2312" w:cs="仿宋_GB2312"/>
                <w:szCs w:val="21"/>
              </w:rPr>
              <w:t>④具备 HID 安全认证接口和模块；</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⑤支持帧内编辑，对不重要、不需要的内容进行屏蔽、裁剪，以便重点突出，展示重点内容、图表等；</w:t>
            </w:r>
          </w:p>
          <w:p>
            <w:pP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3、本次新配备的分布式输入节点设备功能要求：</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①≥2路HDMI输入接口，其余接口等于或高于原参数；</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②需采用完全分布式架构，无需配置服务器即可构建无服务器的去中心化分布式音视频综合管控网络，运行中可断开任意分布式节点，系统运行不受影响；</w:t>
            </w:r>
          </w:p>
          <w:p>
            <w:pPr>
              <w:rPr>
                <w:rFonts w:ascii="仿宋_GB2312" w:hAnsi="仿宋_GB2312" w:eastAsia="仿宋_GB2312" w:cs="仿宋_GB2312"/>
                <w:color w:val="000000"/>
                <w:kern w:val="0"/>
                <w:szCs w:val="21"/>
                <w:highlight w:val="lightGray"/>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③需确保系统业务数据安全，接入内网的电脑与接入外部互联网的电脑，在通过 HDMI 连接线及USB连接线都接入节点的情况下，节点只支持键盘鼠标信号传输和视频信号传输，两台电脑之间不会发生数据互通，避免出现内网通过节点连入外部互联网，避免“一机两用”违规；</w:t>
            </w:r>
            <w:r>
              <w:rPr>
                <w:rFonts w:hint="eastAsia" w:ascii="仿宋_GB2312" w:hAnsi="仿宋_GB2312" w:eastAsia="仿宋_GB2312" w:cs="仿宋_GB2312"/>
                <w:color w:val="000000"/>
                <w:kern w:val="0"/>
                <w:szCs w:val="21"/>
              </w:rPr>
              <w:t>(提供权威检测机构检测报告)</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④需支持本地环出，环出信号与输入信号一致；具备接口备份功能的节点，环出自动跟随主备信号切换；</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⑤需具备输入信号丢失检测的功能，便于对输入进行排查、处理；信号恢复正常后有信号正常指示；</w:t>
            </w:r>
          </w:p>
          <w:p>
            <w:pPr>
              <w:rPr>
                <w:rFonts w:ascii="仿宋_GB2312" w:hAnsi="仿宋_GB2312" w:eastAsia="仿宋_GB2312" w:cs="仿宋_GB2312"/>
              </w:rPr>
            </w:pPr>
            <w:r>
              <w:rPr>
                <w:rFonts w:hint="eastAsia" w:ascii="仿宋_GB2312" w:hAnsi="仿宋_GB2312" w:eastAsia="仿宋_GB2312" w:cs="仿宋_GB2312"/>
                <w:color w:val="000000"/>
                <w:szCs w:val="21"/>
              </w:rPr>
              <w:t>⑥支持用户自定义组网密码加密关键信息，以便未经用户授权设备不可并网使用，实现信息安全可靠，加密可支持 AES128，AES256，DES，3DES 等；</w:t>
            </w:r>
          </w:p>
          <w:p>
            <w:pPr>
              <w:widowControl/>
              <w:numPr>
                <w:ilvl w:val="0"/>
                <w:numId w:val="6"/>
              </w:numPr>
              <w:jc w:val="left"/>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原分布式输出节点设备参数如下：</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①需采用无风扇静音设计，嵌入式硬件，具备≥1路HDMI输出接口、≥1路RJ45接口、≥1路232接口、≥1路IO/IR接口、≥1路SEARCH复位按键；</w:t>
            </w:r>
          </w:p>
          <w:p>
            <w:pPr>
              <w:rPr>
                <w:rFonts w:ascii="仿宋_GB2312" w:hAnsi="仿宋_GB2312" w:eastAsia="仿宋_GB2312" w:cs="仿宋_GB2312"/>
                <w:szCs w:val="21"/>
              </w:rPr>
            </w:pPr>
            <w:r>
              <w:rPr>
                <w:rFonts w:hint="eastAsia" w:ascii="仿宋_GB2312" w:hAnsi="仿宋_GB2312" w:eastAsia="仿宋_GB2312" w:cs="仿宋_GB2312"/>
                <w:color w:val="000000"/>
                <w:szCs w:val="21"/>
              </w:rPr>
              <w:t>②</w:t>
            </w:r>
            <w:r>
              <w:rPr>
                <w:rFonts w:hint="eastAsia" w:ascii="仿宋_GB2312" w:hAnsi="仿宋_GB2312" w:eastAsia="仿宋_GB2312" w:cs="仿宋_GB2312"/>
                <w:color w:val="000000" w:themeColor="text1"/>
                <w:szCs w:val="21"/>
              </w:rPr>
              <w:t>分辨率最高支持4K分辨率输出，</w:t>
            </w:r>
            <w:r>
              <w:rPr>
                <w:rFonts w:hint="eastAsia" w:ascii="仿宋_GB2312" w:hAnsi="仿宋_GB2312" w:eastAsia="仿宋_GB2312" w:cs="仿宋_GB2312"/>
                <w:szCs w:val="21"/>
              </w:rPr>
              <w:t>且兼容以下分辨率图像输出；</w:t>
            </w:r>
          </w:p>
          <w:p>
            <w:pPr>
              <w:rPr>
                <w:rFonts w:ascii="仿宋_GB2312" w:hAnsi="仿宋_GB2312" w:eastAsia="仿宋_GB2312" w:cs="仿宋_GB2312"/>
                <w:color w:val="000000"/>
                <w:szCs w:val="21"/>
              </w:rPr>
            </w:pPr>
            <w:r>
              <w:rPr>
                <w:rFonts w:hint="eastAsia" w:ascii="仿宋_GB2312" w:hAnsi="仿宋_GB2312" w:eastAsia="仿宋_GB2312" w:cs="仿宋_GB2312"/>
                <w:szCs w:val="21"/>
              </w:rPr>
              <w:t>③节点HDMI视频接口具备1至7级可调节伸缩</w:t>
            </w:r>
            <w:r>
              <w:rPr>
                <w:rFonts w:hint="eastAsia" w:ascii="仿宋_GB2312" w:hAnsi="仿宋_GB2312" w:eastAsia="仿宋_GB2312" w:cs="仿宋_GB2312"/>
                <w:color w:val="000000"/>
                <w:szCs w:val="21"/>
              </w:rPr>
              <w:t>保护卡扣装置；</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④支持操作终端虚拟大屏直接信号切换场景：支持大屏幕上多个小视频开窗和一个主画面之间直接交替切换，而无需删除信号重新拖动信号，提高大屏信号切换速度。用户大屏幕自定义块功能：用户可按照需求自定义屏幕上的屏幕分割块位置和大小，如4-1-4模式，而不是按照预设的2*2,3*3等，实现信号拖放并快速填充块的功能；</w:t>
            </w:r>
          </w:p>
          <w:p>
            <w:pPr>
              <w:widowControl/>
              <w:jc w:val="left"/>
              <w:textAlignment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5、本次新配备的分布式输出节点设备功能要求：</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①接口部分调整如下：≥1路SFP接口，≥2路IO/IR接口、≥7路USB接口，其余接口等于或高于原参数。（需提供产品高清实物图片）</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②悬浮菜单包含但不限于推送、大屏控制、视频对讲、分屏、U 盘传输、AI 图文识别控制功能；</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③支持智能 OCR 离线识图功能，可对指定画面进行框选后进行文字识别与提取（识别精度≥99%），识别后可自动排列显示，提取/修改文字并实现在物理隔离状态下的主机之间跨屏复制；支持按预定格式填充于文档或表格；</w:t>
            </w:r>
            <w:r>
              <w:rPr>
                <w:rFonts w:hint="eastAsia" w:ascii="仿宋_GB2312" w:hAnsi="仿宋_GB2312" w:eastAsia="仿宋_GB2312" w:cs="仿宋_GB2312"/>
                <w:color w:val="000000"/>
                <w:kern w:val="0"/>
                <w:szCs w:val="21"/>
              </w:rPr>
              <w:t>(提供权威检测机构检测报告)</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④完全分布式架构，无需配置服务器即可构建无服 务器的去中心化分布式音视频综合管控网络，运行中可断开任意分布式节点，系统运行不受影响；</w:t>
            </w:r>
          </w:p>
          <w:p>
            <w:pP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⑤其他：具有IP6X认证，提供相关证书；为确保分布式系统的安全，制造商具有二级或以上的信息系统安全等级保护备案证明</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曲面屏</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1.屏幕尺寸：≧49英寸</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2.面板类型 ：VA</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3.屏幕曲率：≧1000R</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4.屏幕比例：32:9</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5.静态对比度（典型值）：≧2500：1(典型值）</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6.分辨率：≧5,120 x 1,440</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7.刷新率：≧240Hz</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8.亮度（典型值）：≧450 cd/㎡</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9.响应时间：≦1ms(GTG)</w:t>
            </w:r>
          </w:p>
          <w:p>
            <w:pP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10.可视角度（水平/垂直）：≧178°（H）/178°（V）</w:t>
            </w:r>
          </w:p>
          <w:p>
            <w:pPr>
              <w:rPr>
                <w:rFonts w:ascii="仿宋_GB2312" w:hAnsi="仿宋_GB2312" w:eastAsia="仿宋_GB2312" w:cs="仿宋_GB2312"/>
              </w:rPr>
            </w:pPr>
            <w:r>
              <w:rPr>
                <w:rFonts w:hint="eastAsia" w:ascii="仿宋_GB2312" w:hAnsi="仿宋_GB2312" w:eastAsia="仿宋_GB2312" w:cs="仿宋_GB2312"/>
                <w:color w:val="000000"/>
                <w:kern w:val="0"/>
                <w:sz w:val="20"/>
              </w:rPr>
              <w:t>11.接口：至少1个DP接口，1个HDMI接口，1个USB3.0接口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服务器机柜</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1.形象：前后网孔门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2.材质：冷轧钢板</w:t>
            </w:r>
          </w:p>
          <w:p>
            <w:pPr>
              <w:pStyle w:val="2"/>
              <w:ind w:firstLine="0" w:firstLineChars="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 w:val="20"/>
              </w:rPr>
              <w:t>3.用料：方孔条</w:t>
            </w:r>
            <w:r>
              <w:rPr>
                <w:rStyle w:val="76"/>
                <w:rFonts w:hint="default" w:ascii="仿宋_GB2312" w:hAnsi="仿宋_GB2312" w:eastAsia="仿宋_GB2312" w:cs="仿宋_GB2312"/>
                <w:color w:val="000000" w:themeColor="text1"/>
              </w:rPr>
              <w:t>≧2MM；安装梁及连接块≧1.5MM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4.规格：600*1000*2000MM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5.颜色：黑色</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6.其他：符合国标</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机柜承重支架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根据机柜尺寸，按需L40*40*4角钢定制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机柜专用PDU</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8位16A输入10A新国标输出，带开关，带2米2.5平方线，总功率4000W  水平安装</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管线配套</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机房机柜增加后，柜内配套电力电缆、光缆、网线，配电箱内增加机柜回路空气开关</w:t>
            </w:r>
          </w:p>
        </w:tc>
      </w:tr>
      <w:tr>
        <w:tblPrEx>
          <w:tblCellMar>
            <w:top w:w="0" w:type="dxa"/>
            <w:left w:w="108" w:type="dxa"/>
            <w:bottom w:w="0" w:type="dxa"/>
            <w:right w:w="108" w:type="dxa"/>
          </w:tblCellMar>
        </w:tblPrEx>
        <w:trPr>
          <w:trHeight w:val="13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信创防火墙带路由功能</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1.▲设备最大吞吐量≥63969.691Mbps，HTTP吞吐量≥25 Gbps，IPS吞吐量≥8 Gbps，AV吞吐量≥7 Gbps,最大并发连接数≥2000万，每秒新建连接数≥26.3万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2.△标准1U机架式专用硬件平台，内置冗余双电源，管理口≥1个，千兆电口≥6个，千兆光口≥4个（含2个千光多模光模块），万兆光口≥8个（含2个万兆多模光模块），内存≥16GB，硬盘≥HDD 1TB，需采用国产化CPU和国产化操作系统;三年防病毒、防攻击、上网行为管理、Web安全防护授权、威胁情报升级服务。</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3.支持路由、网桥、旁路、混合、虚拟线工作模式；部署模式切换无需重启设备支持端口镜像功能，支持入流量、出流量和双向流量等维度镜像。</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4.接口支持配置从属IP地址，每个接口要求支持至少200个second IP。</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5.△支持4G USB插卡接入，实现4G连接，与有线链路之间互为备份；并支持在4G接口上运行IPSec VPN。（需提供功能截图证明）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DDNS功能，支持服务商的域名，将动态获取的IP地址映射为固定的域名。支持静态路由、动态路由、ISP路由；支持基于入接口、源地址、目标地址、用户、服务、应用、时间、域名的策略路由；ISP路由支持地址列表，并支持地址自定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7.支持DNS透明代理，支持指定DNS或继承链路DNS配置，针对多链路支持基于优先级、权重、流量算法进行DNS负载。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8.支持IPv6/v4双栈，支持IPv6安全策略、包括审计策略、NAT策略、流量控制策略、会话控制策略、黑名单、白名单、认证策略等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9.支持路由模式、透明模式的HA高可靠性部署，可工作于主备、主主模式，会话、用户、配置可实时同步；HA高可靠性部署支持接口联动，链路探测。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提供智能策略分析功能，支持策略命中分析、隐藏策略分析、冗余策略分析、冲突策略分析、可合并策略分析、过期策略发现、空策略发现、策略宽松度分析，并在Web页面显示分析结果。（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11.系统定义超过8000+条主流攻击规则，包含用户提权、任意代码执行、木马、后门、挖矿、Web序列化、Webshell等主流防护类型。并支持在线升级和手动升级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12.支持HTTP，FTP，POP3，SMTP，IMAP协议的病毒查杀，支持查杀邮件正文/附件、网页及下载文件中包含的病毒，支持400万余种病毒的查杀，并支持在线升级和手动升级病毒库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13.△支持对最多20级的压缩文件进行解压查杀。（需提供功能截图证明）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14.支持独立的Web防护模块，提供SQL注入攻击、XSS攻击、恶意扫描与爬虫、服务器防护、CMS漏洞防护等不少于10种的防护类型。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15.应用特征不少于5000个，移动应用不少于450个。</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16.支持根据标签选择应用，预置标签分类至少包含安全风险、高带宽消耗、降低工作效率等10大类；支持给每个应用自定义标签；支持根据标签选择一类应用做控制。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17.支持防网络共享行为，针对私接路由器和非法无线热点行为进行识别和阻断。</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18.本地认证、Portal认证、Radius认证、LDAP认证、POP3认证、AD域单点登录、短信认证、微信公众号认证、APP认证、二维码认证、互联网钉钉认证、混合认证和免认证，其中微信公众号认证支持通过小程序获取手机号。</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19.支持通过解析Radius、http流量，获取用户名、IP和MAC信息，实现无认证实名上线。</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20.支持Portal逃生，支持选择不逃生、全部用户逃生和已认证用户逃生等方式；可基于PING、TCP、DNS等方式探测认证服务器。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21.支持IPSec VPN、SSL VPN、Gre VPN，支持手机、平板电脑等移动终端VPN接入，功能标配，无需增加功能授权即可使用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22.支持双机热备，支持主主模式、主备模式，支持同步配置、会话、运行状态、VPN状态、特征库，支持配置抢占模式和抢占延时，支持配置HA监控接口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23.△支持一种基于概率加权路径的防火墙规则引擎时间复杂度评估方法。(提供发明专利或权威检测机构检测报告)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24.△支持一种低延迟的TCP跨报文防火墙检测方法。(提供发明专利或权威检测机构检测报告)</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25.本设备为软硬一体产品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bookmarkStart w:id="31" w:name="OLE_LINK1" w:colFirst="2" w:colLast="2"/>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color w:val="000000" w:themeColor="text1"/>
                <w:kern w:val="0"/>
                <w:sz w:val="20"/>
                <w:szCs w:val="20"/>
              </w:rPr>
              <w:t>在现有370</w:t>
            </w:r>
            <w:r>
              <w:rPr>
                <w:rFonts w:hint="eastAsia" w:ascii="仿宋_GB2312" w:hAnsi="仿宋_GB2312" w:eastAsia="仿宋_GB2312" w:cs="仿宋_GB2312"/>
                <w:color w:val="000000" w:themeColor="text1"/>
                <w:sz w:val="20"/>
              </w:rPr>
              <w:t>MHz</w:t>
            </w:r>
            <w:r>
              <w:rPr>
                <w:rFonts w:hint="eastAsia" w:ascii="仿宋_GB2312" w:hAnsi="仿宋_GB2312" w:eastAsia="仿宋_GB2312" w:cs="仿宋_GB2312"/>
                <w:color w:val="000000" w:themeColor="text1"/>
                <w:kern w:val="0"/>
                <w:sz w:val="20"/>
                <w:szCs w:val="20"/>
              </w:rPr>
              <w:t>数字集群一体化基站的基础上，通过天线室内分布，实现信号覆盖，该基站能够通过有线IP方式或 E1方式直接接入舟山市应急管理局现有核心网，现有网管能够查询、配置及修改基站信息。</w:t>
            </w:r>
          </w:p>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color w:val="000000"/>
                <w:kern w:val="0"/>
                <w:sz w:val="20"/>
              </w:rPr>
              <w:t>技术参数：</w:t>
            </w:r>
          </w:p>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sz w:val="20"/>
              </w:rPr>
              <w:t>下行链路：</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频率范围 360 ～ 366MHz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输入强度-95 ～ -45dBm</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增益 ≥70dB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输出功率 30（±3）dBm</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噪声系数 ≤3dB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上行链路：</w:t>
            </w:r>
            <w:r>
              <w:rPr>
                <w:rFonts w:hint="eastAsia" w:ascii="仿宋_GB2312" w:hAnsi="仿宋_GB2312" w:eastAsia="仿宋_GB2312" w:cs="仿宋_GB2312"/>
                <w:sz w:val="20"/>
              </w:rPr>
              <w:t xml:space="preserve">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频率范围350 ～ 356MHz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输入强度-100 ～ -65dBm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增益 ≥70dB</w:t>
            </w:r>
          </w:p>
          <w:p>
            <w:pPr>
              <w:pStyle w:val="2"/>
              <w:ind w:firstLine="380"/>
              <w:rPr>
                <w:rFonts w:ascii="仿宋_GB2312" w:hAnsi="仿宋_GB2312" w:eastAsia="仿宋_GB2312" w:cs="仿宋_GB2312"/>
                <w:sz w:val="20"/>
              </w:rPr>
            </w:pPr>
            <w:r>
              <w:rPr>
                <w:rFonts w:hint="eastAsia" w:ascii="仿宋_GB2312" w:hAnsi="仿宋_GB2312" w:eastAsia="仿宋_GB2312" w:cs="仿宋_GB2312"/>
                <w:sz w:val="20"/>
              </w:rPr>
              <w:t xml:space="preserve">输出功率20（±3）dBm </w:t>
            </w:r>
          </w:p>
          <w:p>
            <w:pPr>
              <w:rPr>
                <w:rFonts w:ascii="仿宋_GB2312" w:hAnsi="仿宋_GB2312" w:eastAsia="仿宋_GB2312" w:cs="仿宋_GB2312"/>
                <w:sz w:val="20"/>
              </w:rPr>
            </w:pPr>
            <w:r>
              <w:rPr>
                <w:rFonts w:hint="eastAsia" w:ascii="仿宋_GB2312" w:hAnsi="仿宋_GB2312" w:eastAsia="仿宋_GB2312" w:cs="仿宋_GB2312"/>
                <w:sz w:val="20"/>
              </w:rPr>
              <w:t>噪声系数 ≤5dB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衰减范围</w:t>
            </w:r>
            <w:r>
              <w:rPr>
                <w:rFonts w:hint="eastAsia" w:ascii="仿宋_GB2312" w:hAnsi="仿宋_GB2312" w:eastAsia="仿宋_GB2312" w:cs="仿宋_GB2312"/>
                <w:sz w:val="20"/>
              </w:rPr>
              <w:t xml:space="preserve"> ≥30dB（增益调节步长1dB）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带内波动</w:t>
            </w:r>
            <w:r>
              <w:rPr>
                <w:rFonts w:hint="eastAsia" w:ascii="仿宋_GB2312" w:hAnsi="仿宋_GB2312" w:eastAsia="仿宋_GB2312" w:cs="仿宋_GB2312"/>
                <w:sz w:val="20"/>
              </w:rPr>
              <w:t xml:space="preserve"> ≤3dB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互调衰减</w:t>
            </w:r>
            <w:r>
              <w:rPr>
                <w:rFonts w:hint="eastAsia" w:ascii="仿宋_GB2312" w:hAnsi="仿宋_GB2312" w:eastAsia="仿宋_GB2312" w:cs="仿宋_GB2312"/>
                <w:sz w:val="20"/>
              </w:rPr>
              <w:t>≤-50dBc @30kHz</w:t>
            </w:r>
          </w:p>
          <w:p>
            <w:pPr>
              <w:pStyle w:val="2"/>
              <w:ind w:firstLine="382"/>
              <w:rPr>
                <w:rFonts w:ascii="仿宋_GB2312" w:hAnsi="仿宋_GB2312" w:eastAsia="仿宋_GB2312" w:cs="仿宋_GB2312"/>
                <w:sz w:val="20"/>
              </w:rPr>
            </w:pPr>
            <w:r>
              <w:rPr>
                <w:rFonts w:hint="eastAsia" w:ascii="仿宋_GB2312" w:hAnsi="仿宋_GB2312" w:eastAsia="仿宋_GB2312" w:cs="仿宋_GB2312"/>
                <w:b/>
                <w:bCs/>
                <w:sz w:val="20"/>
              </w:rPr>
              <w:t>输入输出阻抗</w:t>
            </w:r>
            <w:r>
              <w:rPr>
                <w:rFonts w:hint="eastAsia" w:ascii="仿宋_GB2312" w:hAnsi="仿宋_GB2312" w:eastAsia="仿宋_GB2312" w:cs="仿宋_GB2312"/>
                <w:sz w:val="20"/>
              </w:rPr>
              <w:t>50Ω</w:t>
            </w:r>
          </w:p>
          <w:p>
            <w:pPr>
              <w:pStyle w:val="3"/>
              <w:rPr>
                <w:rFonts w:ascii="仿宋_GB2312" w:hAnsi="仿宋_GB2312" w:eastAsia="仿宋_GB2312" w:cs="仿宋_GB2312"/>
                <w:sz w:val="20"/>
                <w:szCs w:val="20"/>
              </w:rPr>
            </w:pPr>
            <w:r>
              <w:rPr>
                <w:rFonts w:hint="eastAsia" w:ascii="仿宋_GB2312" w:hAnsi="仿宋_GB2312" w:eastAsia="仿宋_GB2312" w:cs="仿宋_GB2312"/>
                <w:b/>
                <w:bCs/>
                <w:sz w:val="20"/>
                <w:szCs w:val="20"/>
              </w:rPr>
              <w:t>波比VSWR</w:t>
            </w:r>
            <w:r>
              <w:rPr>
                <w:rFonts w:hint="eastAsia" w:ascii="仿宋_GB2312" w:hAnsi="仿宋_GB2312" w:eastAsia="仿宋_GB2312" w:cs="仿宋_GB2312"/>
                <w:sz w:val="20"/>
                <w:szCs w:val="20"/>
              </w:rPr>
              <w:t>≤1.4(V.S.W.R)</w:t>
            </w:r>
          </w:p>
          <w:p>
            <w:pPr>
              <w:pStyle w:val="4"/>
              <w:ind w:firstLine="241"/>
              <w:rPr>
                <w:color w:val="000000"/>
              </w:rPr>
            </w:pPr>
            <w:r>
              <w:rPr>
                <w:rFonts w:hint="eastAsia"/>
                <w:b/>
                <w:bCs/>
              </w:rPr>
              <w:t>防护等级</w:t>
            </w:r>
            <w:r>
              <w:rPr>
                <w:rFonts w:hint="eastAsia"/>
              </w:rPr>
              <w:t xml:space="preserve"> IP55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技术指标</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 信号覆盖电平：95%覆盖区域信号强度不低于-85dBm，覆盖区边沿信号强度不低于-90dBm。</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2）外泄电平：在室外10米处应满足信号强度≤－95dBm或室内分布外泄的信号强度比室外宏站最强信号强度低10dB。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3）无线可通率：手持台在无线覆盖区内98%的位置，99%的时间可接入网络。</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4）覆盖区与周围各小区之间有良好的切换。</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5）呼叫建立成功率：通常情况下，要求大于95%。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6）掉话率：通常情况下，要求小于1%。</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7）拥塞率：通常情况下，要求小于2%。</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频率范围-MHz：370Mhz：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增    益-dBi：3.0：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 波 比：≤1.5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垂直面波瓣宽度-°：55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水平半功率角-°（定向吸顶天线）：120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输入阻抗-Ω：50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极化方式：垂直</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最大功率-W：100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接头位置：底部引出电缆</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接头型号：N-K</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    寸-mm：φ170×90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辐射振子材料：铜镀银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反射体材料：不锈钢</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天线罩材料：防紫外线ABS</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类型：-10dB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xml:space="preserve">插入损耗：≤0.15dB  </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分配损耗：0.45dB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端口隔离度：≥20dB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耦合度：10±0.5dB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工作频段：370MHz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特征阻抗：50Ω</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驻波比：≤1.3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功率容量：200W</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接头形式：N-K（镀银）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工作温度：-30～+65℃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尺寸：58×29×21mm(不含接头部分)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外观：表面拉丝，外观整洁，无明显的划伤和划痕，连接处无明显的裂缝</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类型：-6dB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xml:space="preserve">插入损耗：≤0.15dB  </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分配损耗：1.25dB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端口隔离度：≥20dB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耦合度：6±0.5dB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工作频段：370MHz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特征阻抗：50Ω</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驻波比：≤1.3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功率容量：200W</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接头形式：N-K（镀银）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工作温度：-30～+65℃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尺寸：58×29×21mm(不含接头部分)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外观：表面拉丝，外观整洁，无明显的划伤和划痕，连接处无明显的裂缝</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 N型Male</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内导体半径：4.83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外导体半径：13.80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绝缘套半径：12.30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特性阻抗 (欧姆)：50+1</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工作频率上限 (GHz)：8.0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一次最小弯曲半径 (mm)：70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损耗(dB/100m)350MHz：4</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工作温度：&lt;400C</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是否有阻燃功能：是</w:t>
            </w:r>
          </w:p>
        </w:tc>
      </w:tr>
      <w:bookmarkEnd w:id="31"/>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抬头屏</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1.规格为P3.75,像素点间距≤4.75mm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2.单元板分辨率≥2048Dots</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3.刷新率≥960Hz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4.像素构成：1R、1G</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5.驱动方式：恒流驱动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6.控制方式：同步控制系统、异步控制系统</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7.维护方式：前后双向维护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8.白平衡亮度≥550Cd/m²；亮度调节：0-100%亮度可调，屏幕亮度具有随环境照度的变化任意调整功能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9.亮度均匀性≥98%</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10.水平视角≥160°，垂直视角≥160°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11.对比度≥6500：1</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12.灰度等级≥8bit</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13.含边框，支架及发送卡等，尺寸3.648*0.304米</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shd w:val="clear" w:color="auto" w:fill="FFFFFF"/>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（二）普朱管委会</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themeColor="text1"/>
                <w:sz w:val="20"/>
              </w:rPr>
            </w:pPr>
            <w:r>
              <w:rPr>
                <w:rStyle w:val="78"/>
                <w:rFonts w:hint="default" w:ascii="仿宋_GB2312" w:hAnsi="仿宋_GB2312" w:eastAsia="仿宋_GB2312" w:cs="仿宋_GB2312"/>
              </w:rPr>
              <w:t>SDWAN网关（边界侧）</w:t>
            </w:r>
          </w:p>
        </w:tc>
        <w:tc>
          <w:tcPr>
            <w:tcW w:w="610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参见安全设备中</w:t>
            </w:r>
            <w:r>
              <w:rPr>
                <w:rStyle w:val="78"/>
                <w:rFonts w:hint="default" w:ascii="仿宋_GB2312" w:hAnsi="仿宋_GB2312" w:eastAsia="仿宋_GB2312" w:cs="仿宋_GB2312"/>
                <w:color w:val="000000" w:themeColor="text1"/>
              </w:rPr>
              <w:t>SDWAN网关（边界侧）</w:t>
            </w:r>
            <w:r>
              <w:rPr>
                <w:rStyle w:val="78"/>
                <w:rFonts w:ascii="仿宋_GB2312" w:hAnsi="仿宋_GB2312" w:eastAsia="仿宋_GB2312" w:cs="仿宋_GB2312"/>
                <w:color w:val="000000" w:themeColor="text1"/>
              </w:rPr>
              <w:t>相关参数要求</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（三）普陀区</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P1.2全彩屏</w:t>
            </w:r>
          </w:p>
        </w:tc>
        <w:tc>
          <w:tcPr>
            <w:tcW w:w="6101"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1.▲显示屏类型：LED类型采用全倒装COB，晶圆倒置封装，无引线焊接工艺，像素构成1R1G1B，点间距≤1.25mm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整屏尺寸：宽≥6米，高≥3.375 米，面积≥20.25平方米，分辨率≥4800x2700；</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显示单元标准27吋，16:9显示满足FHD、4K、8K点对点播放；显示单元厚度≤40mm，显示单元重量≤4kg；产品设计采用封闭式压铸铝箱，箱体和电源无风扇，密封防尘、静音设计；电源、HUB、接收卡三合一集成，减少线材，故障率低，方便维护；电源线支持快速拔插，拼接后整体美观，高度一体化(提供权威检测机构检测报告)。</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箱体内部采用双重辅助连接片设计，可正面调节平整度，可实现快速定位安装；支持模组、电源三合一板均前维护方式；支持热插拔、支持不关屏热拔抢修维护功能；模块支持X/Y/Z方向调节，模组和箱体间采用浮动式连接件设计，可精准调节平整度(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采用微米级四层集成式封装面板，屏体表面采用高分子材料超黑涂层，全哑光设计，一致性好，拼装无模块化现象，反光率≤1%，屏体表面黑度≥40%，屏体正面反射比≤6.5%；为防止刮蹭伤害屏幕，LED表面具备的硬度等级≥HRC8级(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6.</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最高对比度≥15000:1；白平衡亮度≥600nit；可视角度：水平≥175°，垂直≥175°；刷新率≥3840Hz；采用PWM高清高阶驱动芯片，倍频刷新率提升2/4/8倍，具有黑屏节能、动态节能、低转折电压节能(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7.亮度均匀性≥99%；色度均匀性：在±0.001 Cx,Cy之内；色准：ΔE≤0.5；色域覆盖率：≥110% NTSC；色域重合度＞95%（BT.709）；像素中心距偏差≤1%，相对错位偏差≤1%，LED像素失控率≤1/1500000；灰度等级：16bit，且100%亮度时，16bit 灰度；70%亮度，16bit 灰度；50%亮度，16bit灰度；20%亮度，15bit 灰度，显示画面无单列或单行像素失控现象。</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电源带PFC高功率因数：采用AC100-240V宽电压，功率因数≥0.95，转换效率≥84%；峰值功耗：≤350W/㎡，具有三重节能技术（IC节能、倒装节能、低电压供电节能），600nit全白条件下单箱功耗≤56W/箱(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9.箱体平整度和间隙≤0.1mm；模组平整度和间隙≤0.05mm；</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10.基色主波长误差为C级ΔλD≤5，亮度误差值在3%，灯芯的波长误差值在±1nm之内；白场色坐标符合SJ/T11141-2017 5.10.5规定范围；</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11.PCB采用FR-4材质，厚度＞2.0mm，灯驱合一，焊盘采用沉金工艺处理。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12.单元模组全部采用高分子电容做滤波设计，模组采用磁吸固定方式，模组无底壳；支持单个模组设置衰减系数，维修更换后模组间无色差；</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13.软件具有调节亮暗线功能：暗线修复、隐亮消除；支持低灰偏色补偿、亮度缓慢变亮；具备坏点、失控点侦测功能；采用消隐电路设计，无“毛毛虫”、“鬼影”现象；支持抑制摩尔纹功能，减轻摩尔纹视觉主观效果90%，支持高清拍摄</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14.自动Gamma校正技术，1024级γ自动校正，画面延迟≤2ms；</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15.防护等级：IP54；</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16.显示屏具有多点测温系统；可实时监控显示屏、接收卡、发送卡、模组、工作电压、温度，具有过温或故障报警功能，发生故障立即发消息到指定邮箱，及时处理。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17.100%亮度时，环境温度26℃，产品运行2小时候后，灯板表面温度不超过45℃；100%亮度时，环境温度41℃，产品运行2小时候后，灯板表面温度不超过60℃，产品在运行过程中整个屏体表面温度在合格范围内；</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仿宋_GB2312" w:hAnsi="仿宋_GB2312" w:eastAsia="仿宋_GB2312" w:cs="仿宋_GB2312"/>
                <w:color w:val="000000"/>
                <w:kern w:val="0"/>
                <w:sz w:val="20"/>
              </w:rPr>
            </w:pPr>
          </w:p>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独立主控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1.一路DVI视频输入；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2.一路音频输入；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3.四个网口输出或四路光纤输出；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4.RS232接口控制，可级联多台进行统一控制；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5.最大带载分辨率2048×1152或1920×1200;</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6.△为保证系统兼容性，与LED显示屏同一品牌，提供CCC证书加盖投标人公章。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拼接处理器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kern w:val="0"/>
                <w:sz w:val="20"/>
              </w:rPr>
              <w:t>1.△主动立体信号</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rPr>
              <w:t>支持左右眼3D拼接模式，120HZ输入输出3D拼接模式，支持裸眼3D，内部锁定帧同步，3D分割融合完全无缝。通过软件实现2D模式与3D模式一键切换场景；(提供权威检测机构检测报告)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rPr>
              <w:t>2.立体声道Dante音频：采用专业级AES67&amp;Dante音频技术，单网口就可实现32路共64通道音量的实时监测，当HDMI和SDI输入内嵌音频时，音频的音量、频率和幅度将同步</w:t>
            </w:r>
            <w:r>
              <w:rPr>
                <w:rFonts w:hint="eastAsia" w:ascii="仿宋_GB2312" w:hAnsi="仿宋_GB2312" w:eastAsia="仿宋_GB2312" w:cs="仿宋_GB2312"/>
                <w:kern w:val="0"/>
                <w:sz w:val="20"/>
              </w:rPr>
              <w:t>呈现至音柱上；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同步锁定Genlock：同步锁定Genlock，通过遍布内部显示系统的全局时钟，保证不论是输入，还是信号矩阵和传输，乃至输出的各个信号始终保持每一帧的一致性和同步处理，实现所有显示系统跟随同步信号的完全同步，Genlock可选Y/Z/HS/VS同步锁定；</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kern w:val="0"/>
                <w:sz w:val="20"/>
              </w:rPr>
              <w:t>4.高传输速率</w:t>
            </w:r>
            <w:r>
              <w:rPr>
                <w:rFonts w:hint="eastAsia" w:ascii="仿宋_GB2312" w:hAnsi="仿宋_GB2312" w:eastAsia="仿宋_GB2312" w:cs="仿宋_GB2312"/>
                <w:color w:val="000000" w:themeColor="text1"/>
                <w:kern w:val="0"/>
                <w:sz w:val="20"/>
              </w:rPr>
              <w:t>：单通道最大传输速率为6.5Gbps的FPGA进行输入与输出板卡间信号无损传输，输入输出接口支持12bit，RGB 4:4:4传输；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5.设备性能测试依据：设备整机性能测试符合GY/T 253-2011 《数字切换矩阵技术要求和测量方法》；</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备份安全：整体解决方案配套独立主备切换设备，构成视频信号备份以及传输系统，无需运维人员干预，备用链路自动接管，系统链路瞬时切换。独立主备切换设备采用信号快速自动识别技术、高速物理切换技术，实现断电直通的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7.隔行信号输出：设备支持I制的输入去隔行运动补偿处理，以及所有输出接口支持I制的隔行信号输出；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rPr>
              <w:t>8.超高清输入输出：支持HDMI 2.0及Displayport 1.2 4K@60Hz超高清输入输出，单接口实现对4</w:t>
            </w:r>
            <w:r>
              <w:rPr>
                <w:rFonts w:hint="eastAsia" w:ascii="仿宋_GB2312" w:hAnsi="仿宋_GB2312" w:eastAsia="仿宋_GB2312" w:cs="仿宋_GB2312"/>
                <w:kern w:val="0"/>
                <w:sz w:val="20"/>
              </w:rPr>
              <w:t>096x2160@60Hz或7680x1080@60Hz信号的支持，且支持HDCP 2.2标准，HDMI 2.0和Displayport 1.2输入输出接口均支持输入分辨率自定义点对点输入能力，单板卡支持50Gbps带宽可支持2路4096x2160@60Hz同时输入或输出使用，实现一卡2路处理。</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9.设备跨口：设备跨口不消耗额外图层，单口最大可支持8或16画面任意漫游显示；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10.△双字幕功能：单口可实现两组不同的滚动字幕，可以实现对联字幕效果，更符合客户的字幕灵活应用；(提供权威检测机构检测报告)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11.△双网段隔离技术：为实现远端能够监看到现场的画面，并保障输入信号不论隔行还是逐行信号，画面清晰、顺畅不撕裂，采用FPGA的多画面预监技术，利用H.265编码实现软件远端可视化控制功能。此外，针对本地控制网段会有安全限制的问题，采用双网口设计，双网口隔离技术可以实现远端网络与本地网络的隔离，采用两组不同的网段对设备进行控制，以确保本地网络安全，两个网口可支持互相备份，实现双通讯备份；(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12.设备响应时间：设备内部采用FPGA架构，设备画面切换时间≤20MS，设备从上电至完全启动10S以内；</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13.△独创输出槽位双兼容设计：设备采用独创输出槽位双兼容设计，所有输入卡可混插到输入和输出槽位，增加用户选择灵活度；(提供权威检测机构检测报告)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14.本次项目要求不少于4路HDMI 1.3输入,12路HDMI1.3输出；</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15.所投产品须通过CCC强制认证，提供CCC证书。</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安装钢结构及包边</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同（二）普朱管委会序号3参数一致</w:t>
            </w:r>
          </w:p>
        </w:tc>
      </w:tr>
      <w:tr>
        <w:tblPrEx>
          <w:tblCellMar>
            <w:top w:w="0" w:type="dxa"/>
            <w:left w:w="108" w:type="dxa"/>
            <w:bottom w:w="0" w:type="dxa"/>
            <w:right w:w="108" w:type="dxa"/>
          </w:tblCellMar>
        </w:tblPrEx>
        <w:trPr>
          <w:trHeight w:val="30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1.功率≥20kw；</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2.具备防雷、过压、过流、欠压、短路、断路以及漏电保护措施；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3.具有漏电保护开关、空气开关、熔断器、延时启动接触器、电源防雷器等；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4.配电柜门上具有配备各支路手动开关和状态指示灯等；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5.配电系统具有电源监视，温度，烟雾监控报警功能；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6.支持网络及串口控制，可通过PLC实现远程开关控制。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7.采用分步顺序启动；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8.支持定时控制功能；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rPr>
              <w:t>提供智能配电箱控制软件证书</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10.提供PLC控制软件证书</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11.为保证产品稳定性，需与LED显示屏为同一品牌，提供CQC认证证书。</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1.材质：冷轧钢板</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2.规格：600*600*2000MM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3.颜色：黑色</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4.其他：符合国标</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主音箱</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1．阻抗≤8Ω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2．频响等同或优于45Hz-20KHz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3．额定功率≥400W</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4. 峰值功率：</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rPr>
              <w:t>1600W；</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5. 最大声压级（额定/峰值）：125dB/131dB；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6．灵敏度≥99dB/W/M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7．水平覆盖角≥90°，垂直覆盖角≥80°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8．高音≥1.7"压缩高音单元×1；低音：12"低音×1</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9、含音箱支架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主音箱功放</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1.1U机箱设计，采用D类数字功放设计。</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2.标准XLR输入接口，和LINK输出口。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3.电源采用开关电源技术。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4.内置智能削峰限幅器，支持开机软启动。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5.具有：过压保护，欠压保护，过流保护，直流保护，输出短路保护，温控风扇等功能。</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6.输出功率：立体声@8Ω：≥700W×2；立体声@4Ω：≥1000W×2；桥接@16Ω：≥1400W；桥接@8Ω：≥2000W</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7.输入灵敏度：2.2dBu(1V)/8.2dBu(2V)；</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8.输入阻抗：10KΩ ；</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9.频率响应(@1W功率下)：20Hz-20KHz/±1dB @8Ω；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音频处理器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b/>
                <w:bCs/>
                <w:color w:val="000000" w:themeColor="text1"/>
                <w:kern w:val="0"/>
                <w:sz w:val="20"/>
              </w:rPr>
              <w:t>一、硬件参数：</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1.数字音频处理器支持≥8路平衡式话筒/线路输入通道，采用裸线接口端子，平衡接法；支持≥8路平衡式线路输出，采用裸线接口端子，平衡接法。</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2.△输入通道支持前级放大、信号发生器、扩展器、压缩器、≥12段参量均衡、</w:t>
            </w:r>
            <w:r>
              <w:rPr>
                <w:rFonts w:hint="eastAsia" w:ascii="仿宋_GB2312" w:hAnsi="仿宋_GB2312" w:eastAsia="仿宋_GB2312" w:cs="仿宋_GB2312"/>
                <w:color w:val="000000" w:themeColor="text1"/>
              </w:rPr>
              <w:t>输入模块、输入均衡器等等</w:t>
            </w:r>
            <w:r>
              <w:rPr>
                <w:rStyle w:val="76"/>
                <w:rFonts w:hint="default" w:ascii="仿宋_GB2312" w:hAnsi="仿宋_GB2312" w:eastAsia="仿宋_GB2312" w:cs="仿宋_GB2312"/>
                <w:color w:val="000000" w:themeColor="text1"/>
              </w:rPr>
              <w:t>，≥31段图示均衡、闪避器、AGC自动增益、AM自动混音功能（门限式、增益共享式）、AFC自适应反馈消除、AEC回声消除、ANC噪声消除、音频矩阵。（提供设备界面截图佐证）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3.输出通道支持≥12段参量均衡，≥31段图示均衡、延时器、分频器、高低通滤波器、限幅器、</w:t>
            </w:r>
            <w:r>
              <w:rPr>
                <w:rFonts w:hint="eastAsia" w:ascii="仿宋_GB2312" w:hAnsi="仿宋_GB2312" w:eastAsia="仿宋_GB2312" w:cs="仿宋_GB2312"/>
                <w:color w:val="000000" w:themeColor="text1"/>
              </w:rPr>
              <w:t>输出均衡器、输出模块</w:t>
            </w:r>
            <w:r>
              <w:rPr>
                <w:rStyle w:val="76"/>
                <w:rFonts w:hint="default" w:ascii="仿宋_GB2312" w:hAnsi="仿宋_GB2312" w:eastAsia="仿宋_GB2312" w:cs="仿宋_GB2312"/>
                <w:color w:val="000000" w:themeColor="text1"/>
              </w:rPr>
              <w:t>。</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4.高性能专业DSP处理器，48kHz采样频率，64-bit DSP处理器；32-bit A/D及D/A转换，支持输入通道48V幻象供电。</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5.具有≥2英寸IPS真彩显示屏，支持显示设备网络信息、实时电平、通道静音状态。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6.△支持通过APP软件进行操作控制，面板具备USB接口，支持多媒体存储，可进行播放或存储录播。（提供功能界面截图及接口截图佐证）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7.配置双向RS-232接口，可用于控制外部设备；配置RS-485接口，可实现自动摄像跟踪功能。配置≥8通道可编程GPIO控制接口（可自定义输入输出）。</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8.支持断电自动保护记忆功能。支持通道拷贝、粘贴、联控功能。</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9.≥8个场景预设，支持场景信息导入、场景信息导出。</w:t>
            </w:r>
          </w:p>
          <w:p>
            <w:pPr>
              <w:widowControl/>
              <w:jc w:val="left"/>
              <w:textAlignment w:val="center"/>
              <w:rPr>
                <w:rStyle w:val="77"/>
                <w:rFonts w:hint="default" w:ascii="仿宋_GB2312" w:hAnsi="仿宋_GB2312" w:eastAsia="仿宋_GB2312" w:cs="仿宋_GB2312"/>
                <w:color w:val="000000" w:themeColor="text1"/>
              </w:rPr>
            </w:pPr>
            <w:r>
              <w:rPr>
                <w:rStyle w:val="77"/>
                <w:rFonts w:hint="default" w:ascii="仿宋_GB2312" w:hAnsi="仿宋_GB2312" w:eastAsia="仿宋_GB2312" w:cs="仿宋_GB2312"/>
                <w:color w:val="000000" w:themeColor="text1"/>
              </w:rPr>
              <w:t>二、软件参数：</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1.支持通过设备管理切换八进八出、四进四出通道设备，其中每路输入都带有≥48V幻象供电，具备单独配置开关。</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2.支持预设八种场景音效，根据不同场景设置数值，通过切换场景实现针对不同环境的最佳音频处理效果。</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3.支持调节输入通道前级放大、信号发生器、扩展器、压缩器、≥12段参量均衡，≥31段图示均衡、自动增益（AGC）、AM自动混音功能（门限式、增益共享式）、AFC自适应反馈消除、AEC回声消除、ANC噪声消除、音频矩阵。（提供设备界面截图佐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4.支持调节输出通道≥12段参量均衡、≥31段图示均衡、延时器、分频器、高低通滤波器、限幅器。</w:t>
            </w:r>
          </w:p>
          <w:p>
            <w:pPr>
              <w:widowControl/>
              <w:jc w:val="left"/>
              <w:textAlignment w:val="center"/>
              <w:rPr>
                <w:rFonts w:ascii="仿宋_GB2312" w:hAnsi="仿宋_GB2312" w:eastAsia="仿宋_GB2312" w:cs="仿宋_GB2312"/>
                <w:b/>
                <w:bCs/>
                <w:color w:val="000000" w:themeColor="text1"/>
                <w:sz w:val="20"/>
              </w:rPr>
            </w:pPr>
            <w:r>
              <w:rPr>
                <w:rStyle w:val="76"/>
                <w:rFonts w:hint="default" w:ascii="仿宋_GB2312" w:hAnsi="仿宋_GB2312" w:eastAsia="仿宋_GB2312" w:cs="仿宋_GB2312"/>
                <w:color w:val="000000" w:themeColor="text1"/>
              </w:rPr>
              <w:t>5.支持调节摄像机跟踪功能，设置每路通道的预设点，通过监测输入通道的音量自动追踪目标，实现自动化控制和跟踪，提供更加智能和便捷的视频处理和监控功能。</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10</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调音台</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1.支持≥8路麦克风输入兼容6路线路输入接口，支持≥2路立体声输入接口，≥4路RCA输入，话筒接口幻象电源：+48V。</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2.△具有≥2组立体主输出、≥4路编组输出、≥4路辅助输出、≥1组立体声监听输出、≥1个耳机监听输出、≥2个效果输出、≥1组主混音断点插入、≥6个断点插入。（提供接口图佐证）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3.内置≥24位DSP效果器，提供≥100种预设效果。</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4.具备≥13个60mm行程的高精密碳膜推子。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5.△内置USB声卡模块，支持连接电脑进行音乐播放和声音录音；内置MP3播放器，支持≥1个USB接口接U盘播放音乐。（提供接口图佐证）</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bCs/>
                <w:color w:val="000000" w:themeColor="text1"/>
                <w:kern w:val="0"/>
                <w:sz w:val="20"/>
              </w:rPr>
              <w:t>6.无线连接：内置蓝牙无线收发器，可连接手机进行播放音乐。</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11</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一拖二手持话筒</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具有≥1台接收主机、≥双手持发射机；频率范围等同或优于540MHz-590MHz、640MHz-690MHz。</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调制方式：pi/4-DQPSK</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频率响应：20Hz~20kHz （±3dB）</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信噪比：≥105dB（XLR）</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THD+N：＜0.1%</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6.接收机具有≥2路平衡输出、≥1路非平衡混音输出。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7.具有自动频率扫描功能，可快速地给麦克风找到清晰的频率。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8.支持混响调节功能，比例调节、延时调节、电平调节≥25个档位。</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rPr>
              <w:t>支持麦克风均衡器调节功能，≥高、中、低音三种调节档位。（提供软件界面截图证明）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10.接收机具有显示屏，用户可通过显示屏查看设备发射功率强度、音频加密状态、电池电量、频率数值、智能静音状态、静音标志。</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11.△具有自动静音功能，麦克风跌落、抛掷时，毫秒级响应自动静音，避免冲击声；产品静置5秒自动静音。（提供第三方权威机构检测报告）</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12.麦克风具有长时间静置自动关机功能，设备自动检测工作状态（使用状态、静置状态），静置时间≥8分钟后，设备自动关机。</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1.采用真分集接收方式，采用先进PLL频率合成锁相环技术，具有V/A显示屏显示信道号与工作频率；带射频电平显示，音频电平显示，频道菜单显示，静音显示。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2.≥2X2个真分集模组组成一体，每个通道由金屏蔽壳体屏蔽LO本振辐射，≥4个通道分享≥4条天线接收。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3.支持≥4路电子音量独立调节，支持≥4路平衡输出、≥1路非平衡输出。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4.频率共≥四段可选，范围等同或优于470-510MHz，540-590MHz，640-690MHz，803-830MHz，共≥700个频率；频道间隔：≥250KHz，采用宽带FM调制方式，频率稳定度在±0.005%以内</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5.动态范围：100dB</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6.最大频偏：±45KHz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7.频率响应等同或优于80Hz-18KHz，综合信噪比＞105dB、综合失真≤0.5%。</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8.配套有≥1台接收主机，采用二次变频超外差接收机方式，≥4个桌面式话筒，灵敏度调节范围：≥12-32dB μV。</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13</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天线分配器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提供≥2进≥8出的天线信号分配器设备。</w:t>
            </w:r>
          </w:p>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简化天线装配工程，提升接收距离及效能。</w:t>
            </w:r>
          </w:p>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两路天线信号接收到分配器的天线输入端。</w:t>
            </w:r>
          </w:p>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两路信号输出到下一台分配器的天线输入端进行级联。</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1.射频频率范围等同或优于450-950MHz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2.供电方式：BNC，8-12V DC；</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3.电流：0.04A；</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4.驻波比：≤2.0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5.输入阻抗：≤50Ω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5.放大器底噪：＜3.6dB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6.增益：≥18db(典型)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7.极化方式：垂直</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8.前后比：≥25dB</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9.指向性：≥180度指向</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抑制器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1.高性能DSP处理，≥40-bit DPS处理器（400兆主频），提供≥32-bit/48kHz的声音。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2.△采用“陷波”+“移频”双方式进行反馈抑制。陷波器提供12固定点+12动态点。高精度移频，范围等同或优于-10Hz到10Hz。（提供功能界面截图佐证）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3.△均衡器支持≥31段图示均衡器和8段参量均衡器。（提供功能界面截图佐证）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4.具有自动增益功能，声音达到一定峰值自动衰减变小，声音较小则自动增益放大。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5.具有一个IPS真彩显示屏。支持中英文切换显示。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6.具有≥48个陷波器状态LED指示灯实时显示，每通道≥12个静态+≥12个动态陷波器。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7.具有≥双通道直通，一键重置陷波点配置功能。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8.支持≥4个场景切换。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9.支持设备定位功能、断电自动保护记忆功能。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10.输入通道及插座≥2路XLR与TRS多功能座模拟输入；输出通道及插座≥2路XLR公座+≥2路TRS公座模拟输出。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11.输入阻抗：平衡：20KΩ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12.输出阻抗：平衡：100Ω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13.输入范围：≤+20dBu</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14.频率响应：20Hz-20kHz（±0.5dB）</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15.支持通过后台管理软件对多台设备进行批量升级。</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1.支持≥8通道电源时序打开/关闭，支持远程控制（上电+24V直流信号）≥8通道电源时序打开/关闭—当电源开关锁处于off位置时有效。支持配置CH1和CH2通道为受控或不受控状态。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kern w:val="0"/>
                <w:sz w:val="20"/>
              </w:rPr>
              <w:t>2.当远程控制有效时同时控制后板ALARM（报警）端口导通以起到级联控制ALAR</w:t>
            </w:r>
            <w:r>
              <w:rPr>
                <w:rFonts w:hint="eastAsia" w:ascii="仿宋_GB2312" w:hAnsi="仿宋_GB2312" w:eastAsia="仿宋_GB2312" w:cs="仿宋_GB2312"/>
                <w:color w:val="000000" w:themeColor="text1"/>
                <w:kern w:val="0"/>
                <w:sz w:val="20"/>
              </w:rPr>
              <w:t>M（报警）功能。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3.单个通道最大负载功率≥3500W，所有通道负载总功率达≥6000W，输入连接器：大功率线码式电源连接器。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4.输出连接器：≥2个16A，≥2个16A接线端子和≥4个10A电源插座。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5.额定输出电压：AC~220V 50Hz；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6.额定输出电流：30A；</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7.每路动作延时时间：1秒；</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8.供电电源：VAC，220V 50/60Hz，30A；</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5.具有≥1路USB接口。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多媒体桌插或地插，根据需求可定制各类接口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1.材质：冷轧钢板</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2.规格：600*600*2000MM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3.颜色：黑色</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4.其他：符合国标</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大屏专用线材、电力电缆、电源线、网线、管材、空开、扩声系统配套管线及现场拆除装饰结构零星修补等。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▲插卡式模块化设计，设备36路输入、36路输出和接口类型可根据实际需要灵活配置；本次配置32进24出。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1.设备为集成集中控制、视频信号切换、画面分割、IP编解码为一体的信号处理设备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2.采用数字总线路由架构；</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3.模块化设计，设备采用一卡四路设计，支持CVBS/VGA/YPBPR/DVI/HDMI/HDSDI/3GSDI/HDBaseT/Fiber信号的混合输入和混合输出；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4.支持EDID、HDCP是自动适应调节和解析，支持无缝快速切换功能，切换过程无黑屏，蓝屏，碎屏；</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6.△采用业界独创的两键式快速切换，先按输入端口再按输出端口即可，专业带蓝灯按键设计，具备实时切换亮灯反馈，可设置不少于40个场景预案调用；(提供权威检测机构检测报告)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7.△具备LCD显示屏，显示当前的操作状态，具备VIEW（查看当）、SWITCH（切换）、SCENE（场景）、SETUP（设置）四大功能设置(提供权威检测机构检测报告)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8.支持各种视频信号的立体声音频的解析，分配，切换；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9.△支持最大4K60数字高清视频信号的传输切换,且支持4k以下非标分辨率处理；(提供权威检测机构检测报告)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10.具备双网络，双控制备份功能，实现大规模集成化网络管理功能；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11.支持HDBaseT高清视频信号的网络转换和传输功能，传输距离为70/100米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12.输出传输带宽速率高达10 Gbps；</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13.△内置强大WEB服务器，实时信号切换界面为直观一一对应界面，关闭所有、场景等操作，且支持信号源命名，具备集中控制管理界面，实现多台矩阵的控制(提供权威检测机构检测报告)</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color w:val="000000" w:themeColor="text1"/>
                <w:kern w:val="0"/>
                <w:sz w:val="20"/>
              </w:rPr>
              <w:t>网络型可编程中央控制主机</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1.主频≥2.0 GHz的64位内嵌式处理器，ARM Cortex-A55四核CPU，内存≥2GB，Flash闪存≥16G。</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2.独立可编程串口≥11路，继电器接口≥8路，I/O 接口≥8路，红外接口≥8路。网络接口≥7路。</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3.中控主机支持对外输出DC24V、DC12V、DC5V电源独立接口。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前面板支持≥11路串口指示灯、≥8路红外指示灯、≥6路网络指示灯、≥8路IO指示灯、≥8路继电器指示灯，在控制过程中指示灯闪烁，方便编程和排除故障过程中判断中控主机是否有发送代码，发送代码是否成功执行等作用。(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5.具有3个扩展插槽，支持扩展com串口，IR红外接口，RELAY弱继电器，I/O控制接口等扩展卡。</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6.支持电源冗余备份，支持中控双机热备份功能，一台中控主机发生故障系统自动切换至备份中控主机接替工作。</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7.设备核心主处理芯片采用国产芯片，整机产品为100%全国产可控。</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8.支持前面板含 5.5寸 LCD 液晶屏，显示主机IP 地址、端口、自检状态、电源、中控控制等信息。支持自定义中控模式调用功能，与现场控制环境进行功能定制开发。5.5 寸屏可以查看自检结果，主机支持手动自检或上电自检；面板支持中控预案控制，预案可编程自定义。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电源控制器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1.前面板具备电源状态指示灯，8路通道开关状态指示灯和8路开关控制按键；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2.8路独立节点控制接口，每路都有常开，常闭两种接口支持做双联开关</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3.支持NET和RS-232接口和主机通讯；</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控制平板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屏幕尺寸 11英寸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屏幕类型 OLED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分辨率 2560 x1600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屏幕比例 16:10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存储 12GB+256GB</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Wi-Fi工作频段2.4GHz&amp;5GHz</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GPS 支持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蓝牙 Bluetooth 5.2，支持BLE，支持SBC、AAC、L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前置摄像头 1600万像系;后置摄像头 1300万像系高清摄像头+800万像素广角摄像头</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10.闪光灯 支持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11.照片分辨率 后置主摄像头:4160x3120像素;后置广角摄 </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像头:3264x2448;前置摄像头:4608x3456像素</w:t>
            </w:r>
          </w:p>
        </w:tc>
      </w:tr>
      <w:tr>
        <w:tblPrEx>
          <w:tblCellMar>
            <w:top w:w="0" w:type="dxa"/>
            <w:left w:w="108" w:type="dxa"/>
            <w:bottom w:w="0" w:type="dxa"/>
            <w:right w:w="108" w:type="dxa"/>
          </w:tblCellMar>
        </w:tblPrEx>
        <w:trPr>
          <w:trHeight w:val="631"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中控软件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采用语言式编程,类C语言的代码规则,根据现场环境、需求等，现场编写。</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ind w:firstLine="200" w:firstLineChars="100"/>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会议摄像机</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1.光学变倍： 12倍光学变焦 ；光圈</w:t>
            </w:r>
            <w:r>
              <w:rPr>
                <w:rStyle w:val="76"/>
                <w:rFonts w:hint="default" w:ascii="仿宋_GB2312" w:hAnsi="仿宋_GB2312" w:eastAsia="仿宋_GB2312" w:cs="仿宋_GB2312"/>
                <w:color w:val="000000" w:themeColor="text1"/>
              </w:rPr>
              <w:tab/>
            </w:r>
            <w:r>
              <w:rPr>
                <w:rStyle w:val="76"/>
                <w:rFonts w:hint="default" w:ascii="仿宋_GB2312" w:hAnsi="仿宋_GB2312" w:eastAsia="仿宋_GB2312" w:cs="仿宋_GB2312"/>
                <w:color w:val="000000" w:themeColor="text1"/>
              </w:rPr>
              <w:t>F1.8～F3.56 ± 5%；</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2.视场角： 水平：7.59˚（窄角）～ 80.4˚（广角）垂直：4.6˚（窄角）～ 50.0˚（广角）</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3.图像传感器：1/2.5英寸SONY 851万像素CMOS图像传感器</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 xml:space="preserve">4.有效像素 ：8.29M </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5.视频格式：3840*2160P60/50/25/59.94/29.97;1080P60/50/ 30/25/59.94/29.97;1080I60/50/59.94; 720P60/50/59.94；</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6.接口: HDMI、SDI、LAN(支持POE)、USB、A-IN、RS232-IN、</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RS232-OUT、RS422（兼容RS 485）、旋转拨码、DC12V电源、电源开关</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7.视频压缩格式： LAN接口支持：H.264、H.265</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USB接口支持：MJPG、H264、H.265、YUY2、NV12</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8.音频输入接口 双声道3.5mm线性输入，音频输出接口 HDMI、LAN、SDI、USB，音频压缩格式 AAC、G.711A</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9.网络接口： 10M/100M/1000M自适应以太网口，支持POE供电，支持音视频输出，网络协议 RTSP、RTMP、ONVIF、GB/T28181；支持网络VISCA控制协议；</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10.控制接口： RS232-IN、RS232-OUT、RS422兼容RS485；</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串口通讯协议 VISCA/Pelco-D/Pelco-P；支持波特率115200/38400/9600/4800/2400；</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11.预设位数量：≧255个；</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 xml:space="preserve">12.AI功能性能参数 </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实时跟踪: 最远跟踪距离可达6～7米，可支持讲者以每秒1.3-1.7米速度行走</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区域跟踪: 支持设置4个跟踪区域 ，支持水平 -110°～+110°，垂直 -27°～+27° 内设置区域；</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 xml:space="preserve">13.水平转动 -110°～+110°  俯仰转动 -30°～+30° </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kern w:val="0"/>
                <w:sz w:val="20"/>
              </w:rPr>
              <w:t>（四）岱山县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20KVA UPS主机</w:t>
            </w:r>
          </w:p>
        </w:tc>
        <w:tc>
          <w:tcPr>
            <w:tcW w:w="610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1.三进单出20KVAUPS主机；20KVA/18KW，采用拓扑设计</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2.▲输入电压 ：100VAC-288Vac（相电压），输入功率因数 ≥0.99 3.输入频率范围:40Hz~70Hz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4.输出电压：220Vac±1％，230/240Vac±3％，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5.△输出功率因数：≥0.9，需提供公开资料截图证明。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6.输出频率45-55Hz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7.整机效率：≥95％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9.过载能力( %额定负载 )：UPS在正常工作方式情况下，过载125%的工作时间，应不少于10分钟，提供公开资料证明。</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10.设备维护：设备应具有液晶面板，显示UPS运行状态和相关数据。便于日常维护，且屏幕尺寸不小于2.8寸。</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蓄电池</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阀控密封式铅酸胶体蓄电池。</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1.△产品容量：单体电池电压容量：10Hr 100Ah ，单体电池额定电压：12V。设计浮充寿命：25℃时，蓄电池浮充寿命≥8年，重量≥28.8Kg（提供产品彩页）。</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rPr>
              <w:t>2. 产品的一致性：单体电池电压均衡性应满足一组</w:t>
            </w:r>
            <w:r>
              <w:rPr>
                <w:rFonts w:hint="eastAsia" w:ascii="仿宋_GB2312" w:hAnsi="仿宋_GB2312" w:eastAsia="仿宋_GB2312" w:cs="仿宋_GB2312"/>
                <w:kern w:val="0"/>
                <w:sz w:val="20"/>
              </w:rPr>
              <w:t>蓄电池中任意两个电池的开路电压差不超过90mV。如发现与采购结果和投标承诺内容不一致的，中标方对由此造成的一切损失负全责。</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 蓄电池容量：电池容量系数：40°C / 104°F ≥ 106%；25°C / 77°F≥ 100%；0°C / 32°F ≥86%；-10°C / 14°F  ≥65%。</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4. 三层密封设计：采用三层密封技术工艺，全密封防泄漏结构，确保整个寿命期间无漏液，三层极柱防漏液工艺。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5.△极柱防漏液设计：蓄电池需要具有极柱密封防漏液的专利技术，从根本上防止漏液问题。提供厂家具备《具有密封结构的蓄电池极柱》专利的证书并盖投标人公章。</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6.外壳：蓄电池必须全部采用高强度的ABS外壳，符合UL标准，外壳无变形、裂纹及污迹，上盖及端子无损伤，正常工作时无酸雾逸出。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 .极板：采用多元复合稀土合金，从而减少气体产生，达到自放电率低抗腐蚀能力强。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8.自放电率：@ 25℃ (77℉) ≤3%/月。</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9.内阻(完全充电态)：≈5mΩ@ 25℃ (77℉)。</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10.阻燃性与防腐性：蓄电池间接线板、终端接头应选择导电性能优良的材料，并具有防腐措施。蓄电池槽、盖、安全阀，极柱封口剂等材料应具有阻燃性，提供第三方权威认证机构颁发的证书。</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11.△其他：投标产品的制造商须电池原厂家（拒绝OEM贴牌产品）提供相关证明。</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电池柜</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放置32节单体12V100AH蓄电池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UPS配电箱，额定功率不小于15KW，PZ30箱体，明装20位</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同（一）市本级“14”参数一致</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（五）嵊泗县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主扩声专业音箱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同（三）普陀区序号7参数一致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主扩声专业功放</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同（三）普陀区序号8参数一致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辅助专业音箱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1．阻抗≤8Ω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2．频响等同或优于45Hz-20KHz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3．额定功率≥300W</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4．灵敏度≥98dB/W/M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5．水平覆盖角≥90°，垂直覆盖角≥80°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6．高音：≥1.7"压缩高音单元×1；低音：10"低音×1</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7、含音箱支架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辅助专业功放</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1.1U机箱设计，采用D类数字功放设计方案。</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2.标准XLR输入接口，和LINK输出口。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3.电源采用开关电源技术，效率高，有效的抑制电源谐波。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4.内置智能削峰限幅器，支持开机软启动，防止开机时向电网吸收大电流，干扰其它用电设备。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5.具有：过压保护，欠压保护，过流保护，直流保护，输出短路保护，温控风扇等功能。</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6.输出功率：立体声@8Ω：≥500W×2；立体声@4Ω：≥850W×2；桥接@8Ω：≥1700W。</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音频处理器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调音台</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1.具有≥8路数字增益话放通道、≥2路高阻单声通道、≥2组立体声输入通道，话筒输入接口带48V幻象电源。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2.具有≥1组立体主输出通道、≥4路AUX辅助输出通道、≥1路TRS监听输出通道。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3.△具有≥8路DCA编组、≥8路静音编组，输入输出、效果器通道均可编入。（需提供得到CMA或CNAS认可的检测机构出具的检测报告作为该技术参数证明材料）</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具有≥2路USB播放通道，支持USB录音、播放功能，支持APE\MP3\FLAC\WAV无损音频格式。内置4G的媒体空间，可导入音乐文件或导出录音文件。（需提供得到CMA或CNAS认可的检测机构出具的检测报告作为该技术参数证明材料）</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5.具有≥1个7英寸高清触摸屏，支持≥1024×600分辨率。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6.具有≥4个内置效果器，设备自带有经典混响、大房间混响等效果。</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7.内置自适应陷波反馈抑制算法。</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8.具有≥30组场景预设，可导入USB存储，便于备份调用。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9.具有Link连接功能，可进行相邻通道绑定设置。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10.具有≥1路网络接口，支持主流操作系统进行远程控制。</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11.具有防误触碰、误操作面板锁。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一拖二手持话筒</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一拖四会议话筒</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智能混音器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1.△输入通道：≥16路平衡式话筒/线路输入，采用裸线接口端子，平衡接法。支持麦克风输入和线路输入切换。每路输入带≥48V幻象电源，可通过PC软件单独配置。（提供设备接口图及功能界面截图佐证）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2.输出通道：≥4路平衡式线路输出，采用裸线接口端子，平衡接法。</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3.输入灵敏度：MIC IN：120mV；LINE IN:775mV</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4.最大输入电平：15dBu</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5.最大输出电平：18dBu</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6.频响：20Hz—20kHz（±1dB）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7.△具有丰富的音频处理功能：闪避器、自动增益、均衡器、分频器、扩展器。（提供功能界面截图佐证）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8.具有自动混音功能，包括增益共享混音以及门限自动混音。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9.输入具有≥10段图示均衡调节，输出具有≥31段图示均衡调节，参量全频段拖动可调。</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10.高、低通分频器全频段可调，具有贝塞尔、林克威治-瑞利、巴特沃斯三种滤波器可供选择。</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11.具有恢复出厂设置、设备定位、断电自动保护记忆。</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12.设备级联最大可扩展≥256个输入。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13.极低系统延时，延时≤3ms。</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14.多场景切换：≥4个场景切换；支持通过后台管理软件导入、导出场景数据。</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电源管理器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10"/>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支持≥8通道电源时序打开/关闭，每路动作延时时间：≤1秒，支持远程控制（上电+24V直流信号）8通道电源时序打开/关闭—当电源开关处于off位置时有效。</w:t>
            </w:r>
          </w:p>
          <w:p>
            <w:pPr>
              <w:widowControl/>
              <w:numPr>
                <w:ilvl w:val="0"/>
                <w:numId w:val="10"/>
              </w:numPr>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当远程控制有效时同时控制后板ALARM（报警）端口导通以起到级联控制ALARM（报警）功能。</w:t>
            </w:r>
          </w:p>
          <w:p>
            <w:pPr>
              <w:widowControl/>
              <w:numPr>
                <w:ilvl w:val="0"/>
                <w:numId w:val="10"/>
              </w:numPr>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单个通道最大负载功率≥2200W，所有通道负载总功率≥6000W。输出连接器：多用途电源插座。</w:t>
            </w:r>
          </w:p>
          <w:p>
            <w:pPr>
              <w:widowControl/>
              <w:numPr>
                <w:ilvl w:val="0"/>
                <w:numId w:val="10"/>
              </w:numPr>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具有一路及以上USB输出接口。</w:t>
            </w:r>
          </w:p>
          <w:p>
            <w:pPr>
              <w:widowControl/>
              <w:numPr>
                <w:ilvl w:val="0"/>
                <w:numId w:val="10"/>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额定输出电压：AC~220V50Hz</w:t>
            </w:r>
          </w:p>
          <w:p>
            <w:pPr>
              <w:widowControl/>
              <w:numPr>
                <w:ilvl w:val="0"/>
                <w:numId w:val="10"/>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额定输出电流：30A</w:t>
            </w:r>
          </w:p>
          <w:p>
            <w:pPr>
              <w:widowControl/>
              <w:numPr>
                <w:ilvl w:val="0"/>
                <w:numId w:val="10"/>
              </w:numPr>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单路额定输出电源：10A</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音频隔离器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1.一款双通道音频隔离器。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2.低底噪、无50Hz交流“嗡”声、无高频“嗞啦”干扰。</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3.点对点平衡传输音频，可以选择前面板2个接口中的任意一个COMBO接口输入，从后面板对应COMBO接口输出。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4.即插即用，支持热插拨。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5.隔离滤波音频传输最远传输信号等同或优于450－600米。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6.内置瞬态、浪涌抑制、抗静电保护电路。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7.具有≥2路XLR输入；具有≥2路XLR输出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8.输入输出隔离绝缘耐压：300Vp-p以上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9.多通道隔离静噪器特性：备插损&lt;0.5dB 回损：＞18dB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10.Max(输入－输出、输入电平：0.5Vp-p(Min)-1Vp-p - 3Vp-p (Max)</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11.频率响应：20Hz—20kHz（±＜0.2db ref 1khz）</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天线分配器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同（三）普陀区序号13参数一致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话筒天线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 w:val="20"/>
              </w:rPr>
              <w:t>同（三）普陀区序号14参数一致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多媒体插座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同（三）普陀区序号17参数一致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同（三）普陀区序号18参数一致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配套辅材</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音视频扩声系统配套管线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一键式会议协作系统</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1.可以通过笔记本电脑、平板电脑或智能手机实现实现无线传输及不同用户之间的切换。无需管理员权限安装，自动升级。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2.在有线和无线分享源之间流畅切换；增强的安全功能。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3.无线会议系统物理按钮包含分享按钮以及快速按钮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4.支持基于程序窗口分享，或者基于整个屏幕分享</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5.无线会议系统同时输出信号源不少于2路。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6.网络集成下物理按钮连接主机自身的SSID、移动设备连接至外部网络的SSID可实现画面分享，此时电脑和移动设备在分享的同时都可上网。</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7.主机连接触摸屏支持触摸反向控制，且无须安装驱动。</w:t>
            </w:r>
          </w:p>
          <w:p>
            <w:pPr>
              <w:widowControl/>
              <w:jc w:val="left"/>
              <w:textAlignment w:val="center"/>
              <w:rPr>
                <w:rFonts w:ascii="仿宋_GB2312" w:hAnsi="仿宋_GB2312" w:eastAsia="仿宋_GB2312" w:cs="仿宋_GB2312"/>
                <w:color w:val="000000" w:themeColor="text1"/>
                <w:kern w:val="0"/>
                <w:sz w:val="20"/>
                <w:highlight w:val="cyan"/>
              </w:rPr>
            </w:pPr>
            <w:r>
              <w:rPr>
                <w:rFonts w:hint="eastAsia" w:ascii="仿宋_GB2312" w:hAnsi="仿宋_GB2312" w:eastAsia="仿宋_GB2312" w:cs="仿宋_GB2312"/>
                <w:color w:val="000000" w:themeColor="text1"/>
                <w:kern w:val="0"/>
                <w:sz w:val="20"/>
              </w:rPr>
              <w:t>8.演示系统在连接触控屏后具备虚拟白板和批注功能，虚拟白板和批注内容即可以直接保存至参会者的电脑或智能移动设备，也可以保存至U盘。具有画布注解、黑板化和触控集中管理。</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9.系统音频输出包括 USB和HDMI两种方式</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10.无线会议系统配备不少于2个USB接口，其中不少于1个USB Type-C接口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 无线会议系统支持的HDMI输出分辨率为  4K UHD (3840x2160)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 系统可选择在 2.4GHz 或 5GHz 的频段内工作。</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 xml:space="preserve">13.系统采用IEEE 802.11 a/b/g/n/ac 和 IEEE 802.15.1 标准进行无线传输。  </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电子桌牌</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1.主屏幕分辨率：≥800*480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2.支持字体色彩：黑白红。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3.双屏幕：不支持触摸</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4.主屏幕尺寸：7.5英寸</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5.DPI：127</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6.视角：85/85/85/85</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7.支持安卓系统手机连接蓝牙操作、支持NFC方式投图。</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8.采用低功耗设计，画面静止状态无刷新频率，拍录视频时，摄像不会出现闪屏现象。</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9.采用全铝结构，显示屏框架厚度≤7.7毫米。</w:t>
            </w:r>
          </w:p>
        </w:tc>
      </w:tr>
      <w:tr>
        <w:tblPrEx>
          <w:tblCellMar>
            <w:top w:w="0" w:type="dxa"/>
            <w:left w:w="108" w:type="dxa"/>
            <w:bottom w:w="0" w:type="dxa"/>
            <w:right w:w="108" w:type="dxa"/>
          </w:tblCellMar>
        </w:tblPrEx>
        <w:trPr>
          <w:trHeight w:val="556"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kern w:val="0"/>
                <w:sz w:val="20"/>
              </w:rPr>
            </w:pPr>
          </w:p>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信创操作电脑</w:t>
            </w:r>
          </w:p>
          <w:p>
            <w:pPr>
              <w:widowControl/>
              <w:jc w:val="center"/>
              <w:textAlignment w:val="center"/>
              <w:rPr>
                <w:rFonts w:ascii="仿宋_GB2312" w:hAnsi="仿宋_GB2312" w:eastAsia="仿宋_GB2312" w:cs="仿宋_GB2312"/>
                <w:color w:val="000000" w:themeColor="text1"/>
                <w:sz w:val="20"/>
              </w:rPr>
            </w:pP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firstLine="0" w:firstLineChars="0"/>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技术要求参见4.3信创操作电脑技术要求</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双色屏</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1.规格为P3.75，像素点间距≤4.75mm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2.单元板分辨率≥2048Dots</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3.刷新率≥960Hz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4.像素构成：1R、1G</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5.驱动方式：恒流驱动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6.控制方式：同步控制系统、异步控制系统</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7.白平衡亮度≥550Cd/m²；亮度调节：0-100%亮度可调，屏幕亮度具有随环境照度的变化任意调整功能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8.亮度均匀性≥98%</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9.水平视角≥160°，垂直视角≥160°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10.对比度≥6500：1</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11.灰度等级≥8bit</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12.含边框，支架及发送卡等，显示尺寸4.256*0.304米</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移动会议系统</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1.屏幕尺寸 11英寸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2.屏幕类型 OLED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3.分辨率 2560 x1600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4.屏幕比例 16:10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5.存储 12GB+256GB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6.Wi-Fi工作频段2.4GHz&amp;5GHz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7.GPS 支持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8.蓝牙 Bluetooth 5.2，支持BLE，支持SBC、AAC、L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9.前置摄像头 1600万像系;后置摄像头 1300万像系高清摄像头+800万像素广角摄像头</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10.闪光灯 支持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11.照片分辨率 后置主摄像头:4160x3120像素;后置广角摄 </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像头:3264x2448;前置摄像头:4608x3456像素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高清混合矩阵</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网络型可编程中央控制主机</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电源控制器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控制平板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中控软件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同（三）普陀区序号24参数一致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信创安全网关</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1.▲设备最大吞吐量≥6841.114 Mbps，HTTP吞吐量≥3.5 Gbps，IPS吞吐量≥800 Mbit/s，AV吞吐量≥700 Mbit/s，最大并发连接数≥995.745万，每秒新建连接数≥9.987万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2.△标准1U专用硬件平台，内置冗余双电源，千光电口管理口≥2个（至少1个管理口，1个HA口），千兆电口≥10个，千兆光口≥4个（含2个千兆多模光模块），内存≥8GB，硬盘≥500GB SSD，需采用国产化CPU和国产化操作系统;含三年防病毒、防攻击、上网行为管理、Web安全防护授权。</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3.支持路由、网桥、旁路、混合、虚拟线工作模式；部署模式切换无需重启设备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4.支持4G USB插卡接入，实现4G连接，与有线链路之间互为备份；并支持在4G接口上运行IPSec VPN。（需提供功能截图证明）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5.支持基于7元组、域名的链路负载均衡策略；负载算法支持优先级和权重；支持过载保护、会话保持和健康检查，会话保持可实现用的访问请求均分配至同一出口。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6.支持IPv6/v4双栈，支持IPv6安全策略、包括审计策略、NAT策略、流量控制策略、会话控制策略、黑名单、白名单、认证策略等。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7.支持一体化安全策略：可基于设备接口/安全域、地址、服务、应用、用、时间等属性，配置入侵防御、病毒防护、URL过滤、应用过滤、日志记录、会话老化时间、终端过滤等高级访问控制功能。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提供智能策略分析功能，支持策略命中分析、隐藏策略分析、冗余策略分析、冲突策略分析、可合并策略分析、过期策略发现、空策略发现、策略宽松度分析，并在Web页面显示分析结果。（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9.支持对最多20级的压缩文件进行解压查杀。</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10.支持独立的Web防护模块，提供SQL注入攻击、XSS攻击、恶意扫描与爬虫、服务器防护、CMS漏洞防护等不少于10种的防护类型。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本地认证、Portal认证、Radius认证、LDAP认证、POP3认证、AD域单点登录、短信认证、微信公众号认证、APP认证、二维码认证、互联网钉钉认证、混合认证和免认证，其中微信公众号认证支持通过小程序获取手机号。（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12.△支持一种基于概率加权路径的防火墙规则引擎时间复杂度评估方法。(提供发明专利或权威检测机构检测报告)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13.△支持一种低延迟的TCP跨报文防火墙检测方法。(提供发明专利或权威检测机构检测报告)</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14、本设备为软硬一体产品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同（一）市本级序号13参数一致</w:t>
            </w:r>
          </w:p>
        </w:tc>
      </w:tr>
      <w:tr>
        <w:tblPrEx>
          <w:tblCellMar>
            <w:top w:w="0" w:type="dxa"/>
            <w:left w:w="108" w:type="dxa"/>
            <w:bottom w:w="0" w:type="dxa"/>
            <w:right w:w="108" w:type="dxa"/>
          </w:tblCellMar>
        </w:tblPrEx>
        <w:trPr>
          <w:trHeight w:val="379" w:hRule="atLeast"/>
        </w:trPr>
        <w:tc>
          <w:tcPr>
            <w:tcW w:w="88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33</w:t>
            </w:r>
          </w:p>
        </w:tc>
        <w:tc>
          <w:tcPr>
            <w:tcW w:w="197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同（一）市本级序号14参数一致</w:t>
            </w:r>
          </w:p>
        </w:tc>
      </w:tr>
      <w:tr>
        <w:tblPrEx>
          <w:tblCellMar>
            <w:top w:w="0" w:type="dxa"/>
            <w:left w:w="108" w:type="dxa"/>
            <w:bottom w:w="0" w:type="dxa"/>
            <w:right w:w="108" w:type="dxa"/>
          </w:tblCellMar>
        </w:tblPrEx>
        <w:trPr>
          <w:trHeight w:val="528" w:hRule="atLeast"/>
        </w:trPr>
        <w:tc>
          <w:tcPr>
            <w:tcW w:w="8964" w:type="dxa"/>
            <w:gridSpan w:val="3"/>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（六）普陀山镇人民政府</w:t>
            </w:r>
          </w:p>
        </w:tc>
      </w:tr>
      <w:tr>
        <w:tblPrEx>
          <w:tblCellMar>
            <w:top w:w="0" w:type="dxa"/>
            <w:left w:w="108" w:type="dxa"/>
            <w:bottom w:w="0" w:type="dxa"/>
            <w:right w:w="108" w:type="dxa"/>
          </w:tblCellMar>
        </w:tblPrEx>
        <w:trPr>
          <w:trHeight w:val="140"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themeColor="text1"/>
                <w:kern w:val="0"/>
                <w:sz w:val="20"/>
              </w:rPr>
              <w:t>P1.2全彩屏</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1．▲像素间距≤1.25mm，像素密度≥ 640000点/㎡；SMD；</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2．△整屏尺寸：宽≥3.2m，高≥1.92m，显示面积≥6.144㎡，分辨率≥2560×1536；</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3．整机采用压铸铝箱体；箱体强度：拉伸强度≥300Mpa,硬度≥80HB；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4．支持模组、电源、接收卡完全前维护/后维护；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5．显示单元平整度（mm）≤0.05；模组平整度（mm）≤0.05；相对错位偏差（水平/垂直）≤1.0%；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6．校正后亮度≥500nit，（0-100%无级可调）；最高对比度≥10000:1；刷新率≥3840Hz，支持通过配套控制软件调节刷新率设置，支持420Hz-4880Hz调节；</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7．灰度等级16bit；支持低亮高灰，采用PMW灰阶控制技术提升低灰视觉效果；支持0-100%亮度时，8-16bits灰度自定义设置；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8．屏体正面为黑色亚光处理,反光率≤1.5%；样品在10Lux/5600K照度下,对屏幕表面进行光反射率试验,屏幕表面光反射率(单位面积反射亮度)＜3cd/m²；</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9．水平视角≥160°；垂直视角≥160°；像素中心距偏差≤1%；色域≥120% NTSC；色准△E≤0.9；</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10．基色主波长误差C级 △λD≤5，亮度误差值在3%，灯芯的波长误差值在±1nm之内；白场色坐标符合SJ/T 11141-2017 5.10.5规定范围；亮度鉴别等级C级 Bj≥20；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11.△模组支持双电压DC2.8V/DC3.8V或单电压DC4.2V~DC5V供电方式 ；免工具维护，同时有防呆设计，预防接错电源线短路而导致的烧毁模组行为；(提供权威检测机构检测报告)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12．△峰值功耗≤390W/㎡，平均功耗≤130W/㎡；电源采用110-240V宽电压，适应电网电压更广，采用带PFC电源，电源功率因素≥0.95，转换效率88%；(提供权威检测机构检测报告)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13．采用低转折节能技术，具有4档可调节恒流拐点电压；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14．支持任意非标准分辨率信号输入自适应,输出范围内进行缩放,实现最佳分辨率自动匹配,避免屏幕比例和黑边问题的复杂调试;LED 显示屏系统级联板卡自适应功能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15．支持多 bin 色度校正,校正数据存储在模组里,采用色彩管理系统,在 LED 控制系统对视频解码后,添加二次过滤显示算法,对显示屏每一个发光二极管进行逐点14 位颜色校正:支持色彩及亮度自动调整,保持色彩亮度一致性。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16．支持休眠功能：支持无信号输入自动熄屏待机,有信号输入自动唤醒功能(提供权威检测机构检测报告)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17．△带有智能（黑屏）节电功能，开启智能节电功能比没有开启节能50%以上，能源效率值≥3cd/W，睡眠模式功率密度值≤125W/m2；(提供权威检测机构检测报告)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themeColor="text1"/>
                <w:kern w:val="0"/>
                <w:sz w:val="20"/>
              </w:rPr>
              <w:t>18．△产品防火及安全标准:满足BS476-7表面燃烧测试1级；燃烧烟气毒性指数满足BS6853测试R值≤1；(提供权威检测机构检测报告)</w:t>
            </w:r>
          </w:p>
        </w:tc>
      </w:tr>
      <w:tr>
        <w:tblPrEx>
          <w:tblCellMar>
            <w:top w:w="0" w:type="dxa"/>
            <w:left w:w="108" w:type="dxa"/>
            <w:bottom w:w="0" w:type="dxa"/>
            <w:right w:w="108" w:type="dxa"/>
          </w:tblCellMar>
        </w:tblPrEx>
        <w:trPr>
          <w:trHeight w:val="115"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LED屏拼控处理器</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1.视频输入接口：2路 HDMI 1.4 ，1 路 DVI。</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2.支持逐点亮色度校正。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 10路网口输出，带载高达 650万像素。</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4.支持3.5mm独立音频输出。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5.具有强大的视频处理能力，支持输出画面无极缩放，支持一键全屏缩放，支出输入源任意截取。</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6.支持三输入画质管理，包括亮度、对比度、饱和度和色度调整</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7.支持 3个图层，图层大小和位置可单独调节，图层优先级可调整。</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8.支持预监输出画面，将预监内容通过 HDMI 发送到显示器显示。</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9.△为保证系统兼容性，与LED显示屏同一品牌，提供CCC证书加盖投标人公章。</w:t>
            </w:r>
          </w:p>
        </w:tc>
      </w:tr>
      <w:tr>
        <w:tblPrEx>
          <w:tblCellMar>
            <w:top w:w="0" w:type="dxa"/>
            <w:left w:w="108" w:type="dxa"/>
            <w:bottom w:w="0" w:type="dxa"/>
            <w:right w:w="108" w:type="dxa"/>
          </w:tblCellMar>
        </w:tblPrEx>
        <w:trPr>
          <w:trHeight w:val="154"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安装钢结构及包边</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大屏安装钢结构、安装连接件等，现场焊接；要求抗绣，抗腐蚀，稳定牢固，不允许存在安全隐患。</w:t>
            </w:r>
          </w:p>
        </w:tc>
      </w:tr>
      <w:tr>
        <w:tblPrEx>
          <w:tblCellMar>
            <w:top w:w="0" w:type="dxa"/>
            <w:left w:w="108" w:type="dxa"/>
            <w:bottom w:w="0" w:type="dxa"/>
            <w:right w:w="108" w:type="dxa"/>
          </w:tblCellMar>
        </w:tblPrEx>
        <w:trPr>
          <w:trHeight w:val="69"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服务器机柜</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1.材质：冷轧钢板</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2.</w:t>
            </w:r>
            <w:r>
              <w:rPr>
                <w:rFonts w:hint="eastAsia" w:ascii="仿宋_GB2312" w:hAnsi="仿宋_GB2312" w:eastAsia="仿宋_GB2312" w:cs="仿宋_GB2312"/>
                <w:color w:val="000000" w:themeColor="text1"/>
                <w:kern w:val="0"/>
                <w:sz w:val="20"/>
              </w:rPr>
              <w:t>规格：600*600*1600MM</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3.颜色：黑色</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4.其他：符合国标</w:t>
            </w:r>
          </w:p>
        </w:tc>
      </w:tr>
      <w:tr>
        <w:tblPrEx>
          <w:tblCellMar>
            <w:top w:w="0" w:type="dxa"/>
            <w:left w:w="108" w:type="dxa"/>
            <w:bottom w:w="0" w:type="dxa"/>
            <w:right w:w="108" w:type="dxa"/>
          </w:tblCellMar>
        </w:tblPrEx>
        <w:trPr>
          <w:trHeight w:val="200" w:hRule="atLeast"/>
        </w:trPr>
        <w:tc>
          <w:tcPr>
            <w:tcW w:w="88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w:t>
            </w:r>
          </w:p>
        </w:tc>
        <w:tc>
          <w:tcPr>
            <w:tcW w:w="197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配套辅材</w:t>
            </w:r>
          </w:p>
        </w:tc>
        <w:tc>
          <w:tcPr>
            <w:tcW w:w="610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电力电缆、电源线、网线、管材、屏专用线及空开等各种配套辅材</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二、安全设备</w:t>
            </w:r>
          </w:p>
        </w:tc>
      </w:tr>
      <w:tr>
        <w:tblPrEx>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流量检测探针</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1.功能综述。部署流量检测探针，实现攻击检测、僵木蠕检测、DDoS 检测、恶意程序检测、APT检测、WEB 安全检测、虚拟沙箱、元数据提取、流量分析等安全监测功能，内置AI模型，可以针对各类隐蔽隧道和变形指令进行监控。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2.流量采集。流量检测探针支持流量采集，能够解析常见的网络协议和工控物联网协议，具备IPv4及IPv6的双栈流量解析能力，可通过页面上传、FTP 协议传输等方式导入离线流量数据，并进行威胁分析。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3.流量回溯。流量检测探针支持流量回溯，能够对深度解析的协议进行存储，存储数据类型至少包括：会话日志、流量日志、告警日志、原始 pcap 流量包、恶意样本等，并提供文件查询接口，满足网络安全态势感知平台溯源取证要求。</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4.威胁检测。流量检测探针支持威胁检测，覆盖多种攻击检测，至少包括 WEB 应用检测、恶意文件检测、动态文件检测、APT 攻击检测、5G 安全检测、异常行为检测、抗逃逸攻击检测、应用服务爆破检测、数据库安全检测等。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5.渗透工具识别。流量检测探针支持渗透工具识别，能够识别常用的渗透工具攻击，包括但不限于 CobaltStrike、冰蝎 4.0、哥斯拉、蚁剑等加密 webshell 攻击工具。</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6.敏感信息检测。流量检测探针支持敏感信息检测，可以识别http 报文、数据库报文、文件、图片中的敏感信息，包括但不限于：身份证号、手机号、姓名、邮箱、地址等信息，并支持自定义敏感数据识别规则。</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7.▲功能性指标。内存不低于128G，存储硬盘不低于 20T，万兆光口不少于 2 个，网络层吞吐量不低于 10Gbps，具备协议还原、文件检测和请求指令检测能力，支持 PCAP 包的留存，兼容常见的网络层和应用层协议。</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themeColor="text1"/>
                <w:kern w:val="0"/>
                <w:sz w:val="20"/>
              </w:rPr>
              <w:t>注：▲能够与省应急厅态势感知汇聚平台无缝对接，支持安全日志上传，能够接收态势感知平台的集中管理。提供相应承诺。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SDWAN网关（边界侧）</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1.功能综述。SD-WAN 网关以软件定义广域网技术和真随机Bit编码技术为核心，建立安全可靠、容灾抗毁的逻辑通信网络，帮助不同区域、不同网络的人和设备进行互联互通。SD-WAN 网关分为边缘节点和中心节点，边缘节点用于在应急救援现场、移动办公驻所、执法检查场地等边缘区域建设临时性的安全局域网，连通各类终端和通信基站；中心节点部署在后方指挥部、总部基地等区域，与边缘节点配合建立广域网安全传输隧道，实现流量汇聚和无障碍通信。</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2.极简组网。SD-WAN 网关支持极简组网，能够根据使用场景进 行二层、大二层和三层组网，三层组网协议包括静态路由协议、OSPF协议和BGP协议等，可以通过一键部署快速建立 Full-Mesh和Spoke-Hub，内置DNS代理模块，基于不同的虚拟隧道分配不同的DNS服务。SD-WAN 网关能够适应复杂物理链路环境，边缘节点支持在物理网络上切分不同的虚拟隧道，与中心节点进行配合，实现一对多、多对一和多对多的复杂访问，具备多层网络嵌套组网的能力。</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3.智能选路。SD-WAN 网关支持智能选路，边缘节点可以对当前链路的传输质量进行实时监测，基于带宽、时延、丢包率等因素设置单一规则或综合规则，对访问路径进行自动切换。当处于重大保障场景时，SD-WAN网关可以进入广域网传输路径保护模式，在边缘节点和中心节点上预先设置多条不同的传输路径，进行主备传输和均衡传输，当任一链路发生故障时，流量自动分担到其他正常链路中。</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4.多路共用。SD-WAN 网关支持多路共用，边缘节点能够将数据包按照使用物理线路的数量进行等比例复制，通过不同的物理线路发送相同的数据包，中心节点接收后进行去重处理，增强复杂环境下的传输可靠性，保障视频会议、语音通信、图像回传等时延敏感业务的可用性，物理链路类型涵盖 4G/5G、以太网、卫星链路等。</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5.信源编码。SD-WAN 网关支持信源编码，内置专用的随机数交换板卡和随机数存储介质，用于向 SD-WAN 控制台申请和存储真随机数，边缘节点通过真随机数对传输比特进行XOR编码运算，采用端到端传输模式，全程不进行任何解码操作，只在中心节点进行反向解码，还原传输数据，能够效对抗信道侦听、密钥劫持和量子攻击等新型入侵手段。SD-WAN 网关的信源编码范围包括业务链路和控制链路，可根据应急救援场景的中实际物理带宽自定义配置编码强度、编码范围和编码模式，实现业务与安全的灵活平衡。</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6.传输优化。SD-WAN 网关支持传输优化，针对TCP协议的重传机制、滑动窗口、流量控制、拥堵控制等机制进行优化修正，降低等待和重传时间，通过 UDP+TCP 的双重封装模式，增强链路穿透性，避免巨型帧的切割拆分，大幅度增强视频、音频、图像类业务的稳定性。同时，SD-WAN 网关能够对接第三方提供的链路优化服务，边缘节点和中心节点接入云端 POP 网络加速节点，以专线方式在骨干网汇聚节点进行传输，规避跨省访问、跨运营商访问时的链路阻塞问题。</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7.访问控制。SD-WAN 网关支持访问控制，可以提供丰富的五元 组控制策略，根据源IP、目的IP、源端口、目的端口和协议进行自由 组合，能够根据业务需要划分安全域，隔离不同区域内部的访问流量，并且记录详细的会话访问日志。</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8.身份认证。SD-WAN 网关支持身份认证，能够基于账户密码+短信验证码的双因子认证，可以与用户自建 LDAP 服务器和RADIUS服务 器进行联动认证，同时支持 MAC 识别，通过绑定设备 MAC 地址进行认证管控，并且记录详细的认证登录日志。</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9.环境适应。SD-WAN 网关支持环境适应，可以根据实际场景更 换外壳，适应高温、结冰、风沙、暴雨、潮湿等不同救援环境，保护内部系统稳定运行，具备多模组自由更换能力，针对不同的场景选用4G/5G 模组、Wifi 模组、卫星模组和以太网模组等。</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10.功能性指标。边缘侧SD-WAN网关：网口数量不少于4个，具备4G/5G和Wifi能力。使用SD-WAN技术与中心侧SD-WAN 网关进行通信，支持传输加密，具有视音频业务优化能力，支持IPv4/IPv6 双栈工作模式。</w:t>
            </w:r>
          </w:p>
          <w:p>
            <w:pPr>
              <w:widowControl/>
              <w:jc w:val="left"/>
              <w:textAlignment w:val="center"/>
              <w:rPr>
                <w:rFonts w:ascii="仿宋_GB2312" w:hAnsi="仿宋_GB2312" w:eastAsia="仿宋_GB2312" w:cs="仿宋_GB2312"/>
                <w:color w:val="000000" w:themeColor="text1"/>
                <w:sz w:val="20"/>
              </w:rPr>
            </w:pPr>
            <w:r>
              <w:rPr>
                <w:rFonts w:hint="eastAsia" w:ascii="宋体" w:hAnsi="宋体" w:cs="宋体"/>
                <w:kern w:val="0"/>
                <w:sz w:val="18"/>
                <w:szCs w:val="18"/>
              </w:rPr>
              <w:t>▲能够被上级部门SD-WAN网关控制台管理。</w:t>
            </w:r>
            <w:r>
              <w:rPr>
                <w:rFonts w:hint="eastAsia"/>
                <w:sz w:val="20"/>
              </w:rPr>
              <w:t>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违规外联检测探针</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1.功能综述。违规外联检测器用于为各个网络核心节点检测流 量合规情况，能够检测与其他网络的非法链接，阻断终端通过多网卡、WIFI、手机等多种方式网络非法外联访问。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2.网络外联检测。违规外联检测器支持网络外联检测，能够检  测终端是否同时连接多个网络，可以自定义检测规则，匹配适应场景，并对违规信息进行展示，支持对于网络状态的判定，判断是否同时存在多网联通。</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3.网中网探测。违规外联检测器支持网中网检测，能够检测现  有网络中的 USB 网卡、笔记本热点、代理服务器等网络隔离手段，对多人共用 IP 的场景进行重点监控，并展示详情信息。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4.网络串线发现。规外联检测探针支持网络串线发现，通过被  动流量审计的方式，对 IP 和 VLAN 信息进行深度分析，侦测非正常区域 可疑流量，发现私搭乱建交换机等行为，可以通过主动探测报文进行二次确认。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5.功能性指标。万兆光口数量不少于 2 个，能够检测与其他网络的违规外联情况，支持 IPv4/IPv6 双栈工作模式,支持配置自定义检测规则。</w:t>
            </w:r>
          </w:p>
          <w:p>
            <w:pPr>
              <w:widowControl/>
              <w:jc w:val="left"/>
              <w:textAlignment w:val="center"/>
              <w:rPr>
                <w:rFonts w:ascii="仿宋_GB2312" w:hAnsi="仿宋_GB2312" w:eastAsia="仿宋_GB2312" w:cs="仿宋_GB2312"/>
                <w:color w:val="000000" w:themeColor="text1"/>
                <w:sz w:val="20"/>
              </w:rPr>
            </w:pPr>
            <w:r>
              <w:rPr>
                <w:rFonts w:hint="eastAsia" w:ascii="宋体" w:hAnsi="宋体" w:cs="宋体"/>
                <w:kern w:val="0"/>
                <w:sz w:val="18"/>
                <w:szCs w:val="18"/>
              </w:rPr>
              <w:t>▲</w:t>
            </w:r>
            <w:r>
              <w:rPr>
                <w:rFonts w:hint="eastAsia" w:ascii="宋体" w:hAnsi="宋体" w:cs="宋体"/>
                <w:kern w:val="0"/>
                <w:sz w:val="20"/>
              </w:rPr>
              <w:t>能够被上级部门违规外联检测控制台统一管理。</w:t>
            </w:r>
            <w:r>
              <w:rPr>
                <w:rFonts w:hint="eastAsia"/>
                <w:sz w:val="20"/>
              </w:rPr>
              <w:t>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Style w:val="78"/>
                <w:rFonts w:hint="default" w:ascii="仿宋_GB2312" w:hAnsi="仿宋_GB2312" w:eastAsia="仿宋_GB2312" w:cs="仿宋_GB2312"/>
                <w:color w:val="000000" w:themeColor="text1"/>
              </w:rPr>
              <w:t>终端准入网关</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1.功能综述。终端准入网关用于为桌面 PC、打印机、视频会议 终端等设备提供指纹识别、设备准入、访问控制的能力，对入网终端设 备进行控制管理，解决了终端设备类型不清，数量不准确，人员身份不明，终端安全风险未知、终端故障排查困难等问题。</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2.设备控制。终端准入网关支持设备控制，内置设备指纹特征  库，能够对网络中的各种智能设备、物联设备进行识别，形成设备登记注册表，放行在册合法设备，可以适应 IPv6 和 IPv4 双栈环境。</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3.规则自定义。终端准入网关支持规则自定义，可以设置不同  的终端准入规范满足不同场景的设备接入需求，具备流程化规则设计能力。</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4.攻击定位。终端准入网关支持攻击定位，内置攻击特征库， 可以实时检测 2-7 层的各种攻击行为，发现入侵流量时联动进行封禁，能够形成相应的攻击检测日志，进行二次确认。</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5.</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 xml:space="preserve">功能性指标。硬件规格：交流冗余电源，内存≧16G，万兆光口≥2 个，网络层吞吐量≧3Gbps，可交互终端≧500。对入网终端进行管控，支持 IPv4/IPv6 双栈工作模式，支持bypass 功能。 </w:t>
            </w:r>
          </w:p>
          <w:p>
            <w:pPr>
              <w:rPr>
                <w:rFonts w:ascii="仿宋_GB2312" w:hAnsi="仿宋_GB2312" w:eastAsia="仿宋_GB2312" w:cs="仿宋_GB2312"/>
                <w:color w:val="000000" w:themeColor="text1"/>
                <w:sz w:val="20"/>
              </w:rPr>
            </w:pPr>
            <w:r>
              <w:rPr>
                <w:rFonts w:hint="eastAsia" w:ascii="仿宋_GB2312" w:hAnsi="仿宋_GB2312" w:eastAsia="仿宋_GB2312" w:cs="仿宋_GB2312"/>
                <w:sz w:val="20"/>
              </w:rPr>
              <w:t xml:space="preserve"> </w:t>
            </w:r>
            <w:r>
              <w:rPr>
                <w:rFonts w:hint="eastAsia"/>
                <w:sz w:val="20"/>
              </w:rPr>
              <w:t>注：</w:t>
            </w:r>
            <w:r>
              <w:rPr>
                <w:rFonts w:hint="eastAsia" w:ascii="宋体" w:hAnsi="宋体" w:cs="宋体"/>
                <w:sz w:val="20"/>
              </w:rPr>
              <w:t>▲</w:t>
            </w:r>
            <w:r>
              <w:rPr>
                <w:rFonts w:hint="eastAsia"/>
                <w:sz w:val="20"/>
              </w:rPr>
              <w:t>能够与省应急厅态势感知汇聚平台无缝对接，支持安全日志上传。提供相应承诺。</w:t>
            </w:r>
          </w:p>
        </w:tc>
      </w:tr>
    </w:tbl>
    <w:p>
      <w:pPr>
        <w:rPr>
          <w:rFonts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注：</w:t>
      </w:r>
    </w:p>
    <w:p>
      <w:pPr>
        <w:ind w:firstLine="211" w:firstLineChars="100"/>
        <w:rPr>
          <w:rFonts w:ascii="仿宋_GB2312" w:hAnsi="仿宋_GB2312" w:eastAsia="仿宋_GB2312" w:cs="仿宋_GB2312"/>
          <w:b/>
          <w:bCs/>
        </w:rPr>
      </w:pPr>
      <w:r>
        <w:rPr>
          <w:rFonts w:hint="eastAsia" w:ascii="仿宋_GB2312" w:hAnsi="仿宋_GB2312" w:eastAsia="仿宋_GB2312" w:cs="仿宋_GB2312"/>
          <w:b/>
          <w:bCs/>
        </w:rPr>
        <w:t>1、权威检测机构是指具有CNAS、CMA、ILAC-MRA其中之一及以上认证标志的专业检测机构。</w:t>
      </w:r>
    </w:p>
    <w:p>
      <w:pPr>
        <w:ind w:firstLine="211" w:firstLineChars="100"/>
        <w:rPr>
          <w:rFonts w:ascii="仿宋_GB2312" w:hAnsi="仿宋_GB2312" w:eastAsia="仿宋_GB2312" w:cs="仿宋_GB2312"/>
          <w:b/>
          <w:bCs/>
        </w:rPr>
      </w:pPr>
      <w:r>
        <w:rPr>
          <w:rFonts w:hint="eastAsia" w:ascii="仿宋_GB2312" w:hAnsi="仿宋_GB2312" w:eastAsia="仿宋_GB2312" w:cs="仿宋_GB2312"/>
          <w:b/>
          <w:bCs/>
        </w:rPr>
        <w:t>2、上述投标人提供的盖有投标人公章的相关承诺，如中标人实际实施中不能做到，采购人有权单方面解除合同，并依法追究相关责任。</w:t>
      </w:r>
    </w:p>
    <w:p>
      <w:pPr>
        <w:pStyle w:val="2"/>
        <w:ind w:firstLine="0" w:firstLineChars="0"/>
      </w:pPr>
    </w:p>
    <w:p>
      <w:pPr>
        <w:pStyle w:val="2"/>
        <w:ind w:firstLine="460"/>
        <w:rPr>
          <w:rFonts w:ascii="仿宋_GB2312" w:hAnsi="仿宋_GB2312" w:eastAsia="仿宋_GB2312" w:cs="仿宋_GB2312"/>
          <w:color w:val="FF0000"/>
        </w:rPr>
      </w:pPr>
      <w:r>
        <w:rPr>
          <w:rFonts w:hint="eastAsia" w:ascii="仿宋_GB2312" w:hAnsi="仿宋_GB2312" w:eastAsia="仿宋_GB2312" w:cs="仿宋_GB2312"/>
          <w:color w:val="000000" w:themeColor="text1"/>
        </w:rPr>
        <w:t>4.3信创操作电脑技术要求：</w:t>
      </w:r>
    </w:p>
    <w:p>
      <w:pPr>
        <w:spacing w:line="288" w:lineRule="auto"/>
        <w:rPr>
          <w:rFonts w:ascii="仿宋_GB2312" w:hAnsi="仿宋_GB2312" w:eastAsia="仿宋_GB2312" w:cs="仿宋_GB2312"/>
          <w:color w:val="000000"/>
          <w:sz w:val="24"/>
          <w:szCs w:val="24"/>
        </w:rPr>
      </w:pPr>
    </w:p>
    <w:tbl>
      <w:tblPr>
        <w:tblStyle w:val="24"/>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25"/>
        <w:gridCol w:w="170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tcPr>
          <w:p>
            <w:pPr>
              <w:jc w:val="center"/>
              <w:rPr>
                <w:rFonts w:ascii="仿宋_GB2312" w:hAnsi="宋体" w:eastAsia="仿宋_GB2312" w:cs="Times New Roman"/>
                <w:b/>
                <w:szCs w:val="21"/>
              </w:rPr>
            </w:pPr>
            <w:r>
              <w:rPr>
                <w:rFonts w:hint="eastAsia" w:ascii="仿宋_GB2312" w:hAnsi="宋体" w:eastAsia="仿宋_GB2312" w:cs="Times New Roman"/>
                <w:b/>
                <w:szCs w:val="21"/>
              </w:rPr>
              <w:t>序号</w:t>
            </w:r>
          </w:p>
        </w:tc>
        <w:tc>
          <w:tcPr>
            <w:tcW w:w="1025" w:type="dxa"/>
          </w:tcPr>
          <w:p>
            <w:pPr>
              <w:rPr>
                <w:rFonts w:ascii="仿宋_GB2312" w:hAnsi="宋体" w:eastAsia="仿宋_GB2312" w:cs="Times New Roman"/>
                <w:b/>
                <w:szCs w:val="21"/>
              </w:rPr>
            </w:pPr>
            <w:r>
              <w:rPr>
                <w:rFonts w:hint="eastAsia" w:ascii="仿宋_GB2312" w:hAnsi="宋体" w:eastAsia="仿宋_GB2312" w:cs="Times New Roman"/>
                <w:b/>
                <w:szCs w:val="21"/>
              </w:rPr>
              <w:t>一级指标</w:t>
            </w:r>
          </w:p>
        </w:tc>
        <w:tc>
          <w:tcPr>
            <w:tcW w:w="1700" w:type="dxa"/>
          </w:tcPr>
          <w:p>
            <w:pPr>
              <w:rPr>
                <w:rFonts w:ascii="仿宋_GB2312" w:hAnsi="宋体" w:eastAsia="仿宋_GB2312" w:cs="Times New Roman"/>
                <w:b/>
                <w:bCs/>
                <w:szCs w:val="21"/>
              </w:rPr>
            </w:pPr>
            <w:r>
              <w:rPr>
                <w:rFonts w:hint="eastAsia" w:ascii="仿宋_GB2312" w:hAnsi="宋体" w:eastAsia="仿宋_GB2312" w:cs="Times New Roman"/>
                <w:b/>
                <w:bCs/>
                <w:szCs w:val="21"/>
              </w:rPr>
              <w:t>二级指标</w:t>
            </w:r>
          </w:p>
        </w:tc>
        <w:tc>
          <w:tcPr>
            <w:tcW w:w="5225" w:type="dxa"/>
          </w:tcPr>
          <w:p>
            <w:pPr>
              <w:rPr>
                <w:rFonts w:ascii="仿宋_GB2312" w:hAnsi="宋体" w:eastAsia="仿宋_GB2312" w:cs="Times New Roman"/>
                <w:szCs w:val="21"/>
              </w:rPr>
            </w:pPr>
            <w:r>
              <w:rPr>
                <w:rFonts w:hint="eastAsia" w:ascii="仿宋_GB2312" w:hAnsi="宋体" w:eastAsia="仿宋_GB2312" w:cs="Times New Roman"/>
                <w:b/>
                <w:szCs w:val="21"/>
              </w:rPr>
              <w:t>详细技术参数（“</w:t>
            </w:r>
            <w:r>
              <w:rPr>
                <w:rFonts w:hint="eastAsia" w:ascii="仿宋_GB2312" w:hAnsi="宋体" w:eastAsia="仿宋_GB2312" w:cs="Times New Roman"/>
                <w:szCs w:val="21"/>
              </w:rPr>
              <w:t>▲</w:t>
            </w:r>
            <w:r>
              <w:rPr>
                <w:rFonts w:hint="eastAsia" w:ascii="仿宋_GB2312" w:hAnsi="宋体" w:eastAsia="仿宋_GB2312" w:cs="Times New Roman"/>
                <w:b/>
                <w:szCs w:val="21"/>
              </w:rPr>
              <w:t>”项为实质性响应要求，不允许负偏离）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CPU规格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▲CPU信息</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型号≥麒麟</w:t>
            </w:r>
            <w:r>
              <w:rPr>
                <w:rFonts w:ascii="仿宋_GB2312" w:hAnsi="宋体" w:eastAsia="仿宋_GB2312" w:cs="Times New Roman"/>
                <w:szCs w:val="21"/>
              </w:rPr>
              <w:t>990，CPU核数≥8核、最高主频≥2.86GHz，热设计功耗≤10W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内存规格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▲内存配置容量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8</w:t>
            </w:r>
            <w:r>
              <w:rPr>
                <w:rFonts w:hint="eastAsia" w:ascii="仿宋_GB2312" w:hAnsi="宋体" w:eastAsia="仿宋_GB2312" w:cs="Times New Roman"/>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▲内存类型</w:t>
            </w:r>
          </w:p>
        </w:tc>
        <w:tc>
          <w:tcPr>
            <w:tcW w:w="5225" w:type="dxa"/>
          </w:tcPr>
          <w:p>
            <w:pPr>
              <w:rPr>
                <w:rFonts w:ascii="仿宋_GB2312" w:hAnsi="宋体" w:eastAsia="仿宋_GB2312" w:cs="Times New Roman"/>
                <w:szCs w:val="21"/>
              </w:rPr>
            </w:pPr>
            <w:r>
              <w:rPr>
                <w:rFonts w:ascii="仿宋_GB2312" w:hAnsi="宋体" w:eastAsia="仿宋_GB2312" w:cs="Times New Roman"/>
                <w:szCs w:val="21"/>
              </w:rPr>
              <w:t>LPDDR4X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▲内存条配置数量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主板规格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▲主板集成模块</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集成资源扩展模块、计算处理模块、音频扩展模块等，主板的互联拓扑可通过处理器或交换电路实现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▲主板支持的CPU和内存情况</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≥麒麟</w:t>
            </w:r>
            <w:r>
              <w:rPr>
                <w:rFonts w:ascii="仿宋_GB2312" w:hAnsi="宋体" w:eastAsia="仿宋_GB2312" w:cs="Times New Roman"/>
                <w:szCs w:val="21"/>
              </w:rPr>
              <w:t>990</w:t>
            </w:r>
            <w:r>
              <w:rPr>
                <w:rFonts w:hint="eastAsia" w:ascii="仿宋_GB2312" w:hAnsi="宋体" w:eastAsia="仿宋_GB2312" w:cs="Times New Roman"/>
                <w:szCs w:val="21"/>
              </w:rPr>
              <w:t xml:space="preserve">，≥8G </w:t>
            </w:r>
            <w:r>
              <w:rPr>
                <w:rFonts w:ascii="仿宋_GB2312" w:hAnsi="宋体" w:eastAsia="仿宋_GB2312" w:cs="Times New Roman"/>
                <w:szCs w:val="21"/>
              </w:rPr>
              <w:t>LPDDR4X</w:t>
            </w:r>
            <w:r>
              <w:rPr>
                <w:rFonts w:hint="eastAsia" w:ascii="仿宋_GB2312" w:hAnsi="宋体" w:eastAsia="仿宋_GB2312" w:cs="Times New Roman"/>
                <w:szCs w:val="21"/>
              </w:rPr>
              <w: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▲主板其他内置接口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SATA3.0接口</w:t>
            </w:r>
            <w:r>
              <w:rPr>
                <w:rFonts w:hint="eastAsia" w:ascii="仿宋_GB2312" w:hAnsi="Times New Roman" w:eastAsia="仿宋_GB2312" w:cs="Times New Roman"/>
                <w:szCs w:val="21"/>
              </w:rPr>
              <w:t>≥</w:t>
            </w:r>
            <w:r>
              <w:rPr>
                <w:rFonts w:ascii="仿宋_GB2312" w:hAnsi="宋体" w:eastAsia="仿宋_GB2312" w:cs="Times New Roman"/>
                <w:szCs w:val="21"/>
              </w:rPr>
              <w:t>2</w:t>
            </w:r>
            <w:r>
              <w:rPr>
                <w:rFonts w:hint="eastAsia" w:ascii="仿宋_GB2312" w:hAnsi="宋体" w:eastAsia="仿宋_GB2312" w:cs="Times New Roman"/>
                <w:szCs w:val="21"/>
              </w:rPr>
              <w:t>、M.2接口</w:t>
            </w:r>
            <w:r>
              <w:rPr>
                <w:rFonts w:hint="eastAsia" w:ascii="仿宋_GB2312" w:hAnsi="Times New Roman" w:eastAsia="仿宋_GB2312" w:cs="Times New Roman"/>
                <w:szCs w:val="21"/>
              </w:rPr>
              <w:t>≥</w:t>
            </w:r>
            <w:r>
              <w:rPr>
                <w:rFonts w:hint="eastAsia" w:ascii="仿宋_GB2312" w:hAnsi="宋体" w:eastAsia="仿宋_GB2312" w:cs="Times New Roman"/>
                <w:szCs w:val="21"/>
              </w:rPr>
              <w:t>1、USB 接口</w:t>
            </w:r>
            <w:r>
              <w:rPr>
                <w:rFonts w:hint="eastAsia" w:ascii="仿宋_GB2312" w:hAnsi="Times New Roman" w:eastAsia="仿宋_GB2312" w:cs="Times New Roman"/>
                <w:szCs w:val="21"/>
              </w:rPr>
              <w:t>≥</w:t>
            </w:r>
            <w:r>
              <w:rPr>
                <w:rFonts w:ascii="仿宋_GB2312" w:hAnsi="宋体" w:eastAsia="仿宋_GB2312"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▲内存插槽满配时提供的最高内存总容量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存储设备规格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▲固态盘数量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▲固态存储形态</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采用插卡或板载等形态，可选用符合M.2 或 2.5 寸 SATA 或 UFS 等标准的插卡形态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▲存储设备其他参数要求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a)固态盘应符合 SJ/T 11654 相关规定；</w:t>
            </w:r>
          </w:p>
          <w:p>
            <w:pPr>
              <w:rPr>
                <w:rFonts w:ascii="仿宋_GB2312" w:hAnsi="宋体" w:eastAsia="仿宋_GB2312" w:cs="Times New Roman"/>
                <w:szCs w:val="21"/>
              </w:rPr>
            </w:pPr>
            <w:r>
              <w:rPr>
                <w:rFonts w:hint="eastAsia" w:ascii="仿宋_GB2312" w:hAnsi="宋体" w:eastAsia="仿宋_GB2312" w:cs="Times New Roman"/>
                <w:szCs w:val="21"/>
              </w:rPr>
              <w:t>b)机械硬盘准备时间应不大于 30s；侧面固定螺丝孔数量可为 4 孔或 6 孔；工作状态环境温度应满足 5℃~55℃ ;其它参数应符合 GB/T 12628 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显卡规格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▲显卡类型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▲显示屏屏占比</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92</w:t>
            </w:r>
            <w:r>
              <w:rPr>
                <w:rFonts w:hint="eastAsia" w:ascii="仿宋_GB2312" w:hAnsi="宋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▲显示屏分辨率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显示屏可视角度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水平≥178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▲显示屏尺寸</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≥23.8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▲显示屏屏幕比例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▲显示器外观颜色</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widowControl/>
              <w:rPr>
                <w:rFonts w:ascii="仿宋_GB2312" w:hAnsi="宋体" w:eastAsia="仿宋_GB2312" w:cs="Arial"/>
                <w:szCs w:val="21"/>
              </w:rPr>
            </w:pPr>
            <w:r>
              <w:rPr>
                <w:rFonts w:hint="eastAsia" w:ascii="仿宋_GB2312" w:hAnsi="宋体" w:eastAsia="仿宋_GB2312" w:cs="Arial"/>
                <w:szCs w:val="21"/>
              </w:rPr>
              <w:t>▲显示屏防蓝光</w:t>
            </w:r>
          </w:p>
        </w:tc>
        <w:tc>
          <w:tcPr>
            <w:tcW w:w="5225" w:type="dxa"/>
            <w:vAlign w:val="center"/>
          </w:tcPr>
          <w:p>
            <w:pPr>
              <w:widowControl/>
              <w:rPr>
                <w:rFonts w:ascii="仿宋_GB2312" w:hAnsi="宋体" w:eastAsia="仿宋_GB2312" w:cs="Arial"/>
                <w:szCs w:val="21"/>
              </w:rPr>
            </w:pPr>
            <w:r>
              <w:rPr>
                <w:rFonts w:ascii="仿宋_GB2312" w:hAnsi="宋体" w:eastAsia="仿宋_GB2312" w:cs="Arial"/>
                <w:szCs w:val="21"/>
              </w:rPr>
              <w:t>支持防蓝光模式，蓝光加权辐射亮度 比应≤0.0012W/(·cd·sr)（瓦每坎 特拉每球面度）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▲显示屏低频闪</w:t>
            </w:r>
          </w:p>
        </w:tc>
        <w:tc>
          <w:tcPr>
            <w:tcW w:w="5225" w:type="dxa"/>
            <w:vAlign w:val="center"/>
          </w:tcPr>
          <w:p>
            <w:pPr>
              <w:rPr>
                <w:rFonts w:ascii="仿宋_GB2312" w:hAnsi="宋体" w:eastAsia="仿宋_GB2312" w:cs="Arial"/>
                <w:szCs w:val="21"/>
              </w:rPr>
            </w:pPr>
            <w:r>
              <w:rPr>
                <w:rFonts w:hint="eastAsia" w:ascii="仿宋_GB2312" w:hAnsi="宋体" w:eastAsia="仿宋_GB2312" w:cs="Arial"/>
                <w:szCs w:val="21"/>
              </w:rPr>
              <w:t>显示屏应支持低频闪≤-35dB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▲显示屏防炫目</w:t>
            </w:r>
          </w:p>
        </w:tc>
        <w:tc>
          <w:tcPr>
            <w:tcW w:w="5225" w:type="dxa"/>
            <w:vAlign w:val="center"/>
          </w:tcPr>
          <w:p>
            <w:pPr>
              <w:rPr>
                <w:rFonts w:ascii="仿宋_GB2312" w:hAnsi="宋体" w:eastAsia="仿宋_GB2312" w:cs="Arial"/>
                <w:szCs w:val="21"/>
              </w:rPr>
            </w:pPr>
            <w:r>
              <w:rPr>
                <w:rFonts w:hint="eastAsia" w:ascii="仿宋_GB2312" w:hAnsi="宋体" w:eastAsia="仿宋_GB2312" w:cs="Arial"/>
                <w:szCs w:val="21"/>
              </w:rPr>
              <w:t>显示屏镜面反射率≤10%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网络设备规格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有线网卡数量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外部接口规格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USB 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机箱前面板应提供不少于 3 个 USB3.0 接口，后面板不少于4个USB3.0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视频接口数量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音频接口数量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整机基础规格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整机外观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 产品表面不应有凹痕、划伤、裂缝、变形和污染等。表面涂层均匀，不应起泡、龟裂、脱落和磨损，金属零部件无锈蚀及其它机械损伤；</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 产品表面说明功能的文字、符号、标志，应清晰、端正、牢固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状态指示灯</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在产品显著位置提供状态指示功能，如运行状态，并由供应商提供详细参数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整机结构</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 机箱应符合 GB/T 4208、GB/T 26246的相关规定；</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 产品内部结构应符合通用部件的安装需求；</w:t>
            </w:r>
            <w:r>
              <w:rPr>
                <w:rFonts w:hint="eastAsia" w:ascii="仿宋_GB2312" w:hAnsi="宋体" w:eastAsia="仿宋_GB2312" w:cs="Times New Roman"/>
                <w:szCs w:val="21"/>
              </w:rPr>
              <w:br w:type="textWrapping"/>
            </w:r>
            <w:r>
              <w:rPr>
                <w:rFonts w:hint="eastAsia" w:ascii="仿宋_GB2312" w:hAnsi="宋体" w:eastAsia="仿宋_GB2312" w:cs="Times New Roman"/>
                <w:szCs w:val="21"/>
              </w:rPr>
              <w:t>c) 所有输入输出接口应符合相关国家或行业标准；</w:t>
            </w:r>
            <w:r>
              <w:rPr>
                <w:rFonts w:hint="eastAsia" w:ascii="仿宋_GB2312" w:hAnsi="宋体" w:eastAsia="仿宋_GB2312" w:cs="Times New Roman"/>
                <w:szCs w:val="21"/>
              </w:rPr>
              <w:br w:type="textWrapping"/>
            </w:r>
            <w:r>
              <w:rPr>
                <w:rFonts w:hint="eastAsia" w:ascii="仿宋_GB2312" w:hAnsi="宋体" w:eastAsia="仿宋_GB2312" w:cs="Times New Roman"/>
                <w:szCs w:val="21"/>
              </w:rPr>
              <w:t>d) 产品零部件应紧固无松动，可插拔部件应可靠连接，开关、按钮和其它控制部件应灵活可靠，布局应方便使用；</w:t>
            </w:r>
            <w:r>
              <w:rPr>
                <w:rFonts w:hint="eastAsia" w:ascii="仿宋_GB2312" w:hAnsi="宋体" w:eastAsia="仿宋_GB2312" w:cs="Times New Roman"/>
                <w:szCs w:val="21"/>
              </w:rPr>
              <w:br w:type="textWrapping"/>
            </w:r>
            <w:r>
              <w:rPr>
                <w:rFonts w:hint="eastAsia" w:ascii="仿宋_GB2312" w:hAnsi="宋体" w:eastAsia="仿宋_GB2312" w:cs="Times New Roman"/>
                <w:szCs w:val="21"/>
              </w:rPr>
              <w:t>e) 所有 I/O 连接器及需插接线缆的部位应预留采购人操作空间，方便插拔解锁与插拔线缆；</w:t>
            </w:r>
            <w:r>
              <w:rPr>
                <w:rFonts w:hint="eastAsia" w:ascii="仿宋_GB2312" w:hAnsi="宋体" w:eastAsia="仿宋_GB2312" w:cs="Times New Roman"/>
                <w:szCs w:val="21"/>
              </w:rPr>
              <w:br w:type="textWrapping"/>
            </w:r>
            <w:r>
              <w:rPr>
                <w:rFonts w:hint="eastAsia" w:ascii="仿宋_GB2312" w:hAnsi="宋体" w:eastAsia="仿宋_GB2312" w:cs="Times New Roman"/>
                <w:szCs w:val="21"/>
              </w:rPr>
              <w:t>f) 可插拔板卡插槽部位应预留安装、拆卸或更换板卡空间；</w:t>
            </w:r>
            <w:r>
              <w:rPr>
                <w:rFonts w:hint="eastAsia" w:ascii="仿宋_GB2312" w:hAnsi="宋体" w:eastAsia="仿宋_GB2312" w:cs="Times New Roman"/>
                <w:szCs w:val="21"/>
              </w:rPr>
              <w:br w:type="textWrapping"/>
            </w:r>
            <w:r>
              <w:rPr>
                <w:rFonts w:hint="eastAsia" w:ascii="仿宋_GB2312" w:hAnsi="宋体" w:eastAsia="仿宋_GB2312" w:cs="Times New Roman"/>
                <w:szCs w:val="21"/>
              </w:rPr>
              <w:t>g) 拆装可能接触到的金属剪口或金属尖角部位应做防划伤处理，以保证安全；</w:t>
            </w:r>
            <w:r>
              <w:rPr>
                <w:rFonts w:hint="eastAsia" w:ascii="仿宋_GB2312" w:hAnsi="宋体" w:eastAsia="仿宋_GB2312" w:cs="Times New Roman"/>
                <w:szCs w:val="21"/>
              </w:rPr>
              <w:br w:type="textWrapping"/>
            </w:r>
            <w:r>
              <w:rPr>
                <w:rFonts w:hint="eastAsia" w:ascii="仿宋_GB2312" w:hAnsi="宋体" w:eastAsia="仿宋_GB2312" w:cs="Times New Roman"/>
                <w:szCs w:val="21"/>
              </w:rPr>
              <w:t>h) 整机内部走线应规整，固线结构和位置要合理可靠并做防割线处理，需便于理线和插拔操作，走线应不影响系统各主要部件组装和拆卸；</w:t>
            </w:r>
            <w:r>
              <w:rPr>
                <w:rFonts w:hint="eastAsia" w:ascii="仿宋_GB2312" w:hAnsi="宋体" w:eastAsia="仿宋_GB2312" w:cs="Times New Roman"/>
                <w:szCs w:val="21"/>
              </w:rPr>
              <w:br w:type="textWrapping"/>
            </w:r>
            <w:r>
              <w:rPr>
                <w:rFonts w:hint="eastAsia" w:ascii="仿宋_GB2312" w:hAnsi="宋体" w:eastAsia="仿宋_GB2312" w:cs="Times New Roman"/>
                <w:szCs w:val="21"/>
              </w:rPr>
              <w:t>i) 如需通过孔走线，过线孔应做防割线处理；</w:t>
            </w:r>
            <w:r>
              <w:rPr>
                <w:rFonts w:hint="eastAsia" w:ascii="仿宋_GB2312" w:hAnsi="宋体" w:eastAsia="仿宋_GB2312" w:cs="Times New Roman"/>
                <w:szCs w:val="21"/>
              </w:rPr>
              <w:br w:type="textWrapping"/>
            </w:r>
            <w:r>
              <w:rPr>
                <w:rFonts w:hint="eastAsia" w:ascii="仿宋_GB2312" w:hAnsi="宋体" w:eastAsia="仿宋_GB2312" w:cs="Times New Roman"/>
                <w:szCs w:val="21"/>
              </w:rPr>
              <w:t>j) 各插头位置和插拔方向应合理，应做到插拔无障碍设计，具备防呆设计，有效避免误操作；</w:t>
            </w:r>
            <w:r>
              <w:rPr>
                <w:rFonts w:hint="eastAsia" w:ascii="仿宋_GB2312" w:hAnsi="宋体" w:eastAsia="仿宋_GB2312" w:cs="Times New Roman"/>
                <w:szCs w:val="21"/>
              </w:rPr>
              <w:br w:type="textWrapping"/>
            </w:r>
            <w:r>
              <w:rPr>
                <w:rFonts w:hint="eastAsia" w:ascii="仿宋_GB2312" w:hAnsi="宋体" w:eastAsia="仿宋_GB2312" w:cs="Times New Roman"/>
                <w:szCs w:val="21"/>
              </w:rPr>
              <w:t>k) 各主要部件拆装无障碍，使用常规工具拆装，无特殊拆装工具需求；</w:t>
            </w:r>
            <w:r>
              <w:rPr>
                <w:rFonts w:hint="eastAsia" w:ascii="仿宋_GB2312" w:hAnsi="宋体" w:eastAsia="仿宋_GB2312" w:cs="Times New Roman"/>
                <w:szCs w:val="21"/>
              </w:rPr>
              <w:br w:type="textWrapping"/>
            </w:r>
            <w:r>
              <w:rPr>
                <w:rFonts w:hint="eastAsia" w:ascii="仿宋_GB2312" w:hAnsi="宋体" w:eastAsia="仿宋_GB2312" w:cs="Times New Roman"/>
                <w:szCs w:val="21"/>
              </w:rPr>
              <w:t>l) 各主要部件拆装步骤要少，各自拆装需避免相互干扰；</w:t>
            </w:r>
            <w:r>
              <w:rPr>
                <w:rFonts w:hint="eastAsia" w:ascii="仿宋_GB2312" w:hAnsi="宋体" w:eastAsia="仿宋_GB2312" w:cs="Times New Roman"/>
                <w:szCs w:val="21"/>
              </w:rPr>
              <w:br w:type="textWrapping"/>
            </w:r>
            <w:r>
              <w:rPr>
                <w:rFonts w:hint="eastAsia" w:ascii="仿宋_GB2312" w:hAnsi="宋体" w:eastAsia="仿宋_GB2312" w:cs="Times New Roman"/>
                <w:szCs w:val="21"/>
              </w:rPr>
              <w:t>m) 对于整机或零部件外表面为高亮面的，应粘贴保护膜，保护膜需粘贴牢固，运输、组装等过程不易脱落，撕下无残留；</w:t>
            </w:r>
            <w:r>
              <w:rPr>
                <w:rFonts w:hint="eastAsia" w:ascii="仿宋_GB2312" w:hAnsi="宋体" w:eastAsia="仿宋_GB2312" w:cs="Times New Roman"/>
                <w:szCs w:val="21"/>
              </w:rPr>
              <w:br w:type="textWrapping"/>
            </w:r>
            <w:r>
              <w:rPr>
                <w:rFonts w:hint="eastAsia" w:ascii="仿宋_GB2312" w:hAnsi="宋体" w:eastAsia="仿宋_GB2312" w:cs="Times New Roman"/>
                <w:szCs w:val="21"/>
              </w:rPr>
              <w:t>n) 其它要求应符合 GB/T 9813.1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机箱防护要求</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机箱应符合 GB/T 4208 中 IP20 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整机噪音</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产品工作在空闲状态下，产品的声功率级应不超过 4.5 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整机散热</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在环境温度 25℃及处理器满载情况下，产品表面温度应符合如下要求：</w:t>
            </w:r>
            <w:r>
              <w:rPr>
                <w:rFonts w:hint="eastAsia" w:ascii="仿宋_GB2312" w:hAnsi="宋体" w:eastAsia="仿宋_GB2312" w:cs="Times New Roman"/>
                <w:szCs w:val="21"/>
              </w:rPr>
              <w:br w:type="textWrapping"/>
            </w:r>
            <w:r>
              <w:rPr>
                <w:rFonts w:hint="eastAsia" w:ascii="仿宋_GB2312" w:hAnsi="宋体" w:eastAsia="仿宋_GB2312" w:cs="Times New Roman"/>
                <w:szCs w:val="21"/>
              </w:rPr>
              <w:t>a) 出风口在机箱后面板情况下，出风口温度不高于 55℃ ;</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 可触及面温度不高于 45℃ ;</w:t>
            </w:r>
            <w:r>
              <w:rPr>
                <w:rFonts w:hint="eastAsia" w:ascii="仿宋_GB2312" w:hAnsi="宋体" w:eastAsia="仿宋_GB2312" w:cs="Times New Roman"/>
                <w:szCs w:val="21"/>
              </w:rPr>
              <w:br w:type="textWrapping"/>
            </w:r>
            <w:r>
              <w:rPr>
                <w:rFonts w:hint="eastAsia" w:ascii="仿宋_GB2312" w:hAnsi="宋体" w:eastAsia="仿宋_GB2312" w:cs="Times New Roman"/>
                <w:szCs w:val="21"/>
              </w:rPr>
              <w:t>c) 显示器表面温度：显示屏不高于38℃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整机能效限定值</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产品能效限定值应达到 GB 28380-2012标准中能效等级 1 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▲机身材质</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机身颜色</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机箱尺寸容量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 xml:space="preserve">机箱体积应不大于 </w:t>
            </w:r>
            <w:r>
              <w:rPr>
                <w:rFonts w:ascii="仿宋_GB2312" w:hAnsi="宋体" w:eastAsia="仿宋_GB2312" w:cs="Times New Roman"/>
                <w:szCs w:val="21"/>
              </w:rPr>
              <w:t>10</w:t>
            </w:r>
            <w:r>
              <w:rPr>
                <w:rFonts w:hint="eastAsia" w:ascii="仿宋_GB2312" w:hAnsi="宋体" w:eastAsia="仿宋_GB2312" w:cs="Times New Roman"/>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CPU性能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CPU 物理核数</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≥8核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CPU 主频</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▲CPU 末级缓存容量</w:t>
            </w:r>
          </w:p>
        </w:tc>
        <w:tc>
          <w:tcPr>
            <w:tcW w:w="5225" w:type="dxa"/>
          </w:tcPr>
          <w:p>
            <w:pPr>
              <w:rPr>
                <w:rFonts w:ascii="仿宋_GB2312" w:hAnsi="宋体" w:eastAsia="仿宋_GB2312" w:cs="Arial"/>
                <w:szCs w:val="21"/>
              </w:rPr>
            </w:pPr>
            <w:r>
              <w:rPr>
                <w:rFonts w:hint="eastAsia" w:ascii="仿宋_GB2312" w:hAnsi="宋体" w:eastAsia="仿宋_GB2312" w:cs="Arial"/>
                <w:szCs w:val="21"/>
              </w:rPr>
              <w:t>≥2MB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▲CPU 支持的内存最高速率</w:t>
            </w:r>
          </w:p>
        </w:tc>
        <w:tc>
          <w:tcPr>
            <w:tcW w:w="5225" w:type="dxa"/>
          </w:tcPr>
          <w:p>
            <w:pPr>
              <w:rPr>
                <w:rFonts w:ascii="仿宋_GB2312" w:hAnsi="宋体" w:eastAsia="仿宋_GB2312" w:cs="Arial"/>
                <w:szCs w:val="21"/>
              </w:rPr>
            </w:pPr>
            <w:r>
              <w:rPr>
                <w:rFonts w:hint="eastAsia" w:ascii="仿宋_GB2312" w:hAnsi="宋体" w:eastAsia="仿宋_GB2312" w:cs="Arial"/>
                <w:szCs w:val="21"/>
              </w:rPr>
              <w:t>≥</w:t>
            </w:r>
            <w:r>
              <w:rPr>
                <w:rFonts w:ascii="仿宋_GB2312" w:hAnsi="宋体" w:eastAsia="仿宋_GB2312" w:cs="Arial"/>
                <w:szCs w:val="21"/>
              </w:rPr>
              <w:t>3</w:t>
            </w:r>
            <w:r>
              <w:rPr>
                <w:rFonts w:hint="eastAsia" w:ascii="仿宋_GB2312" w:hAnsi="宋体" w:eastAsia="仿宋_GB2312" w:cs="Arial"/>
                <w:szCs w:val="21"/>
              </w:rPr>
              <w:t>6</w:t>
            </w:r>
            <w:r>
              <w:rPr>
                <w:rFonts w:ascii="仿宋_GB2312" w:hAnsi="宋体" w:eastAsia="仿宋_GB2312" w:cs="Arial"/>
                <w:szCs w:val="21"/>
              </w:rPr>
              <w:t>00</w:t>
            </w:r>
            <w:r>
              <w:rPr>
                <w:rFonts w:hint="eastAsia" w:ascii="仿宋_GB2312" w:hAnsi="宋体" w:eastAsia="仿宋_GB2312" w:cs="Arial"/>
                <w:szCs w:val="21"/>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内存性能</w:t>
            </w:r>
          </w:p>
        </w:tc>
        <w:tc>
          <w:tcPr>
            <w:tcW w:w="1700" w:type="dxa"/>
          </w:tcPr>
          <w:p>
            <w:pPr>
              <w:rPr>
                <w:rFonts w:ascii="仿宋_GB2312" w:hAnsi="宋体" w:eastAsia="仿宋_GB2312" w:cs="Arial"/>
                <w:szCs w:val="21"/>
              </w:rPr>
            </w:pPr>
            <w:r>
              <w:rPr>
                <w:rFonts w:hint="eastAsia" w:ascii="仿宋_GB2312" w:hAnsi="宋体" w:eastAsia="仿宋_GB2312" w:cs="Arial"/>
                <w:szCs w:val="21"/>
              </w:rPr>
              <w:t>▲内存读写速率</w:t>
            </w:r>
          </w:p>
        </w:tc>
        <w:tc>
          <w:tcPr>
            <w:tcW w:w="5225" w:type="dxa"/>
          </w:tcPr>
          <w:p>
            <w:pPr>
              <w:rPr>
                <w:rFonts w:ascii="仿宋_GB2312" w:hAnsi="宋体" w:eastAsia="仿宋_GB2312" w:cs="Arial"/>
                <w:szCs w:val="21"/>
              </w:rPr>
            </w:pPr>
            <w:r>
              <w:rPr>
                <w:rFonts w:hint="eastAsia" w:ascii="仿宋_GB2312" w:hAnsi="宋体" w:eastAsia="仿宋_GB2312" w:cs="Arial"/>
                <w:szCs w:val="21"/>
              </w:rPr>
              <w:t>≥</w:t>
            </w:r>
            <w:r>
              <w:rPr>
                <w:rFonts w:ascii="仿宋_GB2312" w:hAnsi="宋体" w:eastAsia="仿宋_GB2312" w:cs="Arial"/>
                <w:szCs w:val="21"/>
              </w:rPr>
              <w:t>3</w:t>
            </w:r>
            <w:r>
              <w:rPr>
                <w:rFonts w:hint="eastAsia" w:ascii="仿宋_GB2312" w:hAnsi="宋体" w:eastAsia="仿宋_GB2312" w:cs="Arial"/>
                <w:szCs w:val="21"/>
              </w:rPr>
              <w:t>6</w:t>
            </w:r>
            <w:r>
              <w:rPr>
                <w:rFonts w:ascii="仿宋_GB2312" w:hAnsi="宋体" w:eastAsia="仿宋_GB2312" w:cs="Arial"/>
                <w:szCs w:val="21"/>
              </w:rPr>
              <w:t>00</w:t>
            </w:r>
            <w:r>
              <w:rPr>
                <w:rFonts w:hint="eastAsia" w:ascii="仿宋_GB2312" w:hAnsi="宋体" w:eastAsia="仿宋_GB2312" w:cs="Arial"/>
                <w:szCs w:val="21"/>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显卡性能</w:t>
            </w:r>
          </w:p>
        </w:tc>
        <w:tc>
          <w:tcPr>
            <w:tcW w:w="1700" w:type="dxa"/>
          </w:tcPr>
          <w:p>
            <w:pPr>
              <w:rPr>
                <w:rFonts w:ascii="仿宋_GB2312" w:hAnsi="宋体" w:eastAsia="仿宋_GB2312" w:cs="Arial"/>
                <w:szCs w:val="21"/>
              </w:rPr>
            </w:pPr>
            <w:r>
              <w:rPr>
                <w:rFonts w:hint="eastAsia" w:ascii="仿宋_GB2312" w:hAnsi="宋体" w:eastAsia="仿宋_GB2312" w:cs="Arial"/>
                <w:szCs w:val="21"/>
              </w:rPr>
              <w:t>▲显示分辨率</w:t>
            </w:r>
          </w:p>
        </w:tc>
        <w:tc>
          <w:tcPr>
            <w:tcW w:w="5225" w:type="dxa"/>
          </w:tcPr>
          <w:p>
            <w:pPr>
              <w:rPr>
                <w:rFonts w:ascii="仿宋_GB2312" w:hAnsi="宋体" w:eastAsia="仿宋_GB2312" w:cs="Arial"/>
                <w:szCs w:val="21"/>
              </w:rPr>
            </w:pPr>
            <w:r>
              <w:rPr>
                <w:rFonts w:hint="eastAsia" w:ascii="仿宋_GB2312" w:hAnsi="宋体" w:eastAsia="仿宋_GB2312" w:cs="Arial"/>
                <w:szCs w:val="21"/>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▲显卡显示芯片核心频率</w:t>
            </w:r>
          </w:p>
        </w:tc>
        <w:tc>
          <w:tcPr>
            <w:tcW w:w="5225" w:type="dxa"/>
          </w:tcPr>
          <w:p>
            <w:pPr>
              <w:rPr>
                <w:rFonts w:ascii="仿宋_GB2312" w:hAnsi="宋体" w:eastAsia="仿宋_GB2312" w:cs="Arial"/>
                <w:szCs w:val="21"/>
              </w:rPr>
            </w:pPr>
            <w:r>
              <w:rPr>
                <w:rFonts w:hint="eastAsia" w:ascii="仿宋_GB2312" w:hAnsi="宋体" w:eastAsia="仿宋_GB2312" w:cs="Arial"/>
                <w:szCs w:val="21"/>
              </w:rPr>
              <w:t>≥300MHz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显存等效频率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≥1000MT/s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▲显卡可支持多屏同时显示数量</w:t>
            </w:r>
          </w:p>
        </w:tc>
        <w:tc>
          <w:tcPr>
            <w:tcW w:w="5225" w:type="dxa"/>
          </w:tcPr>
          <w:p>
            <w:pPr>
              <w:rPr>
                <w:rFonts w:ascii="仿宋_GB2312" w:hAnsi="宋体" w:eastAsia="仿宋_GB2312" w:cs="Arial"/>
                <w:szCs w:val="21"/>
              </w:rPr>
            </w:pPr>
            <w:r>
              <w:rPr>
                <w:rFonts w:hint="eastAsia" w:ascii="仿宋_GB2312" w:hAnsi="宋体" w:eastAsia="仿宋_GB2312" w:cs="Arial"/>
                <w:szCs w:val="21"/>
              </w:rPr>
              <w:t>显卡应支持 2 块屏幕同时显示，分辨率应不低于 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显示设备性能</w:t>
            </w: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▲显示屏刷新率</w:t>
            </w:r>
          </w:p>
        </w:tc>
        <w:tc>
          <w:tcPr>
            <w:tcW w:w="5225" w:type="dxa"/>
          </w:tcPr>
          <w:p>
            <w:pPr>
              <w:rPr>
                <w:rFonts w:ascii="仿宋_GB2312" w:hAnsi="宋体" w:eastAsia="仿宋_GB2312" w:cs="Arial"/>
                <w:szCs w:val="21"/>
              </w:rPr>
            </w:pPr>
            <w:r>
              <w:rPr>
                <w:rFonts w:hint="eastAsia" w:ascii="仿宋_GB2312" w:hAnsi="宋体" w:eastAsia="仿宋_GB2312" w:cs="Arial"/>
                <w:szCs w:val="21"/>
              </w:rPr>
              <w:t>≥75Hz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▲显示屏位深</w:t>
            </w:r>
          </w:p>
        </w:tc>
        <w:tc>
          <w:tcPr>
            <w:tcW w:w="5225" w:type="dxa"/>
          </w:tcPr>
          <w:p>
            <w:pPr>
              <w:rPr>
                <w:rFonts w:ascii="仿宋_GB2312" w:hAnsi="宋体" w:eastAsia="仿宋_GB2312" w:cs="Arial"/>
                <w:szCs w:val="21"/>
              </w:rPr>
            </w:pPr>
            <w:r>
              <w:rPr>
                <w:rFonts w:hint="eastAsia" w:ascii="仿宋_GB2312" w:hAnsi="宋体" w:eastAsia="仿宋_GB2312" w:cs="Arial"/>
                <w:szCs w:val="21"/>
              </w:rPr>
              <w:t>≥8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▲显示屏色域</w:t>
            </w:r>
          </w:p>
        </w:tc>
        <w:tc>
          <w:tcPr>
            <w:tcW w:w="5225" w:type="dxa"/>
          </w:tcPr>
          <w:p>
            <w:pPr>
              <w:rPr>
                <w:rFonts w:ascii="仿宋_GB2312" w:hAnsi="宋体" w:eastAsia="仿宋_GB2312" w:cs="Arial"/>
                <w:szCs w:val="21"/>
              </w:rPr>
            </w:pPr>
            <w:r>
              <w:rPr>
                <w:rFonts w:hint="eastAsia" w:ascii="仿宋_GB2312" w:hAnsi="宋体" w:eastAsia="仿宋_GB2312" w:cs="Arial"/>
                <w:szCs w:val="21"/>
              </w:rPr>
              <w:t>≥99% sRGB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▲显示屏色准</w:t>
            </w:r>
          </w:p>
        </w:tc>
        <w:tc>
          <w:tcPr>
            <w:tcW w:w="5225" w:type="dxa"/>
          </w:tcPr>
          <w:p>
            <w:pPr>
              <w:rPr>
                <w:rFonts w:ascii="仿宋_GB2312" w:hAnsi="宋体" w:eastAsia="仿宋_GB2312" w:cs="Arial"/>
                <w:szCs w:val="21"/>
              </w:rPr>
            </w:pPr>
            <w:r>
              <w:rPr>
                <w:rFonts w:hint="eastAsia" w:ascii="仿宋_GB2312" w:hAnsi="宋体" w:eastAsia="仿宋_GB2312" w:cs="Arial"/>
                <w:szCs w:val="21"/>
              </w:rPr>
              <w:t>△E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▲显示屏响应时间</w:t>
            </w:r>
          </w:p>
        </w:tc>
        <w:tc>
          <w:tcPr>
            <w:tcW w:w="5225" w:type="dxa"/>
          </w:tcPr>
          <w:p>
            <w:pPr>
              <w:rPr>
                <w:rFonts w:ascii="仿宋_GB2312" w:hAnsi="宋体" w:eastAsia="仿宋_GB2312" w:cs="Arial"/>
                <w:szCs w:val="21"/>
              </w:rPr>
            </w:pPr>
            <w:r>
              <w:rPr>
                <w:rFonts w:hint="eastAsia" w:ascii="仿宋_GB2312" w:hAnsi="宋体" w:eastAsia="仿宋_GB2312" w:cs="Arial"/>
                <w:szCs w:val="21"/>
              </w:rPr>
              <w:t>≤5ms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▲显示屏亮度</w:t>
            </w:r>
          </w:p>
        </w:tc>
        <w:tc>
          <w:tcPr>
            <w:tcW w:w="5225" w:type="dxa"/>
          </w:tcPr>
          <w:p>
            <w:pPr>
              <w:rPr>
                <w:rFonts w:ascii="仿宋_GB2312" w:hAnsi="宋体" w:eastAsia="仿宋_GB2312" w:cs="Arial"/>
                <w:szCs w:val="21"/>
              </w:rPr>
            </w:pPr>
            <w:r>
              <w:rPr>
                <w:rFonts w:hint="eastAsia" w:ascii="仿宋_GB2312" w:hAnsi="宋体" w:eastAsia="仿宋_GB2312" w:cs="Arial"/>
                <w:szCs w:val="21"/>
              </w:rPr>
              <w:t>≥250 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▲显示屏亮度一致性</w:t>
            </w:r>
          </w:p>
        </w:tc>
        <w:tc>
          <w:tcPr>
            <w:tcW w:w="5225" w:type="dxa"/>
          </w:tcPr>
          <w:p>
            <w:pPr>
              <w:rPr>
                <w:rFonts w:ascii="仿宋_GB2312" w:hAnsi="宋体" w:eastAsia="仿宋_GB2312" w:cs="Arial"/>
                <w:szCs w:val="21"/>
              </w:rPr>
            </w:pPr>
            <w:r>
              <w:rPr>
                <w:rFonts w:hint="eastAsia" w:ascii="仿宋_GB2312" w:hAnsi="宋体" w:eastAsia="仿宋_GB2312" w:cs="Arial"/>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▲显示屏对比度</w:t>
            </w:r>
          </w:p>
        </w:tc>
        <w:tc>
          <w:tcPr>
            <w:tcW w:w="5225" w:type="dxa"/>
          </w:tcPr>
          <w:p>
            <w:pPr>
              <w:rPr>
                <w:rFonts w:ascii="仿宋_GB2312" w:hAnsi="宋体" w:eastAsia="仿宋_GB2312" w:cs="Arial"/>
                <w:szCs w:val="21"/>
              </w:rPr>
            </w:pPr>
            <w:r>
              <w:rPr>
                <w:rFonts w:hint="eastAsia" w:ascii="仿宋_GB2312" w:hAnsi="宋体" w:eastAsia="仿宋_GB2312" w:cs="Arial"/>
                <w:szCs w:val="21"/>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▲显示屏其他参数</w:t>
            </w:r>
          </w:p>
        </w:tc>
        <w:tc>
          <w:tcPr>
            <w:tcW w:w="5225" w:type="dxa"/>
          </w:tcPr>
          <w:p>
            <w:pPr>
              <w:rPr>
                <w:rFonts w:ascii="仿宋_GB2312" w:hAnsi="宋体" w:eastAsia="仿宋_GB2312" w:cs="Arial"/>
                <w:szCs w:val="21"/>
              </w:rPr>
            </w:pPr>
            <w:r>
              <w:rPr>
                <w:rFonts w:hint="eastAsia" w:ascii="仿宋_GB2312" w:hAnsi="宋体" w:eastAsia="仿宋_GB2312" w:cs="Arial"/>
                <w:szCs w:val="21"/>
              </w:rPr>
              <w:t>"其它参数应符合 SJ/T 11292 的相关规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网络设备性能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有线网卡速率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最高速率≥1000Mbps，支持10Mbps、100Mbps、1000Mbps 速率自适应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主板功能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内存扩展接口(板载内存不涉及)</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 USB瞬间过流保护</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支持有瞬间过流保护功能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▲主板防静电保护</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支持防静电保护功能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▲I/O 接口功能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显卡功能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▲显卡外接显示接口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显卡至少支持 VGA、HDMI、DVI、DP、Type-C 中 1 种显示接口，并与显示器接口相匹配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显示器应与显卡外接显示接口匹配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▲显示器支架</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显示器应提供显示器支架，根据采购人需求支持屏幕旋转、升降等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▲显示器参数调节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a)提供 OSD 选单按钮用于调节色彩、模式等；</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b)支持色温、亮度、对比度调节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存储功能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▲存储功能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通过 SATA 固态存储/PCIe 固态存储/UFS 固态存储/SATA 硬磁盘等存储部件提供存储功能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网络设备功能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▲网络功能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a)支持网络连接、网络开启/关闭功能；</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b)支持访问网络和数据交换功能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▲数据传输</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支持数据传输能力，并提供数据流量和异常日志记录功能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▲有线网卡接口类型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 RJ45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▲网络设备拆装</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网络设备支持物理拆装，包括无线网卡和蓝牙模块等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外部接口功能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▲音频接口类型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 3.5mm 孔径 3 段式或 4 段式接口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▲视频接口类型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至少支持 VGA、HDMI、DVI、DP、Type-C中 2 种显示接口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▲HDMI、DP、Type-C 显示接口要求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若提供 HDMI 或 DP 或 Type-C 作为显示接口，应支持音频和视频同步输出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电源功能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▲电源线适配能力</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电源适配器电线组件应符合 GB/T15934 的要求，可拆线的插头和连接器可以不做要求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存储设备可靠性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▲固态存储寿命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TBW≥80TB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▲机械硬盘寿命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通电时间≥5万小时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显示设备可靠性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▲显示屏屏幕失效点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符合GB/T 9813.2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整机可靠性要求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▲电磁兼容性要求的抗扰度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9254.2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▲环境条件要求的气候环境适应性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▲环境条件要求的振动适应性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▲环境条件要求的冲击适应性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▲环境条件要求的碰撞适应性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▲环境条件要求的运输包装件跌落适应性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▲MTBF 测试</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MTBF(m1)≥3 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兼容要求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▲常用软件兼容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支持流式软件、版式软件、浏览器、邮件采购人端、解压软件、多媒体、图形图像处理等常用软件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▲数据库兼容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▲中间件兼容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▲平台软件兼容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个及以上厂商云计算及大数据平台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包装及运输要求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▲标志、包装、运输和贮存</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服务要求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▲配置检查工具</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供应商提供自检测试工具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▲服务响应</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a)供应商提供电话、电子邮件、远程连接等多种形式服务；</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b)供应商提供同城 4h、异地 12h 技术响应服务，2 个工作日解决问题，对于未能解决的问题和故障应提供可行的升级方案，并提供周转设备或更换设备；</w:t>
            </w:r>
            <w:r>
              <w:rPr>
                <w:rFonts w:hint="eastAsia" w:ascii="仿宋_GB2312" w:hAnsi="宋体" w:eastAsia="仿宋_GB2312" w:cs="Times New Roman"/>
                <w:szCs w:val="21"/>
              </w:rPr>
              <w:br w:type="textWrapping"/>
            </w:r>
            <w:r>
              <w:rPr>
                <w:rFonts w:hint="eastAsia" w:ascii="仿宋_GB2312" w:hAnsi="宋体" w:eastAsia="仿宋_GB2312" w:cs="Times New Roman"/>
                <w:szCs w:val="21"/>
              </w:rPr>
              <w:t>c)建立全国技术服务体系和服务团体，符合专业服务体系标准要求，提供原厂中文服务；</w:t>
            </w:r>
            <w:r>
              <w:rPr>
                <w:rFonts w:hint="eastAsia" w:ascii="仿宋_GB2312" w:hAnsi="宋体" w:eastAsia="仿宋_GB2312" w:cs="Times New Roman"/>
                <w:szCs w:val="21"/>
              </w:rPr>
              <w:br w:type="textWrapping"/>
            </w:r>
            <w:r>
              <w:rPr>
                <w:rFonts w:hint="eastAsia" w:ascii="仿宋_GB2312" w:hAnsi="宋体" w:eastAsia="仿宋_GB2312" w:cs="Times New Roman"/>
                <w:szCs w:val="21"/>
              </w:rPr>
              <w:t>d)服务周期内提供产品的维修、换件和升级服务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▲服务周期</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 设备停产后应继续提供质量保障服务（含备品备件），服务终止时间与最后一批设备交付时间间隔不低于</w:t>
            </w:r>
            <w:r>
              <w:rPr>
                <w:rFonts w:ascii="仿宋_GB2312" w:hAnsi="宋体" w:eastAsia="仿宋_GB2312" w:cs="Times New Roman"/>
                <w:szCs w:val="21"/>
              </w:rPr>
              <w:t>3</w:t>
            </w:r>
            <w:r>
              <w:rPr>
                <w:rFonts w:hint="eastAsia" w:ascii="仿宋_GB2312" w:hAnsi="宋体" w:eastAsia="仿宋_GB2312" w:cs="Times New Roman"/>
                <w:szCs w:val="21"/>
              </w:rPr>
              <w:t>年；</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 产品停止服务时间应提前 1 年告知；</w:t>
            </w:r>
            <w:r>
              <w:rPr>
                <w:rFonts w:hint="eastAsia" w:ascii="仿宋_GB2312" w:hAnsi="宋体" w:eastAsia="仿宋_GB2312" w:cs="Times New Roman"/>
                <w:szCs w:val="21"/>
              </w:rPr>
              <w:br w:type="textWrapping"/>
            </w:r>
            <w:r>
              <w:rPr>
                <w:rFonts w:hint="eastAsia" w:ascii="仿宋_GB2312" w:hAnsi="宋体" w:eastAsia="仿宋_GB2312" w:cs="Times New Roman"/>
                <w:szCs w:val="21"/>
              </w:rPr>
              <w:t>c) 应明确产品发布日期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▲预装操作系统</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预装符合桌面操作系统政府采购需求标准的正版操作系统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▲培训服务</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▲典型问题解决手册</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供应商提供典型问题解决说明文档或视频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▲厂家升级软件与扩容服务</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供应商提供上门升级部件/软件与扩容的增值服务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▲整机质量服务要求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免费服务周期（含换件和维修）应不小于 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▲合格证书要求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▲开箱组装/使用指导要求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供应商提供开箱组装/使用指导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▲驱动下载服务要求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供应商提供驱动光盘或下载方式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▲兼容适配软件下载服务要求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供应商提供兼容适配软件下载渠道（光盘、网站）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供应链合规性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▲产品部件保障</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 xml:space="preserve">供应商保障产品主要部件，提供 </w:t>
            </w:r>
            <w:r>
              <w:rPr>
                <w:rFonts w:ascii="仿宋_GB2312" w:hAnsi="宋体" w:eastAsia="仿宋_GB2312" w:cs="Times New Roman"/>
                <w:szCs w:val="21"/>
              </w:rPr>
              <w:t>3</w:t>
            </w:r>
            <w:r>
              <w:rPr>
                <w:rFonts w:hint="eastAsia" w:ascii="仿宋_GB2312" w:hAnsi="宋体" w:eastAsia="仿宋_GB2312" w:cs="Times New Roman"/>
                <w:szCs w:val="21"/>
              </w:rPr>
              <w:t xml:space="preserve"> 年的备件服务能力（自购买之日起），或提供可兼容原设备的升级换代产品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供应链质量</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▲抗干扰性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当产品部件出现供应风险时，供应商应通知采购人并提供风险应对方案确保产品的服务保障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▲供应能力证明</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供应商提供供应链稳定承诺书，确保产品的部件在产品服务周期内稳定供货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bCs/>
                <w:szCs w:val="21"/>
              </w:rPr>
            </w:pPr>
          </w:p>
        </w:tc>
        <w:tc>
          <w:tcPr>
            <w:tcW w:w="1025" w:type="dxa"/>
          </w:tcPr>
          <w:p>
            <w:pPr>
              <w:rPr>
                <w:rFonts w:ascii="仿宋_GB2312" w:hAnsi="宋体" w:eastAsia="仿宋_GB2312" w:cs="Times New Roman"/>
                <w:bCs/>
                <w:szCs w:val="21"/>
              </w:rPr>
            </w:pPr>
            <w:r>
              <w:rPr>
                <w:rFonts w:hint="eastAsia" w:ascii="仿宋_GB2312" w:hAnsi="宋体" w:eastAsia="仿宋_GB2312" w:cs="Times New Roman"/>
                <w:bCs/>
                <w:szCs w:val="21"/>
              </w:rPr>
              <w:t>关键部件安全要求</w:t>
            </w:r>
          </w:p>
        </w:tc>
        <w:tc>
          <w:tcPr>
            <w:tcW w:w="1700" w:type="dxa"/>
          </w:tcPr>
          <w:p>
            <w:pPr>
              <w:rPr>
                <w:rFonts w:ascii="仿宋_GB2312" w:hAnsi="宋体" w:eastAsia="仿宋_GB2312" w:cs="Times New Roman"/>
                <w:bCs/>
                <w:szCs w:val="21"/>
              </w:rPr>
            </w:pPr>
            <w:r>
              <w:rPr>
                <w:rFonts w:hint="eastAsia" w:ascii="仿宋_GB2312" w:hAnsi="宋体" w:eastAsia="仿宋_GB2312" w:cs="Times New Roman"/>
                <w:szCs w:val="21"/>
              </w:rPr>
              <w:t>▲</w:t>
            </w:r>
            <w:r>
              <w:rPr>
                <w:rFonts w:hint="eastAsia" w:ascii="仿宋_GB2312" w:hAnsi="宋体" w:eastAsia="仿宋_GB2312" w:cs="Times New Roman"/>
                <w:bCs/>
                <w:szCs w:val="21"/>
              </w:rPr>
              <w:t>关键部件安全要求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CPU 和操作系统等关键部件应当符合安全可靠测评要求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整机安全性要求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▲密码算法实现</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CPU 芯片应符合 GM/T 0008 的相关规定，或芯片密码模块应符合 GB/T 37092或 GM/T 0028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▲信息安全基本要求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 产品应符合 GB/T 39276 的 5.2 的规定；</w:t>
            </w:r>
            <w:r>
              <w:rPr>
                <w:rFonts w:hint="eastAsia" w:ascii="仿宋_GB2312" w:hAnsi="宋体" w:eastAsia="仿宋_GB2312" w:cs="Times New Roman"/>
                <w:szCs w:val="21"/>
              </w:rPr>
              <w:br w:type="textWrapping"/>
            </w:r>
            <w:r>
              <w:rPr>
                <w:rFonts w:hint="eastAsia" w:ascii="仿宋_GB2312" w:hAnsi="宋体" w:eastAsia="仿宋_GB2312" w:cs="Times New Roman"/>
                <w:szCs w:val="21"/>
              </w:rPr>
              <w:t>b) 生产厂商应建立漏洞跟踪表，保证产品版本涉及到的漏洞(如驱动程序等)可查看；</w:t>
            </w:r>
            <w:r>
              <w:rPr>
                <w:rFonts w:hint="eastAsia" w:ascii="仿宋_GB2312" w:hAnsi="宋体" w:eastAsia="仿宋_GB2312" w:cs="Times New Roman"/>
                <w:szCs w:val="21"/>
              </w:rPr>
              <w:br w:type="textWrapping"/>
            </w:r>
            <w:r>
              <w:rPr>
                <w:rFonts w:hint="eastAsia" w:ascii="仿宋_GB2312" w:hAnsi="宋体" w:eastAsia="仿宋_GB2312" w:cs="Times New Roman"/>
                <w:szCs w:val="21"/>
              </w:rPr>
              <w:t>c) 产品不得包含已知的恶意代码或漏洞，不存在未声明的指令、功能、接口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▲固件安全启动</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支持固件安全启动功能，固件启动过程中只有通过启动校验才能正常启动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▲限用物质的限量要求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26572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节能要求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▲节能证书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提供国家确定的认证机构出具的、处于有效期之内的节能产品认证证书</w:t>
            </w:r>
          </w:p>
        </w:tc>
      </w:tr>
    </w:tbl>
    <w:p>
      <w:pPr>
        <w:spacing w:line="360" w:lineRule="auto"/>
        <w:ind w:firstLine="480" w:firstLineChars="200"/>
        <w:rPr>
          <w:rFonts w:ascii="仿宋_GB2312" w:hAnsi="仿宋_GB2312" w:eastAsia="仿宋_GB2312" w:cs="仿宋_GB2312"/>
          <w:color w:val="000000"/>
          <w:kern w:val="0"/>
          <w:sz w:val="24"/>
          <w:szCs w:val="24"/>
        </w:rPr>
      </w:pP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b/>
          <w:color w:val="000000"/>
          <w:sz w:val="24"/>
          <w:szCs w:val="24"/>
        </w:rPr>
        <w:t>四、工期、供货地点、质保期（运维期）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▲1.工期：合同签订之日起至9月底前完成系统功能测试并实现与省应急厅态势感知汇聚平台无缝对接，且通过初步验收；</w:t>
      </w:r>
      <w:r>
        <w:rPr>
          <w:rFonts w:hint="eastAsia" w:ascii="仿宋_GB2312" w:hAnsi="仿宋_GB2312" w:eastAsia="仿宋_GB2312" w:cs="仿宋_GB2312"/>
          <w:sz w:val="24"/>
          <w:szCs w:val="24"/>
        </w:rPr>
        <w:t>10月份进入试运行，11月底完成终验并交付使用。</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2.供货地点：根据采购人安排送至指定地点。</w:t>
      </w:r>
    </w:p>
    <w:p>
      <w:pPr>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▲3.质保期及运维期要求：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（1）质保期：本项目所采购的所有设备质保期从项目终验合格开始计算，投标人应提供不少于3年的质保服务，在质保期内投标人应免费上门对损坏的部件或设备或系统进行维修、安装、更换、调试等；质保期</w:t>
      </w:r>
      <w:r>
        <w:rPr>
          <w:rFonts w:hint="eastAsia" w:ascii="仿宋_GB2312" w:hAnsi="仿宋_GB2312" w:eastAsia="仿宋_GB2312" w:cs="仿宋_GB2312"/>
          <w:bCs/>
          <w:color w:val="000000" w:themeColor="text1"/>
          <w:sz w:val="24"/>
          <w:szCs w:val="24"/>
        </w:rPr>
        <w:t>内免费更换的设备零部件质保期应自更换之日起计不少于3年。</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（2）运维期：本项目所采购的各项设备及相关服务的运维期</w:t>
      </w:r>
      <w:r>
        <w:rPr>
          <w:rFonts w:hint="eastAsia" w:ascii="仿宋_GB2312" w:hAnsi="仿宋_GB2312" w:eastAsia="仿宋_GB2312" w:cs="仿宋_GB2312"/>
          <w:color w:val="000000" w:themeColor="text1"/>
          <w:sz w:val="24"/>
          <w:szCs w:val="24"/>
        </w:rPr>
        <w:t>从项目终验合格开始计算，投标人应提供不少于3年的运维服务。</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五、供货、安装及验收要求</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1.所有产品必须是厂家原装生产,原厂、原包装送货到采购人指定地点。</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2.中标人应做好安全防护措施，在项目实施工程中的一切安全责任均由中标人自行承担。</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3.中标人须派遣技术熟练的专业技术人员按照国家有关标准进行设备安装、调试直至设备验收合格通过。</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本项目设备安装完成后，由采购人组织相关人员进行验收，验收合格条件为相关对接或数据要求均已完成，使用效果符合国家相关标准、采购文件技术规格要求、中标人投标文件中的承诺，并得到采购人的认可。</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六、售后服务及运维服务要求</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1.中标人应提供上门售后服务，并提供7×24小时热线电话服务。</w:t>
      </w:r>
    </w:p>
    <w:p>
      <w:pPr>
        <w:spacing w:line="360" w:lineRule="auto"/>
        <w:ind w:firstLine="480" w:firstLineChars="200"/>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2.响应时间：中标人应在接到采购人通报故障的电话或传真后应立即响应，对于无法通过电话或传真指导排除故障的，中标人在接到通知后2小时内响应，6小时内到达故障现场，无特殊情况在当天负责将系统恢复正常使用。修理费用由中标人承担，</w:t>
      </w:r>
      <w:r>
        <w:rPr>
          <w:rFonts w:hint="eastAsia" w:ascii="仿宋_GB2312" w:hAnsi="仿宋_GB2312" w:eastAsia="仿宋_GB2312" w:cs="仿宋_GB2312"/>
          <w:bCs/>
          <w:color w:val="000000"/>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sz w:val="24"/>
          <w:szCs w:val="24"/>
        </w:rPr>
        <w:t>货到现场后由于采购人保管不当造成的问题，中标人亦应负责修复，但费用由采购人负担。</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3.质保期（运维期）内因产品质量问题而引起的维修费用（包括材料和人工费以及措施费等一切费用）均由中标人承担。</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4.在质保期（运维期）内设备出现2次维修不合格时，应及时更换新设备，以满足设备正常运行。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5.维护单位需在舟山市有本岛常驻维护人员不少于1名,驻点维护车辆不少于1辆，必要的时候，根据用户需要，可以直接前往用户场所，进行维保工作。</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8、任何部件出现故障（除人为和自然不可抗力以外），中标人需协调原生产厂商进行免费维修，元器件免费更换，直至修复系统。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9.各系统中的高功率损耗部件，如出现老化损耗现象，中标人可向用户建议整机更新，视情况收取相应成本费。</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bCs/>
          <w:color w:val="000000"/>
          <w:sz w:val="24"/>
          <w:szCs w:val="24"/>
        </w:rPr>
        <w:t>质保期（运维期）</w:t>
      </w:r>
      <w:r>
        <w:rPr>
          <w:rFonts w:hint="eastAsia" w:ascii="仿宋_GB2312" w:hAnsi="仿宋_GB2312" w:eastAsia="仿宋_GB2312" w:cs="仿宋_GB2312"/>
          <w:color w:val="000000"/>
          <w:sz w:val="24"/>
          <w:szCs w:val="24"/>
        </w:rPr>
        <w:t>结束前，须由中标人和采购人进行一次全面检查，任何缺陷必须由中标人负责修理，在修理之后，中标人应将缺陷原因、修理内容、完成修理及恢复正常的时间和日期等报告给采购人，报告一式两份。</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七、培训要求</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为使采购人能正确使用产品，应对采购人相关人员进行操作、维修、维护的培训，使产品能正确的为采购人使用并达到使用效果。</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（1）需要培训的人数：按照实际情况需求，由采购人确定。</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（2）培训方式：用户现场培训。</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（3）培训费用：由中标人承担。</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（4）培训完成时间：培训工作直至用户人员能独立并正确使用该产品为止。</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八、报价要求</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1、采购人有权对产品数量作适当增加或减少，中标单价不变。</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2、不论投标结果如何，投标人均应自行承担所有与投标有关的全部费用。</w:t>
      </w:r>
    </w:p>
    <w:p>
      <w:pPr>
        <w:pStyle w:val="12"/>
        <w:ind w:left="0" w:leftChars="0" w:right="-21" w:rightChars="-10" w:firstLine="480"/>
        <w:jc w:val="left"/>
        <w:rPr>
          <w:rFonts w:hAnsi="仿宋_GB2312" w:cs="仿宋_GB2312"/>
          <w:color w:val="000000"/>
          <w:sz w:val="24"/>
          <w:szCs w:val="24"/>
        </w:rPr>
      </w:pPr>
      <w:r>
        <w:rPr>
          <w:rFonts w:hint="eastAsia" w:hAnsi="仿宋_GB2312" w:cs="仿宋_GB2312"/>
          <w:color w:val="000000"/>
          <w:sz w:val="24"/>
          <w:szCs w:val="24"/>
        </w:rPr>
        <w:t>3、投标人免费提供的部件必须注明“免费”或数字“0”。</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bookmarkEnd w:id="28"/>
    <w:bookmarkEnd w:id="29"/>
    <w:bookmarkEnd w:id="30"/>
    <w:p>
      <w:pPr>
        <w:spacing w:line="288" w:lineRule="auto"/>
        <w:ind w:firstLine="480" w:firstLineChars="200"/>
        <w:rPr>
          <w:rFonts w:ascii="仿宋_GB2312" w:hAnsi="仿宋_GB2312" w:eastAsia="仿宋_GB2312" w:cs="仿宋_GB2312"/>
          <w:color w:val="000000"/>
          <w:sz w:val="24"/>
          <w:szCs w:val="24"/>
        </w:rPr>
      </w:pPr>
    </w:p>
    <w:p>
      <w:pPr>
        <w:pStyle w:val="11"/>
        <w:rPr>
          <w:rFonts w:ascii="仿宋_GB2312" w:hAnsi="仿宋_GB2312" w:eastAsia="仿宋_GB2312" w:cs="仿宋_GB2312"/>
          <w:b/>
          <w:bCs/>
        </w:rPr>
      </w:pPr>
      <w:r>
        <w:rPr>
          <w:rFonts w:hint="eastAsia" w:ascii="仿宋_GB2312" w:hAnsi="仿宋_GB2312" w:eastAsia="仿宋_GB2312" w:cs="仿宋_GB2312"/>
          <w:color w:val="000000"/>
          <w:szCs w:val="24"/>
        </w:rPr>
        <w:t xml:space="preserve"> </w:t>
      </w:r>
    </w:p>
    <w:p>
      <w:pPr>
        <w:ind w:firstLine="2731" w:firstLineChars="850"/>
        <w:jc w:val="left"/>
        <w:outlineLvl w:val="0"/>
        <w:rPr>
          <w:b/>
          <w:sz w:val="32"/>
          <w:szCs w:val="32"/>
        </w:rPr>
      </w:pPr>
      <w:r>
        <w:rPr>
          <w:rFonts w:hint="eastAsia"/>
          <w:b/>
          <w:sz w:val="32"/>
          <w:szCs w:val="32"/>
        </w:rPr>
        <w:t xml:space="preserve">第四部分   </w:t>
      </w:r>
      <w:bookmarkStart w:id="32" w:name="_Toc184312138"/>
      <w:bookmarkEnd w:id="32"/>
      <w:bookmarkStart w:id="33" w:name="_Toc184312076"/>
      <w:bookmarkEnd w:id="33"/>
      <w:bookmarkStart w:id="34" w:name="_Toc184308036"/>
      <w:bookmarkEnd w:id="34"/>
      <w:bookmarkStart w:id="35" w:name="_Toc184310341"/>
      <w:bookmarkEnd w:id="35"/>
      <w:bookmarkStart w:id="36" w:name="_Toc184312121"/>
      <w:bookmarkEnd w:id="36"/>
      <w:bookmarkStart w:id="37" w:name="_Toc184313303"/>
      <w:bookmarkEnd w:id="37"/>
      <w:bookmarkStart w:id="38" w:name="_Toc184312115"/>
      <w:bookmarkEnd w:id="38"/>
      <w:bookmarkStart w:id="39" w:name="_Toc184312135"/>
      <w:bookmarkEnd w:id="39"/>
      <w:bookmarkStart w:id="40" w:name="_Toc184314454"/>
      <w:bookmarkEnd w:id="40"/>
      <w:bookmarkStart w:id="41" w:name="_Toc184312094"/>
      <w:bookmarkEnd w:id="41"/>
      <w:bookmarkStart w:id="42" w:name="_Toc184308095"/>
      <w:bookmarkEnd w:id="42"/>
      <w:bookmarkStart w:id="43" w:name="_Toc184312109"/>
      <w:bookmarkEnd w:id="43"/>
      <w:bookmarkStart w:id="44" w:name="_Toc184310311"/>
      <w:bookmarkEnd w:id="44"/>
      <w:bookmarkStart w:id="45" w:name="_Toc184310326"/>
      <w:bookmarkEnd w:id="45"/>
      <w:bookmarkStart w:id="46" w:name="_Toc184314415"/>
      <w:bookmarkEnd w:id="46"/>
      <w:bookmarkStart w:id="47" w:name="_Toc184310322"/>
      <w:bookmarkEnd w:id="47"/>
      <w:bookmarkStart w:id="48" w:name="_Toc184308091"/>
      <w:bookmarkEnd w:id="48"/>
      <w:bookmarkStart w:id="49" w:name="_Toc184314460"/>
      <w:bookmarkEnd w:id="49"/>
      <w:bookmarkStart w:id="50" w:name="_Toc184308056"/>
      <w:bookmarkEnd w:id="50"/>
      <w:bookmarkStart w:id="51" w:name="_Toc184310343"/>
      <w:bookmarkEnd w:id="51"/>
      <w:bookmarkStart w:id="52" w:name="_Toc184314462"/>
      <w:bookmarkEnd w:id="52"/>
      <w:bookmarkStart w:id="53" w:name="_Toc184313262"/>
      <w:bookmarkEnd w:id="53"/>
      <w:bookmarkStart w:id="54" w:name="_Toc184312128"/>
      <w:bookmarkEnd w:id="54"/>
      <w:bookmarkStart w:id="55" w:name="_Toc184314433"/>
      <w:bookmarkEnd w:id="55"/>
      <w:bookmarkStart w:id="56" w:name="_Toc184313266"/>
      <w:bookmarkEnd w:id="56"/>
      <w:bookmarkStart w:id="57" w:name="_Toc184312120"/>
      <w:bookmarkEnd w:id="57"/>
      <w:bookmarkStart w:id="58" w:name="_Toc184312088"/>
      <w:bookmarkEnd w:id="58"/>
      <w:bookmarkStart w:id="59" w:name="_Toc184312095"/>
      <w:bookmarkEnd w:id="59"/>
      <w:bookmarkStart w:id="60" w:name="_Toc184310286"/>
      <w:bookmarkEnd w:id="60"/>
      <w:bookmarkStart w:id="61" w:name="_Toc184313278"/>
      <w:bookmarkEnd w:id="61"/>
      <w:bookmarkStart w:id="62" w:name="_Toc184314437"/>
      <w:bookmarkEnd w:id="62"/>
      <w:bookmarkStart w:id="63" w:name="_Toc184308064"/>
      <w:bookmarkEnd w:id="63"/>
      <w:bookmarkStart w:id="64" w:name="_Toc184312067"/>
      <w:bookmarkEnd w:id="64"/>
      <w:bookmarkStart w:id="65" w:name="_Toc184313252"/>
      <w:bookmarkEnd w:id="65"/>
      <w:bookmarkStart w:id="66" w:name="_Toc184312130"/>
      <w:bookmarkEnd w:id="66"/>
      <w:bookmarkStart w:id="67" w:name="_Toc184308080"/>
      <w:bookmarkEnd w:id="67"/>
      <w:bookmarkStart w:id="68" w:name="_Toc184310291"/>
      <w:bookmarkEnd w:id="68"/>
      <w:bookmarkStart w:id="69" w:name="_Toc184312077"/>
      <w:bookmarkEnd w:id="69"/>
      <w:bookmarkStart w:id="70" w:name="_Toc184314479"/>
      <w:bookmarkEnd w:id="70"/>
      <w:bookmarkStart w:id="71" w:name="_Toc184308052"/>
      <w:bookmarkEnd w:id="71"/>
      <w:bookmarkStart w:id="72" w:name="_Toc184314445"/>
      <w:bookmarkEnd w:id="72"/>
      <w:bookmarkStart w:id="73" w:name="_Toc184313242"/>
      <w:bookmarkEnd w:id="73"/>
      <w:bookmarkStart w:id="74" w:name="_Toc184310318"/>
      <w:bookmarkEnd w:id="74"/>
      <w:bookmarkStart w:id="75" w:name="_Toc184314411"/>
      <w:bookmarkEnd w:id="75"/>
      <w:bookmarkStart w:id="76" w:name="_Toc184314465"/>
      <w:bookmarkEnd w:id="76"/>
      <w:bookmarkStart w:id="77" w:name="_Toc184314449"/>
      <w:bookmarkEnd w:id="77"/>
      <w:bookmarkStart w:id="78" w:name="_Toc184312108"/>
      <w:bookmarkEnd w:id="78"/>
      <w:bookmarkStart w:id="79" w:name="_Toc184314443"/>
      <w:bookmarkEnd w:id="79"/>
      <w:bookmarkStart w:id="80" w:name="_Toc184314446"/>
      <w:bookmarkEnd w:id="80"/>
      <w:bookmarkStart w:id="81" w:name="_Toc184308042"/>
      <w:bookmarkEnd w:id="81"/>
      <w:bookmarkStart w:id="82" w:name="_Toc184312090"/>
      <w:bookmarkEnd w:id="82"/>
      <w:bookmarkStart w:id="83" w:name="_Toc184312073"/>
      <w:bookmarkEnd w:id="83"/>
      <w:bookmarkStart w:id="84" w:name="_Toc184310295"/>
      <w:bookmarkEnd w:id="84"/>
      <w:bookmarkStart w:id="85" w:name="_Toc184313264"/>
      <w:bookmarkEnd w:id="85"/>
      <w:bookmarkStart w:id="86" w:name="_Toc184314418"/>
      <w:bookmarkEnd w:id="86"/>
      <w:bookmarkStart w:id="87" w:name="_Toc184312107"/>
      <w:bookmarkEnd w:id="87"/>
      <w:bookmarkStart w:id="88" w:name="_Toc184312100"/>
      <w:bookmarkEnd w:id="88"/>
      <w:bookmarkStart w:id="89" w:name="_Toc184312078"/>
      <w:bookmarkEnd w:id="89"/>
      <w:bookmarkStart w:id="90" w:name="_Toc184312132"/>
      <w:bookmarkEnd w:id="90"/>
      <w:bookmarkStart w:id="91" w:name="_Toc184312083"/>
      <w:bookmarkEnd w:id="91"/>
      <w:bookmarkStart w:id="92" w:name="_Toc184310301"/>
      <w:bookmarkEnd w:id="92"/>
      <w:bookmarkStart w:id="93" w:name="_Toc184310321"/>
      <w:bookmarkEnd w:id="93"/>
      <w:bookmarkStart w:id="94" w:name="_Toc184310294"/>
      <w:bookmarkEnd w:id="94"/>
      <w:bookmarkStart w:id="95" w:name="_Toc184310340"/>
      <w:bookmarkEnd w:id="95"/>
      <w:bookmarkStart w:id="96" w:name="_Toc184314431"/>
      <w:bookmarkEnd w:id="96"/>
      <w:bookmarkStart w:id="97" w:name="_Toc184313263"/>
      <w:bookmarkEnd w:id="97"/>
      <w:bookmarkStart w:id="98" w:name="_Toc184313251"/>
      <w:bookmarkEnd w:id="98"/>
      <w:bookmarkStart w:id="99" w:name="_Toc184308049"/>
      <w:bookmarkEnd w:id="99"/>
      <w:bookmarkStart w:id="100" w:name="_Toc184308047"/>
      <w:bookmarkEnd w:id="100"/>
      <w:bookmarkStart w:id="101" w:name="_Toc184310330"/>
      <w:bookmarkEnd w:id="101"/>
      <w:bookmarkStart w:id="102" w:name="_Toc184310304"/>
      <w:bookmarkEnd w:id="102"/>
      <w:bookmarkStart w:id="103" w:name="_Toc184312098"/>
      <w:bookmarkEnd w:id="103"/>
      <w:bookmarkStart w:id="104" w:name="_Toc184310284"/>
      <w:bookmarkEnd w:id="104"/>
      <w:bookmarkStart w:id="105" w:name="_Toc184310277"/>
      <w:bookmarkEnd w:id="105"/>
      <w:bookmarkStart w:id="106" w:name="_Toc184314472"/>
      <w:bookmarkEnd w:id="106"/>
      <w:bookmarkStart w:id="107" w:name="_Toc184313292"/>
      <w:bookmarkEnd w:id="107"/>
      <w:bookmarkStart w:id="108" w:name="_Toc184308088"/>
      <w:bookmarkEnd w:id="108"/>
      <w:bookmarkStart w:id="109" w:name="_Toc184314482"/>
      <w:bookmarkEnd w:id="109"/>
      <w:bookmarkStart w:id="110" w:name="_Toc184310297"/>
      <w:bookmarkEnd w:id="110"/>
      <w:bookmarkStart w:id="111" w:name="_Toc184314463"/>
      <w:bookmarkEnd w:id="111"/>
      <w:bookmarkStart w:id="112" w:name="_Toc184314430"/>
      <w:bookmarkEnd w:id="112"/>
      <w:bookmarkStart w:id="113" w:name="_Toc184308077"/>
      <w:bookmarkEnd w:id="113"/>
      <w:bookmarkStart w:id="114" w:name="_Toc184308104"/>
      <w:bookmarkEnd w:id="114"/>
      <w:bookmarkStart w:id="115" w:name="_Toc184314476"/>
      <w:bookmarkEnd w:id="115"/>
      <w:bookmarkStart w:id="116" w:name="_Toc184313265"/>
      <w:bookmarkEnd w:id="116"/>
      <w:bookmarkStart w:id="117" w:name="_Toc184313245"/>
      <w:bookmarkEnd w:id="117"/>
      <w:bookmarkStart w:id="118" w:name="_Toc184314420"/>
      <w:bookmarkEnd w:id="118"/>
      <w:bookmarkStart w:id="119" w:name="_Toc184310275"/>
      <w:bookmarkEnd w:id="119"/>
      <w:bookmarkStart w:id="120" w:name="_Toc184314436"/>
      <w:bookmarkEnd w:id="120"/>
      <w:bookmarkStart w:id="121" w:name="_Toc184308076"/>
      <w:bookmarkEnd w:id="121"/>
      <w:bookmarkStart w:id="122" w:name="_Toc184314434"/>
      <w:bookmarkEnd w:id="122"/>
      <w:bookmarkStart w:id="123" w:name="_Toc184310329"/>
      <w:bookmarkEnd w:id="123"/>
      <w:bookmarkStart w:id="124" w:name="_Toc184308079"/>
      <w:bookmarkEnd w:id="124"/>
      <w:bookmarkStart w:id="125" w:name="_Toc184314410"/>
      <w:bookmarkEnd w:id="125"/>
      <w:bookmarkStart w:id="126" w:name="_Toc184314421"/>
      <w:bookmarkEnd w:id="126"/>
      <w:bookmarkStart w:id="127" w:name="_Toc184308065"/>
      <w:bookmarkEnd w:id="127"/>
      <w:bookmarkStart w:id="128" w:name="_Toc184313308"/>
      <w:bookmarkEnd w:id="128"/>
      <w:bookmarkStart w:id="129" w:name="_Toc184308106"/>
      <w:bookmarkEnd w:id="129"/>
      <w:bookmarkStart w:id="130" w:name="_Toc184314441"/>
      <w:bookmarkEnd w:id="130"/>
      <w:bookmarkStart w:id="131" w:name="_Toc184308102"/>
      <w:bookmarkEnd w:id="131"/>
      <w:bookmarkStart w:id="132" w:name="_Toc184310331"/>
      <w:bookmarkEnd w:id="132"/>
      <w:bookmarkStart w:id="133" w:name="_Toc184312103"/>
      <w:bookmarkEnd w:id="133"/>
      <w:bookmarkStart w:id="134" w:name="_Toc184312124"/>
      <w:bookmarkEnd w:id="134"/>
      <w:bookmarkStart w:id="135" w:name="_Toc184308084"/>
      <w:bookmarkEnd w:id="135"/>
      <w:bookmarkStart w:id="136" w:name="_Toc184313274"/>
      <w:bookmarkEnd w:id="136"/>
      <w:bookmarkStart w:id="137" w:name="_Toc184312117"/>
      <w:bookmarkEnd w:id="137"/>
      <w:bookmarkStart w:id="138" w:name="_Toc184313247"/>
      <w:bookmarkEnd w:id="138"/>
      <w:bookmarkStart w:id="139" w:name="_Toc184314473"/>
      <w:bookmarkEnd w:id="139"/>
      <w:bookmarkStart w:id="140" w:name="_Toc184312105"/>
      <w:bookmarkEnd w:id="140"/>
      <w:bookmarkStart w:id="141" w:name="_Toc184312114"/>
      <w:bookmarkEnd w:id="141"/>
      <w:bookmarkStart w:id="142" w:name="_Toc184308072"/>
      <w:bookmarkEnd w:id="142"/>
      <w:bookmarkStart w:id="143" w:name="_Toc184308107"/>
      <w:bookmarkEnd w:id="143"/>
      <w:bookmarkStart w:id="144" w:name="_Toc184313243"/>
      <w:bookmarkEnd w:id="144"/>
      <w:bookmarkStart w:id="145" w:name="_Toc184312091"/>
      <w:bookmarkEnd w:id="145"/>
      <w:bookmarkStart w:id="146" w:name="_Toc184313273"/>
      <w:bookmarkEnd w:id="146"/>
      <w:bookmarkStart w:id="147" w:name="_Toc184313272"/>
      <w:bookmarkEnd w:id="147"/>
      <w:bookmarkStart w:id="148" w:name="_Toc184310290"/>
      <w:bookmarkEnd w:id="148"/>
      <w:bookmarkStart w:id="149" w:name="_Toc184314440"/>
      <w:bookmarkEnd w:id="149"/>
      <w:bookmarkStart w:id="150" w:name="_Toc184313280"/>
      <w:bookmarkEnd w:id="150"/>
      <w:bookmarkStart w:id="151" w:name="_Toc184312075"/>
      <w:bookmarkEnd w:id="151"/>
      <w:bookmarkStart w:id="152" w:name="_Toc184310288"/>
      <w:bookmarkEnd w:id="152"/>
      <w:bookmarkStart w:id="153" w:name="_Toc184313296"/>
      <w:bookmarkEnd w:id="153"/>
      <w:bookmarkStart w:id="154" w:name="_Toc184313291"/>
      <w:bookmarkEnd w:id="154"/>
      <w:bookmarkStart w:id="155" w:name="_Toc184308073"/>
      <w:bookmarkEnd w:id="155"/>
      <w:bookmarkStart w:id="156" w:name="_Toc184312126"/>
      <w:bookmarkEnd w:id="156"/>
      <w:bookmarkStart w:id="157" w:name="_Toc184312122"/>
      <w:bookmarkEnd w:id="157"/>
      <w:bookmarkStart w:id="158" w:name="_Toc184310313"/>
      <w:bookmarkEnd w:id="158"/>
      <w:bookmarkStart w:id="159" w:name="_Toc184312071"/>
      <w:bookmarkEnd w:id="159"/>
      <w:bookmarkStart w:id="160" w:name="_Toc184310314"/>
      <w:bookmarkEnd w:id="160"/>
      <w:bookmarkStart w:id="161" w:name="_Toc184310278"/>
      <w:bookmarkEnd w:id="161"/>
      <w:bookmarkStart w:id="162" w:name="_Toc184314447"/>
      <w:bookmarkEnd w:id="162"/>
      <w:bookmarkStart w:id="163" w:name="_Toc184310334"/>
      <w:bookmarkEnd w:id="163"/>
      <w:bookmarkStart w:id="164" w:name="_Toc184308071"/>
      <w:bookmarkEnd w:id="164"/>
      <w:bookmarkStart w:id="165" w:name="_Toc184314466"/>
      <w:bookmarkEnd w:id="165"/>
      <w:bookmarkStart w:id="166" w:name="_Toc184314424"/>
      <w:bookmarkEnd w:id="166"/>
      <w:bookmarkStart w:id="167" w:name="_Toc184310317"/>
      <w:bookmarkEnd w:id="167"/>
      <w:bookmarkStart w:id="168" w:name="_Toc184312070"/>
      <w:bookmarkEnd w:id="168"/>
      <w:bookmarkStart w:id="169" w:name="_Toc184308046"/>
      <w:bookmarkEnd w:id="169"/>
      <w:bookmarkStart w:id="170" w:name="_Toc184313271"/>
      <w:bookmarkEnd w:id="170"/>
      <w:bookmarkStart w:id="171" w:name="_Toc184310335"/>
      <w:bookmarkEnd w:id="171"/>
      <w:bookmarkStart w:id="172" w:name="_Toc184313306"/>
      <w:bookmarkEnd w:id="172"/>
      <w:bookmarkStart w:id="173" w:name="_Toc184310281"/>
      <w:bookmarkEnd w:id="173"/>
      <w:bookmarkStart w:id="174" w:name="_Toc184308038"/>
      <w:bookmarkEnd w:id="174"/>
      <w:bookmarkStart w:id="175" w:name="_Toc184312102"/>
      <w:bookmarkEnd w:id="175"/>
      <w:bookmarkStart w:id="176" w:name="_Toc184308075"/>
      <w:bookmarkEnd w:id="176"/>
      <w:bookmarkStart w:id="177" w:name="_Toc184310312"/>
      <w:bookmarkEnd w:id="177"/>
      <w:bookmarkStart w:id="178" w:name="_Toc184310289"/>
      <w:bookmarkEnd w:id="178"/>
      <w:bookmarkStart w:id="179" w:name="_Toc184312085"/>
      <w:bookmarkEnd w:id="179"/>
      <w:bookmarkStart w:id="180" w:name="_Toc184314423"/>
      <w:bookmarkEnd w:id="180"/>
      <w:bookmarkStart w:id="181" w:name="_Toc184310332"/>
      <w:bookmarkEnd w:id="181"/>
      <w:bookmarkStart w:id="182" w:name="_Toc184313307"/>
      <w:bookmarkEnd w:id="182"/>
      <w:bookmarkStart w:id="183" w:name="_Toc184308108"/>
      <w:bookmarkEnd w:id="183"/>
      <w:bookmarkStart w:id="184" w:name="_Toc184312104"/>
      <w:bookmarkEnd w:id="184"/>
      <w:bookmarkStart w:id="185" w:name="_Toc184308090"/>
      <w:bookmarkEnd w:id="185"/>
      <w:bookmarkStart w:id="186" w:name="_Toc184312081"/>
      <w:bookmarkEnd w:id="186"/>
      <w:bookmarkStart w:id="187" w:name="_Toc184310323"/>
      <w:bookmarkEnd w:id="187"/>
      <w:bookmarkStart w:id="188" w:name="_Toc184314444"/>
      <w:bookmarkEnd w:id="188"/>
      <w:bookmarkStart w:id="189" w:name="_Toc184312072"/>
      <w:bookmarkEnd w:id="189"/>
      <w:bookmarkStart w:id="190" w:name="_Toc184313269"/>
      <w:bookmarkEnd w:id="190"/>
      <w:bookmarkStart w:id="191" w:name="_Toc184314429"/>
      <w:bookmarkEnd w:id="191"/>
      <w:bookmarkStart w:id="192" w:name="_Toc184310325"/>
      <w:bookmarkEnd w:id="192"/>
      <w:bookmarkStart w:id="193" w:name="_Toc184308055"/>
      <w:bookmarkEnd w:id="193"/>
      <w:bookmarkStart w:id="194" w:name="_Toc184314453"/>
      <w:bookmarkEnd w:id="194"/>
      <w:bookmarkStart w:id="195" w:name="_Toc184313240"/>
      <w:bookmarkEnd w:id="195"/>
      <w:bookmarkStart w:id="196" w:name="_Toc184312118"/>
      <w:bookmarkEnd w:id="196"/>
      <w:bookmarkStart w:id="197" w:name="_Toc184314455"/>
      <w:bookmarkEnd w:id="197"/>
      <w:bookmarkStart w:id="198" w:name="_Toc184310306"/>
      <w:bookmarkEnd w:id="198"/>
      <w:bookmarkStart w:id="199" w:name="_Toc184310316"/>
      <w:bookmarkEnd w:id="199"/>
      <w:bookmarkStart w:id="200" w:name="_Toc184314469"/>
      <w:bookmarkEnd w:id="200"/>
      <w:bookmarkStart w:id="201" w:name="_Toc184312096"/>
      <w:bookmarkEnd w:id="201"/>
      <w:bookmarkStart w:id="202" w:name="_Toc184313258"/>
      <w:bookmarkEnd w:id="202"/>
      <w:bookmarkStart w:id="203" w:name="_Toc184308062"/>
      <w:bookmarkEnd w:id="203"/>
      <w:bookmarkStart w:id="204" w:name="_Toc184314471"/>
      <w:bookmarkEnd w:id="204"/>
      <w:bookmarkStart w:id="205" w:name="_Toc184308061"/>
      <w:bookmarkEnd w:id="205"/>
      <w:bookmarkStart w:id="206" w:name="_Toc184313259"/>
      <w:bookmarkEnd w:id="206"/>
      <w:bookmarkStart w:id="207" w:name="_Toc184312125"/>
      <w:bookmarkEnd w:id="207"/>
      <w:bookmarkStart w:id="208" w:name="_Toc184308063"/>
      <w:bookmarkEnd w:id="208"/>
      <w:bookmarkStart w:id="209" w:name="_Toc184308045"/>
      <w:bookmarkEnd w:id="209"/>
      <w:bookmarkStart w:id="210" w:name="_Toc184313300"/>
      <w:bookmarkEnd w:id="210"/>
      <w:bookmarkStart w:id="211" w:name="_Toc184313304"/>
      <w:bookmarkEnd w:id="211"/>
      <w:bookmarkStart w:id="212" w:name="_Toc184308082"/>
      <w:bookmarkEnd w:id="212"/>
      <w:bookmarkStart w:id="213" w:name="_Toc184308083"/>
      <w:bookmarkEnd w:id="213"/>
      <w:bookmarkStart w:id="214" w:name="_Toc184314461"/>
      <w:bookmarkEnd w:id="214"/>
      <w:bookmarkStart w:id="215" w:name="_Toc184313298"/>
      <w:bookmarkEnd w:id="215"/>
      <w:bookmarkStart w:id="216" w:name="_Toc184312080"/>
      <w:bookmarkEnd w:id="216"/>
      <w:bookmarkStart w:id="217" w:name="_Toc184313257"/>
      <w:bookmarkEnd w:id="217"/>
      <w:bookmarkStart w:id="218" w:name="_Toc184312086"/>
      <w:bookmarkEnd w:id="218"/>
      <w:bookmarkStart w:id="219" w:name="_Toc184312111"/>
      <w:bookmarkEnd w:id="219"/>
      <w:bookmarkStart w:id="220" w:name="_Toc184314422"/>
      <w:bookmarkEnd w:id="220"/>
      <w:bookmarkStart w:id="221" w:name="_Toc184308059"/>
      <w:bookmarkEnd w:id="221"/>
      <w:bookmarkStart w:id="222" w:name="_Toc184313310"/>
      <w:bookmarkEnd w:id="222"/>
      <w:bookmarkStart w:id="223" w:name="_Toc184313270"/>
      <w:bookmarkEnd w:id="223"/>
      <w:bookmarkStart w:id="224" w:name="_Toc184314448"/>
      <w:bookmarkEnd w:id="224"/>
      <w:bookmarkStart w:id="225" w:name="_Toc184308078"/>
      <w:bookmarkEnd w:id="225"/>
      <w:bookmarkStart w:id="226" w:name="_Toc184310305"/>
      <w:bookmarkEnd w:id="226"/>
      <w:bookmarkStart w:id="227" w:name="_Toc184308067"/>
      <w:bookmarkEnd w:id="227"/>
      <w:bookmarkStart w:id="228" w:name="_Toc184308041"/>
      <w:bookmarkEnd w:id="228"/>
      <w:bookmarkStart w:id="229" w:name="_Toc184313253"/>
      <w:bookmarkEnd w:id="229"/>
      <w:bookmarkStart w:id="230" w:name="_Toc184308070"/>
      <w:bookmarkEnd w:id="230"/>
      <w:bookmarkStart w:id="231" w:name="_Toc184308048"/>
      <w:bookmarkEnd w:id="231"/>
      <w:bookmarkStart w:id="232" w:name="_Toc184314428"/>
      <w:bookmarkEnd w:id="232"/>
      <w:bookmarkStart w:id="233" w:name="_Toc184314450"/>
      <w:bookmarkEnd w:id="233"/>
      <w:bookmarkStart w:id="234" w:name="_Toc184310333"/>
      <w:bookmarkEnd w:id="234"/>
      <w:bookmarkStart w:id="235" w:name="_Toc184314413"/>
      <w:bookmarkEnd w:id="235"/>
      <w:bookmarkStart w:id="236" w:name="_Toc184310319"/>
      <w:bookmarkEnd w:id="236"/>
      <w:bookmarkStart w:id="237" w:name="_Toc184314442"/>
      <w:bookmarkEnd w:id="237"/>
      <w:bookmarkStart w:id="238" w:name="_Toc184310272"/>
      <w:bookmarkEnd w:id="238"/>
      <w:bookmarkStart w:id="239" w:name="_Toc184313275"/>
      <w:bookmarkEnd w:id="239"/>
      <w:bookmarkStart w:id="240" w:name="_Toc184314480"/>
      <w:bookmarkEnd w:id="240"/>
      <w:bookmarkStart w:id="241" w:name="_Toc184312084"/>
      <w:bookmarkEnd w:id="241"/>
      <w:bookmarkStart w:id="242" w:name="_Toc184310309"/>
      <w:bookmarkEnd w:id="242"/>
      <w:bookmarkStart w:id="243" w:name="_Toc184313284"/>
      <w:bookmarkEnd w:id="243"/>
      <w:bookmarkStart w:id="244" w:name="_Toc184310285"/>
      <w:bookmarkEnd w:id="244"/>
      <w:bookmarkStart w:id="245" w:name="_Toc184312113"/>
      <w:bookmarkEnd w:id="245"/>
      <w:bookmarkStart w:id="246" w:name="_Toc184308069"/>
      <w:bookmarkEnd w:id="246"/>
      <w:bookmarkStart w:id="247" w:name="_Toc184308093"/>
      <w:bookmarkEnd w:id="247"/>
      <w:bookmarkStart w:id="248" w:name="_Toc184314459"/>
      <w:bookmarkEnd w:id="248"/>
      <w:bookmarkStart w:id="249" w:name="_Toc184308096"/>
      <w:bookmarkEnd w:id="249"/>
      <w:bookmarkStart w:id="250" w:name="_Toc184312079"/>
      <w:bookmarkEnd w:id="250"/>
      <w:bookmarkStart w:id="251" w:name="_Toc184313246"/>
      <w:bookmarkEnd w:id="251"/>
      <w:bookmarkStart w:id="252" w:name="_Toc184312137"/>
      <w:bookmarkEnd w:id="252"/>
      <w:bookmarkStart w:id="253" w:name="_Toc184310280"/>
      <w:bookmarkEnd w:id="253"/>
      <w:bookmarkStart w:id="254" w:name="_Toc184308100"/>
      <w:bookmarkEnd w:id="254"/>
      <w:bookmarkStart w:id="255" w:name="_Toc184310299"/>
      <w:bookmarkEnd w:id="255"/>
      <w:bookmarkStart w:id="256" w:name="_Toc184308044"/>
      <w:bookmarkEnd w:id="256"/>
      <w:bookmarkStart w:id="257" w:name="_Toc184308051"/>
      <w:bookmarkEnd w:id="257"/>
      <w:bookmarkStart w:id="258" w:name="_Toc184308057"/>
      <w:bookmarkEnd w:id="258"/>
      <w:bookmarkStart w:id="259" w:name="_Toc184313256"/>
      <w:bookmarkEnd w:id="259"/>
      <w:bookmarkStart w:id="260" w:name="_Toc184308054"/>
      <w:bookmarkEnd w:id="260"/>
      <w:bookmarkStart w:id="261" w:name="_Toc184312134"/>
      <w:bookmarkEnd w:id="261"/>
      <w:bookmarkStart w:id="262" w:name="_Toc184310292"/>
      <w:bookmarkEnd w:id="262"/>
      <w:bookmarkStart w:id="263" w:name="_Toc184312129"/>
      <w:bookmarkEnd w:id="263"/>
      <w:bookmarkStart w:id="264" w:name="_Toc184313238"/>
      <w:bookmarkEnd w:id="264"/>
      <w:bookmarkStart w:id="265" w:name="_Toc184313290"/>
      <w:bookmarkEnd w:id="265"/>
      <w:bookmarkStart w:id="266" w:name="_Toc184308097"/>
      <w:bookmarkEnd w:id="266"/>
      <w:bookmarkStart w:id="267" w:name="_Toc184314464"/>
      <w:bookmarkEnd w:id="267"/>
      <w:bookmarkStart w:id="268" w:name="_Toc184313302"/>
      <w:bookmarkEnd w:id="268"/>
      <w:bookmarkStart w:id="269" w:name="_Toc184312093"/>
      <w:bookmarkEnd w:id="269"/>
      <w:bookmarkStart w:id="270" w:name="_Toc184313299"/>
      <w:bookmarkEnd w:id="270"/>
      <w:bookmarkStart w:id="271" w:name="_Toc184310276"/>
      <w:bookmarkEnd w:id="271"/>
      <w:bookmarkStart w:id="272" w:name="_Toc184312116"/>
      <w:bookmarkEnd w:id="272"/>
      <w:bookmarkStart w:id="273" w:name="_Toc184314439"/>
      <w:bookmarkEnd w:id="273"/>
      <w:bookmarkStart w:id="274" w:name="_Toc184308053"/>
      <w:bookmarkEnd w:id="274"/>
      <w:bookmarkStart w:id="275" w:name="_Toc184313287"/>
      <w:bookmarkEnd w:id="275"/>
      <w:bookmarkStart w:id="276" w:name="_Toc184310328"/>
      <w:bookmarkEnd w:id="276"/>
      <w:bookmarkStart w:id="277" w:name="_Toc184314468"/>
      <w:bookmarkEnd w:id="277"/>
      <w:bookmarkStart w:id="278" w:name="_Toc184310327"/>
      <w:bookmarkEnd w:id="278"/>
      <w:bookmarkStart w:id="279" w:name="_Toc184314467"/>
      <w:bookmarkEnd w:id="279"/>
      <w:bookmarkStart w:id="280" w:name="_Toc184313268"/>
      <w:bookmarkEnd w:id="280"/>
      <w:bookmarkStart w:id="281" w:name="_Toc184313261"/>
      <w:bookmarkEnd w:id="281"/>
      <w:bookmarkStart w:id="282" w:name="_Toc184313267"/>
      <w:bookmarkEnd w:id="282"/>
      <w:bookmarkStart w:id="283" w:name="_Toc184312082"/>
      <w:bookmarkEnd w:id="283"/>
      <w:bookmarkStart w:id="284" w:name="_Toc184308066"/>
      <w:bookmarkEnd w:id="284"/>
      <w:bookmarkStart w:id="285" w:name="_Toc184313309"/>
      <w:bookmarkEnd w:id="285"/>
      <w:bookmarkStart w:id="286" w:name="_Toc184313239"/>
      <w:bookmarkEnd w:id="286"/>
      <w:bookmarkStart w:id="287" w:name="_Toc184308094"/>
      <w:bookmarkEnd w:id="287"/>
      <w:bookmarkStart w:id="288" w:name="_Toc184314481"/>
      <w:bookmarkEnd w:id="288"/>
      <w:bookmarkStart w:id="289" w:name="_Toc184314432"/>
      <w:bookmarkEnd w:id="289"/>
      <w:bookmarkStart w:id="290" w:name="_Toc184308039"/>
      <w:bookmarkEnd w:id="290"/>
      <w:bookmarkStart w:id="291" w:name="_Toc184313277"/>
      <w:bookmarkEnd w:id="291"/>
      <w:bookmarkStart w:id="292" w:name="_Toc184308037"/>
      <w:bookmarkEnd w:id="292"/>
      <w:bookmarkStart w:id="293" w:name="_Toc184310293"/>
      <w:bookmarkEnd w:id="293"/>
      <w:bookmarkStart w:id="294" w:name="_Toc184314456"/>
      <w:bookmarkEnd w:id="294"/>
      <w:bookmarkStart w:id="295" w:name="_Toc184308081"/>
      <w:bookmarkEnd w:id="295"/>
      <w:bookmarkStart w:id="296" w:name="_Toc184313276"/>
      <w:bookmarkEnd w:id="296"/>
      <w:bookmarkStart w:id="297" w:name="_Toc184308074"/>
      <w:bookmarkEnd w:id="297"/>
      <w:bookmarkStart w:id="298" w:name="_Toc184308092"/>
      <w:bookmarkEnd w:id="298"/>
      <w:bookmarkStart w:id="299" w:name="_Toc184312131"/>
      <w:bookmarkEnd w:id="299"/>
      <w:bookmarkStart w:id="300" w:name="_Toc184314477"/>
      <w:bookmarkEnd w:id="300"/>
      <w:bookmarkStart w:id="301" w:name="_Toc184314417"/>
      <w:bookmarkEnd w:id="301"/>
      <w:bookmarkStart w:id="302" w:name="_Toc184308050"/>
      <w:bookmarkEnd w:id="302"/>
      <w:bookmarkStart w:id="303" w:name="_Toc184312110"/>
      <w:bookmarkEnd w:id="303"/>
      <w:bookmarkStart w:id="304" w:name="_Toc184313241"/>
      <w:bookmarkEnd w:id="304"/>
      <w:bookmarkStart w:id="305" w:name="_Toc184314475"/>
      <w:bookmarkEnd w:id="305"/>
      <w:bookmarkStart w:id="306" w:name="_Toc184312127"/>
      <w:bookmarkEnd w:id="306"/>
      <w:bookmarkStart w:id="307" w:name="_Toc184312136"/>
      <w:bookmarkEnd w:id="307"/>
      <w:bookmarkStart w:id="308" w:name="_Toc184314416"/>
      <w:bookmarkEnd w:id="308"/>
      <w:bookmarkStart w:id="309" w:name="_Toc184313295"/>
      <w:bookmarkEnd w:id="309"/>
      <w:bookmarkStart w:id="310" w:name="_Toc184314452"/>
      <w:bookmarkEnd w:id="310"/>
      <w:bookmarkStart w:id="311" w:name="_Toc184308101"/>
      <w:bookmarkEnd w:id="311"/>
      <w:bookmarkStart w:id="312" w:name="_Toc184310344"/>
      <w:bookmarkEnd w:id="312"/>
      <w:bookmarkStart w:id="313" w:name="_Toc184310308"/>
      <w:bookmarkEnd w:id="313"/>
      <w:bookmarkStart w:id="314" w:name="_Toc184312068"/>
      <w:bookmarkEnd w:id="314"/>
      <w:bookmarkStart w:id="315" w:name="_Toc184312097"/>
      <w:bookmarkEnd w:id="315"/>
      <w:bookmarkStart w:id="316" w:name="_Toc184312099"/>
      <w:bookmarkEnd w:id="316"/>
      <w:bookmarkStart w:id="317" w:name="_Toc184313285"/>
      <w:bookmarkEnd w:id="317"/>
      <w:bookmarkStart w:id="318" w:name="_Toc184313250"/>
      <w:bookmarkEnd w:id="318"/>
      <w:bookmarkStart w:id="319" w:name="_Toc184310282"/>
      <w:bookmarkEnd w:id="319"/>
      <w:bookmarkStart w:id="320" w:name="_Toc184314451"/>
      <w:bookmarkEnd w:id="320"/>
      <w:bookmarkStart w:id="321" w:name="_Toc184310337"/>
      <w:bookmarkEnd w:id="321"/>
      <w:bookmarkStart w:id="322" w:name="_Toc184314425"/>
      <w:bookmarkEnd w:id="322"/>
      <w:bookmarkStart w:id="323" w:name="_Toc184314414"/>
      <w:bookmarkEnd w:id="323"/>
      <w:bookmarkStart w:id="324" w:name="_Toc184313255"/>
      <w:bookmarkEnd w:id="324"/>
      <w:bookmarkStart w:id="325" w:name="_Toc184312089"/>
      <w:bookmarkEnd w:id="325"/>
      <w:bookmarkStart w:id="326" w:name="_Toc184314438"/>
      <w:bookmarkEnd w:id="326"/>
      <w:bookmarkStart w:id="327" w:name="_Toc184310302"/>
      <w:bookmarkEnd w:id="327"/>
      <w:bookmarkStart w:id="328" w:name="_Toc184310283"/>
      <w:bookmarkEnd w:id="328"/>
      <w:bookmarkStart w:id="329" w:name="_Toc184312139"/>
      <w:bookmarkEnd w:id="329"/>
      <w:bookmarkStart w:id="330" w:name="_Toc184310320"/>
      <w:bookmarkEnd w:id="330"/>
      <w:bookmarkStart w:id="331" w:name="_Toc184312106"/>
      <w:bookmarkEnd w:id="331"/>
      <w:bookmarkStart w:id="332" w:name="_Toc184314419"/>
      <w:bookmarkEnd w:id="332"/>
      <w:bookmarkStart w:id="333" w:name="_Toc184313294"/>
      <w:bookmarkEnd w:id="333"/>
      <w:bookmarkStart w:id="334" w:name="_Toc184310273"/>
      <w:bookmarkEnd w:id="334"/>
      <w:bookmarkStart w:id="335" w:name="_Toc184310310"/>
      <w:bookmarkEnd w:id="335"/>
      <w:bookmarkStart w:id="336" w:name="_Toc184310342"/>
      <w:bookmarkEnd w:id="336"/>
      <w:bookmarkStart w:id="337" w:name="_Toc184313260"/>
      <w:bookmarkEnd w:id="337"/>
      <w:bookmarkStart w:id="338" w:name="_Toc184313244"/>
      <w:bookmarkEnd w:id="338"/>
      <w:bookmarkStart w:id="339" w:name="_Toc184310324"/>
      <w:bookmarkEnd w:id="339"/>
      <w:bookmarkStart w:id="340" w:name="_Toc184308098"/>
      <w:bookmarkEnd w:id="340"/>
      <w:bookmarkStart w:id="341" w:name="_Toc184314457"/>
      <w:bookmarkEnd w:id="341"/>
      <w:bookmarkStart w:id="342" w:name="_Toc184314435"/>
      <w:bookmarkEnd w:id="342"/>
      <w:bookmarkStart w:id="343" w:name="_Toc184310307"/>
      <w:bookmarkEnd w:id="343"/>
      <w:bookmarkStart w:id="344" w:name="_Toc184308105"/>
      <w:bookmarkEnd w:id="344"/>
      <w:bookmarkStart w:id="345" w:name="_Toc184308085"/>
      <w:bookmarkEnd w:id="345"/>
      <w:bookmarkStart w:id="346" w:name="_Toc184313305"/>
      <w:bookmarkEnd w:id="346"/>
      <w:bookmarkStart w:id="347" w:name="_Toc184313289"/>
      <w:bookmarkEnd w:id="347"/>
      <w:bookmarkStart w:id="348" w:name="_Toc184313297"/>
      <w:bookmarkEnd w:id="348"/>
      <w:bookmarkStart w:id="349" w:name="_Toc184313293"/>
      <w:bookmarkEnd w:id="349"/>
      <w:bookmarkStart w:id="350" w:name="_Toc184314470"/>
      <w:bookmarkEnd w:id="350"/>
      <w:bookmarkStart w:id="351" w:name="_Toc184308040"/>
      <w:bookmarkEnd w:id="351"/>
      <w:bookmarkStart w:id="352" w:name="_Toc184310298"/>
      <w:bookmarkEnd w:id="352"/>
      <w:bookmarkStart w:id="353" w:name="_Toc184310336"/>
      <w:bookmarkEnd w:id="353"/>
      <w:bookmarkStart w:id="354" w:name="_Toc184310338"/>
      <w:bookmarkEnd w:id="354"/>
      <w:bookmarkStart w:id="355" w:name="_Toc184313286"/>
      <w:bookmarkEnd w:id="355"/>
      <w:bookmarkStart w:id="356" w:name="_Toc184310300"/>
      <w:bookmarkEnd w:id="356"/>
      <w:bookmarkStart w:id="357" w:name="_Toc184312092"/>
      <w:bookmarkEnd w:id="357"/>
      <w:bookmarkStart w:id="358" w:name="_Toc184312119"/>
      <w:bookmarkEnd w:id="358"/>
      <w:bookmarkStart w:id="359" w:name="_Toc184308089"/>
      <w:bookmarkEnd w:id="359"/>
      <w:bookmarkStart w:id="360" w:name="_Toc184310315"/>
      <w:bookmarkEnd w:id="360"/>
      <w:bookmarkStart w:id="361" w:name="_Toc184313254"/>
      <w:bookmarkEnd w:id="361"/>
      <w:bookmarkStart w:id="362" w:name="_Toc184314458"/>
      <w:bookmarkEnd w:id="362"/>
      <w:bookmarkStart w:id="363" w:name="_Toc184314412"/>
      <w:bookmarkEnd w:id="363"/>
      <w:bookmarkStart w:id="364" w:name="_Toc184308058"/>
      <w:bookmarkEnd w:id="364"/>
      <w:bookmarkStart w:id="365" w:name="_Toc184312112"/>
      <w:bookmarkEnd w:id="365"/>
      <w:bookmarkStart w:id="366" w:name="_Toc184312123"/>
      <w:bookmarkEnd w:id="366"/>
      <w:bookmarkStart w:id="367" w:name="_Toc184312087"/>
      <w:bookmarkEnd w:id="367"/>
      <w:bookmarkStart w:id="368" w:name="_Toc184312101"/>
      <w:bookmarkEnd w:id="368"/>
      <w:bookmarkStart w:id="369" w:name="_Toc184308060"/>
      <w:bookmarkEnd w:id="369"/>
      <w:bookmarkStart w:id="370" w:name="_Toc184313249"/>
      <w:bookmarkEnd w:id="370"/>
      <w:bookmarkStart w:id="371" w:name="_Toc184314427"/>
      <w:bookmarkEnd w:id="371"/>
      <w:bookmarkStart w:id="372" w:name="_Toc184312133"/>
      <w:bookmarkEnd w:id="372"/>
      <w:bookmarkStart w:id="373" w:name="_Toc184308068"/>
      <w:bookmarkEnd w:id="373"/>
      <w:bookmarkStart w:id="374" w:name="_Toc184308099"/>
      <w:bookmarkEnd w:id="374"/>
      <w:bookmarkStart w:id="375" w:name="_Toc184310339"/>
      <w:bookmarkEnd w:id="375"/>
      <w:bookmarkStart w:id="376" w:name="_Toc184308103"/>
      <w:bookmarkEnd w:id="376"/>
      <w:bookmarkStart w:id="377" w:name="_Toc184313281"/>
      <w:bookmarkEnd w:id="377"/>
      <w:bookmarkStart w:id="378" w:name="_Toc184308086"/>
      <w:bookmarkEnd w:id="378"/>
      <w:bookmarkStart w:id="379" w:name="_Toc184313283"/>
      <w:bookmarkEnd w:id="379"/>
      <w:bookmarkStart w:id="380" w:name="_Toc184308087"/>
      <w:bookmarkEnd w:id="380"/>
      <w:bookmarkStart w:id="381" w:name="_Toc184310296"/>
      <w:bookmarkEnd w:id="381"/>
      <w:bookmarkStart w:id="382" w:name="_Toc184314426"/>
      <w:bookmarkEnd w:id="382"/>
      <w:bookmarkStart w:id="383" w:name="_Toc184312074"/>
      <w:bookmarkEnd w:id="383"/>
      <w:bookmarkStart w:id="384" w:name="_Toc184313279"/>
      <w:bookmarkEnd w:id="384"/>
      <w:bookmarkStart w:id="385" w:name="_Toc184310287"/>
      <w:bookmarkEnd w:id="385"/>
      <w:bookmarkStart w:id="386" w:name="_Toc184314474"/>
      <w:bookmarkEnd w:id="386"/>
      <w:bookmarkStart w:id="387" w:name="_Toc184314478"/>
      <w:bookmarkEnd w:id="387"/>
      <w:bookmarkStart w:id="388" w:name="_Toc184313282"/>
      <w:bookmarkEnd w:id="388"/>
      <w:bookmarkStart w:id="389" w:name="_Toc184310303"/>
      <w:bookmarkEnd w:id="389"/>
      <w:bookmarkStart w:id="390" w:name="_Toc184313288"/>
      <w:bookmarkEnd w:id="390"/>
      <w:bookmarkStart w:id="391" w:name="_Toc184312069"/>
      <w:bookmarkEnd w:id="391"/>
      <w:bookmarkStart w:id="392" w:name="_Toc184313248"/>
      <w:bookmarkEnd w:id="392"/>
      <w:bookmarkStart w:id="393" w:name="_Toc184310279"/>
      <w:bookmarkEnd w:id="393"/>
      <w:bookmarkStart w:id="394" w:name="_Toc184308043"/>
      <w:bookmarkEnd w:id="394"/>
      <w:bookmarkStart w:id="395" w:name="_Toc184313301"/>
      <w:bookmarkEnd w:id="395"/>
      <w:bookmarkStart w:id="396" w:name="_Toc184310274"/>
      <w:bookmarkEnd w:id="396"/>
      <w:r>
        <w:rPr>
          <w:rFonts w:hint="eastAsia"/>
          <w:b/>
          <w:sz w:val="32"/>
          <w:szCs w:val="32"/>
        </w:rPr>
        <w:t>评标办法</w:t>
      </w:r>
    </w:p>
    <w:p>
      <w:pPr>
        <w:spacing w:line="540" w:lineRule="exact"/>
        <w:ind w:firstLine="560"/>
        <w:contextualSpacing/>
        <w:jc w:val="center"/>
        <w:rPr>
          <w:rFonts w:ascii="仿宋_GB2312" w:eastAsia="仿宋_GB2312"/>
          <w:sz w:val="28"/>
          <w:szCs w:val="28"/>
        </w:rPr>
      </w:pPr>
      <w:r>
        <w:rPr>
          <w:rFonts w:hint="eastAsia" w:ascii="仿宋_GB2312" w:eastAsia="仿宋_GB2312"/>
          <w:sz w:val="28"/>
          <w:szCs w:val="28"/>
        </w:rPr>
        <w:t>评标办法前附表</w:t>
      </w:r>
    </w:p>
    <w:p>
      <w:pPr>
        <w:pStyle w:val="2"/>
        <w:ind w:firstLine="460"/>
        <w:rPr>
          <w:rFonts w:eastAsia="仿宋_GB2312"/>
        </w:rPr>
      </w:pPr>
      <w:r>
        <w:rPr>
          <w:rFonts w:hint="eastAsia" w:eastAsia="仿宋_GB2312"/>
        </w:rPr>
        <w:t>标项一：</w:t>
      </w:r>
    </w:p>
    <w:tbl>
      <w:tblPr>
        <w:tblStyle w:val="24"/>
        <w:tblW w:w="9797" w:type="dxa"/>
        <w:tblInd w:w="98" w:type="dxa"/>
        <w:tblLayout w:type="fixed"/>
        <w:tblCellMar>
          <w:top w:w="0" w:type="dxa"/>
          <w:left w:w="108" w:type="dxa"/>
          <w:bottom w:w="0" w:type="dxa"/>
          <w:right w:w="108" w:type="dxa"/>
        </w:tblCellMar>
      </w:tblPr>
      <w:tblGrid>
        <w:gridCol w:w="784"/>
        <w:gridCol w:w="678"/>
        <w:gridCol w:w="5475"/>
        <w:gridCol w:w="728"/>
        <w:gridCol w:w="1004"/>
        <w:gridCol w:w="1128"/>
      </w:tblGrid>
      <w:tr>
        <w:tblPrEx>
          <w:tblCellMar>
            <w:top w:w="0" w:type="dxa"/>
            <w:left w:w="108" w:type="dxa"/>
            <w:bottom w:w="0" w:type="dxa"/>
            <w:right w:w="108" w:type="dxa"/>
          </w:tblCellMar>
        </w:tblPrEx>
        <w:trPr>
          <w:trHeight w:val="191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类别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序号</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评分标准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权重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主观分/客观分属性</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投标文件中评标标准相应的商务技术资料目录*</w:t>
            </w:r>
          </w:p>
        </w:tc>
      </w:tr>
      <w:tr>
        <w:tblPrEx>
          <w:tblCellMar>
            <w:top w:w="0" w:type="dxa"/>
            <w:left w:w="108" w:type="dxa"/>
            <w:bottom w:w="0" w:type="dxa"/>
            <w:right w:w="108" w:type="dxa"/>
          </w:tblCellMar>
        </w:tblPrEx>
        <w:trPr>
          <w:trHeight w:val="2116"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商务部分(1</w:t>
            </w:r>
            <w:r>
              <w:rPr>
                <w:rFonts w:hint="eastAsia" w:ascii="仿宋_GB2312" w:hAnsi="宋体" w:eastAsia="仿宋_GB2312" w:cs="仿宋_GB2312"/>
                <w:b/>
                <w:bCs/>
                <w:color w:val="000000"/>
                <w:kern w:val="0"/>
                <w:sz w:val="24"/>
                <w:szCs w:val="24"/>
              </w:rPr>
              <w:t>3</w:t>
            </w:r>
            <w:r>
              <w:rPr>
                <w:rFonts w:ascii="仿宋_GB2312" w:hAnsi="宋体" w:eastAsia="仿宋_GB2312" w:cs="仿宋_GB2312"/>
                <w:b/>
                <w:bCs/>
                <w:color w:val="000000"/>
                <w:kern w:val="0"/>
                <w:sz w:val="24"/>
                <w:szCs w:val="24"/>
              </w:rPr>
              <w:t>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投标人具有类似森林防火视频智能分析类业绩（每提供一份合同，得1分，最多得3分。）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注：1.合同签订时间为 2019年1月1日（含）至开标截止时间的时间段内，合同由投标人签订，否则不得分。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2.类似案例业绩是指合同内容必须包含森林防火视频火点智能分析，否则不得分。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221"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szCs w:val="24"/>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themeColor="text1"/>
                <w:sz w:val="24"/>
                <w:szCs w:val="24"/>
              </w:rPr>
            </w:pPr>
            <w:r>
              <w:rPr>
                <w:rFonts w:ascii="仿宋_GB2312" w:hAnsi="宋体" w:eastAsia="仿宋_GB2312" w:cs="仿宋_GB2312"/>
                <w:color w:val="000000" w:themeColor="text1"/>
                <w:kern w:val="0"/>
                <w:sz w:val="24"/>
                <w:szCs w:val="24"/>
              </w:rPr>
              <w:t>要求中载云台高位挂载平台高度满足20米以上，挂载平台位置必须在采购方提供的点位周边100米以内。投标人可以自有方式、租赁方式或新建方式提供相应挂载资源，其中：</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投标人以自有方式提供挂载资源的须提供相关证明；</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投标人以租赁方式提供挂载资源的须提供挂载资源所有者的书面授权或租赁协议复印件；</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投标人以新建形式提供挂载资源的须提供详细建设方案并提供承诺函（格式自拟）并加盖投标人公章。</w:t>
            </w:r>
            <w:r>
              <w:rPr>
                <w:rFonts w:ascii="仿宋_GB2312" w:hAnsi="宋体" w:eastAsia="仿宋_GB2312" w:cs="仿宋_GB2312"/>
                <w:color w:val="000000" w:themeColor="text1"/>
                <w:kern w:val="0"/>
                <w:sz w:val="24"/>
                <w:szCs w:val="24"/>
              </w:rPr>
              <w:br w:type="textWrapping"/>
            </w:r>
            <w:r>
              <w:rPr>
                <w:rFonts w:hint="eastAsia" w:ascii="仿宋_GB2312" w:hAnsi="宋体" w:eastAsia="仿宋_GB2312" w:cs="仿宋_GB2312"/>
                <w:color w:val="000000" w:themeColor="text1"/>
                <w:kern w:val="0"/>
                <w:sz w:val="24"/>
                <w:szCs w:val="24"/>
              </w:rPr>
              <w:t>提供以上其中一种证明材料的</w:t>
            </w:r>
            <w:r>
              <w:rPr>
                <w:rFonts w:ascii="仿宋_GB2312" w:hAnsi="宋体" w:eastAsia="仿宋_GB2312" w:cs="仿宋_GB2312"/>
                <w:color w:val="000000" w:themeColor="text1"/>
                <w:kern w:val="0"/>
                <w:sz w:val="24"/>
                <w:szCs w:val="24"/>
              </w:rPr>
              <w:t>的，得6分；</w:t>
            </w:r>
            <w:r>
              <w:rPr>
                <w:rFonts w:hint="eastAsia" w:ascii="仿宋_GB2312" w:hAnsi="宋体" w:eastAsia="仿宋_GB2312" w:cs="仿宋_GB2312"/>
                <w:color w:val="000000" w:themeColor="text1"/>
                <w:kern w:val="0"/>
                <w:sz w:val="24"/>
                <w:szCs w:val="24"/>
              </w:rPr>
              <w:t>未提供的或者提供的证明材料不符合要求的不得分</w:t>
            </w:r>
            <w:r>
              <w:rPr>
                <w:rFonts w:ascii="仿宋_GB2312" w:hAnsi="宋体" w:eastAsia="仿宋_GB2312" w:cs="仿宋_GB2312"/>
                <w:color w:val="000000" w:themeColor="text1"/>
                <w:kern w:val="0"/>
                <w:sz w:val="24"/>
                <w:szCs w:val="24"/>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ascii="仿宋_GB2312" w:hAnsi="宋体" w:eastAsia="仿宋_GB2312" w:cs="仿宋_GB2312"/>
                <w:color w:val="000000" w:themeColor="text1"/>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FF0000"/>
                <w:kern w:val="0"/>
                <w:sz w:val="24"/>
                <w:szCs w:val="24"/>
              </w:rPr>
              <w:t xml:space="preserve"> </w:t>
            </w:r>
          </w:p>
        </w:tc>
      </w:tr>
      <w:tr>
        <w:tblPrEx>
          <w:tblCellMar>
            <w:top w:w="0" w:type="dxa"/>
            <w:left w:w="108" w:type="dxa"/>
            <w:bottom w:w="0" w:type="dxa"/>
            <w:right w:w="108" w:type="dxa"/>
          </w:tblCellMar>
        </w:tblPrEx>
        <w:trPr>
          <w:trHeight w:val="2556"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szCs w:val="24"/>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themeColor="text1"/>
                <w:sz w:val="24"/>
                <w:szCs w:val="24"/>
              </w:rPr>
            </w:pPr>
            <w:r>
              <w:rPr>
                <w:rFonts w:ascii="仿宋_GB2312" w:hAnsi="宋体" w:eastAsia="仿宋_GB2312" w:cs="仿宋_GB2312"/>
                <w:color w:val="000000" w:themeColor="text1"/>
                <w:kern w:val="0"/>
                <w:sz w:val="24"/>
                <w:szCs w:val="24"/>
              </w:rPr>
              <w:t>根据投标人提供的售后服务</w:t>
            </w:r>
            <w:r>
              <w:rPr>
                <w:rFonts w:hint="eastAsia" w:ascii="仿宋_GB2312" w:hAnsi="宋体" w:eastAsia="仿宋_GB2312" w:cs="仿宋_GB2312"/>
                <w:color w:val="000000" w:themeColor="text1"/>
                <w:kern w:val="0"/>
                <w:sz w:val="24"/>
                <w:szCs w:val="24"/>
              </w:rPr>
              <w:t>方案，包括服务</w:t>
            </w:r>
            <w:r>
              <w:rPr>
                <w:rFonts w:ascii="仿宋_GB2312" w:hAnsi="宋体" w:eastAsia="仿宋_GB2312" w:cs="仿宋_GB2312"/>
                <w:color w:val="000000" w:themeColor="text1"/>
                <w:kern w:val="0"/>
                <w:sz w:val="24"/>
                <w:szCs w:val="24"/>
              </w:rPr>
              <w:t>内容与标准、定期巡检频率及备品备件、应急响应能力、响应时间完备性打分：</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以上每点，描述完整详细且与采购人实际需求完全契合的得1分；</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描述较详细完整或与采购人实际需求部分符合的得0.5分；</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未提供或完全不符合采购人需求的得0分。</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本项最多得</w:t>
            </w:r>
            <w:r>
              <w:rPr>
                <w:rFonts w:hint="eastAsia" w:ascii="仿宋_GB2312" w:hAnsi="宋体" w:eastAsia="仿宋_GB2312" w:cs="仿宋_GB2312"/>
                <w:color w:val="000000" w:themeColor="text1"/>
                <w:kern w:val="0"/>
                <w:sz w:val="24"/>
                <w:szCs w:val="24"/>
              </w:rPr>
              <w:t>4</w:t>
            </w:r>
            <w:r>
              <w:rPr>
                <w:rFonts w:ascii="仿宋_GB2312" w:hAnsi="宋体" w:eastAsia="仿宋_GB2312" w:cs="仿宋_GB2312"/>
                <w:color w:val="000000" w:themeColor="text1"/>
                <w:kern w:val="0"/>
                <w:sz w:val="24"/>
                <w:szCs w:val="24"/>
              </w:rPr>
              <w:t>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ascii="仿宋_GB2312" w:hAnsi="宋体" w:eastAsia="仿宋_GB2312" w:cs="仿宋_GB2312"/>
                <w:color w:val="000000" w:themeColor="text1"/>
                <w:kern w:val="0"/>
                <w:sz w:val="24"/>
                <w:szCs w:val="24"/>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FF0000"/>
                <w:kern w:val="0"/>
                <w:sz w:val="24"/>
                <w:szCs w:val="24"/>
              </w:rPr>
              <w:t xml:space="preserve"> </w:t>
            </w:r>
          </w:p>
        </w:tc>
      </w:tr>
      <w:tr>
        <w:tblPrEx>
          <w:tblCellMar>
            <w:top w:w="0" w:type="dxa"/>
            <w:left w:w="108" w:type="dxa"/>
            <w:bottom w:w="0" w:type="dxa"/>
            <w:right w:w="108" w:type="dxa"/>
          </w:tblCellMar>
        </w:tblPrEx>
        <w:trPr>
          <w:trHeight w:val="1666" w:hRule="atLeast"/>
        </w:trPr>
        <w:tc>
          <w:tcPr>
            <w:tcW w:w="784"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技术部分(59分）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4</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投标人投标文件中的投标产品标注“△”的技术指标全部满足招标文件规定的技术参数要求得10分。一项指标不满足扣1分，最多扣10分。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注：要求提供相关证明材料的，以证明材料为准，不提供或提供的证明材料不符合要求的视作负偏离。</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1707" w:hRule="atLeast"/>
        </w:trPr>
        <w:tc>
          <w:tcPr>
            <w:tcW w:w="784"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4"/>
                <w:szCs w:val="24"/>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5</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投标人投标文件中的投标产品标注“</w:t>
            </w:r>
            <w:r>
              <w:rPr>
                <w:rStyle w:val="80"/>
                <w:rFonts w:hint="default"/>
              </w:rPr>
              <w:t>☆</w:t>
            </w:r>
            <w:r>
              <w:rPr>
                <w:rFonts w:ascii="仿宋_GB2312" w:hAnsi="宋体" w:eastAsia="仿宋_GB2312" w:cs="仿宋_GB2312"/>
                <w:color w:val="000000"/>
                <w:kern w:val="0"/>
                <w:sz w:val="24"/>
                <w:szCs w:val="24"/>
              </w:rPr>
              <w:t>”的技术指标全部满足招标文件规定的技术参数要求得10分。一项指标不满足扣0.5分，最多扣10分 。</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注：要求提供相关证明材料的，以证明材料为准，不提供或提供的证明材料不符合要求的视作负偏离。</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669"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根据投标人提供的项目分析方案，包括对项目的理解程度、整体系统架构的熟悉程度、设备选型与项目实际需求的吻合度等情况打分：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以上每点，描述完整详细且与采购人实际需求完全契合的得2分；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描述较详细完整或与采购人实际需求部分符合的得1分；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未提供或完全不符合采购人需求的得0分。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本项最多得6分。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689"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7</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根据投标人提供的每个点位的选点依据、每个点位的挂载高度、网络等资源配置情况</w:t>
            </w:r>
            <w:r>
              <w:rPr>
                <w:rFonts w:hint="eastAsia" w:ascii="仿宋_GB2312" w:hAnsi="宋体" w:eastAsia="仿宋_GB2312" w:cs="仿宋_GB2312"/>
                <w:color w:val="000000"/>
                <w:kern w:val="0"/>
                <w:sz w:val="24"/>
                <w:szCs w:val="24"/>
              </w:rPr>
              <w:t>打分</w:t>
            </w:r>
            <w:r>
              <w:rPr>
                <w:rFonts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以上每点，描述完整详细且与采购人实际需求完全契合的得3分；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描述较详细完整或与采购人实际需求基本符合的得2分；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描述较详细完整或与采购人实际需求部分符合的得1分；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未提供或完全不符合采购人需求的得0分。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本项最多得6分。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241"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8</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根据选址点应具备持续稳定电力保障能力，并提供后备电源作为电力应急保障情况</w:t>
            </w:r>
            <w:r>
              <w:rPr>
                <w:rFonts w:hint="eastAsia" w:ascii="仿宋_GB2312" w:hAnsi="宋体" w:eastAsia="仿宋_GB2312" w:cs="仿宋_GB2312"/>
                <w:color w:val="000000"/>
                <w:kern w:val="0"/>
                <w:sz w:val="24"/>
                <w:szCs w:val="24"/>
              </w:rPr>
              <w:t>打分</w:t>
            </w:r>
            <w:r>
              <w:rPr>
                <w:rFonts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1.所有后备电源续航能力6小时及以上，得6分；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2.所有后备电源续航能力4小时及以上，得4分；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3.所有后备电源续航能力2小时及以上，得2分；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4.所有后备电源续航能力2小时以下，得0分。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注：1.以上4项不重复得分；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2.投标人需提供后备电源容量或续航能力等证明材料，新建后备电源的需结合每个点位情况提供相关建设方案并满足采购需求。</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935"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9</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根据投标人提供的项目进度计划安排、质量保证措施、履约验收方案打分：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以上每点，描述完整详细且与采购人实际需求完全契合的得2分；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描述较详细完整或与采购人实际需求部分符合的得1分；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描述不详细完整或与采购人实际需求较大偏差的得0.5分；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未提供或完全不符合采购人需求的得0分。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本项最多得6分。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935"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根据投标人对本项目施工时的安全管理方案，包括安全管理制度、安全保证措施打分：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以上每点，描述完整详细且与采购人实际需求完全契合的得2分；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描述较详细完整或与采购人实际需求基本符合的得1分；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描述较详细完整或与采购人实际需求部分符合的得0.5分；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未提供或完全不符合采购人需求的得0分。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本项最</w:t>
            </w:r>
            <w:r>
              <w:rPr>
                <w:rFonts w:ascii="仿宋_GB2312" w:hAnsi="宋体" w:eastAsia="仿宋_GB2312" w:cs="仿宋_GB2312"/>
                <w:color w:val="auto"/>
                <w:kern w:val="0"/>
                <w:sz w:val="24"/>
                <w:szCs w:val="24"/>
              </w:rPr>
              <w:t>多得</w:t>
            </w:r>
            <w:r>
              <w:rPr>
                <w:rFonts w:hint="eastAsia" w:ascii="仿宋_GB2312" w:hAnsi="宋体" w:eastAsia="仿宋_GB2312" w:cs="仿宋_GB2312"/>
                <w:color w:val="auto"/>
                <w:kern w:val="0"/>
                <w:sz w:val="24"/>
                <w:szCs w:val="24"/>
              </w:rPr>
              <w:t>4</w:t>
            </w:r>
            <w:r>
              <w:rPr>
                <w:rFonts w:ascii="仿宋_GB2312" w:hAnsi="宋体" w:eastAsia="仿宋_GB2312" w:cs="仿宋_GB2312"/>
                <w:color w:val="auto"/>
                <w:kern w:val="0"/>
                <w:sz w:val="24"/>
                <w:szCs w:val="24"/>
              </w:rPr>
              <w:t>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auto"/>
                <w:kern w:val="0"/>
                <w:sz w:val="24"/>
                <w:szCs w:val="24"/>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FF0000"/>
                <w:kern w:val="0"/>
                <w:sz w:val="24"/>
                <w:szCs w:val="24"/>
              </w:rPr>
              <w:t xml:space="preserve"> </w:t>
            </w:r>
          </w:p>
        </w:tc>
      </w:tr>
      <w:tr>
        <w:tblPrEx>
          <w:tblCellMar>
            <w:top w:w="0" w:type="dxa"/>
            <w:left w:w="108" w:type="dxa"/>
            <w:bottom w:w="0" w:type="dxa"/>
            <w:right w:w="108" w:type="dxa"/>
          </w:tblCellMar>
        </w:tblPrEx>
        <w:trPr>
          <w:trHeight w:val="2556"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11</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根据投标人提供的培训频率及师资力量配备、软硬件资料等完整性</w:t>
            </w:r>
            <w:r>
              <w:rPr>
                <w:rFonts w:hint="eastAsia" w:ascii="仿宋_GB2312" w:hAnsi="宋体" w:eastAsia="仿宋_GB2312" w:cs="仿宋_GB2312"/>
                <w:color w:val="000000"/>
                <w:kern w:val="0"/>
                <w:sz w:val="24"/>
                <w:szCs w:val="24"/>
              </w:rPr>
              <w:t>打分</w:t>
            </w:r>
            <w:r>
              <w:rPr>
                <w:rFonts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以上每点，描述完整详细且与采购人实际需求完全契合的得1分；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描述较详细完整或与采购人实际需求部分符合的得0.5分；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未提供或完全不符合采购人需求的得0分。</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本项最多得2分。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75" w:hRule="atLeast"/>
        </w:trPr>
        <w:tc>
          <w:tcPr>
            <w:tcW w:w="784"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12</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本项目演示采用政采云平台在线讲解的方式，通过“政采云视频讲标系统”进行，供应商登录政采云系统-----进入开标大厅---进入本项目进行操作。政采云视频讲标系统在线上视频协商时需要供应商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政采云视频讲标系统”评审小组可以看见和听见供应商的画面和声音，供应商只能听见评审小组声音，看不见评审小组的画面。政采云视频讲标系统目前不支持</w:t>
            </w:r>
            <w:r>
              <w:rPr>
                <w:rFonts w:ascii="仿宋_GB2312" w:hAnsi="宋体" w:eastAsia="仿宋_GB2312" w:cs="仿宋_GB2312"/>
                <w:color w:val="000000" w:themeColor="text1"/>
                <w:kern w:val="0"/>
                <w:sz w:val="24"/>
                <w:szCs w:val="24"/>
              </w:rPr>
              <w:t>手机端。演示顺序按政采云平台系统自动生成的顺序进行演示，演示时长不超过20分钟，因系统调试或网络问题造成演示无法正常进行的，可适当延长演示时长：</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根据投标人提供的预警信息汇聚管理平台</w:t>
            </w:r>
            <w:r>
              <w:rPr>
                <w:rFonts w:hint="eastAsia" w:ascii="仿宋_GB2312" w:hAnsi="宋体" w:eastAsia="仿宋_GB2312" w:cs="仿宋_GB2312"/>
                <w:color w:val="000000" w:themeColor="text1"/>
                <w:kern w:val="0"/>
                <w:sz w:val="24"/>
                <w:szCs w:val="24"/>
              </w:rPr>
              <w:t>打分</w:t>
            </w:r>
            <w:r>
              <w:rPr>
                <w:rFonts w:ascii="仿宋_GB2312" w:hAnsi="宋体" w:eastAsia="仿宋_GB2312" w:cs="仿宋_GB2312"/>
                <w:color w:val="000000"/>
                <w:kern w:val="0"/>
                <w:sz w:val="24"/>
                <w:szCs w:val="24"/>
              </w:rPr>
              <w:t>：</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themeColor="text1"/>
                <w:kern w:val="0"/>
                <w:sz w:val="24"/>
                <w:szCs w:val="24"/>
              </w:rPr>
              <w:t>7</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7614" w:hRule="atLeast"/>
        </w:trPr>
        <w:tc>
          <w:tcPr>
            <w:tcW w:w="784"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FF0000"/>
                <w:kern w:val="0"/>
                <w:sz w:val="24"/>
                <w:szCs w:val="24"/>
              </w:rPr>
            </w:pPr>
            <w:r>
              <w:rPr>
                <w:rFonts w:ascii="仿宋_GB2312" w:hAnsi="宋体" w:eastAsia="仿宋_GB2312" w:cs="仿宋_GB2312"/>
                <w:color w:val="000000" w:themeColor="text1"/>
                <w:kern w:val="0"/>
                <w:sz w:val="24"/>
                <w:szCs w:val="24"/>
              </w:rPr>
              <w:t>1.预警信息汇聚管理平台基础功能（0-4分）：</w:t>
            </w:r>
            <w:r>
              <w:rPr>
                <w:rFonts w:ascii="仿宋_GB2312" w:hAnsi="宋体" w:eastAsia="仿宋_GB2312" w:cs="仿宋_GB2312"/>
                <w:color w:val="000000" w:themeColor="text1"/>
                <w:kern w:val="0"/>
                <w:sz w:val="24"/>
                <w:szCs w:val="24"/>
              </w:rPr>
              <w:br w:type="textWrapping"/>
            </w:r>
            <w:r>
              <w:rPr>
                <w:rFonts w:ascii="仿宋_GB2312" w:hAnsi="宋体" w:eastAsia="仿宋_GB2312" w:cs="仿宋_GB2312"/>
                <w:color w:val="000000" w:themeColor="text1"/>
                <w:kern w:val="0"/>
                <w:sz w:val="24"/>
                <w:szCs w:val="24"/>
              </w:rPr>
              <w:t>①具备总览功能（含一张</w:t>
            </w:r>
            <w:r>
              <w:rPr>
                <w:rFonts w:ascii="仿宋_GB2312" w:hAnsi="宋体" w:eastAsia="仿宋_GB2312" w:cs="仿宋_GB2312"/>
                <w:color w:val="000000"/>
                <w:kern w:val="0"/>
                <w:sz w:val="24"/>
                <w:szCs w:val="24"/>
              </w:rPr>
              <w:t>图管理点位展示、设备数量展示、周期事件类型统计、最新事件轮动轮播等）；</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②统计功能（对报警数据的区域报表统计、月份报表统计、报警类型统计、报警趋势图表等功能）；</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③设备信息（视频设备区域、编号、名称、状态等）；</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④可实时查看预警点位当前视频。</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2.预警事件中心模块：</w:t>
            </w:r>
            <w:r>
              <w:rPr>
                <w:rFonts w:hint="eastAsia" w:ascii="仿宋_GB2312" w:hAnsi="宋体" w:eastAsia="仿宋_GB2312" w:cs="仿宋_GB2312"/>
                <w:color w:val="000000"/>
                <w:kern w:val="0"/>
                <w:sz w:val="24"/>
                <w:szCs w:val="24"/>
                <w:lang w:eastAsia="zh-CN"/>
              </w:rPr>
              <w:t>（</w:t>
            </w:r>
            <w:r>
              <w:rPr>
                <w:rFonts w:hint="eastAsia" w:ascii="仿宋_GB2312" w:hAnsi="宋体" w:eastAsia="仿宋_GB2312" w:cs="仿宋_GB2312"/>
                <w:color w:val="000000"/>
                <w:kern w:val="0"/>
                <w:sz w:val="24"/>
                <w:szCs w:val="24"/>
                <w:lang w:val="en-US" w:eastAsia="zh-CN"/>
              </w:rPr>
              <w:t>0-3分</w:t>
            </w:r>
            <w:r>
              <w:rPr>
                <w:rFonts w:hint="eastAsia" w:ascii="仿宋_GB2312" w:hAnsi="宋体" w:eastAsia="仿宋_GB2312" w:cs="仿宋_GB2312"/>
                <w:color w:val="000000"/>
                <w:kern w:val="0"/>
                <w:sz w:val="24"/>
                <w:szCs w:val="24"/>
                <w:lang w:eastAsia="zh-CN"/>
              </w:rPr>
              <w:t>）</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①实时预警（包含预警设备列表、高频预警设备展示、战时模式）；</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②地区统计（含预警统计、预警处置排名、高频预警预测）</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③数据统计（含处置效率统计、同比环比分析、预警分布统计）。</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注：1.以上所需要的软件和演示工具等均由投标人自行解决。</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2.以上每点功能演示全部实现的得1分（包括测试系统、系统原型、具有实际操作功能的动态DEMO），使用PPT或文本、系统视频录制、仅具备静态页面DEMO演示功能全部实现的得0.5分，未提供或提供的演示功能不全的不得分。</w:t>
            </w: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szCs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194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报价</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（30分）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13</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有效投标报价的最低价作为评标基准价，其最低报价为满分；按［投标报价得分=（评标基准价/投标报价）*30］的计算公式计算。</w:t>
            </w:r>
            <w:r>
              <w:rPr>
                <w:rFonts w:ascii="仿宋_GB2312" w:hAnsi="宋体" w:eastAsia="仿宋_GB2312" w:cs="仿宋_GB2312"/>
                <w:color w:val="000000"/>
                <w:kern w:val="0"/>
                <w:sz w:val="24"/>
                <w:szCs w:val="24"/>
              </w:rPr>
              <w:br w:type="textWrapping"/>
            </w:r>
            <w:r>
              <w:rPr>
                <w:rFonts w:ascii="仿宋_GB2312" w:hAnsi="宋体" w:eastAsia="仿宋_GB2312" w:cs="仿宋_GB2312"/>
                <w:color w:val="000000"/>
                <w:kern w:val="0"/>
                <w:sz w:val="24"/>
                <w:szCs w:val="24"/>
              </w:rPr>
              <w:t>评标过程中，不得去掉报价中的最高报价和最低报价。因落实政府采购政策需要进行价格调整的，以调整后的价格计算评标基准价和投标报价。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价格分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pStyle w:val="2"/>
        <w:ind w:firstLine="460"/>
        <w:rPr>
          <w:rFonts w:eastAsia="仿宋_GB2312"/>
        </w:rPr>
      </w:pPr>
    </w:p>
    <w:p>
      <w:pPr>
        <w:pStyle w:val="2"/>
        <w:ind w:firstLine="460"/>
        <w:rPr>
          <w:rFonts w:eastAsia="仿宋_GB2312"/>
        </w:rPr>
      </w:pPr>
    </w:p>
    <w:p>
      <w:pPr>
        <w:pStyle w:val="2"/>
        <w:ind w:firstLine="460"/>
        <w:rPr>
          <w:rFonts w:eastAsia="仿宋_GB2312"/>
        </w:rPr>
      </w:pPr>
    </w:p>
    <w:p>
      <w:pPr>
        <w:pStyle w:val="2"/>
        <w:ind w:firstLine="462"/>
        <w:rPr>
          <w:rFonts w:ascii="仿宋_GB2312" w:eastAsia="仿宋_GB2312"/>
          <w:b/>
          <w:bCs/>
          <w:szCs w:val="24"/>
        </w:rPr>
      </w:pPr>
      <w:r>
        <w:rPr>
          <w:rFonts w:hint="eastAsia" w:eastAsia="仿宋_GB2312"/>
          <w:b/>
          <w:bCs/>
        </w:rPr>
        <w:t>标项二：</w:t>
      </w:r>
    </w:p>
    <w:p>
      <w:pPr>
        <w:spacing w:line="420" w:lineRule="exact"/>
        <w:ind w:firstLine="472" w:firstLineChars="196"/>
        <w:contextualSpacing/>
        <w:rPr>
          <w:rFonts w:ascii="仿宋_GB2312" w:eastAsia="仿宋_GB2312"/>
          <w:b/>
          <w:sz w:val="24"/>
          <w:szCs w:val="24"/>
        </w:rPr>
      </w:pPr>
      <w:r>
        <w:rPr>
          <w:rFonts w:hint="eastAsia" w:eastAsia="仿宋_GB2312"/>
          <w:b/>
          <w:sz w:val="24"/>
          <w:szCs w:val="24"/>
        </w:rPr>
        <w:t> </w:t>
      </w:r>
    </w:p>
    <w:tbl>
      <w:tblPr>
        <w:tblStyle w:val="24"/>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5309"/>
        <w:gridCol w:w="891"/>
        <w:gridCol w:w="10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类别</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序号</w:t>
            </w:r>
          </w:p>
        </w:tc>
        <w:tc>
          <w:tcPr>
            <w:tcW w:w="53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评分标准</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权重</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主观分/客观分属性</w:t>
            </w: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646" w:type="dxa"/>
            <w:vMerge w:val="restart"/>
            <w:tcBorders>
              <w:left w:val="single" w:color="auto" w:sz="4" w:space="0"/>
              <w:right w:val="single" w:color="auto" w:sz="4" w:space="0"/>
            </w:tcBorders>
            <w:vAlign w:val="center"/>
          </w:tcPr>
          <w:p>
            <w:pPr>
              <w:topLinePunct/>
              <w:spacing w:line="360" w:lineRule="auto"/>
              <w:contextualSpacing/>
              <w:rPr>
                <w:rFonts w:ascii="仿宋_GB2312" w:eastAsia="仿宋_GB2312"/>
                <w:b/>
                <w:sz w:val="24"/>
                <w:szCs w:val="24"/>
              </w:rPr>
            </w:pPr>
            <w:r>
              <w:rPr>
                <w:rFonts w:hint="eastAsia" w:ascii="仿宋_GB2312" w:eastAsia="仿宋_GB2312"/>
                <w:b/>
                <w:sz w:val="24"/>
                <w:szCs w:val="24"/>
              </w:rPr>
              <w:t>商务</w:t>
            </w:r>
          </w:p>
          <w:p>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pPr>
              <w:jc w:val="center"/>
              <w:rPr>
                <w:rFonts w:ascii="仿宋_GB2312" w:hAnsi="仿宋" w:eastAsia="仿宋_GB2312" w:cs="仿宋"/>
                <w:sz w:val="24"/>
                <w:szCs w:val="24"/>
              </w:rPr>
            </w:pPr>
            <w:r>
              <w:rPr>
                <w:rFonts w:hint="eastAsia" w:ascii="仿宋_GB2312" w:eastAsia="仿宋_GB2312"/>
                <w:b/>
                <w:sz w:val="24"/>
                <w:szCs w:val="24"/>
              </w:rPr>
              <w:t>(18分）</w:t>
            </w: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5309" w:type="dxa"/>
            <w:tcBorders>
              <w:top w:val="single" w:color="auto" w:sz="4" w:space="0"/>
              <w:left w:val="single" w:color="auto" w:sz="4" w:space="0"/>
              <w:right w:val="single" w:color="auto" w:sz="4" w:space="0"/>
            </w:tcBorders>
            <w:vAlign w:val="center"/>
          </w:tcPr>
          <w:p>
            <w:pPr>
              <w:rPr>
                <w:rFonts w:ascii="仿宋_GB2312" w:hAnsi="仿宋" w:eastAsia="仿宋_GB2312" w:cs="仿宋"/>
                <w:sz w:val="24"/>
                <w:szCs w:val="24"/>
              </w:rPr>
            </w:pPr>
            <w:r>
              <w:rPr>
                <w:rFonts w:hint="eastAsia" w:ascii="仿宋_GB2312" w:hAnsi="仿宋" w:eastAsia="仿宋_GB2312" w:cs="仿宋"/>
                <w:sz w:val="24"/>
                <w:szCs w:val="24"/>
              </w:rPr>
              <w:t>投标人具有类似信息化（软硬件集成类）业绩（每提供一份合同，得1分，最多得3分。）</w:t>
            </w:r>
          </w:p>
          <w:p>
            <w:pPr>
              <w:topLinePunct/>
              <w:rPr>
                <w:rFonts w:ascii="仿宋_GB2312" w:hAnsi="仿宋" w:eastAsia="仿宋_GB2312" w:cs="仿宋"/>
                <w:color w:val="000000" w:themeColor="text1"/>
                <w:sz w:val="24"/>
                <w:szCs w:val="24"/>
              </w:rPr>
            </w:pPr>
            <w:r>
              <w:rPr>
                <w:rFonts w:hint="eastAsia" w:ascii="仿宋_GB2312" w:hAnsi="仿宋" w:eastAsia="仿宋_GB2312" w:cs="仿宋"/>
                <w:sz w:val="24"/>
                <w:szCs w:val="24"/>
              </w:rPr>
              <w:t>注：1.合同签订时间为 2021年1月1日（含）至开标截止时间的时间段内，合同由投标人签订，否则不得分。</w:t>
            </w:r>
          </w:p>
          <w:p>
            <w:pPr>
              <w:topLinePunct/>
              <w:rPr>
                <w:rFonts w:ascii="仿宋_GB2312" w:hAnsi="仿宋" w:eastAsia="仿宋_GB2312" w:cs="仿宋"/>
                <w:sz w:val="24"/>
                <w:szCs w:val="24"/>
              </w:rPr>
            </w:pPr>
            <w:r>
              <w:rPr>
                <w:rFonts w:hint="eastAsia" w:ascii="仿宋_GB2312" w:hAnsi="仿宋" w:eastAsia="仿宋_GB2312" w:cs="仿宋"/>
                <w:color w:val="000000" w:themeColor="text1"/>
                <w:sz w:val="24"/>
                <w:szCs w:val="24"/>
              </w:rPr>
              <w:t>2.类似案例业绩是指合同内容必须包含（软硬件集成类）内容，否则不得分。</w:t>
            </w:r>
          </w:p>
        </w:tc>
        <w:tc>
          <w:tcPr>
            <w:tcW w:w="891" w:type="dxa"/>
            <w:tcBorders>
              <w:top w:val="single" w:color="auto" w:sz="4" w:space="0"/>
              <w:left w:val="single" w:color="auto" w:sz="4" w:space="0"/>
              <w:right w:val="single" w:color="auto" w:sz="4" w:space="0"/>
            </w:tcBorders>
            <w:vAlign w:val="center"/>
          </w:tcPr>
          <w:p>
            <w:pPr>
              <w:jc w:val="center"/>
              <w:rPr>
                <w:rFonts w:ascii="仿宋_GB2312" w:hAnsi="宋体" w:eastAsia="仿宋_GB2312" w:cs="宋体"/>
                <w:sz w:val="24"/>
                <w:szCs w:val="24"/>
              </w:rPr>
            </w:pPr>
          </w:p>
          <w:p>
            <w:pPr>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5309" w:type="dxa"/>
            <w:tcBorders>
              <w:top w:val="single" w:color="auto" w:sz="4" w:space="0"/>
              <w:left w:val="single" w:color="auto" w:sz="4" w:space="0"/>
              <w:right w:val="single" w:color="auto" w:sz="4" w:space="0"/>
            </w:tcBorders>
            <w:vAlign w:val="center"/>
          </w:tcPr>
          <w:p>
            <w:pPr>
              <w:pStyle w:val="3"/>
              <w:rPr>
                <w:rFonts w:ascii="仿宋_GB2312" w:eastAsia="仿宋_GB2312"/>
                <w:sz w:val="24"/>
                <w:szCs w:val="24"/>
              </w:rPr>
            </w:pPr>
            <w:r>
              <w:rPr>
                <w:rFonts w:ascii="仿宋_GB2312" w:eastAsia="仿宋_GB2312"/>
                <w:sz w:val="24"/>
                <w:szCs w:val="24"/>
              </w:rPr>
              <w:t>1.投标人具有有效期内的ISO9001质量管理体系认证证书的，得1分；</w:t>
            </w:r>
          </w:p>
          <w:p>
            <w:pPr>
              <w:pStyle w:val="3"/>
              <w:rPr>
                <w:rFonts w:ascii="仿宋_GB2312" w:eastAsia="仿宋_GB2312"/>
                <w:sz w:val="24"/>
                <w:szCs w:val="24"/>
              </w:rPr>
            </w:pPr>
            <w:r>
              <w:rPr>
                <w:rFonts w:ascii="仿宋_GB2312" w:eastAsia="仿宋_GB2312"/>
                <w:sz w:val="24"/>
                <w:szCs w:val="24"/>
              </w:rPr>
              <w:t>2.投标人具有有效期内的ISO14001环境管理体系认证的，得1分；</w:t>
            </w:r>
          </w:p>
          <w:p>
            <w:pPr>
              <w:pStyle w:val="3"/>
              <w:rPr>
                <w:rFonts w:ascii="仿宋_GB2312" w:eastAsia="仿宋_GB2312"/>
                <w:sz w:val="24"/>
                <w:szCs w:val="24"/>
              </w:rPr>
            </w:pPr>
            <w:r>
              <w:rPr>
                <w:rFonts w:ascii="仿宋_GB2312" w:eastAsia="仿宋_GB2312"/>
                <w:sz w:val="24"/>
                <w:szCs w:val="24"/>
              </w:rPr>
              <w:t>3.投标人具有有效期内的ISO20000信息技术服务管理体系认证证书的，得1分；</w:t>
            </w:r>
          </w:p>
          <w:p>
            <w:pPr>
              <w:pStyle w:val="3"/>
              <w:rPr>
                <w:rFonts w:ascii="仿宋_GB2312" w:eastAsia="仿宋_GB2312"/>
                <w:sz w:val="24"/>
                <w:szCs w:val="24"/>
              </w:rPr>
            </w:pPr>
            <w:r>
              <w:rPr>
                <w:rFonts w:ascii="仿宋_GB2312" w:eastAsia="仿宋_GB2312"/>
                <w:sz w:val="24"/>
                <w:szCs w:val="24"/>
              </w:rPr>
              <w:t>4.投标人具有有效期内的ISO27001信息安全控制管理体系认证证书的，得1分。</w:t>
            </w:r>
          </w:p>
          <w:p>
            <w:pPr>
              <w:pStyle w:val="3"/>
            </w:pPr>
            <w:r>
              <w:rPr>
                <w:rFonts w:ascii="仿宋_GB2312" w:eastAsia="仿宋_GB2312"/>
                <w:sz w:val="24"/>
                <w:szCs w:val="24"/>
              </w:rPr>
              <w:t>注：上述证书由投标人在投标文件中自行提供，不提供不得分。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_GB2312" w:eastAsia="仿宋_GB2312" w:cs="仿宋_GB2312"/>
                <w:color w:val="000000" w:themeColor="text1"/>
                <w:sz w:val="24"/>
              </w:rPr>
            </w:pPr>
            <w:r>
              <w:rPr>
                <w:rFonts w:hint="eastAsia" w:ascii="仿宋_GB2312" w:hAnsi="仿宋_GB2312" w:eastAsia="仿宋_GB2312" w:cs="仿宋_GB2312"/>
                <w:sz w:val="24"/>
              </w:rPr>
              <w:t>投标人拟派的项目经理（1人）具有信息系统项目管理师</w:t>
            </w:r>
            <w:r>
              <w:rPr>
                <w:rFonts w:hint="eastAsia" w:ascii="仿宋_GB2312" w:hAnsi="仿宋_GB2312" w:eastAsia="仿宋_GB2312" w:cs="仿宋_GB2312"/>
                <w:color w:val="000000" w:themeColor="text1"/>
                <w:sz w:val="24"/>
              </w:rPr>
              <w:t>、中级及以上网络工程师、中级及以上互联网技术，每具备1类证书得1分，本项最高3分。</w:t>
            </w:r>
          </w:p>
          <w:p>
            <w:pPr>
              <w:topLinePunct/>
              <w:rPr>
                <w:rFonts w:ascii="仿宋_GB2312" w:hAnsi="仿宋" w:eastAsia="仿宋_GB2312" w:cs="仿宋"/>
                <w:b/>
                <w:color w:val="000000"/>
                <w:sz w:val="24"/>
                <w:szCs w:val="24"/>
              </w:rPr>
            </w:pPr>
            <w:r>
              <w:rPr>
                <w:rFonts w:hint="eastAsia" w:ascii="仿宋_GB2312" w:hAnsi="仿宋" w:eastAsia="仿宋_GB2312" w:cs="仿宋"/>
                <w:b/>
                <w:color w:val="000000" w:themeColor="text1"/>
                <w:sz w:val="24"/>
                <w:szCs w:val="24"/>
              </w:rPr>
              <w:t>注:1.须提供上述证书及上述</w:t>
            </w:r>
            <w:r>
              <w:rPr>
                <w:rFonts w:hint="eastAsia" w:ascii="仿宋_GB2312" w:hAnsi="仿宋" w:eastAsia="仿宋_GB2312" w:cs="仿宋"/>
                <w:b/>
                <w:color w:val="000000"/>
                <w:sz w:val="24"/>
                <w:szCs w:val="24"/>
              </w:rPr>
              <w:t>人员社保证明（2024年2月、3月、4月、5月中的任意一个月），否则不得分。</w:t>
            </w:r>
          </w:p>
          <w:p>
            <w:pPr>
              <w:pStyle w:val="3"/>
              <w:rPr>
                <w:rFonts w:ascii="仿宋_GB2312" w:eastAsia="仿宋_GB2312"/>
                <w:sz w:val="24"/>
                <w:szCs w:val="24"/>
              </w:rPr>
            </w:pPr>
            <w:r>
              <w:rPr>
                <w:rFonts w:hint="eastAsia" w:ascii="仿宋_GB2312" w:hAnsi="仿宋" w:eastAsia="仿宋_GB2312" w:cs="仿宋"/>
                <w:b/>
                <w:color w:val="000000"/>
                <w:sz w:val="24"/>
                <w:szCs w:val="24"/>
              </w:rPr>
              <w:t>2.投标人提供的同类证书等级高于上述证书的，视作满足要求。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_GB2312" w:eastAsia="仿宋_GB2312" w:cs="仿宋_GB2312"/>
                <w:sz w:val="24"/>
              </w:rPr>
            </w:pPr>
            <w:r>
              <w:rPr>
                <w:rFonts w:hint="eastAsia" w:ascii="仿宋_GB2312" w:hAnsi="仿宋_GB2312" w:eastAsia="仿宋_GB2312" w:cs="仿宋_GB2312"/>
                <w:sz w:val="24"/>
              </w:rPr>
              <w:t>项目团队（除项目经理外）具有网络安全管理员、</w:t>
            </w:r>
            <w:r>
              <w:rPr>
                <w:rFonts w:hint="eastAsia" w:ascii="仿宋_GB2312" w:hAnsi="仿宋_GB2312" w:eastAsia="仿宋_GB2312" w:cs="仿宋_GB2312"/>
                <w:color w:val="000000" w:themeColor="text1"/>
                <w:sz w:val="24"/>
              </w:rPr>
              <w:t>中级及以上设备环境工</w:t>
            </w:r>
            <w:r>
              <w:rPr>
                <w:rFonts w:hint="eastAsia" w:ascii="仿宋_GB2312" w:hAnsi="仿宋_GB2312" w:eastAsia="仿宋_GB2312" w:cs="仿宋_GB2312"/>
                <w:sz w:val="24"/>
              </w:rPr>
              <w:t>程师、</w:t>
            </w:r>
            <w:r>
              <w:rPr>
                <w:rFonts w:hint="eastAsia" w:ascii="仿宋_GB2312" w:hAnsi="仿宋_GB2312" w:eastAsia="仿宋_GB2312" w:cs="仿宋_GB2312"/>
                <w:color w:val="000000" w:themeColor="text1"/>
                <w:sz w:val="24"/>
              </w:rPr>
              <w:t>中级及以上</w:t>
            </w:r>
            <w:r>
              <w:rPr>
                <w:rFonts w:hint="eastAsia" w:ascii="仿宋_GB2312" w:hAnsi="仿宋_GB2312" w:eastAsia="仿宋_GB2312" w:cs="仿宋_GB2312"/>
                <w:sz w:val="24"/>
              </w:rPr>
              <w:t>通信工程师、</w:t>
            </w:r>
            <w:r>
              <w:rPr>
                <w:rFonts w:hint="eastAsia" w:ascii="仿宋_GB2312" w:hAnsi="仿宋_GB2312" w:eastAsia="仿宋_GB2312" w:cs="仿宋_GB2312"/>
                <w:color w:val="000000" w:themeColor="text1"/>
                <w:sz w:val="24"/>
              </w:rPr>
              <w:t>中级及以上</w:t>
            </w:r>
            <w:r>
              <w:rPr>
                <w:rFonts w:hint="eastAsia" w:ascii="仿宋_GB2312" w:hAnsi="仿宋_GB2312" w:eastAsia="仿宋_GB2312" w:cs="仿宋_GB2312"/>
                <w:sz w:val="24"/>
              </w:rPr>
              <w:t>网络工程师证书的，每具备1类证书得1分，本项最高4分。</w:t>
            </w:r>
          </w:p>
          <w:p>
            <w:pPr>
              <w:topLinePunct/>
              <w:contextualSpacing/>
              <w:rPr>
                <w:rFonts w:ascii="仿宋_GB2312" w:hAnsi="仿宋_GB2312" w:eastAsia="仿宋_GB2312" w:cs="仿宋_GB2312"/>
                <w:sz w:val="24"/>
              </w:rPr>
            </w:pPr>
            <w:r>
              <w:rPr>
                <w:rFonts w:hint="eastAsia" w:ascii="仿宋_GB2312" w:hAnsi="仿宋_GB2312" w:eastAsia="仿宋_GB2312" w:cs="仿宋_GB2312"/>
                <w:sz w:val="24"/>
              </w:rPr>
              <w:t>项目团队中一人多证不重复计分，同类证书不重复计分，按最高得分计取。</w:t>
            </w:r>
          </w:p>
          <w:p>
            <w:pPr>
              <w:rPr>
                <w:rFonts w:ascii="仿宋_GB2312" w:eastAsia="仿宋_GB2312"/>
                <w:b/>
                <w:bCs/>
                <w:sz w:val="24"/>
                <w:szCs w:val="24"/>
              </w:rPr>
            </w:pPr>
            <w:r>
              <w:rPr>
                <w:rFonts w:hint="eastAsia" w:ascii="仿宋_GB2312" w:hAnsi="仿宋" w:eastAsia="仿宋_GB2312" w:cs="仿宋"/>
                <w:b/>
                <w:color w:val="000000"/>
                <w:sz w:val="24"/>
                <w:szCs w:val="24"/>
              </w:rPr>
              <w:t>注:</w:t>
            </w:r>
            <w:r>
              <w:rPr>
                <w:rFonts w:hint="eastAsia" w:ascii="仿宋_GB2312" w:eastAsia="仿宋_GB2312"/>
                <w:b/>
                <w:bCs/>
                <w:sz w:val="24"/>
                <w:szCs w:val="24"/>
                <w:lang w:eastAsia="zh-TW"/>
              </w:rPr>
              <w:t>1.投标人须提供由人社部门（或人社部门授权的相关部门）颁发的上述职业资格（职业技能）证书，否则不得分。</w:t>
            </w:r>
          </w:p>
          <w:p>
            <w:pPr>
              <w:rPr>
                <w:rFonts w:ascii="仿宋_GB2312" w:eastAsia="仿宋_GB2312"/>
                <w:b/>
                <w:bCs/>
                <w:sz w:val="24"/>
                <w:szCs w:val="24"/>
              </w:rPr>
            </w:pPr>
            <w:r>
              <w:rPr>
                <w:rFonts w:hint="eastAsia" w:ascii="仿宋_GB2312" w:eastAsia="仿宋_GB2312"/>
                <w:b/>
                <w:bCs/>
                <w:sz w:val="24"/>
                <w:szCs w:val="24"/>
              </w:rPr>
              <w:t>2.投标人须提供</w:t>
            </w:r>
            <w:r>
              <w:rPr>
                <w:rFonts w:hint="eastAsia" w:ascii="仿宋_GB2312" w:eastAsia="仿宋_GB2312"/>
                <w:b/>
                <w:bCs/>
                <w:sz w:val="24"/>
                <w:szCs w:val="24"/>
                <w:lang w:eastAsia="zh-TW"/>
              </w:rPr>
              <w:t>上述人员在本单位的社保证明（</w:t>
            </w:r>
            <w:r>
              <w:rPr>
                <w:rFonts w:hint="eastAsia" w:ascii="仿宋_GB2312" w:hAnsi="仿宋" w:eastAsia="仿宋_GB2312" w:cs="仿宋"/>
                <w:b/>
                <w:color w:val="000000"/>
                <w:sz w:val="24"/>
                <w:szCs w:val="24"/>
              </w:rPr>
              <w:t>2024年2月、3月、4月、5月</w:t>
            </w:r>
            <w:r>
              <w:rPr>
                <w:rFonts w:hint="eastAsia" w:ascii="仿宋_GB2312" w:hAnsi="仿宋_GB2312" w:eastAsia="仿宋_GB2312" w:cs="仿宋_GB2312"/>
                <w:b/>
                <w:bCs/>
                <w:sz w:val="24"/>
                <w:szCs w:val="24"/>
                <w:lang w:val="zh-TW" w:eastAsia="zh-TW"/>
              </w:rPr>
              <w:t>中的任意一个月</w:t>
            </w:r>
            <w:r>
              <w:rPr>
                <w:rFonts w:hint="eastAsia" w:ascii="仿宋_GB2312" w:eastAsia="仿宋_GB2312"/>
                <w:b/>
                <w:bCs/>
                <w:sz w:val="24"/>
                <w:szCs w:val="24"/>
                <w:lang w:eastAsia="zh-TW"/>
              </w:rPr>
              <w:t>），否则不得分。</w:t>
            </w:r>
          </w:p>
          <w:p>
            <w:pPr>
              <w:pStyle w:val="3"/>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2.投标人提供的同类证书等级高于上述证书的，视作满足要求。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5309" w:type="dxa"/>
            <w:tcBorders>
              <w:top w:val="single" w:color="auto" w:sz="4" w:space="0"/>
              <w:left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根据投标人提供的售后服务方案，包括应急方案、服务承诺、服务响应和故障排除时间承诺打分：</w:t>
            </w:r>
            <w:r>
              <w:rPr>
                <w:rFonts w:hint="eastAsia" w:ascii="仿宋_GB2312" w:eastAsia="仿宋_GB2312"/>
                <w:sz w:val="24"/>
                <w:szCs w:val="24"/>
              </w:rPr>
              <w:br w:type="textWrapping"/>
            </w:r>
            <w:r>
              <w:rPr>
                <w:rFonts w:hint="eastAsia" w:ascii="仿宋_GB2312" w:eastAsia="仿宋_GB2312"/>
                <w:sz w:val="24"/>
                <w:szCs w:val="24"/>
              </w:rPr>
              <w:t>以上每点，描述完整详细且与采购人实际需求完全契合的得1分；</w:t>
            </w:r>
            <w:r>
              <w:rPr>
                <w:rFonts w:hint="eastAsia" w:ascii="仿宋_GB2312" w:eastAsia="仿宋_GB2312"/>
                <w:sz w:val="24"/>
                <w:szCs w:val="24"/>
              </w:rPr>
              <w:br w:type="textWrapping"/>
            </w:r>
            <w:r>
              <w:rPr>
                <w:rFonts w:hint="eastAsia" w:ascii="仿宋_GB2312" w:eastAsia="仿宋_GB2312"/>
                <w:sz w:val="24"/>
                <w:szCs w:val="24"/>
              </w:rPr>
              <w:t>描述较详细完整或与采购人实际需求部分符合的得0.5分；</w:t>
            </w:r>
            <w:r>
              <w:rPr>
                <w:rFonts w:hint="eastAsia" w:ascii="仿宋_GB2312" w:eastAsia="仿宋_GB2312"/>
                <w:sz w:val="24"/>
                <w:szCs w:val="24"/>
              </w:rPr>
              <w:br w:type="textWrapping"/>
            </w:r>
            <w:r>
              <w:rPr>
                <w:rFonts w:hint="eastAsia" w:ascii="仿宋_GB2312" w:eastAsia="仿宋_GB2312"/>
                <w:sz w:val="24"/>
                <w:szCs w:val="24"/>
              </w:rPr>
              <w:t>未提供或完全不符合采购人需求的得0分。</w:t>
            </w:r>
            <w:r>
              <w:rPr>
                <w:rFonts w:hint="eastAsia" w:ascii="仿宋_GB2312" w:eastAsia="仿宋_GB2312"/>
                <w:sz w:val="24"/>
                <w:szCs w:val="24"/>
              </w:rPr>
              <w:br w:type="textWrapping"/>
            </w:r>
            <w:r>
              <w:rPr>
                <w:rFonts w:hint="eastAsia" w:ascii="仿宋_GB2312" w:eastAsia="仿宋_GB2312"/>
                <w:sz w:val="24"/>
                <w:szCs w:val="24"/>
              </w:rPr>
              <w:t>本项最多得4分。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46" w:type="dxa"/>
            <w:vMerge w:val="restart"/>
            <w:tcBorders>
              <w:left w:val="single" w:color="auto" w:sz="4" w:space="0"/>
              <w:right w:val="single" w:color="auto" w:sz="4" w:space="0"/>
            </w:tcBorders>
            <w:vAlign w:val="center"/>
          </w:tcPr>
          <w:p>
            <w:pPr>
              <w:topLinePunct/>
              <w:spacing w:line="360" w:lineRule="auto"/>
              <w:contextualSpacing/>
              <w:rPr>
                <w:rFonts w:ascii="仿宋_GB2312" w:eastAsia="仿宋_GB2312"/>
                <w:b/>
                <w:sz w:val="24"/>
                <w:szCs w:val="24"/>
              </w:rPr>
            </w:pPr>
            <w:r>
              <w:rPr>
                <w:rFonts w:hint="eastAsia" w:ascii="仿宋_GB2312" w:eastAsia="仿宋_GB2312"/>
                <w:b/>
                <w:sz w:val="24"/>
                <w:szCs w:val="24"/>
              </w:rPr>
              <w:t>技术</w:t>
            </w:r>
          </w:p>
          <w:p>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pPr>
              <w:rPr>
                <w:rFonts w:ascii="仿宋_GB2312" w:hAnsi="仿宋" w:eastAsia="仿宋_GB2312" w:cs="仿宋"/>
                <w:spacing w:val="4"/>
                <w:sz w:val="24"/>
                <w:szCs w:val="24"/>
              </w:rPr>
            </w:pPr>
            <w:r>
              <w:rPr>
                <w:rFonts w:hint="eastAsia" w:ascii="仿宋_GB2312" w:eastAsia="仿宋_GB2312"/>
                <w:b/>
                <w:sz w:val="24"/>
                <w:szCs w:val="24"/>
              </w:rPr>
              <w:t>(52分）</w:t>
            </w:r>
          </w:p>
        </w:tc>
        <w:tc>
          <w:tcPr>
            <w:tcW w:w="675" w:type="dxa"/>
            <w:tcBorders>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6</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 w:eastAsia="仿宋_GB2312" w:cs="黑体"/>
                <w:sz w:val="24"/>
                <w:szCs w:val="24"/>
              </w:rPr>
            </w:pPr>
            <w:r>
              <w:rPr>
                <w:rFonts w:hint="eastAsia" w:ascii="仿宋_GB2312" w:hAnsi="仿宋" w:eastAsia="仿宋_GB2312" w:cs="黑体"/>
                <w:sz w:val="24"/>
                <w:szCs w:val="24"/>
              </w:rPr>
              <w:t>投标人投标文件中的投标产品标注“△”的技术指标全部满足招标文件规定的技术参数要求得27分。一项指标不满足扣0.5分，最多扣27分 。</w:t>
            </w:r>
          </w:p>
          <w:p>
            <w:pPr>
              <w:topLinePunct/>
              <w:contextualSpacing/>
              <w:rPr>
                <w:rFonts w:ascii="仿宋_GB2312" w:hAnsi="仿宋" w:eastAsia="仿宋_GB2312" w:cs="黑体"/>
                <w:sz w:val="24"/>
                <w:szCs w:val="24"/>
              </w:rPr>
            </w:pPr>
            <w:r>
              <w:rPr>
                <w:rFonts w:hint="eastAsia" w:ascii="仿宋_GB2312" w:hAnsi="仿宋" w:eastAsia="仿宋_GB2312" w:cs="黑体"/>
                <w:sz w:val="24"/>
                <w:szCs w:val="24"/>
              </w:rPr>
              <w:t>注：要求提供相关证明材料的，以证明材料为准，不提供或提供的证明材料不符合要求的视作负偏离。</w:t>
            </w:r>
          </w:p>
        </w:tc>
        <w:tc>
          <w:tcPr>
            <w:tcW w:w="891" w:type="dxa"/>
            <w:tcBorders>
              <w:top w:val="single" w:color="auto" w:sz="4" w:space="0"/>
              <w:left w:val="single" w:color="auto" w:sz="4" w:space="0"/>
              <w:right w:val="single" w:color="auto" w:sz="4" w:space="0"/>
            </w:tcBorders>
            <w:vAlign w:val="center"/>
          </w:tcPr>
          <w:p>
            <w:pPr>
              <w:jc w:val="center"/>
              <w:rPr>
                <w:rFonts w:ascii="仿宋_GB2312" w:hAnsi="黑体" w:eastAsia="仿宋_GB2312" w:cs="黑体"/>
                <w:sz w:val="24"/>
                <w:szCs w:val="24"/>
              </w:rPr>
            </w:pPr>
            <w:r>
              <w:rPr>
                <w:rFonts w:hint="eastAsia" w:ascii="仿宋_GB2312" w:hAnsi="黑体" w:eastAsia="仿宋_GB2312" w:cs="黑体"/>
                <w:sz w:val="24"/>
                <w:szCs w:val="24"/>
              </w:rPr>
              <w:t>27</w:t>
            </w:r>
          </w:p>
        </w:tc>
        <w:tc>
          <w:tcPr>
            <w:tcW w:w="100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adjustRightInd w:val="0"/>
              <w:snapToGrid w:val="0"/>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46" w:type="dxa"/>
            <w:vMerge w:val="continue"/>
            <w:tcBorders>
              <w:left w:val="single" w:color="auto" w:sz="4" w:space="0"/>
              <w:right w:val="single" w:color="auto" w:sz="4" w:space="0"/>
            </w:tcBorders>
            <w:vAlign w:val="center"/>
          </w:tcPr>
          <w:p>
            <w:pPr>
              <w:rPr>
                <w:rFonts w:ascii="仿宋_GB2312" w:eastAsia="仿宋_GB2312"/>
                <w:b/>
                <w:sz w:val="24"/>
                <w:szCs w:val="24"/>
              </w:rPr>
            </w:pPr>
          </w:p>
        </w:tc>
        <w:tc>
          <w:tcPr>
            <w:tcW w:w="675" w:type="dxa"/>
            <w:tcBorders>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7</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根据投标人对本项目剖析方案，包括项目实施前，市级、县级指挥中心的现状情况、存在问题、需求理解。</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以上每点，事项分析完整详细，解决方案切实可行的，得2分；</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事项分析较详细，解决方案可行的，得1.5分；</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事项分析简单，解决方案一般的，得1分；</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事项分析及解决方案较差的，得0.5分；</w:t>
            </w:r>
          </w:p>
          <w:p>
            <w:pPr>
              <w:topLinePunct/>
              <w:contextualSpacing/>
              <w:rPr>
                <w:rFonts w:ascii="仿宋_GB2312" w:eastAsia="仿宋_GB2312"/>
                <w:b/>
                <w:bCs/>
                <w:color w:val="000000" w:themeColor="text1"/>
                <w:szCs w:val="24"/>
              </w:rPr>
            </w:pPr>
            <w:r>
              <w:rPr>
                <w:rFonts w:hint="eastAsia" w:ascii="仿宋_GB2312" w:hAnsi="仿宋" w:eastAsia="仿宋_GB2312" w:cs="黑体"/>
                <w:color w:val="000000" w:themeColor="text1"/>
                <w:sz w:val="24"/>
                <w:szCs w:val="24"/>
              </w:rPr>
              <w:t>未提供的，得0分。</w:t>
            </w:r>
          </w:p>
        </w:tc>
        <w:tc>
          <w:tcPr>
            <w:tcW w:w="891" w:type="dxa"/>
            <w:tcBorders>
              <w:top w:val="single" w:color="auto" w:sz="4" w:space="0"/>
              <w:left w:val="single" w:color="auto" w:sz="4" w:space="0"/>
              <w:right w:val="single" w:color="auto" w:sz="4" w:space="0"/>
            </w:tcBorders>
            <w:vAlign w:val="center"/>
          </w:tcPr>
          <w:p>
            <w:pPr>
              <w:jc w:val="center"/>
              <w:rPr>
                <w:rFonts w:ascii="仿宋_GB2312" w:hAnsi="黑体" w:eastAsia="仿宋_GB2312" w:cs="黑体"/>
                <w:color w:val="FF0000"/>
                <w:sz w:val="24"/>
                <w:szCs w:val="24"/>
              </w:rPr>
            </w:pPr>
            <w:r>
              <w:rPr>
                <w:rFonts w:hint="eastAsia" w:ascii="仿宋_GB2312" w:hAnsi="黑体" w:eastAsia="仿宋_GB2312" w:cs="黑体"/>
                <w:sz w:val="24"/>
                <w:szCs w:val="24"/>
              </w:rPr>
              <w:t>6</w:t>
            </w:r>
          </w:p>
        </w:tc>
        <w:tc>
          <w:tcPr>
            <w:tcW w:w="100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adjustRightInd w:val="0"/>
              <w:snapToGrid w:val="0"/>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8</w:t>
            </w:r>
          </w:p>
        </w:tc>
        <w:tc>
          <w:tcPr>
            <w:tcW w:w="5309" w:type="dxa"/>
            <w:tcBorders>
              <w:top w:val="single" w:color="auto" w:sz="4" w:space="0"/>
              <w:left w:val="single" w:color="auto" w:sz="4" w:space="0"/>
              <w:right w:val="single" w:color="auto" w:sz="4" w:space="0"/>
            </w:tcBorders>
            <w:vAlign w:val="center"/>
          </w:tcPr>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根据响应人提供的项目实施总体方案，包含进度计划安排、设备采购供货方案、安装调试方案、试运行及项目验收方案情况打分。</w:t>
            </w:r>
          </w:p>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以上每点，描述完整详细且与采购人实际需求完全契合的得1.5分；</w:t>
            </w:r>
          </w:p>
          <w:p>
            <w:pPr>
              <w:widowControl/>
              <w:rPr>
                <w:rFonts w:ascii="仿宋_GB2312" w:eastAsia="仿宋_GB2312"/>
                <w:color w:val="000000" w:themeColor="text1"/>
                <w:szCs w:val="24"/>
              </w:rPr>
            </w:pPr>
            <w:r>
              <w:rPr>
                <w:rFonts w:hint="eastAsia" w:ascii="仿宋_GB2312" w:eastAsia="仿宋_GB2312"/>
                <w:color w:val="000000" w:themeColor="text1"/>
                <w:sz w:val="24"/>
                <w:szCs w:val="24"/>
              </w:rPr>
              <w:t>描述较详细完整或与采购人实际需求基本符合的得1分；</w:t>
            </w:r>
          </w:p>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描述较完整或与采购人实际需求部分符合的得0.5分；</w:t>
            </w:r>
          </w:p>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未提供或完全不符合采购人需求的得0分，本项最多得6分。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9</w:t>
            </w:r>
          </w:p>
        </w:tc>
        <w:tc>
          <w:tcPr>
            <w:tcW w:w="5309" w:type="dxa"/>
            <w:tcBorders>
              <w:top w:val="single" w:color="auto" w:sz="4" w:space="0"/>
              <w:left w:val="single" w:color="auto" w:sz="4" w:space="0"/>
              <w:right w:val="single" w:color="auto" w:sz="4" w:space="0"/>
            </w:tcBorders>
            <w:vAlign w:val="center"/>
          </w:tcPr>
          <w:p>
            <w:pPr>
              <w:spacing w:line="400" w:lineRule="exac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根据投标人项目实施中的质量保证目标、质量保证体系和措施、确保按时交付及正常运行的措施等情况进行综合评分：</w:t>
            </w:r>
          </w:p>
          <w:p>
            <w:pPr>
              <w:widowControl/>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根据以上每项</w:t>
            </w:r>
            <w:r>
              <w:rPr>
                <w:rFonts w:hint="eastAsia" w:ascii="仿宋_GB2312" w:hAnsi="宋体" w:eastAsia="仿宋_GB2312"/>
                <w:color w:val="000000" w:themeColor="text1"/>
                <w:sz w:val="24"/>
                <w:szCs w:val="24"/>
                <w:lang w:val="en-US" w:eastAsia="zh-CN"/>
              </w:rPr>
              <w:t>管控</w:t>
            </w:r>
            <w:r>
              <w:rPr>
                <w:rFonts w:hint="eastAsia" w:ascii="仿宋_GB2312" w:hAnsi="宋体" w:eastAsia="仿宋_GB2312"/>
                <w:color w:val="000000" w:themeColor="text1"/>
                <w:sz w:val="24"/>
                <w:szCs w:val="24"/>
              </w:rPr>
              <w:t>措施描述完整详细，能充分保证项目质量的每项得1分，</w:t>
            </w:r>
          </w:p>
          <w:p>
            <w:pPr>
              <w:widowControl/>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以上每项</w:t>
            </w:r>
            <w:r>
              <w:rPr>
                <w:rFonts w:hint="eastAsia" w:ascii="仿宋_GB2312" w:hAnsi="宋体" w:eastAsia="仿宋_GB2312"/>
                <w:color w:val="000000" w:themeColor="text1"/>
                <w:sz w:val="24"/>
                <w:szCs w:val="24"/>
                <w:lang w:val="en-US" w:eastAsia="zh-CN"/>
              </w:rPr>
              <w:t>管控</w:t>
            </w:r>
            <w:r>
              <w:rPr>
                <w:rFonts w:hint="eastAsia" w:ascii="仿宋_GB2312" w:hAnsi="宋体" w:eastAsia="仿宋_GB2312"/>
                <w:color w:val="000000" w:themeColor="text1"/>
                <w:sz w:val="24"/>
                <w:szCs w:val="24"/>
              </w:rPr>
              <w:t>措施描述不详细，能基本保证项目质量的得0.5分，</w:t>
            </w:r>
          </w:p>
          <w:p>
            <w:pPr>
              <w:widowControl/>
              <w:textAlignment w:val="center"/>
              <w:rPr>
                <w:rFonts w:ascii="仿宋_GB2312" w:eastAsia="仿宋_GB2312"/>
                <w:color w:val="000000" w:themeColor="text1"/>
                <w:sz w:val="24"/>
                <w:szCs w:val="24"/>
              </w:rPr>
            </w:pPr>
            <w:r>
              <w:rPr>
                <w:rFonts w:hint="eastAsia" w:ascii="仿宋_GB2312" w:hAnsi="宋体" w:eastAsia="仿宋_GB2312"/>
                <w:color w:val="000000" w:themeColor="text1"/>
                <w:sz w:val="24"/>
                <w:szCs w:val="24"/>
              </w:rPr>
              <w:t>未提供或完全不符合采购人需求的得0分，本项最多得3分。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10</w:t>
            </w:r>
          </w:p>
        </w:tc>
        <w:tc>
          <w:tcPr>
            <w:tcW w:w="5309" w:type="dxa"/>
            <w:tcBorders>
              <w:top w:val="single" w:color="auto" w:sz="4" w:space="0"/>
              <w:left w:val="single" w:color="auto" w:sz="4" w:space="0"/>
              <w:right w:val="single" w:color="auto" w:sz="4" w:space="0"/>
            </w:tcBorders>
            <w:vAlign w:val="center"/>
          </w:tcPr>
          <w:p>
            <w:pPr>
              <w:pStyle w:val="64"/>
              <w:adjustRightInd w:val="0"/>
              <w:snapToGrid w:val="0"/>
              <w:jc w:val="left"/>
              <w:rPr>
                <w:rFonts w:ascii="仿宋_GB2312" w:eastAsia="仿宋_GB2312"/>
                <w:color w:val="000000" w:themeColor="text1"/>
                <w:sz w:val="24"/>
                <w:szCs w:val="24"/>
              </w:rPr>
            </w:pPr>
            <w:r>
              <w:rPr>
                <w:rFonts w:hint="eastAsia" w:ascii="仿宋_GB2312" w:eastAsia="仿宋_GB2312"/>
                <w:sz w:val="24"/>
                <w:szCs w:val="24"/>
              </w:rPr>
              <w:t>根据投标人对本项目施工时的安全管理方案，包括安全管理制度、安全保证措施打分：</w:t>
            </w:r>
            <w:r>
              <w:rPr>
                <w:rFonts w:hint="eastAsia" w:ascii="仿宋_GB2312" w:eastAsia="仿宋_GB2312"/>
                <w:sz w:val="24"/>
                <w:szCs w:val="24"/>
              </w:rPr>
              <w:br w:type="textWrapping"/>
            </w:r>
            <w:r>
              <w:rPr>
                <w:rFonts w:hint="eastAsia" w:ascii="仿宋_GB2312" w:eastAsia="仿宋_GB2312"/>
                <w:sz w:val="24"/>
                <w:szCs w:val="24"/>
              </w:rPr>
              <w:t>以上每点，描述完整详细且与采购人实际需求完全契合的</w:t>
            </w:r>
            <w:r>
              <w:rPr>
                <w:rFonts w:hint="eastAsia" w:ascii="仿宋_GB2312" w:eastAsia="仿宋_GB2312"/>
                <w:color w:val="000000" w:themeColor="text1"/>
                <w:sz w:val="24"/>
                <w:szCs w:val="24"/>
              </w:rPr>
              <w:t>得1.5分；</w:t>
            </w:r>
          </w:p>
          <w:p>
            <w:pPr>
              <w:pStyle w:val="64"/>
              <w:adjustRightInd w:val="0"/>
              <w:snapToGrid w:val="0"/>
              <w:jc w:val="left"/>
              <w:rPr>
                <w:rFonts w:ascii="仿宋_GB2312" w:eastAsia="仿宋_GB2312"/>
                <w:color w:val="000000" w:themeColor="text1"/>
                <w:sz w:val="24"/>
                <w:szCs w:val="24"/>
              </w:rPr>
            </w:pPr>
            <w:r>
              <w:rPr>
                <w:rFonts w:hint="eastAsia" w:ascii="仿宋_GB2312" w:eastAsia="仿宋_GB2312"/>
                <w:color w:val="000000" w:themeColor="text1"/>
                <w:sz w:val="24"/>
                <w:szCs w:val="24"/>
              </w:rPr>
              <w:t>描述较详细完整或与采购人实际需求基本符合的得1分；</w:t>
            </w:r>
          </w:p>
          <w:p>
            <w:pPr>
              <w:pStyle w:val="64"/>
              <w:adjustRightInd w:val="0"/>
              <w:snapToGrid w:val="0"/>
              <w:jc w:val="left"/>
              <w:rPr>
                <w:rFonts w:ascii="仿宋_GB2312" w:eastAsia="仿宋_GB2312"/>
                <w:color w:val="000000" w:themeColor="text1"/>
                <w:sz w:val="24"/>
                <w:szCs w:val="24"/>
              </w:rPr>
            </w:pPr>
            <w:r>
              <w:rPr>
                <w:rFonts w:hint="eastAsia" w:ascii="仿宋_GB2312" w:eastAsia="仿宋_GB2312"/>
                <w:color w:val="000000" w:themeColor="text1"/>
                <w:sz w:val="24"/>
                <w:szCs w:val="24"/>
              </w:rPr>
              <w:t>描述较详细完整或与采购人实际需求部分符合的得0.5分；</w:t>
            </w:r>
          </w:p>
          <w:p>
            <w:pPr>
              <w:pStyle w:val="64"/>
              <w:adjustRightInd w:val="0"/>
              <w:snapToGrid w:val="0"/>
              <w:jc w:val="left"/>
              <w:rPr>
                <w:rFonts w:ascii="仿宋_GB2312" w:eastAsia="仿宋_GB2312"/>
                <w:sz w:val="24"/>
                <w:szCs w:val="24"/>
              </w:rPr>
            </w:pPr>
            <w:r>
              <w:rPr>
                <w:rFonts w:hint="eastAsia" w:ascii="仿宋_GB2312" w:eastAsia="仿宋_GB2312"/>
                <w:color w:val="000000" w:themeColor="text1"/>
                <w:sz w:val="24"/>
                <w:szCs w:val="24"/>
              </w:rPr>
              <w:t>未提供或完全不符</w:t>
            </w:r>
            <w:r>
              <w:rPr>
                <w:rFonts w:hint="eastAsia" w:ascii="仿宋_GB2312" w:eastAsia="仿宋_GB2312"/>
                <w:sz w:val="24"/>
                <w:szCs w:val="24"/>
              </w:rPr>
              <w:t>合采购人需求的得0分。</w:t>
            </w:r>
          </w:p>
          <w:p>
            <w:pPr>
              <w:widowControl/>
              <w:rPr>
                <w:rFonts w:ascii="宋体" w:hAnsi="宋体" w:cs="宋体"/>
                <w:kern w:val="0"/>
                <w:sz w:val="20"/>
              </w:rPr>
            </w:pPr>
            <w:r>
              <w:rPr>
                <w:rFonts w:hint="eastAsia" w:ascii="仿宋_GB2312" w:eastAsia="仿宋_GB2312"/>
                <w:sz w:val="24"/>
                <w:szCs w:val="24"/>
              </w:rPr>
              <w:t>本项最多得3分。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11</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rPr>
            </w:pPr>
            <w:r>
              <w:rPr>
                <w:rFonts w:hint="eastAsia" w:ascii="仿宋_GB2312" w:eastAsia="仿宋_GB2312" w:cs="Arial"/>
                <w:bCs/>
                <w:color w:val="000000" w:themeColor="text1"/>
                <w:sz w:val="24"/>
                <w:szCs w:val="24"/>
              </w:rPr>
              <w:t>根据投标人</w:t>
            </w:r>
            <w:r>
              <w:rPr>
                <w:rFonts w:hint="eastAsia" w:ascii="仿宋_GB2312" w:eastAsia="仿宋_GB2312"/>
                <w:color w:val="000000" w:themeColor="text1"/>
                <w:sz w:val="24"/>
                <w:szCs w:val="24"/>
              </w:rPr>
              <w:t>针对应急指挥中心提供的网络及安全、汛期应急保障等的合理化建议打分：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以上每个方面的建议详细完整且能有效推进应急指挥中心建设的，得2分，</w:t>
            </w:r>
          </w:p>
          <w:p>
            <w:pPr>
              <w:widowControl/>
              <w:rPr>
                <w:rFonts w:ascii="仿宋_GB2312" w:eastAsia="仿宋_GB2312"/>
                <w:color w:val="000000" w:themeColor="text1"/>
                <w:sz w:val="24"/>
                <w:szCs w:val="24"/>
              </w:rPr>
            </w:pPr>
            <w:r>
              <w:rPr>
                <w:rFonts w:ascii="仿宋_GB2312" w:eastAsia="仿宋_GB2312"/>
                <w:color w:val="000000" w:themeColor="text1"/>
                <w:sz w:val="24"/>
                <w:szCs w:val="24"/>
              </w:rPr>
              <w:t>描述较详细完整或与</w:t>
            </w:r>
            <w:r>
              <w:rPr>
                <w:rFonts w:hint="eastAsia" w:ascii="仿宋_GB2312" w:eastAsia="仿宋_GB2312"/>
                <w:color w:val="000000" w:themeColor="text1"/>
                <w:sz w:val="24"/>
                <w:szCs w:val="24"/>
              </w:rPr>
              <w:t>应急指挥中心建设</w:t>
            </w:r>
            <w:r>
              <w:rPr>
                <w:rFonts w:ascii="仿宋_GB2312" w:eastAsia="仿宋_GB2312"/>
                <w:color w:val="000000" w:themeColor="text1"/>
                <w:sz w:val="24"/>
                <w:szCs w:val="24"/>
              </w:rPr>
              <w:t>需求基本符合的得</w:t>
            </w:r>
            <w:r>
              <w:rPr>
                <w:rFonts w:hint="eastAsia" w:ascii="仿宋_GB2312" w:eastAsia="仿宋_GB2312"/>
                <w:color w:val="000000" w:themeColor="text1"/>
                <w:sz w:val="24"/>
                <w:szCs w:val="24"/>
              </w:rPr>
              <w:t>1</w:t>
            </w:r>
            <w:r>
              <w:rPr>
                <w:rFonts w:ascii="仿宋_GB2312" w:eastAsia="仿宋_GB2312"/>
                <w:color w:val="000000" w:themeColor="text1"/>
                <w:sz w:val="24"/>
                <w:szCs w:val="24"/>
              </w:rPr>
              <w:t>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描述较详细完整或与应急指挥中心建设实际需求部分符合的得0.5分；</w:t>
            </w:r>
          </w:p>
          <w:p>
            <w:pPr>
              <w:pStyle w:val="64"/>
              <w:adjustRightInd w:val="0"/>
              <w:snapToGrid w:val="0"/>
              <w:jc w:val="left"/>
              <w:rPr>
                <w:rFonts w:ascii="仿宋_GB2312" w:eastAsia="仿宋_GB2312"/>
                <w:color w:val="000000" w:themeColor="text1"/>
                <w:sz w:val="24"/>
                <w:szCs w:val="24"/>
              </w:rPr>
            </w:pPr>
            <w:r>
              <w:rPr>
                <w:rFonts w:hint="eastAsia" w:ascii="仿宋_GB2312" w:eastAsia="仿宋_GB2312"/>
                <w:color w:val="000000" w:themeColor="text1"/>
                <w:sz w:val="24"/>
                <w:szCs w:val="24"/>
              </w:rPr>
              <w:t>未提供或完全不符合</w:t>
            </w:r>
            <w:r>
              <w:rPr>
                <w:rFonts w:ascii="仿宋_GB2312" w:eastAsia="仿宋_GB2312"/>
                <w:color w:val="000000" w:themeColor="text1"/>
                <w:sz w:val="24"/>
                <w:szCs w:val="24"/>
              </w:rPr>
              <w:t>与</w:t>
            </w:r>
            <w:r>
              <w:rPr>
                <w:rFonts w:hint="eastAsia" w:ascii="仿宋_GB2312" w:eastAsia="仿宋_GB2312"/>
                <w:color w:val="000000" w:themeColor="text1"/>
                <w:sz w:val="24"/>
                <w:szCs w:val="24"/>
              </w:rPr>
              <w:t>应急指挥中心建设需求的得0分。</w:t>
            </w:r>
          </w:p>
          <w:p>
            <w:pPr>
              <w:pStyle w:val="4"/>
              <w:ind w:firstLine="0" w:firstLineChars="0"/>
            </w:pPr>
            <w:r>
              <w:rPr>
                <w:rFonts w:hint="eastAsia"/>
              </w:rPr>
              <w:t>本项最多得4分。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rPr>
            </w:pPr>
          </w:p>
          <w:p>
            <w:pPr>
              <w:jc w:val="center"/>
              <w:rPr>
                <w:rFonts w:ascii="仿宋_GB2312" w:hAnsi="仿宋" w:eastAsia="仿宋_GB2312" w:cs="仿宋"/>
                <w:color w:val="000000" w:themeColor="text1"/>
                <w:sz w:val="24"/>
                <w:szCs w:val="24"/>
              </w:rPr>
            </w:pPr>
            <w:r>
              <w:rPr>
                <w:rFonts w:hint="eastAsia" w:ascii="仿宋_GB2312" w:hAnsi="仿宋" w:eastAsia="仿宋_GB2312" w:cs="仿宋"/>
                <w:color w:val="000000" w:themeColor="text1"/>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p>
          <w:p>
            <w:pPr>
              <w:jc w:val="center"/>
              <w:rPr>
                <w:rFonts w:ascii="仿宋_GB2312" w:hAnsi="仿宋" w:eastAsia="仿宋_GB2312" w:cs="仿宋"/>
                <w:b/>
                <w:spacing w:val="4"/>
                <w:sz w:val="24"/>
                <w:szCs w:val="24"/>
              </w:rPr>
            </w:pPr>
          </w:p>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12</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根据投标人提供的培训方案，包括培训课程安排、师资力量配备等情况打分：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以上每点，描述完整详细且与采购人实际需求完全契合的得1分；</w:t>
            </w:r>
          </w:p>
          <w:p>
            <w:pPr>
              <w:widowControl/>
              <w:rPr>
                <w:color w:val="000000" w:themeColor="text1"/>
              </w:rPr>
            </w:pPr>
            <w:r>
              <w:rPr>
                <w:rFonts w:hint="eastAsia" w:ascii="仿宋_GB2312" w:eastAsia="仿宋_GB2312"/>
                <w:color w:val="000000" w:themeColor="text1"/>
                <w:sz w:val="24"/>
                <w:szCs w:val="24"/>
              </w:rPr>
              <w:t>描述较详细完整或与采购人实际需求基本符合的得0.5分；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未提供或完全不符合采购人需求的得0分。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本项最多得2分。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rPr>
            </w:pPr>
            <w:r>
              <w:rPr>
                <w:rFonts w:hint="eastAsia" w:ascii="仿宋_GB2312" w:hAnsi="仿宋" w:eastAsia="仿宋_GB2312" w:cs="仿宋"/>
                <w:color w:val="000000" w:themeColor="text1"/>
                <w:sz w:val="24"/>
                <w:szCs w:val="24"/>
              </w:rPr>
              <w:t>2</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color w:val="000000" w:themeColor="text1"/>
                <w:spacing w:val="4"/>
                <w:sz w:val="24"/>
                <w:szCs w:val="24"/>
              </w:rPr>
            </w:pPr>
            <w:r>
              <w:rPr>
                <w:rFonts w:hint="eastAsia" w:ascii="仿宋_GB2312" w:hAnsi="仿宋" w:eastAsia="仿宋_GB2312" w:cs="仿宋"/>
                <w:b/>
                <w:color w:val="000000" w:themeColor="text1"/>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13</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信创操作电脑列入财政部、生态环境部发布的环境标志产品品目清单的，提供国家市场监督管理总局公布的《参与实施政府采购环境标志产品认证机构名录》内的认证机构出具的、处于有效期之内的环境标志产品认证证书，得1分。</w:t>
            </w:r>
          </w:p>
          <w:p>
            <w:pPr>
              <w:pStyle w:val="2"/>
              <w:ind w:firstLine="0" w:firstLineChars="0"/>
              <w:rPr>
                <w:color w:val="000000" w:themeColor="text1"/>
              </w:rPr>
            </w:pPr>
            <w:r>
              <w:rPr>
                <w:rFonts w:hint="eastAsia" w:ascii="仿宋_GB2312" w:eastAsia="仿宋_GB2312"/>
                <w:color w:val="000000" w:themeColor="text1"/>
                <w:szCs w:val="24"/>
              </w:rPr>
              <w:t>本项最多得1分。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rPr>
            </w:pPr>
            <w:r>
              <w:rPr>
                <w:rFonts w:hint="eastAsia" w:ascii="仿宋_GB2312" w:hAnsi="仿宋" w:eastAsia="仿宋_GB2312" w:cs="仿宋"/>
                <w:color w:val="000000" w:themeColor="text1"/>
                <w:sz w:val="24"/>
                <w:szCs w:val="24"/>
              </w:rPr>
              <w:t>1</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color w:val="000000" w:themeColor="text1"/>
                <w:spacing w:val="4"/>
                <w:sz w:val="24"/>
                <w:szCs w:val="24"/>
              </w:rPr>
            </w:pPr>
            <w:r>
              <w:rPr>
                <w:rFonts w:hint="eastAsia" w:ascii="仿宋_GB2312" w:hAnsi="仿宋" w:eastAsia="仿宋_GB2312" w:cs="仿宋"/>
                <w:b/>
                <w:color w:val="000000" w:themeColor="text1"/>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6" w:type="dxa"/>
            <w:tcBorders>
              <w:left w:val="single" w:color="auto" w:sz="4" w:space="0"/>
              <w:right w:val="single" w:color="auto" w:sz="4" w:space="0"/>
            </w:tcBorders>
            <w:vAlign w:val="center"/>
          </w:tcPr>
          <w:p>
            <w:pPr>
              <w:topLinePunct/>
              <w:spacing w:line="360" w:lineRule="auto"/>
              <w:contextualSpacing/>
              <w:jc w:val="center"/>
              <w:rPr>
                <w:rFonts w:ascii="仿宋_GB2312" w:eastAsia="仿宋_GB2312"/>
                <w:sz w:val="24"/>
                <w:szCs w:val="24"/>
              </w:rPr>
            </w:pPr>
            <w:r>
              <w:rPr>
                <w:rFonts w:hint="eastAsia" w:ascii="仿宋_GB2312" w:eastAsia="仿宋_GB2312"/>
                <w:sz w:val="24"/>
                <w:szCs w:val="24"/>
              </w:rPr>
              <w:t>报价</w:t>
            </w:r>
          </w:p>
          <w:p>
            <w:pPr>
              <w:rPr>
                <w:rFonts w:ascii="仿宋_GB2312" w:hAnsi="仿宋" w:eastAsia="仿宋_GB2312" w:cs="仿宋"/>
                <w:spacing w:val="4"/>
                <w:sz w:val="24"/>
                <w:szCs w:val="24"/>
              </w:rPr>
            </w:pPr>
            <w:r>
              <w:rPr>
                <w:rFonts w:hint="eastAsia" w:ascii="仿宋_GB2312" w:eastAsia="仿宋_GB2312"/>
                <w:sz w:val="24"/>
                <w:szCs w:val="24"/>
              </w:rPr>
              <w:t>（30分）</w:t>
            </w:r>
          </w:p>
        </w:tc>
        <w:tc>
          <w:tcPr>
            <w:tcW w:w="675" w:type="dxa"/>
            <w:tcBorders>
              <w:left w:val="single" w:color="auto" w:sz="4" w:space="0"/>
              <w:right w:val="single" w:color="auto" w:sz="4" w:space="0"/>
            </w:tcBorders>
            <w:vAlign w:val="center"/>
          </w:tcPr>
          <w:p>
            <w:pPr>
              <w:jc w:val="center"/>
              <w:rPr>
                <w:rFonts w:ascii="仿宋_GB2312" w:hAnsi="仿宋" w:eastAsia="仿宋_GB2312" w:cs="仿宋"/>
                <w:spacing w:val="4"/>
                <w:sz w:val="24"/>
                <w:szCs w:val="24"/>
                <w:lang w:bidi="en-US"/>
              </w:rPr>
            </w:pPr>
            <w:r>
              <w:rPr>
                <w:rFonts w:hint="eastAsia" w:ascii="仿宋_GB2312" w:hAnsi="仿宋" w:eastAsia="仿宋_GB2312" w:cs="仿宋"/>
                <w:spacing w:val="4"/>
                <w:sz w:val="24"/>
                <w:szCs w:val="24"/>
              </w:rPr>
              <w:t>14</w:t>
            </w:r>
          </w:p>
        </w:tc>
        <w:tc>
          <w:tcPr>
            <w:tcW w:w="5309" w:type="dxa"/>
            <w:tcBorders>
              <w:top w:val="single" w:color="auto" w:sz="4" w:space="0"/>
              <w:left w:val="single" w:color="auto" w:sz="4" w:space="0"/>
              <w:bottom w:val="single" w:color="auto" w:sz="4" w:space="0"/>
              <w:right w:val="single" w:color="auto" w:sz="4" w:space="0"/>
            </w:tcBorders>
            <w:vAlign w:val="center"/>
          </w:tcPr>
          <w:p>
            <w:pPr>
              <w:topLinePunct/>
              <w:contextualSpacing/>
              <w:rPr>
                <w:rFonts w:ascii="仿宋_GB2312" w:eastAsia="仿宋_GB2312"/>
                <w:sz w:val="24"/>
                <w:szCs w:val="24"/>
              </w:rPr>
            </w:pPr>
            <w:r>
              <w:rPr>
                <w:rFonts w:hint="eastAsia" w:ascii="仿宋_GB2312" w:eastAsia="仿宋_GB2312"/>
                <w:sz w:val="24"/>
                <w:szCs w:val="24"/>
              </w:rPr>
              <w:t>有效投标报价的最低价作为评标基准价，其最低报价为满分；按［投标报价得分=（评标基准价/投标报价）*30］的计算公式计算。</w:t>
            </w:r>
          </w:p>
          <w:p>
            <w:pPr>
              <w:adjustRightInd w:val="0"/>
              <w:snapToGrid w:val="0"/>
              <w:rPr>
                <w:rFonts w:ascii="仿宋_GB2312" w:hAnsi="仿宋" w:eastAsia="仿宋_GB2312" w:cs="仿宋"/>
                <w:sz w:val="24"/>
                <w:szCs w:val="24"/>
                <w:lang w:bidi="en-US"/>
              </w:rPr>
            </w:pPr>
            <w:r>
              <w:rPr>
                <w:rFonts w:hint="eastAsia" w:ascii="仿宋_GB2312" w:eastAsia="仿宋_GB2312"/>
                <w:sz w:val="24"/>
                <w:szCs w:val="24"/>
              </w:rPr>
              <w:t>评标过程中，不得去掉报价中的最高报价和最低报价。因落实政府采购政策需要进行价格调整的，以调整后的价格计算评标基准价和投标报价。</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4"/>
                <w:szCs w:val="24"/>
              </w:rPr>
            </w:pPr>
            <w:r>
              <w:rPr>
                <w:rFonts w:hint="eastAsia" w:ascii="仿宋_GB2312" w:eastAsia="仿宋_GB2312"/>
                <w:sz w:val="24"/>
                <w:szCs w:val="24"/>
              </w:rPr>
              <w:t>30</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z w:val="24"/>
                <w:szCs w:val="24"/>
              </w:rPr>
            </w:pPr>
            <w:r>
              <w:rPr>
                <w:rFonts w:hint="eastAsia" w:ascii="仿宋_GB2312" w:hAnsi="仿宋" w:eastAsia="仿宋_GB2312" w:cs="仿宋"/>
                <w:b/>
                <w:sz w:val="24"/>
                <w:szCs w:val="24"/>
              </w:rPr>
              <w:t>价格分</w:t>
            </w:r>
          </w:p>
        </w:tc>
        <w:tc>
          <w:tcPr>
            <w:tcW w:w="11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cs="仿宋"/>
                <w:sz w:val="24"/>
                <w:szCs w:val="24"/>
              </w:rPr>
            </w:pPr>
          </w:p>
        </w:tc>
      </w:tr>
    </w:tbl>
    <w:p>
      <w:pPr>
        <w:spacing w:line="420" w:lineRule="exact"/>
        <w:contextualSpacing/>
        <w:rPr>
          <w:rFonts w:ascii="仿宋_GB2312" w:eastAsia="仿宋_GB2312"/>
          <w:b/>
          <w:sz w:val="24"/>
          <w:szCs w:val="24"/>
        </w:rPr>
      </w:pPr>
    </w:p>
    <w:p>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*备注：投标人编制投标文件（商务技术文件部分）时，建议按此目录（序号和内容）提供评标标准相应的商务技术资料。</w:t>
      </w:r>
      <w:r>
        <w:rPr>
          <w:rFonts w:hint="eastAsia" w:eastAsia="仿宋_GB2312"/>
          <w:b/>
          <w:sz w:val="24"/>
          <w:szCs w:val="24"/>
        </w:rPr>
        <w:t> </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一、评标方法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w:t>
      </w:r>
      <w:r>
        <w:rPr>
          <w:rFonts w:hint="eastAsia" w:ascii="仿宋_GB2312" w:hAnsi="Calibri" w:eastAsia="仿宋_GB2312" w:cs="Times New Roman"/>
          <w:sz w:val="24"/>
          <w:szCs w:val="24"/>
        </w:rPr>
        <w:t>评分过程中采用四舍五入法，并保留小数2位。</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4.2投标无效。有下列情况之一的，投标无效：</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4.2.13投标文件出现不是唯一的、有选择性投标报价的;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4.2.16《投标（开标）一览表》填写不完整或字迹不能辨认或有漏项的；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4.2.23专门面向中小企业采购的，在资格文件和商务技术文件中均未提供中小企业声明函的，投标无效；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4.2.25投标文件不满足招标文件的其它实质性要求的。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7"/>
    <w:p>
      <w:pPr>
        <w:spacing w:line="560" w:lineRule="exact"/>
        <w:ind w:firstLine="562"/>
        <w:jc w:val="center"/>
        <w:outlineLvl w:val="0"/>
        <w:rPr>
          <w:rFonts w:ascii="仿宋_GB2312" w:hAnsi="宋体" w:eastAsia="仿宋_GB2312" w:cs="宋体"/>
          <w:b/>
          <w:sz w:val="28"/>
          <w:szCs w:val="28"/>
        </w:rPr>
      </w:pPr>
      <w:bookmarkStart w:id="397" w:name="第五部分"/>
      <w:bookmarkStart w:id="398" w:name="_Toc86217003"/>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autoSpaceDE w:val="0"/>
        <w:autoSpaceDN w:val="0"/>
        <w:adjustRightInd w:val="0"/>
        <w:spacing w:line="360" w:lineRule="auto"/>
        <w:jc w:val="center"/>
        <w:rPr>
          <w:rFonts w:ascii="仿宋_GB2312" w:hAnsi="仿宋_GB2312" w:eastAsia="仿宋_GB2312" w:cs="仿宋_GB2312"/>
          <w:b/>
          <w:color w:val="000000"/>
          <w:sz w:val="32"/>
          <w:szCs w:val="32"/>
        </w:rPr>
      </w:pPr>
    </w:p>
    <w:p>
      <w:pPr>
        <w:autoSpaceDE w:val="0"/>
        <w:autoSpaceDN w:val="0"/>
        <w:adjustRightInd w:val="0"/>
        <w:spacing w:line="36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第五部分拟签订的合同文本</w:t>
      </w:r>
    </w:p>
    <w:p>
      <w:pPr>
        <w:autoSpaceDE w:val="0"/>
        <w:autoSpaceDN w:val="0"/>
        <w:adjustRightInd w:val="0"/>
        <w:spacing w:line="360" w:lineRule="auto"/>
        <w:jc w:val="center"/>
        <w:rPr>
          <w:rFonts w:ascii="仿宋_GB2312" w:hAnsi="仿宋_GB2312" w:eastAsia="仿宋_GB2312" w:cs="仿宋_GB2312"/>
          <w:b/>
          <w:color w:val="000000"/>
          <w:sz w:val="32"/>
          <w:szCs w:val="32"/>
        </w:rPr>
      </w:pPr>
    </w:p>
    <w:p>
      <w:pPr>
        <w:spacing w:before="120" w:line="560" w:lineRule="exact"/>
        <w:ind w:left="479"/>
        <w:rPr>
          <w:rFonts w:ascii="仿宋_GB2312" w:hAnsi="仿宋_GB2312" w:eastAsia="仿宋_GB2312" w:cs="仿宋_GB2312"/>
          <w:sz w:val="24"/>
          <w:szCs w:val="24"/>
        </w:rPr>
      </w:pPr>
    </w:p>
    <w:p>
      <w:pPr>
        <w:spacing w:before="120" w:line="560" w:lineRule="exact"/>
        <w:ind w:left="479"/>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spacing w:before="120" w:line="560" w:lineRule="exact"/>
        <w:ind w:left="479"/>
        <w:rPr>
          <w:rFonts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pacing w:before="120" w:line="560" w:lineRule="exact"/>
        <w:ind w:left="47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甲    方：</w:t>
      </w:r>
    </w:p>
    <w:p>
      <w:pPr>
        <w:spacing w:before="120" w:line="560" w:lineRule="exact"/>
        <w:ind w:left="47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乙    方：</w:t>
      </w:r>
    </w:p>
    <w:p>
      <w:pPr>
        <w:spacing w:before="120" w:line="560" w:lineRule="exact"/>
        <w:rPr>
          <w:rFonts w:ascii="仿宋_GB2312" w:hAnsi="仿宋_GB2312" w:eastAsia="仿宋_GB2312" w:cs="仿宋_GB2312"/>
          <w:sz w:val="24"/>
          <w:szCs w:val="24"/>
        </w:rPr>
      </w:pPr>
    </w:p>
    <w:p>
      <w:pPr>
        <w:pStyle w:val="2"/>
        <w:ind w:firstLine="460"/>
        <w:rPr>
          <w:rFonts w:ascii="仿宋_GB2312" w:hAnsi="仿宋_GB2312" w:eastAsia="仿宋_GB2312" w:cs="仿宋_GB2312"/>
          <w:szCs w:val="24"/>
        </w:rPr>
      </w:pPr>
    </w:p>
    <w:p>
      <w:pPr>
        <w:pStyle w:val="4"/>
        <w:ind w:firstLine="0" w:firstLineChars="0"/>
      </w:pPr>
    </w:p>
    <w:p>
      <w:pPr>
        <w:pStyle w:val="4"/>
      </w:pPr>
    </w:p>
    <w:p>
      <w:pPr>
        <w:pStyle w:val="4"/>
      </w:pPr>
    </w:p>
    <w:p>
      <w:pPr>
        <w:spacing w:before="120" w:line="560" w:lineRule="exact"/>
        <w:ind w:firstLine="1680" w:firstLineChars="7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签订地：</w:t>
      </w:r>
    </w:p>
    <w:p>
      <w:pPr>
        <w:spacing w:before="120"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w:t>
      </w:r>
    </w:p>
    <w:p>
      <w:pPr>
        <w:pStyle w:val="4"/>
        <w:ind w:firstLine="0" w:firstLineChars="0"/>
      </w:pPr>
    </w:p>
    <w:p>
      <w:pPr>
        <w:pStyle w:val="4"/>
      </w:pPr>
    </w:p>
    <w:p>
      <w:pPr>
        <w:pStyle w:val="4"/>
      </w:pP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根据《中华人民共和国民法典》《中华人民共和国政府采购法》等相关法律法规规定，按照</w:t>
      </w:r>
      <w:r>
        <w:rPr>
          <w:rFonts w:hint="eastAsia" w:ascii="仿宋_GB2312" w:hAnsi="仿宋_GB2312" w:eastAsia="仿宋_GB2312" w:cs="仿宋_GB2312"/>
          <w:sz w:val="24"/>
          <w:szCs w:val="24"/>
          <w:u w:val="single"/>
          <w:lang w:val="zh-CN"/>
        </w:rPr>
        <w:t>浙江省舟山市自然灾害应急能力提升工程预警指挥项目提升综合风险监测预警和指挥支撑保障能力分项采购项目（</w:t>
      </w:r>
      <w:r>
        <w:rPr>
          <w:rFonts w:hint="eastAsia" w:ascii="仿宋_GB2312" w:hAnsi="仿宋_GB2312" w:eastAsia="仿宋_GB2312" w:cs="仿宋_GB2312"/>
          <w:sz w:val="24"/>
          <w:szCs w:val="24"/>
          <w:lang w:val="zh-CN"/>
        </w:rPr>
        <w:t>项</w:t>
      </w:r>
      <w:r>
        <w:rPr>
          <w:rFonts w:hint="eastAsia" w:ascii="仿宋_GB2312" w:hAnsi="仿宋_GB2312" w:eastAsia="仿宋_GB2312" w:cs="仿宋_GB2312"/>
          <w:sz w:val="24"/>
          <w:szCs w:val="24"/>
        </w:rPr>
        <w:t>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）的公开招标结果，在</w:t>
      </w:r>
      <w:r>
        <w:rPr>
          <w:rFonts w:hint="eastAsia" w:ascii="仿宋_GB2312" w:hAnsi="仿宋_GB2312" w:eastAsia="仿宋_GB2312" w:cs="仿宋_GB2312"/>
          <w:sz w:val="24"/>
          <w:szCs w:val="24"/>
          <w:lang w:val="zh-CN"/>
        </w:rPr>
        <w:t>平等、自愿、公平和诚实信用的原则</w:t>
      </w:r>
      <w:r>
        <w:rPr>
          <w:rFonts w:hint="eastAsia" w:ascii="仿宋_GB2312" w:hAnsi="仿宋_GB2312" w:eastAsia="仿宋_GB2312" w:cs="仿宋_GB2312"/>
          <w:sz w:val="24"/>
          <w:szCs w:val="24"/>
        </w:rPr>
        <w:t>为前提下</w:t>
      </w:r>
      <w:r>
        <w:rPr>
          <w:rFonts w:hint="eastAsia" w:ascii="仿宋_GB2312" w:hAnsi="仿宋_GB2312" w:eastAsia="仿宋_GB2312" w:cs="仿宋_GB2312"/>
          <w:sz w:val="24"/>
          <w:szCs w:val="24"/>
          <w:lang w:val="zh-CN"/>
        </w:rPr>
        <w:t>，经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zh-CN"/>
        </w:rPr>
        <w:t xml:space="preserve">   </w:t>
      </w:r>
      <w:r>
        <w:rPr>
          <w:rFonts w:hint="eastAsia" w:ascii="仿宋_GB2312" w:hAnsi="仿宋_GB2312" w:eastAsia="仿宋_GB2312" w:cs="仿宋_GB2312"/>
          <w:sz w:val="24"/>
          <w:szCs w:val="24"/>
          <w:lang w:val="zh-CN"/>
        </w:rPr>
        <w:t>(以下简称：甲方)和</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(以下简称：乙方)协商一致，约定以下合同条款，以兹共同遵守、全面履行。</w:t>
      </w:r>
    </w:p>
    <w:p>
      <w:pPr>
        <w:adjustRightInd w:val="0"/>
        <w:snapToGrid w:val="0"/>
        <w:spacing w:line="560" w:lineRule="exact"/>
        <w:ind w:firstLine="480" w:firstLineChars="200"/>
        <w:rPr>
          <w:rFonts w:ascii="仿宋_GB2312" w:hAnsi="仿宋_GB2312" w:eastAsia="仿宋_GB2312" w:cs="仿宋_GB2312"/>
          <w:sz w:val="24"/>
          <w:szCs w:val="24"/>
          <w:lang w:val="zh-CN"/>
        </w:rPr>
      </w:pPr>
      <w:bookmarkStart w:id="399" w:name="_Toc15367"/>
      <w:bookmarkStart w:id="400" w:name="_Toc22967"/>
      <w:bookmarkStart w:id="401" w:name="_Toc19273"/>
      <w:bookmarkStart w:id="402" w:name="_Toc20421"/>
      <w:bookmarkStart w:id="403" w:name="_Toc28855"/>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zh-CN"/>
        </w:rPr>
        <w:t>合同组成部分</w:t>
      </w:r>
      <w:bookmarkEnd w:id="399"/>
      <w:bookmarkEnd w:id="400"/>
      <w:bookmarkEnd w:id="401"/>
      <w:bookmarkEnd w:id="402"/>
      <w:bookmarkEnd w:id="403"/>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下列文件为本合同的组成部分，并构成一个整体，需综合解释、相互补充。</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本合同及其补充合同、变更协议；</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中标或者成交通知书；</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投标或者响应文件（含澄清或者说明文件）；</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采购文件（含澄清或者修改文件）；</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其他相关采购文件。</w:t>
      </w:r>
    </w:p>
    <w:p>
      <w:pPr>
        <w:adjustRightIn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二、采购内容：（以附件形式附后并盖章）</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三、合同金额</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本合同金额为（大写）：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元）人民币。</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四、技术资料</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lang w:val="zh-CN"/>
        </w:rPr>
        <w:t>乙方应按招标文件规定的时间向甲方提供使用货物的有关技术资料。</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五、知识产权</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六、履约保证金</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zh-CN"/>
        </w:rPr>
        <w:t>履约保证金金额为合同额的1%，即</w:t>
      </w:r>
      <w:r>
        <w:rPr>
          <w:rFonts w:hint="eastAsia" w:ascii="仿宋_GB2312" w:hAnsi="仿宋_GB2312" w:eastAsia="仿宋_GB2312" w:cs="仿宋_GB2312"/>
          <w:sz w:val="24"/>
          <w:szCs w:val="24"/>
          <w:u w:val="single"/>
          <w:lang w:val="zh-CN"/>
        </w:rPr>
        <w:t xml:space="preserve">      </w:t>
      </w:r>
      <w:r>
        <w:rPr>
          <w:rFonts w:hint="eastAsia" w:ascii="仿宋_GB2312" w:hAnsi="仿宋_GB2312" w:eastAsia="仿宋_GB2312" w:cs="仿宋_GB2312"/>
          <w:sz w:val="24"/>
          <w:szCs w:val="24"/>
          <w:lang w:val="zh-CN"/>
        </w:rPr>
        <w:t>元人民币。履约保证金形式：       。</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zh-CN"/>
        </w:rPr>
        <w:t>履约保证金可以采用支票、汇票、本票或者金融机构、担保机构出具的保函等非现金形式。</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zh-CN"/>
        </w:rPr>
        <w:t>乙方应于合同签订后</w:t>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zh-CN"/>
        </w:rPr>
        <w:t>日内将履约保证金交至甲方指定账户。合同履行期间，乙方不得将履约保证金取回或作任何抵押。</w:t>
      </w:r>
    </w:p>
    <w:p>
      <w:pPr>
        <w:pStyle w:val="19"/>
        <w:widowControl w:val="0"/>
        <w:adjustRightInd w:val="0"/>
        <w:snapToGrid w:val="0"/>
        <w:spacing w:before="0" w:line="560" w:lineRule="exact"/>
        <w:ind w:left="0"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6.4甲方应于本项目终验合格后20日内原额无息退还履约保证金。</w:t>
      </w:r>
    </w:p>
    <w:p>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6.5签订合同后，如乙方不按合同履行约定的，则其全部履约保证金不予退还。履约保证金不足以赔偿损失的，按实际损失赔偿。</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七、转包或分包</w:t>
      </w:r>
    </w:p>
    <w:p>
      <w:pPr>
        <w:pStyle w:val="13"/>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7.1</w:t>
      </w:r>
      <w:r>
        <w:rPr>
          <w:rFonts w:hint="eastAsia" w:ascii="仿宋_GB2312" w:hAnsi="仿宋_GB2312" w:eastAsia="仿宋_GB2312" w:cs="仿宋_GB2312"/>
          <w:sz w:val="24"/>
          <w:szCs w:val="24"/>
          <w:lang w:val="zh-CN"/>
        </w:rPr>
        <w:t>本合同范围的货物，应由乙方直接供应，不得转让他人供应；</w:t>
      </w:r>
    </w:p>
    <w:p>
      <w:pPr>
        <w:pStyle w:val="13"/>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7.2</w:t>
      </w:r>
      <w:r>
        <w:rPr>
          <w:rFonts w:hint="eastAsia" w:ascii="仿宋_GB2312" w:hAnsi="仿宋_GB2312" w:eastAsia="仿宋_GB2312" w:cs="仿宋_GB2312"/>
          <w:sz w:val="24"/>
          <w:szCs w:val="24"/>
          <w:lang w:val="zh-CN"/>
        </w:rPr>
        <w:t>乙方</w:t>
      </w:r>
      <w:r>
        <w:rPr>
          <w:rFonts w:hint="eastAsia" w:ascii="仿宋_GB2312" w:hAnsi="仿宋_GB2312" w:eastAsia="仿宋_GB2312" w:cs="仿宋_GB2312"/>
          <w:sz w:val="24"/>
          <w:szCs w:val="24"/>
        </w:rPr>
        <w:t>可以按有关规定将部分</w:t>
      </w:r>
      <w:r>
        <w:rPr>
          <w:rFonts w:hint="eastAsia" w:ascii="仿宋_GB2312" w:hAnsi="仿宋_GB2312" w:eastAsia="仿宋_GB2312" w:cs="仿宋_GB2312"/>
          <w:sz w:val="24"/>
          <w:szCs w:val="24"/>
          <w:lang w:val="zh-CN"/>
        </w:rPr>
        <w:t>货物</w:t>
      </w:r>
      <w:r>
        <w:rPr>
          <w:rFonts w:hint="eastAsia" w:ascii="仿宋_GB2312" w:hAnsi="仿宋_GB2312" w:eastAsia="仿宋_GB2312" w:cs="仿宋_GB2312"/>
          <w:sz w:val="24"/>
          <w:szCs w:val="24"/>
        </w:rPr>
        <w:t>或服务</w:t>
      </w:r>
      <w:r>
        <w:rPr>
          <w:rFonts w:hint="eastAsia" w:ascii="仿宋_GB2312" w:hAnsi="仿宋_GB2312" w:eastAsia="仿宋_GB2312" w:cs="仿宋_GB2312"/>
          <w:sz w:val="24"/>
          <w:szCs w:val="24"/>
          <w:lang w:val="zh-CN"/>
        </w:rPr>
        <w:t>分包给</w:t>
      </w:r>
      <w:r>
        <w:rPr>
          <w:rFonts w:hint="eastAsia" w:ascii="仿宋_GB2312" w:hAnsi="仿宋_GB2312" w:eastAsia="仿宋_GB2312" w:cs="仿宋_GB2312"/>
          <w:sz w:val="24"/>
          <w:szCs w:val="24"/>
        </w:rPr>
        <w:t>中小微企业实施</w:t>
      </w:r>
      <w:r>
        <w:rPr>
          <w:rFonts w:hint="eastAsia" w:ascii="仿宋_GB2312" w:hAnsi="仿宋_GB2312" w:eastAsia="仿宋_GB2312" w:cs="仿宋_GB2312"/>
          <w:sz w:val="24"/>
          <w:szCs w:val="24"/>
          <w:lang w:val="zh-CN"/>
        </w:rPr>
        <w:t>；</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八、质保期</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质保期3年，本项目所采购的各项设备及系统质保期从项目终验合格开始计算，在质保期内乙方应免费上门对损坏的部件或设备或系统进行维修、安装、更换、调试等；质保期内免费更换的设备零部质保期应自更换之日起计不少于3年。</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九、工期及交货地点</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9.1</w:t>
      </w:r>
      <w:r>
        <w:rPr>
          <w:rFonts w:hint="eastAsia" w:ascii="仿宋_GB2312" w:hAnsi="仿宋_GB2312" w:eastAsia="仿宋_GB2312" w:cs="仿宋_GB2312"/>
          <w:sz w:val="24"/>
          <w:szCs w:val="24"/>
          <w:lang w:val="zh-CN"/>
        </w:rPr>
        <w:t>工期：</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9 月底前，完成设备到货、安装调试</w:t>
      </w:r>
      <w:r>
        <w:rPr>
          <w:rFonts w:hint="eastAsia" w:ascii="仿宋_GB2312" w:hAnsi="仿宋_GB2312" w:eastAsia="仿宋_GB2312" w:cs="仿宋_GB2312"/>
          <w:sz w:val="24"/>
          <w:szCs w:val="24"/>
        </w:rPr>
        <w:t>及</w:t>
      </w:r>
      <w:r>
        <w:rPr>
          <w:rFonts w:hint="eastAsia" w:ascii="仿宋_GB2312" w:hAnsi="仿宋_GB2312" w:eastAsia="仿宋_GB2312" w:cs="仿宋_GB2312"/>
          <w:sz w:val="24"/>
          <w:szCs w:val="24"/>
          <w:lang w:val="zh-CN"/>
        </w:rPr>
        <w:t>项目初验；</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10 月份开始进入试运行阶段。</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11 月底前，完成项目终验。</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9.2</w:t>
      </w:r>
      <w:r>
        <w:rPr>
          <w:rFonts w:hint="eastAsia" w:ascii="仿宋_GB2312" w:hAnsi="仿宋_GB2312" w:eastAsia="仿宋_GB2312" w:cs="仿宋_GB2312"/>
          <w:sz w:val="24"/>
          <w:szCs w:val="24"/>
          <w:lang w:val="zh-CN"/>
        </w:rPr>
        <w:t>交货地点：</w:t>
      </w:r>
      <w:r>
        <w:rPr>
          <w:rFonts w:hint="eastAsia" w:ascii="仿宋_GB2312" w:hAnsi="仿宋_GB2312" w:eastAsia="仿宋_GB2312" w:cs="仿宋_GB2312"/>
          <w:sz w:val="24"/>
          <w:szCs w:val="24"/>
        </w:rPr>
        <w:t>舟山市</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十、货款支付</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10.1</w:t>
      </w:r>
      <w:r>
        <w:rPr>
          <w:rFonts w:hint="eastAsia" w:ascii="仿宋_GB2312" w:hAnsi="仿宋_GB2312" w:eastAsia="仿宋_GB2312" w:cs="仿宋_GB2312"/>
          <w:sz w:val="24"/>
          <w:szCs w:val="24"/>
          <w:lang w:val="zh-CN"/>
        </w:rPr>
        <w:t>付款方式：</w:t>
      </w:r>
    </w:p>
    <w:p>
      <w:pPr>
        <w:pStyle w:val="65"/>
        <w:spacing w:line="440" w:lineRule="exact"/>
        <w:ind w:firstLine="480"/>
        <w:rPr>
          <w:rFonts w:ascii="仿宋_GB2312" w:hAnsi="宋体" w:eastAsia="仿宋_GB2312" w:cs="宋体"/>
          <w:sz w:val="24"/>
          <w:szCs w:val="24"/>
        </w:rPr>
      </w:pPr>
      <w:r>
        <w:rPr>
          <w:rFonts w:hint="eastAsia" w:ascii="仿宋_GB2312" w:hAnsi="宋体" w:eastAsia="仿宋_GB2312" w:cs="仿宋"/>
          <w:sz w:val="24"/>
          <w:szCs w:val="24"/>
        </w:rPr>
        <w:t>预付款：</w:t>
      </w:r>
      <w:r>
        <w:rPr>
          <w:rFonts w:hint="eastAsia" w:ascii="仿宋_GB2312" w:hAnsi="宋体" w:eastAsia="仿宋_GB2312" w:cs="宋体"/>
          <w:sz w:val="24"/>
          <w:szCs w:val="24"/>
        </w:rPr>
        <w:t>在合同生效后以及具备实施条件后的7个工作日内，采购人根据供应商提供的正规发票，按财政部门规定的支付方式支付合同金额的60%给供应商。</w:t>
      </w:r>
    </w:p>
    <w:p>
      <w:pPr>
        <w:pStyle w:val="65"/>
        <w:spacing w:line="440" w:lineRule="exact"/>
        <w:ind w:firstLine="720" w:firstLineChars="300"/>
        <w:rPr>
          <w:rFonts w:ascii="仿宋_GB2312" w:hAnsi="宋体" w:eastAsia="仿宋_GB2312"/>
          <w:sz w:val="24"/>
          <w:szCs w:val="24"/>
        </w:rPr>
      </w:pPr>
      <w:r>
        <w:rPr>
          <w:rFonts w:hint="eastAsia" w:ascii="仿宋_GB2312" w:hAnsi="等线" w:eastAsia="仿宋_GB2312"/>
          <w:sz w:val="24"/>
          <w:szCs w:val="24"/>
        </w:rPr>
        <w:t>本项目终验合格</w:t>
      </w:r>
      <w:r>
        <w:rPr>
          <w:rFonts w:hint="eastAsia" w:ascii="仿宋_GB2312" w:eastAsia="仿宋_GB2312"/>
          <w:bCs/>
          <w:sz w:val="24"/>
          <w:szCs w:val="24"/>
        </w:rPr>
        <w:t>后</w:t>
      </w:r>
      <w:r>
        <w:rPr>
          <w:rFonts w:hint="eastAsia" w:ascii="仿宋_GB2312" w:hAnsi="等线" w:eastAsia="仿宋_GB2312"/>
          <w:sz w:val="24"/>
          <w:szCs w:val="24"/>
        </w:rPr>
        <w:t>7个工作日内，</w:t>
      </w:r>
      <w:r>
        <w:rPr>
          <w:rFonts w:hint="eastAsia" w:ascii="仿宋_GB2312" w:hAnsi="宋体" w:eastAsia="仿宋_GB2312"/>
          <w:sz w:val="24"/>
          <w:szCs w:val="24"/>
        </w:rPr>
        <w:t>采购人根据供应商提供的正规发票，按财政部门规定的支付方式支付合同金额的40%给供应商。</w:t>
      </w:r>
    </w:p>
    <w:p>
      <w:pPr>
        <w:pStyle w:val="65"/>
        <w:spacing w:line="440" w:lineRule="exact"/>
        <w:ind w:firstLine="720" w:firstLineChars="3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当采购数量与实际使用数量不一致时，乙方应根据实际使用量供货，合同的最终结算金额按实际使用量乘以成交单价进行计算。</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十一、税费</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本合同执行中相关的一切税费均由乙方负担。</w:t>
      </w:r>
    </w:p>
    <w:p>
      <w:pPr>
        <w:pStyle w:val="2"/>
        <w:numPr>
          <w:ilvl w:val="0"/>
          <w:numId w:val="12"/>
        </w:numPr>
        <w:spacing w:line="560" w:lineRule="exact"/>
        <w:ind w:firstLine="480"/>
        <w:rPr>
          <w:rFonts w:ascii="仿宋_GB2312" w:hAnsi="仿宋_GB2312" w:eastAsia="仿宋_GB2312" w:cs="仿宋_GB2312"/>
          <w:szCs w:val="24"/>
        </w:rPr>
      </w:pPr>
      <w:r>
        <w:rPr>
          <w:rFonts w:hint="eastAsia" w:ascii="仿宋_GB2312" w:hAnsi="仿宋_GB2312" w:eastAsia="仿宋_GB2312" w:cs="仿宋_GB2312"/>
          <w:spacing w:val="0"/>
          <w:kern w:val="2"/>
          <w:szCs w:val="24"/>
        </w:rPr>
        <w:t>售后服务及运维服务要求</w:t>
      </w:r>
      <w:r>
        <w:rPr>
          <w:rFonts w:hint="eastAsia" w:ascii="仿宋_GB2312" w:hAnsi="仿宋_GB2312" w:eastAsia="仿宋_GB2312" w:cs="仿宋_GB2312"/>
          <w:szCs w:val="24"/>
        </w:rPr>
        <w:t xml:space="preserve"> </w:t>
      </w:r>
    </w:p>
    <w:p>
      <w:pPr>
        <w:pStyle w:val="3"/>
        <w:ind w:firstLine="482" w:firstLineChars="200"/>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标项一：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售后服务及运维期要求：</w:t>
      </w:r>
    </w:p>
    <w:p>
      <w:pPr>
        <w:numPr>
          <w:ilvl w:val="0"/>
          <w:numId w:val="13"/>
        </w:num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运维期：</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本项目所采购的各项设备、系统及相关服务的运维期</w:t>
      </w:r>
      <w:r>
        <w:rPr>
          <w:rFonts w:hint="eastAsia" w:ascii="仿宋_GB2312" w:hAnsi="仿宋_GB2312" w:eastAsia="仿宋_GB2312" w:cs="仿宋_GB2312"/>
          <w:color w:val="000000" w:themeColor="text1"/>
          <w:sz w:val="24"/>
          <w:szCs w:val="24"/>
        </w:rPr>
        <w:t>从项目终验合格开始计算，乙方应提供不少于5年的运维服务，包括中载云台的链路租赁费、挂载费、电费及数据服务费等；其中天通卫星电话需提供一年的卫星通信费。</w:t>
      </w:r>
      <w:r>
        <w:rPr>
          <w:rFonts w:hint="eastAsia" w:ascii="仿宋_GB2312" w:hAnsi="仿宋_GB2312" w:eastAsia="仿宋_GB2312" w:cs="仿宋_GB2312"/>
          <w:color w:val="000000" w:themeColor="text1"/>
          <w:sz w:val="24"/>
          <w:szCs w:val="24"/>
          <w:shd w:val="clear" w:color="auto" w:fill="FFFFFF"/>
        </w:rPr>
        <w:t>期间7*24小时监测系统运行情况，48小时内完成故障处理。</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 xml:space="preserve"> 二、售后服务及运维服务要求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1.乙方应提供上门售后服务，并提供7×24小时热线电话服务。</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2.响应时间：乙方应在接到甲方通报故障的电话或传真后应立即响应，对于无法通过电话或传真指导排除故障的，乙方在接到通知后2小时内响应，6小时内到达故障现场，无特殊情况在当天负责将系统恢复正常使用。修理费用由乙方承担，</w:t>
      </w:r>
      <w:r>
        <w:rPr>
          <w:rFonts w:hint="eastAsia" w:ascii="仿宋_GB2312" w:hAnsi="仿宋_GB2312" w:eastAsia="仿宋_GB2312" w:cs="仿宋_GB2312"/>
          <w:bCs/>
          <w:color w:val="000000" w:themeColor="text1"/>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themeColor="text1"/>
          <w:sz w:val="24"/>
          <w:szCs w:val="24"/>
        </w:rPr>
        <w:t>货到现场后由于甲方保管不当造成的问题，乙方亦应负责修复，但费用由甲方负担。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3.质保期内因产品质量问题而引起的维修费用（包括材料和人工费以及措施费等一切费用）均由乙方承担。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4.在质保期内设备出现2次维修不合格时，应及时更换新设备，以满足设备正常运行。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5.运维期内，提供维保服务，包括免费更换损坏的设备，维护人员对维护的视频监控设备进行全面检测一年两次，每半年维护保养一次。根据系统检测情况对系统实行维护，参数调整，保洁，故障维修等。</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6.维护监控设备：对现有的96个监控点位的所有设备进行维护保养；</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7.设备维护要求：</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每周基于视频管理平台至少一次对设备进行全面巡查，发现问题通过即时通信工具通知主管，如系线路故障的立即通知线路运营商修复，如设备损坏的立即带备品备件更换，2小时内响应，6小时内到达故障现场，无特殊情况在当天负责将系统恢复正常使用。</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8.维护单位需在舟山市有本岛常驻维护人员不少于1名,驻点维护车辆不少于1辆，必要的时候，根据用户需要，可以直接前往监控点位，进行维保工作。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9.维护人员应有足够的备件在公司或用户单位，从而以最快的速度解决系统的故障。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10.若用户对现有监控点位需要进行调整时，乙方需协调设备厂商必须免费进行配合选址和架设等工作，并在最短时间内完成监控恢复运行。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11.在用户承担重大活动保卫任务期间，根据用户要求，需派技术人员提前到场，保证任务期间系统正常运行。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12.任何部件出现故障（除人为和自然不可抗力以外），乙方需协调原生产厂商进行免费维修，元器件免费更换，直至修复系统。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13、各系统中的高功率损耗部件，如出现老化损耗现象，乙方可向用户建议整机更新，视情况收取相应成本费。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14、</w:t>
      </w:r>
      <w:r>
        <w:rPr>
          <w:rFonts w:hint="eastAsia" w:ascii="仿宋_GB2312" w:hAnsi="仿宋_GB2312" w:eastAsia="仿宋_GB2312" w:cs="仿宋_GB2312"/>
          <w:bCs/>
          <w:color w:val="000000" w:themeColor="text1"/>
          <w:sz w:val="24"/>
          <w:szCs w:val="24"/>
        </w:rPr>
        <w:t>质保期（运维期）</w:t>
      </w:r>
      <w:r>
        <w:rPr>
          <w:rFonts w:hint="eastAsia" w:ascii="仿宋_GB2312" w:hAnsi="仿宋_GB2312" w:eastAsia="仿宋_GB2312" w:cs="仿宋_GB2312"/>
          <w:color w:val="000000" w:themeColor="text1"/>
          <w:sz w:val="24"/>
          <w:szCs w:val="24"/>
        </w:rPr>
        <w:t>结束前，须由乙方和甲方进行一次全面检查，任何缺陷必须由乙方负责修理，在修理之后，乙方应将缺陷原因、修理内容、完成修理及恢复正常的时间和日期等报告给甲方，报告一式两份。</w:t>
      </w:r>
    </w:p>
    <w:p>
      <w:pPr>
        <w:pStyle w:val="2"/>
        <w:ind w:firstLine="460"/>
        <w:rPr>
          <w:color w:val="000000" w:themeColor="text1"/>
        </w:rPr>
      </w:pPr>
    </w:p>
    <w:p>
      <w:pPr>
        <w:pStyle w:val="4"/>
        <w:ind w:firstLine="241"/>
        <w:rPr>
          <w:b/>
          <w:bCs/>
        </w:rPr>
      </w:pPr>
      <w:r>
        <w:rPr>
          <w:rFonts w:hint="eastAsia"/>
          <w:b/>
          <w:bCs/>
        </w:rPr>
        <w:t>标项二：</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售后服务及运维期要求：</w:t>
      </w:r>
    </w:p>
    <w:p>
      <w:pPr>
        <w:spacing w:line="360" w:lineRule="auto"/>
        <w:ind w:firstLine="482" w:firstLineChars="200"/>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一、运维期：</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本项目所采购的各项设备及相关服务的运维期</w:t>
      </w:r>
      <w:r>
        <w:rPr>
          <w:rFonts w:hint="eastAsia" w:ascii="仿宋_GB2312" w:hAnsi="仿宋_GB2312" w:eastAsia="仿宋_GB2312" w:cs="仿宋_GB2312"/>
          <w:color w:val="000000" w:themeColor="text1"/>
          <w:sz w:val="24"/>
          <w:szCs w:val="24"/>
        </w:rPr>
        <w:t>从项目终验合格开始计算，乙方应提供不少于3年的运维服务。</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二、售后服务及运维服务要求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1.乙方应提供上门售后服务，并提供7×24小时热线电话服务。</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2.响应时间：乙方应在接到甲方通报故障的电话或传真后应立即响应，对于无法通过电话或传真指导排除故障的，乙方在接到通知后2小时内响应，6小时内到达故障现场，无特殊情况在当天负责将系统恢复正常使用。修理费用由乙方承担，</w:t>
      </w:r>
      <w:r>
        <w:rPr>
          <w:rFonts w:hint="eastAsia" w:ascii="仿宋_GB2312" w:hAnsi="仿宋_GB2312" w:eastAsia="仿宋_GB2312" w:cs="仿宋_GB2312"/>
          <w:bCs/>
          <w:color w:val="000000" w:themeColor="text1"/>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themeColor="text1"/>
          <w:sz w:val="24"/>
          <w:szCs w:val="24"/>
        </w:rPr>
        <w:t>货到现场后由于甲方保管不当造成的问题，乙方亦应负责修复，但费用由甲方负担。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3.质保期（运维期）内因产品质量问题而引起的维修费用（包括材料和人工费以及措施费等一切费用）均由乙方承担。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4、在质保期（运维期）内设备出现2次维修不合格时，应及时更换新设备，以满足设备正常运行。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5、维护单位需在舟山市有本岛常驻维护人员不少于1名,驻点维护车辆不少于1辆，必要的时候，根据用户需要，可以直接前往用户场所，进行维保工作。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8、任何部件出现故障（除人为和自然不可抗力以外），乙方需协调原生产厂商进行免费维修，元器件免费更换，直至修复系统。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9、各系统中的高功率损耗部件，如出现老化损耗现象，乙方可向用户建议整机更新，视情况收取相应成本费。</w:t>
      </w:r>
    </w:p>
    <w:p>
      <w:pPr>
        <w:spacing w:line="360" w:lineRule="auto"/>
        <w:ind w:firstLine="480" w:firstLineChars="200"/>
        <w:rPr>
          <w:rFonts w:eastAsia="仿宋_GB2312"/>
          <w:color w:val="000000" w:themeColor="text1"/>
        </w:rPr>
      </w:pPr>
      <w:r>
        <w:rPr>
          <w:rFonts w:hint="eastAsia" w:ascii="仿宋_GB2312" w:hAnsi="仿宋_GB2312" w:eastAsia="仿宋_GB2312" w:cs="仿宋_GB2312"/>
          <w:color w:val="000000" w:themeColor="text1"/>
          <w:sz w:val="24"/>
          <w:szCs w:val="24"/>
        </w:rPr>
        <w:t>10、</w:t>
      </w:r>
      <w:r>
        <w:rPr>
          <w:rFonts w:hint="eastAsia" w:ascii="仿宋_GB2312" w:hAnsi="仿宋_GB2312" w:eastAsia="仿宋_GB2312" w:cs="仿宋_GB2312"/>
          <w:bCs/>
          <w:color w:val="000000" w:themeColor="text1"/>
          <w:sz w:val="24"/>
          <w:szCs w:val="24"/>
        </w:rPr>
        <w:t>质保期（运维期）</w:t>
      </w:r>
      <w:r>
        <w:rPr>
          <w:rFonts w:hint="eastAsia" w:ascii="仿宋_GB2312" w:hAnsi="仿宋_GB2312" w:eastAsia="仿宋_GB2312" w:cs="仿宋_GB2312"/>
          <w:color w:val="000000" w:themeColor="text1"/>
          <w:sz w:val="24"/>
          <w:szCs w:val="24"/>
        </w:rPr>
        <w:t>结束前，须由乙方和甲方进行一次全面检查，任何缺陷必须由乙方负责修理，在修理之后，乙方应将缺陷原因、修理内容、完成修理及恢复正常的时间和日期等报告给甲方，报告一式两份。</w:t>
      </w:r>
    </w:p>
    <w:p>
      <w:pPr>
        <w:pStyle w:val="2"/>
        <w:adjustRightInd w:val="0"/>
        <w:snapToGrid w:val="0"/>
        <w:spacing w:line="560" w:lineRule="exact"/>
        <w:ind w:firstLine="480"/>
        <w:rPr>
          <w:rFonts w:ascii="仿宋_GB2312" w:hAnsi="仿宋_GB2312" w:eastAsia="仿宋_GB2312" w:cs="仿宋_GB2312"/>
          <w:color w:val="000000" w:themeColor="text1"/>
          <w:spacing w:val="0"/>
          <w:kern w:val="2"/>
          <w:szCs w:val="24"/>
        </w:rPr>
      </w:pPr>
      <w:r>
        <w:rPr>
          <w:rFonts w:hint="eastAsia" w:ascii="仿宋_GB2312" w:hAnsi="仿宋_GB2312" w:eastAsia="仿宋_GB2312" w:cs="仿宋_GB2312"/>
          <w:color w:val="000000" w:themeColor="text1"/>
          <w:spacing w:val="0"/>
          <w:kern w:val="2"/>
          <w:szCs w:val="24"/>
        </w:rPr>
        <w:t>十三、货物包装、发货、运输</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13.1货物包装应符合财库办[2020]123号相关要求。</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13.2乙方应在货物发运前对其进行满足运输距离、防潮、防震、防锈和防破损装卸等要求包装，以保证货物安全运达甲方指定地点。</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13.3乙方在货物发运手续办理完毕后24小时内或货到甲方48小时前通知甲方。</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13.4货物在交付甲方使用前发生的风险均由乙方负责。</w:t>
      </w:r>
    </w:p>
    <w:p>
      <w:pPr>
        <w:pStyle w:val="13"/>
        <w:adjustRightInd w:val="0"/>
        <w:snapToGrid w:val="0"/>
        <w:spacing w:line="5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5、货物在规定的交付期限内由乙方送达甲方指定的地点视为交付，乙方同时需通知甲方货物已送达。</w:t>
      </w:r>
    </w:p>
    <w:p>
      <w:pPr>
        <w:pStyle w:val="2"/>
        <w:adjustRightInd w:val="0"/>
        <w:snapToGrid w:val="0"/>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十四、安装、调试和验收</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14.1乙方须派遣技术熟练的专业技术人员按照国家有关标准进行设备安装、调试直至设备验收合格通过。</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14.2乙方应做好安全防护措施，在项目实施工程中的一切安全责任均由乙方自行承担。</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14.3交货时乙方须附上货物货物的说明书、合格证、质量保证书、测试合格证等。</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由甲方对乙方提交的货物依据国家有关质量标准、采购文件技术规格要求、乙方投标文件中的承诺进行现场初步验收，产品数量、技术参数、外观、说明书、合格证等符合要求的，给予签收，初步验收不合格的不予签收，初步验收合格进入1个月试运行期，试运行期结束进行终验。验收中发现产品不符合验收标准或合同规定的性能指标或缺少或损坏的，乙方必须及时调整、更换该产品，直至符合要求为止，并承担相关费用。</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14.5乙方交货前应对产品作出全面检查和对验收文件进行整理，并列出清单，作为甲方及货物使用单位收货验收和使用的技术条件依据，检验的结果应随货物交甲方及货物使用单位。</w:t>
      </w:r>
    </w:p>
    <w:p>
      <w:pPr>
        <w:pStyle w:val="13"/>
        <w:adjustRightInd w:val="0"/>
        <w:snapToGrid w:val="0"/>
        <w:spacing w:line="560" w:lineRule="exact"/>
        <w:ind w:firstLine="480" w:firstLineChars="200"/>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14.6甲方及货物使用单位对乙方提供的货物及系统在使用前进行调试时，乙方需负责培训使用单位的使用操作人员，并协助使用单位一起调试，直到符合技术要求，甲方才做最终验收。</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14.7对技术复杂的货物，甲方应请国家认可的专业检测机构参与初步验收及最终验收，并由其出具质量检测报告。</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14.8本项目验收时，由甲方组织相关人员进行验收，终验通过之日起计算质保期（运维期）。若验收不通过，应根据要求在甲方规定时间内整改完毕并通过复验，并从复验通过之次日起计算质保期（运维期）。 </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14.9验收时乙方必须在现场，验收完毕后作出验收结果报告；验收费用由乙方负责。</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14.10验收时甲方有权随机抽取部分货物移送专业检测机构检测，检测结果不满足采购文件上的技术规格要求、国家有关质量标准及乙方投标文件中承诺的，甲方有权要求乙方无条件更换，由此产生的费用由乙方承担，并承担相应的法律责任。</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14.11货物调试完成后，乙方需提供产品质保书、产品供货清单、产品供货凭证、使用操作说明、常见问题及故障修复、紧急情况应急处置措施等书面资料。</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十五、培训要求</w:t>
      </w:r>
    </w:p>
    <w:p>
      <w:pPr>
        <w:adjustRightInd w:val="0"/>
        <w:snapToGrid w:val="0"/>
        <w:spacing w:line="560" w:lineRule="exact"/>
        <w:ind w:firstLine="480" w:firstLineChars="20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15.1乙方提供的培训指导人员应具有相同或相近应用和维护设备的经验，能够正确地进行培训服务。</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15.2与本项目有关的使用单位技术人员和操作人员都将根据本项目的要求进行充分的培训。乙方应根据这一基本要求，完成整个设备使用所有必需的培训内容，满足使用单位的需要。</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15.3乙方应向使用单位技术人员和操作人员对本项目系统的使用操作和维护进行培训，所有培训应以中文进行（或配备中文翻译）。</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十六、违约责任</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16.1甲方无正当理由拒收货物的，甲方向乙方偿付拒收货款总额的百分之五违约金。</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16.2甲方无故逾期验收和办理货款支付手续的,甲方应按逾期付款总额每日万分之五向乙方支付违约金。</w:t>
      </w:r>
    </w:p>
    <w:p>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16.3乙方所交的产品品牌、型号、规格、质量不符合合同规定及采购文件规定标准、投标文件承诺的，甲方有权拒收，乙方明确无法履行承诺的，甲方有权单方面解除合同，乙方应支付甲方合同价款的10%作为违约金；乙方愿意更换但逾期交付的，按乙方逾期交货处理，乙方应按合同价每日千分之六向甲方支付违约金；乙方逾期超过30天，甲方有权单方面解除合同并追究乙方相关法律责任。</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16.4乙方承诺的系统功能或设备参数，每缺少一项扣1000元，并由乙方补足缺少的相应功能或设备参数，缺少功能或设备参数超过3项时，甲方有权单方面解除合同、没收履约保证金，并向第三方采购缺少的相应功能，由此给甲方造成的一切损失均由乙方承担。</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16.5在质保期（运维期）内，产品（系统）出现问题，乙方未按合同约定的服务响应时间提供服务的，每次偿付2000元违约金，并赔偿甲方损失；同时，乙方应继续履行质保（运维）义务。</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16.6在质保期（运维期）内，乙方拒绝履行保修（运维）义务的，甲方可以向第三方采购服务，由此发生的费用由乙方承担，除此之外乙方还须支付甲方10000元违约金。</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16.7本合同签订后需严格遵守（不可抗力除外），如因甲乙双方单方面原因无法履行合同时，应提前一个月通知对方，在取得对方同意后方可终止合同，并赔偿给对方造成的损失。</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16.8乙方因逾期交付或因其他违约行为导致甲方解除合同的，乙方应向甲方支付</w:t>
      </w:r>
      <w:r>
        <w:rPr>
          <w:rFonts w:hint="eastAsia" w:ascii="仿宋_GB2312" w:hAnsi="仿宋_GB2312" w:eastAsia="仿宋_GB2312" w:cs="仿宋_GB2312"/>
          <w:bCs/>
          <w:color w:val="000000"/>
          <w:sz w:val="24"/>
          <w:szCs w:val="24"/>
        </w:rPr>
        <w:t>合同金额10</w:t>
      </w:r>
      <w:r>
        <w:rPr>
          <w:rFonts w:hint="eastAsia" w:ascii="仿宋_GB2312" w:hAnsi="仿宋_GB2312" w:eastAsia="仿宋_GB2312" w:cs="仿宋_GB2312"/>
          <w:color w:val="000000"/>
          <w:sz w:val="24"/>
          <w:szCs w:val="24"/>
        </w:rPr>
        <w:t>%的违约金，如造成甲方损失超过违约金的，超出部分由乙方继续承担赔偿责任。因甲方原因终止合同执行的，本项目项目款按乙方已完成量（满足采购要求部分）进行结算（乙方不得以此为由向甲方提出索赔），该费用待乙方向甲方偿付应支付的违约费用后支付。</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16.9如果出现政府采购监督管理部门在处理投诉事项期间，书面通知甲方暂停采购活动的情形，或者询问或质疑事项可能影响中标或者成交结果的，导致甲方中止履行合同的情形，均不视为甲方违约。</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十七、不可抗力事件处理</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17.1在合同有效期内，任何一方因不可抗力事件导致不能履行合同，则合同履行期可延长，其延长期与不可抗力影响期相同。</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17.2不可抗力事件发生后，应立即通知对方，并寄送有关权威机构出具的证明。</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17.3不可抗力事件延续120天以上，双方应通过友好协商，确定是否继续履行合同。</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十八、诉讼</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双方在执行合同中所发生的一切争议，应通过协商解决。如协商不成，可向</w:t>
      </w:r>
      <w:r>
        <w:rPr>
          <w:rFonts w:hint="eastAsia" w:ascii="仿宋_GB2312" w:hAnsi="仿宋_GB2312" w:eastAsia="仿宋_GB2312" w:cs="仿宋_GB2312"/>
          <w:color w:val="000000"/>
          <w:sz w:val="24"/>
          <w:szCs w:val="24"/>
          <w:u w:val="single"/>
        </w:rPr>
        <w:t>舟山市</w:t>
      </w:r>
      <w:r>
        <w:rPr>
          <w:rFonts w:hint="eastAsia" w:ascii="仿宋_GB2312" w:hAnsi="仿宋_GB2312" w:eastAsia="仿宋_GB2312" w:cs="仿宋_GB2312"/>
          <w:color w:val="000000"/>
          <w:sz w:val="24"/>
          <w:szCs w:val="24"/>
        </w:rPr>
        <w:t>人民法院起诉。</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十九、合同生效及其它</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19.1合同经双方法定代表人或授权委托代理人签字并加盖单位公章后生效。</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19.2本合同未尽事宜，遵照《中华人民共和国民法典》有关条文执行。</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19.3本合同正本一式肆份，具有同等法律效力，甲乙双方各执贰份。</w:t>
      </w:r>
    </w:p>
    <w:p>
      <w:pPr>
        <w:pStyle w:val="13"/>
        <w:snapToGrid w:val="0"/>
        <w:spacing w:line="360" w:lineRule="exact"/>
        <w:ind w:left="480" w:hanging="480" w:hangingChars="2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甲方（盖章）：                             乙方（盖章）： </w:t>
      </w:r>
    </w:p>
    <w:p>
      <w:pPr>
        <w:pStyle w:val="13"/>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地址：                                     地址： </w:t>
      </w:r>
    </w:p>
    <w:p>
      <w:pPr>
        <w:pStyle w:val="13"/>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法定（授权）代表人：                       法定（授权）代表人：</w:t>
      </w:r>
    </w:p>
    <w:p>
      <w:pPr>
        <w:pStyle w:val="13"/>
        <w:snapToGrid w:val="0"/>
        <w:spacing w:line="360" w:lineRule="exact"/>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 xml:space="preserve">  签字日期：      年  月  日                 签字日期：      年   月  日</w:t>
      </w:r>
    </w:p>
    <w:p>
      <w:pPr>
        <w:pStyle w:val="11"/>
      </w:pPr>
    </w:p>
    <w:p>
      <w:pPr>
        <w:pStyle w:val="11"/>
      </w:pPr>
    </w:p>
    <w:p>
      <w:pPr>
        <w:pStyle w:val="11"/>
      </w:pPr>
    </w:p>
    <w:p>
      <w:pPr>
        <w:pStyle w:val="11"/>
      </w:pPr>
    </w:p>
    <w:p>
      <w:pPr>
        <w:pStyle w:val="11"/>
      </w:pPr>
    </w:p>
    <w:p>
      <w:pPr>
        <w:pStyle w:val="11"/>
      </w:pPr>
    </w:p>
    <w:p>
      <w:pPr>
        <w:pStyle w:val="11"/>
      </w:pPr>
    </w:p>
    <w:p>
      <w:pPr>
        <w:pStyle w:val="11"/>
      </w:pPr>
    </w:p>
    <w:p>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第六部分</w:t>
      </w:r>
      <w:bookmarkEnd w:id="397"/>
      <w:bookmarkEnd w:id="398"/>
      <w:r>
        <w:rPr>
          <w:rFonts w:hint="eastAsia" w:ascii="仿宋_GB2312" w:eastAsia="仿宋_GB2312"/>
          <w:b/>
          <w:sz w:val="24"/>
          <w:szCs w:val="24"/>
        </w:rPr>
        <w:t>应提交的有关格式范例</w:t>
      </w:r>
    </w:p>
    <w:p>
      <w:pPr>
        <w:spacing w:line="540" w:lineRule="exact"/>
        <w:ind w:firstLine="560"/>
        <w:contextualSpacing/>
        <w:rPr>
          <w:rFonts w:ascii="仿宋_GB2312" w:eastAsia="仿宋_GB2312"/>
          <w:sz w:val="24"/>
          <w:szCs w:val="24"/>
        </w:rPr>
      </w:pPr>
    </w:p>
    <w:p>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资格文件部分</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目录</w:t>
      </w:r>
    </w:p>
    <w:p>
      <w:pPr>
        <w:spacing w:line="540" w:lineRule="exact"/>
        <w:ind w:firstLine="560"/>
        <w:contextualSpacing/>
        <w:rPr>
          <w:rFonts w:ascii="仿宋_GB2312" w:eastAsia="仿宋_GB2312"/>
          <w:sz w:val="28"/>
          <w:szCs w:val="28"/>
        </w:rPr>
      </w:pP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一、符合参加政府采购活动应当具备的一般条件的承诺函…………（页码）</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二、联合协议（如果有）………………………………………………（页码）</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三、落实政府采购政策需满足的资格要求（如果有）………………（页码）</w:t>
      </w:r>
    </w:p>
    <w:p>
      <w:pPr>
        <w:spacing w:line="540" w:lineRule="exact"/>
        <w:ind w:firstLine="560"/>
        <w:contextualSpacing/>
        <w:jc w:val="center"/>
        <w:rPr>
          <w:rFonts w:ascii="仿宋_GB2312" w:eastAsia="仿宋_GB2312"/>
          <w:b/>
          <w:sz w:val="24"/>
          <w:szCs w:val="24"/>
        </w:rPr>
      </w:pPr>
      <w:r>
        <w:rPr>
          <w:rFonts w:hint="eastAsia" w:ascii="仿宋_GB2312" w:eastAsia="仿宋_GB2312"/>
          <w:sz w:val="24"/>
          <w:szCs w:val="24"/>
        </w:rPr>
        <w:t>四、本项目的特定资格要求（如果有）………………………………（页码）</w:t>
      </w:r>
      <w:r>
        <w:rPr>
          <w:rFonts w:hint="eastAsia" w:ascii="仿宋_GB2312" w:eastAsia="仿宋_GB2312"/>
          <w:sz w:val="24"/>
          <w:szCs w:val="24"/>
        </w:rPr>
        <w:br w:type="page"/>
      </w:r>
      <w:r>
        <w:rPr>
          <w:rFonts w:hint="eastAsia" w:ascii="仿宋_GB2312" w:eastAsia="仿宋_GB2312"/>
          <w:b/>
          <w:sz w:val="24"/>
          <w:szCs w:val="24"/>
        </w:rPr>
        <w:t>一、 符合参加政府采购活动应当具备的一般条件的承诺函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ind w:firstLine="482"/>
        <w:contextualSpacing/>
        <w:jc w:val="center"/>
        <w:rPr>
          <w:rFonts w:ascii="仿宋_GB2312" w:eastAsia="仿宋_GB2312"/>
          <w:b/>
          <w:sz w:val="24"/>
          <w:szCs w:val="24"/>
        </w:rPr>
      </w:pPr>
    </w:p>
    <w:p>
      <w:pPr>
        <w:widowControl/>
        <w:spacing w:line="360" w:lineRule="auto"/>
        <w:ind w:firstLine="643" w:firstLineChars="200"/>
        <w:jc w:val="center"/>
        <w:rPr>
          <w:rFonts w:ascii="仿宋_GB2312" w:hAnsi="宋体" w:eastAsia="仿宋_GB2312" w:cs="宋体"/>
          <w:b/>
          <w:kern w:val="0"/>
          <w:sz w:val="32"/>
          <w:szCs w:val="32"/>
        </w:rPr>
      </w:pPr>
    </w:p>
    <w:p>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pPr>
        <w:widowControl/>
        <w:spacing w:line="560" w:lineRule="exact"/>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pPr>
        <w:snapToGrid w:val="0"/>
        <w:spacing w:line="560" w:lineRule="exact"/>
        <w:ind w:right="480" w:firstLine="482"/>
        <w:jc w:val="center"/>
        <w:rPr>
          <w:rFonts w:ascii="仿宋_GB2312" w:hAnsi="宋体" w:eastAsia="仿宋_GB2312" w:cs="宋体"/>
          <w:b/>
          <w:kern w:val="0"/>
          <w:sz w:val="24"/>
          <w:szCs w:val="24"/>
        </w:rPr>
      </w:pPr>
    </w:p>
    <w:p>
      <w:pPr>
        <w:pStyle w:val="3"/>
        <w:rPr>
          <w:rFonts w:ascii="仿宋_GB2312" w:eastAsia="仿宋_GB2312"/>
          <w:sz w:val="24"/>
          <w:szCs w:val="24"/>
        </w:rPr>
      </w:pPr>
    </w:p>
    <w:p>
      <w:pPr>
        <w:snapToGrid w:val="0"/>
        <w:spacing w:line="560" w:lineRule="exact"/>
        <w:ind w:right="480"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r>
        <w:rPr>
          <w:rFonts w:hint="eastAsia" w:ascii="仿宋_GB2312" w:eastAsia="仿宋_GB2312"/>
          <w:b/>
          <w:sz w:val="24"/>
          <w:szCs w:val="24"/>
        </w:rPr>
        <w:t>（如果有）</w:t>
      </w:r>
    </w:p>
    <w:p>
      <w:pPr>
        <w:spacing w:line="560" w:lineRule="exact"/>
        <w:rPr>
          <w:rFonts w:ascii="仿宋_GB2312" w:hAnsi="宋体" w:eastAsia="仿宋_GB2312" w:cs="宋体"/>
          <w:sz w:val="24"/>
          <w:szCs w:val="24"/>
        </w:rPr>
      </w:pPr>
      <w:r>
        <w:rPr>
          <w:rFonts w:hint="eastAsia" w:ascii="仿宋_GB2312" w:hAnsi="宋体" w:eastAsia="仿宋_GB2312" w:cs="宋体"/>
          <w:sz w:val="24"/>
          <w:szCs w:val="24"/>
        </w:rPr>
        <w:t>（根据招标公告落实政府采购政策需满足的资格要求选择提供相应的材料；未要求的，无需提供）</w:t>
      </w:r>
    </w:p>
    <w:p>
      <w:pPr>
        <w:snapToGrid w:val="0"/>
        <w:spacing w:before="50" w:after="50"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A</w:t>
      </w:r>
      <w:r>
        <w:rPr>
          <w:rFonts w:hint="eastAsia" w:ascii="仿宋_GB2312" w:hAnsi="宋体" w:eastAsia="仿宋_GB2312" w:cs="宋体"/>
          <w:sz w:val="24"/>
          <w:szCs w:val="24"/>
        </w:rPr>
        <w:t xml:space="preserve">.专门面向中小企业，服务全部由符合政策要求的中小企业（或小微企业）承接的，提供相应的中小企业声明函（附件5）。 </w:t>
      </w:r>
    </w:p>
    <w:p>
      <w:pPr>
        <w:widowControl/>
        <w:spacing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B.</w:t>
      </w:r>
      <w:r>
        <w:rPr>
          <w:rFonts w:hint="eastAsia" w:ascii="仿宋_GB2312" w:hAnsi="宋体"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视同符合了资格条件，无需再与其他中小企业组成联合体参加政府采购活动，无需提供联合协议。</w:t>
      </w:r>
    </w:p>
    <w:p>
      <w:pPr>
        <w:snapToGrid w:val="0"/>
        <w:spacing w:before="50" w:after="50" w:line="560" w:lineRule="exact"/>
        <w:ind w:firstLine="482"/>
        <w:jc w:val="left"/>
        <w:rPr>
          <w:rFonts w:ascii="仿宋_GB2312" w:hAnsi="宋体" w:eastAsia="仿宋_GB2312" w:cs="宋体"/>
          <w:sz w:val="24"/>
          <w:szCs w:val="24"/>
        </w:rPr>
      </w:pPr>
      <w:r>
        <w:rPr>
          <w:rFonts w:hint="eastAsia" w:ascii="仿宋_GB2312" w:hAnsi="宋体" w:eastAsia="仿宋_GB2312" w:cs="宋体"/>
          <w:b/>
          <w:sz w:val="24"/>
          <w:szCs w:val="24"/>
        </w:rPr>
        <w:t xml:space="preserve">    C.</w:t>
      </w:r>
      <w:r>
        <w:rPr>
          <w:rFonts w:hint="eastAsia" w:ascii="仿宋_GB2312" w:hAnsi="宋体"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视同符合了资格条件，无需再向中小企业分包，无需提供分包意向协议。</w:t>
      </w:r>
    </w:p>
    <w:p>
      <w:pPr>
        <w:widowControl/>
        <w:spacing w:line="560" w:lineRule="exact"/>
        <w:ind w:left="479" w:firstLine="482"/>
        <w:jc w:val="center"/>
        <w:rPr>
          <w:rFonts w:ascii="仿宋_GB2312" w:hAnsi="宋体" w:eastAsia="仿宋_GB2312" w:cs="宋体"/>
          <w:b/>
          <w:kern w:val="0"/>
          <w:sz w:val="24"/>
          <w:szCs w:val="24"/>
        </w:rPr>
      </w:pPr>
    </w:p>
    <w:p>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r>
        <w:rPr>
          <w:rFonts w:hint="eastAsia" w:ascii="仿宋_GB2312" w:eastAsia="仿宋_GB2312"/>
          <w:b/>
          <w:sz w:val="24"/>
          <w:szCs w:val="24"/>
        </w:rPr>
        <w:t>（如果有）</w:t>
      </w:r>
    </w:p>
    <w:p>
      <w:pPr>
        <w:spacing w:line="560" w:lineRule="exact"/>
        <w:jc w:val="left"/>
        <w:rPr>
          <w:rFonts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（根据招标公告本项目的特定资格要求提供相应的材料；未要求的，无需提供）</w:t>
      </w:r>
    </w:p>
    <w:p>
      <w:pPr>
        <w:spacing w:line="560" w:lineRule="exact"/>
        <w:ind w:firstLine="482"/>
        <w:contextualSpacing/>
        <w:jc w:val="center"/>
        <w:rPr>
          <w:rFonts w:ascii="仿宋_GB2312" w:eastAsia="仿宋_GB2312"/>
          <w:b/>
          <w:sz w:val="24"/>
          <w:szCs w:val="24"/>
        </w:rPr>
      </w:pPr>
    </w:p>
    <w:p>
      <w:pPr>
        <w:pStyle w:val="11"/>
      </w:pPr>
    </w:p>
    <w:p>
      <w:pPr>
        <w:pStyle w:val="11"/>
      </w:pPr>
    </w:p>
    <w:p>
      <w:pPr>
        <w:pStyle w:val="11"/>
      </w:pPr>
    </w:p>
    <w:p>
      <w:pPr>
        <w:spacing w:line="560" w:lineRule="exact"/>
        <w:ind w:firstLine="562"/>
        <w:contextualSpacing/>
        <w:jc w:val="center"/>
        <w:rPr>
          <w:rFonts w:ascii="仿宋_GB2312" w:eastAsia="仿宋_GB2312"/>
          <w:b/>
          <w:sz w:val="28"/>
          <w:szCs w:val="28"/>
        </w:rPr>
      </w:pPr>
      <w:r>
        <w:rPr>
          <w:rFonts w:hint="eastAsia" w:ascii="仿宋_GB2312" w:eastAsia="仿宋_GB2312"/>
          <w:b/>
          <w:sz w:val="28"/>
          <w:szCs w:val="28"/>
        </w:rPr>
        <w:t>商务技术文件部分</w:t>
      </w:r>
    </w:p>
    <w:p>
      <w:pPr>
        <w:spacing w:line="560" w:lineRule="exact"/>
        <w:ind w:firstLine="560"/>
        <w:contextualSpacing/>
        <w:rPr>
          <w:rFonts w:ascii="仿宋_GB2312" w:eastAsia="仿宋_GB2312"/>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目录</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投标函………………………………………………………………………（页码）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联合协议（如果有）………………………………………………………（页码）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分包意向协议（如果有）…………………………………………………（页码）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符合性审查资料……………………………………………………………（页码）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拟投入的项目班子格式（如果有）………………………………………（页码）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评标标准相应的商务技术资料……………………………………………（页码）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投标标的清单……………………………………………………………（页码）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商务技术偏离表……………………………………………………………（页码）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政府采购供应商廉洁自律承诺书…………………………………………（页码）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3"/>
        <w:rPr>
          <w:rFonts w:ascii="仿宋_GB2312" w:eastAsia="仿宋_GB2312"/>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一、投标函</w:t>
      </w:r>
    </w:p>
    <w:p>
      <w:pPr>
        <w:spacing w:line="540" w:lineRule="exact"/>
        <w:contextualSpacing/>
        <w:rPr>
          <w:rFonts w:ascii="仿宋_GB2312" w:eastAsia="仿宋_GB2312"/>
          <w:sz w:val="24"/>
          <w:szCs w:val="24"/>
        </w:rPr>
      </w:pPr>
    </w:p>
    <w:p>
      <w:pPr>
        <w:spacing w:line="4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 xml:space="preserve">     </w:t>
      </w:r>
      <w:r>
        <w:rPr>
          <w:rFonts w:hint="eastAsia" w:ascii="仿宋_GB2312" w:eastAsia="仿宋_GB2312"/>
          <w:sz w:val="24"/>
          <w:szCs w:val="24"/>
        </w:rPr>
        <w:t>天（不少于90天），本投标文件在投标有效期满之前均具有约束力。</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3.我方承诺除商务技术偏离表（如果有）列出的偏离外，我方响应招标文件的全部要求。</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11"/>
      </w:pPr>
    </w:p>
    <w:p>
      <w:pPr>
        <w:pStyle w:val="11"/>
      </w:pPr>
    </w:p>
    <w:p>
      <w:pPr>
        <w:pStyle w:val="11"/>
      </w:pPr>
    </w:p>
    <w:p>
      <w:pPr>
        <w:pStyle w:val="11"/>
      </w:pPr>
    </w:p>
    <w:p>
      <w:pPr>
        <w:pStyle w:val="11"/>
      </w:pPr>
    </w:p>
    <w:p>
      <w:pPr>
        <w:pStyle w:val="11"/>
      </w:pPr>
    </w:p>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pPr>
        <w:spacing w:line="540" w:lineRule="exact"/>
        <w:contextualSpacing/>
        <w:rPr>
          <w:rFonts w:ascii="仿宋_GB2312" w:eastAsia="仿宋_GB2312"/>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480"/>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480"/>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pStyle w:val="11"/>
      </w:pPr>
    </w:p>
    <w:p>
      <w:pPr>
        <w:pStyle w:val="11"/>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tcPr>
          <w:p>
            <w:pPr>
              <w:spacing w:line="540" w:lineRule="exact"/>
              <w:contextualSpacing/>
              <w:rPr>
                <w:rFonts w:ascii="仿宋_GB2312" w:eastAsia="仿宋_GB2312"/>
                <w:sz w:val="24"/>
                <w:szCs w:val="24"/>
              </w:rPr>
            </w:pPr>
            <w:r>
              <w:rPr>
                <w:rFonts w:hint="eastAsia" w:ascii="仿宋_GB2312" w:eastAsia="仿宋_GB2312"/>
                <w:sz w:val="24"/>
                <w:szCs w:val="24"/>
              </w:rPr>
              <w:t>正面：                                 反面：</w:t>
            </w:r>
          </w:p>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pStyle w:val="3"/>
        <w:rPr>
          <w:rFonts w:ascii="仿宋_GB2312" w:eastAsia="仿宋_GB2312"/>
        </w:rPr>
      </w:pPr>
    </w:p>
    <w:p>
      <w:pPr>
        <w:pStyle w:val="18"/>
        <w:ind w:firstLine="883"/>
        <w:rPr>
          <w:rFonts w:ascii="仿宋_GB2312" w:eastAsia="仿宋_GB2312"/>
        </w:rPr>
      </w:pPr>
    </w:p>
    <w:p>
      <w:pPr>
        <w:pStyle w:val="3"/>
        <w:rPr>
          <w:rFonts w:ascii="仿宋_GB2312" w:eastAsia="仿宋_GB2312"/>
        </w:rPr>
      </w:pPr>
    </w:p>
    <w:p>
      <w:pPr>
        <w:widowControl/>
        <w:spacing w:line="560" w:lineRule="exact"/>
        <w:ind w:firstLine="562"/>
        <w:jc w:val="center"/>
        <w:rPr>
          <w:rFonts w:ascii="仿宋_GB2312" w:eastAsia="仿宋_GB2312"/>
          <w:b/>
          <w:sz w:val="28"/>
          <w:szCs w:val="28"/>
        </w:rPr>
      </w:pPr>
      <w:r>
        <w:rPr>
          <w:rFonts w:hint="eastAsia" w:ascii="仿宋_GB2312" w:eastAsia="仿宋_GB2312"/>
          <w:b/>
          <w:sz w:val="28"/>
          <w:szCs w:val="28"/>
        </w:rPr>
        <w:t>三、联合协议（如果有）</w:t>
      </w:r>
    </w:p>
    <w:p>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pPr>
        <w:pStyle w:val="18"/>
        <w:ind w:firstLine="883"/>
        <w:rPr>
          <w:rFonts w:ascii="仿宋_GB2312" w:eastAsia="仿宋_GB2312"/>
        </w:rPr>
      </w:pPr>
    </w:p>
    <w:p>
      <w:pPr>
        <w:pStyle w:val="3"/>
        <w:rPr>
          <w:rFonts w:ascii="仿宋_GB2312" w:eastAsia="仿宋_GB2312"/>
        </w:rPr>
      </w:pPr>
    </w:p>
    <w:p>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pPr>
        <w:widowControl/>
        <w:spacing w:line="360" w:lineRule="auto"/>
        <w:ind w:firstLine="560"/>
        <w:jc w:val="left"/>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pPr>
        <w:spacing w:line="540" w:lineRule="exact"/>
        <w:ind w:firstLine="482"/>
        <w:contextualSpacing/>
        <w:jc w:val="center"/>
        <w:rPr>
          <w:rFonts w:ascii="仿宋_GB2312" w:eastAsia="仿宋_GB2312"/>
          <w:b/>
          <w:sz w:val="24"/>
          <w:szCs w:val="24"/>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六、拟投入的项目班子格式（如果有）</w:t>
      </w:r>
    </w:p>
    <w:p>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pPr>
        <w:spacing w:line="540" w:lineRule="exact"/>
        <w:ind w:firstLine="482"/>
        <w:contextualSpacing/>
        <w:jc w:val="center"/>
        <w:rPr>
          <w:rFonts w:ascii="仿宋_GB2312" w:eastAsia="仿宋_GB2312"/>
          <w:b/>
          <w:sz w:val="24"/>
          <w:szCs w:val="24"/>
        </w:rPr>
      </w:pPr>
    </w:p>
    <w:p>
      <w:pPr>
        <w:spacing w:line="540" w:lineRule="exact"/>
        <w:ind w:firstLine="562"/>
        <w:contextualSpacing/>
        <w:jc w:val="center"/>
        <w:rPr>
          <w:rFonts w:ascii="仿宋_GB2312" w:eastAsia="仿宋_GB2312"/>
          <w:b/>
          <w:sz w:val="28"/>
          <w:szCs w:val="28"/>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pPr>
        <w:spacing w:line="540" w:lineRule="exact"/>
        <w:ind w:firstLine="482"/>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pPr>
        <w:ind w:firstLine="2891" w:firstLineChars="900"/>
        <w:rPr>
          <w:rFonts w:ascii="仿宋_GB2312" w:hAnsi="宋体" w:eastAsia="仿宋_GB2312" w:cs="宋体"/>
          <w:b/>
          <w:kern w:val="0"/>
          <w:sz w:val="32"/>
          <w:szCs w:val="32"/>
        </w:rPr>
      </w:pPr>
    </w:p>
    <w:p>
      <w:pPr>
        <w:ind w:firstLine="643"/>
        <w:rPr>
          <w:rFonts w:ascii="仿宋_GB2312" w:hAnsi="宋体" w:eastAsia="仿宋_GB2312" w:cs="宋体"/>
          <w:b/>
          <w:kern w:val="0"/>
          <w:sz w:val="32"/>
          <w:szCs w:val="32"/>
        </w:rPr>
      </w:pPr>
    </w:p>
    <w:p>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八、投标标的清单</w:t>
      </w:r>
    </w:p>
    <w:tbl>
      <w:tblPr>
        <w:tblStyle w:val="24"/>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ind w:firstLine="562"/>
        <w:jc w:val="center"/>
        <w:rPr>
          <w:rFonts w:ascii="仿宋_GB2312" w:eastAsia="仿宋_GB2312"/>
          <w:sz w:val="24"/>
          <w:szCs w:val="24"/>
        </w:rPr>
      </w:pPr>
    </w:p>
    <w:p>
      <w:pPr>
        <w:pStyle w:val="11"/>
      </w:pPr>
    </w:p>
    <w:p>
      <w:pPr>
        <w:pStyle w:val="11"/>
      </w:pPr>
    </w:p>
    <w:p>
      <w:pPr>
        <w:pStyle w:val="11"/>
      </w:pPr>
    </w:p>
    <w:p>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九、商务技术偏离表</w:t>
      </w:r>
    </w:p>
    <w:tbl>
      <w:tblPr>
        <w:tblStyle w:val="2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683"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招标文件章节及具体内容</w:t>
            </w:r>
          </w:p>
        </w:tc>
        <w:tc>
          <w:tcPr>
            <w:tcW w:w="3546"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投标文件章节及具体内容</w:t>
            </w:r>
          </w:p>
        </w:tc>
        <w:tc>
          <w:tcPr>
            <w:tcW w:w="1512"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bl>
    <w:p>
      <w:pPr>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pPr>
        <w:ind w:firstLine="562"/>
        <w:jc w:val="center"/>
        <w:rPr>
          <w:rFonts w:ascii="仿宋_GB2312" w:hAnsi="宋体" w:eastAsia="仿宋_GB2312" w:cs="宋体"/>
          <w:b/>
          <w:kern w:val="0"/>
          <w:sz w:val="28"/>
          <w:szCs w:val="28"/>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十、政府采购供应商廉洁自律承诺书</w:t>
      </w:r>
    </w:p>
    <w:p>
      <w:pPr>
        <w:spacing w:line="540" w:lineRule="exact"/>
        <w:contextualSpacing/>
        <w:rPr>
          <w:rFonts w:ascii="仿宋_GB2312" w:eastAsia="仿宋_GB2312"/>
          <w:sz w:val="24"/>
          <w:szCs w:val="24"/>
        </w:rPr>
      </w:pPr>
    </w:p>
    <w:p>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line="500" w:lineRule="exact"/>
        <w:contextualSpacing/>
        <w:rPr>
          <w:rFonts w:ascii="仿宋_GB2312" w:eastAsia="仿宋_GB2312"/>
          <w:sz w:val="24"/>
          <w:szCs w:val="24"/>
        </w:rPr>
      </w:pPr>
    </w:p>
    <w:p>
      <w:pPr>
        <w:pStyle w:val="3"/>
        <w:rPr>
          <w:rFonts w:ascii="仿宋_GB2312" w:eastAsia="仿宋_GB2312"/>
        </w:rPr>
      </w:pPr>
    </w:p>
    <w:p>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contextualSpacing/>
        <w:rPr>
          <w:rFonts w:ascii="仿宋_GB2312" w:eastAsia="仿宋_GB2312"/>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报价文件部分</w:t>
      </w:r>
    </w:p>
    <w:p>
      <w:pPr>
        <w:spacing w:line="540" w:lineRule="exact"/>
        <w:contextualSpacing/>
        <w:rPr>
          <w:rFonts w:ascii="仿宋_GB2312" w:eastAsia="仿宋_GB2312"/>
          <w:sz w:val="24"/>
          <w:szCs w:val="24"/>
        </w:rPr>
      </w:pPr>
    </w:p>
    <w:p>
      <w:pPr>
        <w:numPr>
          <w:ilvl w:val="0"/>
          <w:numId w:val="15"/>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pPr>
        <w:pStyle w:val="3"/>
        <w:numPr>
          <w:ilvl w:val="0"/>
          <w:numId w:val="15"/>
        </w:numPr>
        <w:rPr>
          <w:rFonts w:ascii="仿宋_GB2312" w:eastAsia="仿宋_GB2312"/>
          <w:sz w:val="24"/>
          <w:szCs w:val="24"/>
        </w:rPr>
      </w:pPr>
      <w:r>
        <w:rPr>
          <w:rFonts w:hint="eastAsia" w:ascii="仿宋_GB2312" w:eastAsia="仿宋_GB2312"/>
          <w:sz w:val="24"/>
          <w:szCs w:val="24"/>
        </w:rPr>
        <w:t>中小企业声明函（如果有）…………………………………………………（页码）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一、开标一览表（报价表）</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361"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品牌（如果有）</w:t>
            </w:r>
          </w:p>
        </w:tc>
        <w:tc>
          <w:tcPr>
            <w:tcW w:w="1418"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规格型号</w:t>
            </w:r>
          </w:p>
        </w:tc>
        <w:tc>
          <w:tcPr>
            <w:tcW w:w="1134"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850"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单价</w:t>
            </w:r>
          </w:p>
        </w:tc>
        <w:tc>
          <w:tcPr>
            <w:tcW w:w="1276"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总价</w:t>
            </w:r>
          </w:p>
        </w:tc>
        <w:tc>
          <w:tcPr>
            <w:tcW w:w="1276"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6</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7</w:t>
            </w: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8</w:t>
            </w: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pPr>
              <w:spacing w:line="540" w:lineRule="exact"/>
              <w:contextualSpacing/>
              <w:jc w:val="center"/>
              <w:rPr>
                <w:rFonts w:ascii="仿宋_GB2312" w:eastAsia="仿宋_GB2312"/>
                <w:sz w:val="24"/>
                <w:szCs w:val="24"/>
              </w:rPr>
            </w:pP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投标报价（小写）</w:t>
            </w:r>
          </w:p>
        </w:tc>
        <w:tc>
          <w:tcPr>
            <w:tcW w:w="3402" w:type="dxa"/>
            <w:gridSpan w:val="3"/>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投标报价（大写）</w:t>
            </w:r>
          </w:p>
        </w:tc>
        <w:tc>
          <w:tcPr>
            <w:tcW w:w="3402" w:type="dxa"/>
            <w:gridSpan w:val="3"/>
          </w:tcPr>
          <w:p>
            <w:pPr>
              <w:spacing w:line="540" w:lineRule="exact"/>
              <w:contextualSpacing/>
              <w:rPr>
                <w:rFonts w:ascii="仿宋_GB2312" w:eastAsia="仿宋_GB2312"/>
                <w:sz w:val="24"/>
                <w:szCs w:val="24"/>
              </w:rPr>
            </w:pPr>
          </w:p>
        </w:tc>
      </w:tr>
    </w:tbl>
    <w:p>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ind w:firstLine="482"/>
        <w:contextualSpacing/>
        <w:rPr>
          <w:rFonts w:ascii="仿宋_GB2312" w:eastAsia="仿宋_GB2312"/>
          <w:b/>
          <w:sz w:val="24"/>
          <w:szCs w:val="24"/>
        </w:rPr>
      </w:pPr>
    </w:p>
    <w:p>
      <w:pPr>
        <w:spacing w:line="540" w:lineRule="exact"/>
        <w:ind w:firstLine="482"/>
        <w:contextualSpacing/>
        <w:rPr>
          <w:rFonts w:ascii="仿宋_GB2312" w:eastAsia="仿宋_GB2312"/>
          <w:b/>
          <w:sz w:val="24"/>
          <w:szCs w:val="24"/>
        </w:rPr>
      </w:pPr>
      <w:r>
        <w:rPr>
          <w:rFonts w:hint="eastAsia" w:ascii="仿宋_GB2312" w:eastAsia="仿宋_GB2312"/>
          <w:b/>
          <w:sz w:val="24"/>
          <w:szCs w:val="24"/>
        </w:rPr>
        <w:t>注：</w:t>
      </w:r>
    </w:p>
    <w:p>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3"/>
        <w:rPr>
          <w:rFonts w:ascii="仿宋_GB2312" w:eastAsia="仿宋_GB2312"/>
        </w:rPr>
      </w:pPr>
    </w:p>
    <w:p>
      <w:pPr>
        <w:pStyle w:val="18"/>
        <w:ind w:firstLine="883"/>
        <w:rPr>
          <w:rFonts w:ascii="仿宋_GB2312" w:eastAsia="仿宋_GB2312"/>
        </w:rPr>
      </w:pPr>
    </w:p>
    <w:p/>
    <w:p>
      <w:pPr>
        <w:pStyle w:val="11"/>
      </w:pPr>
    </w:p>
    <w:p>
      <w:pPr>
        <w:pStyle w:val="11"/>
      </w:pPr>
    </w:p>
    <w:p>
      <w:pPr>
        <w:pStyle w:val="11"/>
      </w:pPr>
    </w:p>
    <w:p>
      <w:pPr>
        <w:pStyle w:val="11"/>
      </w:pPr>
    </w:p>
    <w:p>
      <w:pPr>
        <w:pStyle w:val="11"/>
      </w:pPr>
    </w:p>
    <w:p>
      <w:pPr>
        <w:pStyle w:val="11"/>
      </w:pPr>
    </w:p>
    <w:p>
      <w:pPr>
        <w:pStyle w:val="11"/>
      </w:pPr>
    </w:p>
    <w:p>
      <w:pPr>
        <w:pStyle w:val="3"/>
        <w:rPr>
          <w:rFonts w:ascii="仿宋_GB2312" w:eastAsia="仿宋_GB2312"/>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rPr>
          <w:rFonts w:ascii="仿宋_GB2312" w:eastAsia="仿宋_GB2312"/>
        </w:rPr>
        <w:sectPr>
          <w:pgSz w:w="11906" w:h="16838"/>
          <w:pgMar w:top="1247" w:right="1418" w:bottom="1276"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bookmarkStart w:id="404" w:name="_Toc465665161"/>
      <w:r>
        <w:rPr>
          <w:rFonts w:hint="eastAsia" w:ascii="仿宋_GB2312" w:eastAsia="仿宋_GB2312"/>
          <w:b/>
          <w:sz w:val="28"/>
          <w:szCs w:val="28"/>
        </w:rPr>
        <w:t>附    件</w:t>
      </w:r>
      <w:bookmarkEnd w:id="404"/>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pPr>
        <w:spacing w:line="540" w:lineRule="exact"/>
        <w:contextualSpacing/>
        <w:jc w:val="center"/>
        <w:rPr>
          <w:rFonts w:ascii="仿宋_GB2312" w:eastAsia="仿宋_GB2312"/>
          <w:sz w:val="24"/>
          <w:szCs w:val="24"/>
        </w:rPr>
      </w:pPr>
      <w:bookmarkStart w:id="405" w:name="OLE_LINK14"/>
      <w:bookmarkStart w:id="406" w:name="OLE_LINK13"/>
      <w:r>
        <w:rPr>
          <w:rFonts w:hint="eastAsia" w:ascii="仿宋_GB2312" w:eastAsia="仿宋_GB2312"/>
          <w:sz w:val="24"/>
          <w:szCs w:val="24"/>
        </w:rPr>
        <w:t>残疾人福利性单位声明函</w:t>
      </w:r>
    </w:p>
    <w:bookmarkEnd w:id="405"/>
    <w:bookmarkEnd w:id="406"/>
    <w:p>
      <w:pPr>
        <w:spacing w:line="540" w:lineRule="exact"/>
        <w:contextualSpacing/>
        <w:rPr>
          <w:rFonts w:ascii="仿宋_GB2312" w:eastAsia="仿宋_GB2312"/>
          <w:sz w:val="24"/>
          <w:szCs w:val="24"/>
        </w:rPr>
      </w:pP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11"/>
      </w:pPr>
    </w:p>
    <w:p>
      <w:pPr>
        <w:pStyle w:val="11"/>
      </w:pPr>
    </w:p>
    <w:p>
      <w:pPr>
        <w:spacing w:line="540" w:lineRule="exact"/>
        <w:ind w:firstLine="560"/>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质疑函范本</w:t>
      </w:r>
    </w:p>
    <w:p>
      <w:pPr>
        <w:snapToGrid w:val="0"/>
        <w:spacing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pPr>
        <w:snapToGrid w:val="0"/>
        <w:spacing w:line="360" w:lineRule="auto"/>
        <w:rPr>
          <w:rFonts w:ascii="仿宋_GB2312" w:hAnsi="宋体" w:eastAsia="仿宋_GB2312" w:cs="宋体"/>
          <w:sz w:val="24"/>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pPr>
        <w:snapToGrid w:val="0"/>
        <w:spacing w:line="360" w:lineRule="auto"/>
        <w:rPr>
          <w:rFonts w:ascii="仿宋_GB2312" w:hAnsi="宋体" w:eastAsia="仿宋_GB2312" w:cs="宋体"/>
          <w:sz w:val="24"/>
          <w:u w:val="dotted"/>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pPr>
        <w:spacing w:line="360" w:lineRule="auto"/>
        <w:ind w:firstLine="482"/>
        <w:rPr>
          <w:rFonts w:ascii="仿宋_GB2312" w:hAnsi="宋体" w:eastAsia="仿宋_GB2312" w:cs="宋体"/>
          <w:b/>
          <w:sz w:val="24"/>
        </w:rPr>
      </w:pPr>
    </w:p>
    <w:p>
      <w:pPr>
        <w:spacing w:line="360" w:lineRule="auto"/>
        <w:ind w:firstLine="482"/>
        <w:rPr>
          <w:rFonts w:ascii="仿宋_GB2312" w:hAnsi="宋体" w:eastAsia="仿宋_GB2312" w:cs="宋体"/>
          <w:b/>
          <w:sz w:val="24"/>
        </w:rPr>
      </w:pPr>
      <w:r>
        <w:rPr>
          <w:rFonts w:hint="eastAsia" w:ascii="仿宋_GB2312" w:hAnsi="宋体" w:eastAsia="仿宋_GB2312" w:cs="宋体"/>
          <w:b/>
          <w:sz w:val="24"/>
        </w:rPr>
        <w:t>质疑函制作说明：</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r>
        <w:rPr>
          <w:rFonts w:hint="eastAsia" w:ascii="仿宋_GB2312" w:eastAsia="仿宋_GB2312"/>
          <w:sz w:val="28"/>
          <w:szCs w:val="28"/>
        </w:rPr>
        <w:t>附件3：</w:t>
      </w:r>
    </w:p>
    <w:p>
      <w:pPr>
        <w:contextualSpacing/>
        <w:jc w:val="center"/>
        <w:rPr>
          <w:rFonts w:ascii="仿宋_GB2312" w:eastAsia="仿宋_GB2312"/>
          <w:b/>
          <w:sz w:val="28"/>
          <w:szCs w:val="28"/>
        </w:rPr>
      </w:pPr>
      <w:r>
        <w:rPr>
          <w:rFonts w:hint="eastAsia" w:ascii="仿宋_GB2312" w:eastAsia="仿宋_GB2312"/>
          <w:b/>
          <w:sz w:val="28"/>
          <w:szCs w:val="28"/>
        </w:rPr>
        <w:t>投诉书范本及制作说明</w:t>
      </w:r>
    </w:p>
    <w:p>
      <w:pPr>
        <w:contextualSpacing/>
        <w:rPr>
          <w:rFonts w:ascii="仿宋_GB2312" w:eastAsia="仿宋_GB2312"/>
          <w:sz w:val="24"/>
          <w:szCs w:val="24"/>
        </w:rPr>
      </w:pPr>
    </w:p>
    <w:p>
      <w:pPr>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pPr>
        <w:spacing w:line="360" w:lineRule="auto"/>
        <w:rPr>
          <w:rFonts w:ascii="仿宋_GB2312" w:hAnsi="宋体" w:eastAsia="仿宋_GB2312" w:cs="宋体"/>
          <w:sz w:val="24"/>
          <w:szCs w:val="24"/>
          <w:u w:val="single"/>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pPr>
        <w:spacing w:line="360" w:lineRule="auto"/>
        <w:ind w:firstLine="482"/>
        <w:rPr>
          <w:rFonts w:ascii="仿宋_GB2312" w:hAnsi="宋体" w:eastAsia="仿宋_GB2312" w:cs="宋体"/>
          <w:b/>
          <w:sz w:val="24"/>
          <w:szCs w:val="24"/>
        </w:rPr>
      </w:pPr>
    </w:p>
    <w:p>
      <w:pPr>
        <w:spacing w:line="360" w:lineRule="auto"/>
        <w:ind w:firstLine="482"/>
        <w:rPr>
          <w:rFonts w:ascii="仿宋_GB2312" w:hAnsi="宋体" w:eastAsia="仿宋_GB2312" w:cs="宋体"/>
          <w:b/>
          <w:sz w:val="24"/>
          <w:szCs w:val="24"/>
        </w:rPr>
      </w:pPr>
    </w:p>
    <w:p>
      <w:pPr>
        <w:spacing w:line="360" w:lineRule="auto"/>
        <w:ind w:firstLine="482"/>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pPr>
        <w:spacing w:line="360" w:lineRule="auto"/>
        <w:ind w:firstLine="480" w:firstLineChars="200"/>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r>
        <w:rPr>
          <w:rFonts w:hint="eastAsia" w:ascii="仿宋_GB2312" w:eastAsia="仿宋_GB2312"/>
          <w:sz w:val="28"/>
          <w:szCs w:val="28"/>
        </w:rPr>
        <w:t>附件4：</w:t>
      </w: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业务专用章使用说明函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r>
        <w:rPr>
          <w:rFonts w:hint="eastAsia" w:ascii="仿宋_GB2312" w:eastAsia="仿宋_GB2312"/>
          <w:sz w:val="24"/>
          <w:szCs w:val="24"/>
        </w:rPr>
        <w:t>附：</w:t>
      </w:r>
    </w:p>
    <w:p>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pPr>
        <w:spacing w:line="540" w:lineRule="exact"/>
        <w:contextualSpacing/>
        <w:rPr>
          <w:rFonts w:ascii="仿宋_GB2312" w:eastAsia="仿宋_GB2312"/>
          <w:sz w:val="24"/>
          <w:szCs w:val="24"/>
        </w:rPr>
      </w:pPr>
      <w:r>
        <w:rPr>
          <w:rFonts w:ascii="仿宋_GB2312" w:eastAsia="仿宋_GB2312"/>
          <w:sz w:val="24"/>
          <w:szCs w:val="24"/>
        </w:rPr>
        <w:pict>
          <v:rect id="Rectangle 17" o:spid="_x0000_s1026" o:spt="1" style="position:absolute;left:0pt;margin-left:238.9pt;margin-top:1.05pt;height:137.65pt;width:179.2pt;z-index:-251657216;mso-width-relative:page;mso-height-relative:page;"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VCSu1wAAAAkBAAAPAAAAAAAAAAEAIAAAACIAAABkcnMvZG93bnJldi54bWxQSwEC&#10;FAAUAAAACACHTuJANVaBCC4CAACCBAAADgAAAAAAAAABACAAAAAmAQAAZHJzL2Uyb0RvYy54bWxQ&#10;SwUGAAAAAAYABgBZAQAAxgUAAAAA&#10;">
            <v:path/>
            <v:fill focussize="0,0"/>
            <v:stroke miterlimit="2"/>
            <v:imagedata o:title=""/>
            <o:lock v:ext="edit"/>
          </v:rect>
        </w:pict>
      </w:r>
      <w:r>
        <w:rPr>
          <w:rFonts w:ascii="仿宋_GB2312" w:eastAsia="仿宋_GB2312"/>
          <w:sz w:val="24"/>
          <w:szCs w:val="24"/>
        </w:rPr>
        <w:pict>
          <v:rect id="Rectangle 16" o:spid="_x0000_s1027" o:spt="1" style="position:absolute;left:0pt;margin-left:-3.6pt;margin-top:1.05pt;height:137.65pt;width:168.2pt;z-index:-251656192;mso-width-relative:page;mso-height-relative:page;" coordsize="21600,21600" o:gfxdata="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F9xcXWAAAACAEAAA8AAAAAAAAAAQAgAAAAIgAAAGRycy9kb3ducmV2LnhtbFBLAQIU&#10;ABQAAAAIAIdO4kBi72EwLgIAAIIEAAAOAAAAAAAAAAEAIAAAACUBAABkcnMvZTJvRG9jLnhtbFBL&#10;BQYAAAAABgAGAFkBAADFBQAAAAA=&#10;">
            <v:path/>
            <v:fill focussize="0,0"/>
            <v:stroke miterlimit="2"/>
            <v:imagedata o:title=""/>
            <o:lock v:ext="edit"/>
          </v:rect>
        </w:pic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560"/>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r>
        <w:rPr>
          <w:rFonts w:hint="eastAsia" w:ascii="仿宋_GB2312" w:eastAsia="仿宋_GB2312"/>
          <w:sz w:val="28"/>
          <w:szCs w:val="28"/>
        </w:rPr>
        <w:t>附件5：</w:t>
      </w: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中小企业声明函（货物）</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u w:val="single"/>
        </w:rPr>
        <w:t>舟山市应急管理局、普朱管委会应急管理局、定海区应急管理局、普陀区应急管理局、岱山县应急管理局、嵊泗县应急管委局</w:t>
      </w:r>
      <w:r>
        <w:rPr>
          <w:rFonts w:hint="eastAsia" w:ascii="仿宋_GB2312" w:eastAsia="仿宋_GB2312"/>
          <w:sz w:val="24"/>
          <w:szCs w:val="24"/>
        </w:rPr>
        <w:t>） 的 （</w:t>
      </w:r>
      <w:r>
        <w:rPr>
          <w:rFonts w:hint="eastAsia" w:ascii="仿宋_GB2312" w:eastAsia="仿宋_GB2312"/>
          <w:bCs/>
          <w:sz w:val="24"/>
          <w:szCs w:val="24"/>
          <w:u w:val="single"/>
        </w:rPr>
        <w:t>浙江省舟山市自然灾害应急能力提升工程预警指挥项目</w:t>
      </w:r>
      <w:r>
        <w:rPr>
          <w:rFonts w:hint="eastAsia" w:ascii="仿宋_GB2312" w:eastAsia="仿宋_GB2312"/>
          <w:sz w:val="24"/>
          <w:szCs w:val="24"/>
        </w:rPr>
        <w:t>） 采购活动，提供的货物全部由符合政策要求的中小企业制造。相关企业（含联合体中的中小企业、签订分包意向协议的中小企业）的具体情况如下：</w:t>
      </w:r>
    </w:p>
    <w:tbl>
      <w:tblPr>
        <w:tblStyle w:val="2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1"/>
        <w:gridCol w:w="1126"/>
        <w:gridCol w:w="936"/>
        <w:gridCol w:w="1126"/>
        <w:gridCol w:w="98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标的名称</w:t>
            </w:r>
          </w:p>
          <w:p>
            <w:pPr>
              <w:pStyle w:val="60"/>
              <w:ind w:firstLine="0" w:firstLineChars="0"/>
              <w:jc w:val="center"/>
              <w:rPr>
                <w:rFonts w:ascii="仿宋_GB2312" w:hAnsi="仿宋" w:eastAsia="仿宋_GB2312" w:cs="仿宋"/>
                <w:kern w:val="0"/>
                <w:szCs w:val="24"/>
              </w:rPr>
            </w:pPr>
          </w:p>
        </w:tc>
        <w:tc>
          <w:tcPr>
            <w:tcW w:w="1541"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采购文件中明确的所属行业</w:t>
            </w:r>
          </w:p>
        </w:tc>
        <w:tc>
          <w:tcPr>
            <w:tcW w:w="112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制造商</w:t>
            </w:r>
          </w:p>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（企业名称）</w:t>
            </w:r>
          </w:p>
        </w:tc>
        <w:tc>
          <w:tcPr>
            <w:tcW w:w="93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从业人员（人）</w:t>
            </w:r>
          </w:p>
        </w:tc>
        <w:tc>
          <w:tcPr>
            <w:tcW w:w="112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营业收入（万元）</w:t>
            </w:r>
          </w:p>
        </w:tc>
        <w:tc>
          <w:tcPr>
            <w:tcW w:w="987"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资产总额（万元）</w:t>
            </w:r>
          </w:p>
        </w:tc>
        <w:tc>
          <w:tcPr>
            <w:tcW w:w="1943"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属于</w:t>
            </w:r>
          </w:p>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 w:val="21"/>
                <w:szCs w:val="21"/>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jc w:val="left"/>
              <w:rPr>
                <w:rFonts w:ascii="仿宋_GB2312" w:hAnsi="Times New Roman" w:eastAsia="仿宋_GB2312" w:cs="Times New Roman"/>
                <w:sz w:val="24"/>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jc w:val="left"/>
              <w:rPr>
                <w:rFonts w:ascii="仿宋_GB2312" w:hAnsi="Times New Roman" w:eastAsia="仿宋_GB2312" w:cs="Times New Roman"/>
                <w:sz w:val="24"/>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rPr>
                <w:rFonts w:ascii="仿宋_GB2312" w:hAnsi="Times New Roman" w:eastAsia="仿宋_GB2312" w:cs="Times New Roman"/>
                <w:kern w:val="0"/>
              </w:rPr>
            </w:pPr>
          </w:p>
        </w:tc>
      </w:tr>
    </w:tbl>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pPr>
        <w:spacing w:line="460" w:lineRule="exact"/>
        <w:contextualSpacing/>
        <w:rPr>
          <w:rFonts w:ascii="仿宋_GB2312" w:eastAsia="仿宋_GB2312"/>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autoSpaceDE w:val="0"/>
        <w:autoSpaceDN w:val="0"/>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pPr>
        <w:autoSpaceDE w:val="0"/>
        <w:autoSpaceDN w:val="0"/>
        <w:ind w:firstLine="56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407" w:name="_Hlk101131882"/>
      <w:r>
        <w:rPr>
          <w:rFonts w:hint="eastAsia" w:ascii="仿宋_GB2312" w:hAnsi="宋体" w:eastAsia="仿宋_GB2312" w:cs="宋体"/>
          <w:kern w:val="0"/>
          <w:sz w:val="24"/>
          <w:szCs w:val="24"/>
          <w:u w:val="single"/>
        </w:rPr>
        <w:t>联合体成员X,……</w:t>
      </w:r>
      <w:bookmarkEnd w:id="407"/>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08"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08"/>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9"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9"/>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pPr>
        <w:spacing w:line="540" w:lineRule="exact"/>
        <w:ind w:firstLine="482"/>
        <w:contextualSpacing/>
        <w:jc w:val="center"/>
        <w:rPr>
          <w:rFonts w:ascii="仿宋_GB2312" w:eastAsia="仿宋_GB2312"/>
          <w:b/>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napToGrid w:val="0"/>
        <w:spacing w:line="360" w:lineRule="auto"/>
        <w:ind w:firstLine="584"/>
        <w:rPr>
          <w:rFonts w:ascii="仿宋_GB2312" w:hAnsi="宋体" w:eastAsia="仿宋_GB2312" w:cs="宋体"/>
          <w:spacing w:val="6"/>
          <w:sz w:val="28"/>
          <w:szCs w:val="28"/>
        </w:rPr>
      </w:pPr>
    </w:p>
    <w:p>
      <w:pPr>
        <w:snapToGrid w:val="0"/>
        <w:spacing w:line="360" w:lineRule="auto"/>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pPr>
        <w:pStyle w:val="6"/>
        <w:ind w:left="664" w:leftChars="316" w:firstLine="229" w:firstLineChars="95"/>
        <w:rPr>
          <w:rFonts w:ascii="仿宋_GB2312" w:hAnsi="宋体" w:eastAsia="仿宋_GB2312" w:cs="宋体"/>
          <w:kern w:val="0"/>
          <w:sz w:val="24"/>
          <w:szCs w:val="24"/>
        </w:rPr>
      </w:pPr>
      <w:r>
        <w:rPr>
          <w:rFonts w:hint="eastAsia" w:ascii="仿宋_GB2312" w:hAnsi="宋体" w:eastAsia="仿宋_GB2312" w:cs="宋体"/>
          <w:kern w:val="0"/>
          <w:sz w:val="24"/>
          <w:szCs w:val="24"/>
        </w:rPr>
        <w:t>……</w:t>
      </w:r>
    </w:p>
    <w:p>
      <w:pPr>
        <w:rPr>
          <w:rFonts w:ascii="仿宋_GB2312" w:eastAsia="仿宋_GB2312"/>
          <w:sz w:val="24"/>
          <w:szCs w:val="24"/>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pPr>
        <w:snapToGrid w:val="0"/>
        <w:spacing w:line="360" w:lineRule="auto"/>
        <w:ind w:firstLine="480"/>
        <w:rPr>
          <w:rFonts w:ascii="仿宋_GB2312" w:hAnsi="宋体" w:eastAsia="仿宋_GB2312" w:cs="宋体"/>
          <w:sz w:val="24"/>
          <w:szCs w:val="24"/>
          <w:u w:val="single"/>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pPr>
        <w:snapToGrid w:val="0"/>
        <w:spacing w:line="360" w:lineRule="auto"/>
        <w:ind w:left="573" w:leftChars="273"/>
        <w:rPr>
          <w:rFonts w:ascii="仿宋_GB2312" w:hAnsi="宋体" w:eastAsia="仿宋_GB2312" w:cs="宋体"/>
          <w:kern w:val="0"/>
          <w:sz w:val="24"/>
          <w:szCs w:val="24"/>
          <w:lang w:val="zh-CN"/>
        </w:rPr>
      </w:pPr>
    </w:p>
    <w:p>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pPr>
        <w:snapToGrid w:val="0"/>
        <w:spacing w:line="360" w:lineRule="auto"/>
        <w:ind w:left="5758" w:leftChars="342" w:hanging="5040" w:hanging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政  采  贷</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pPr>
              <w:numPr>
                <w:ilvl w:val="0"/>
                <w:numId w:val="16"/>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pPr>
              <w:numPr>
                <w:ilvl w:val="0"/>
                <w:numId w:val="17"/>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pPr>
              <w:numPr>
                <w:ilvl w:val="0"/>
                <w:numId w:val="17"/>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pPr>
              <w:numPr>
                <w:ilvl w:val="0"/>
                <w:numId w:val="17"/>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pPr>
              <w:numPr>
                <w:ilvl w:val="0"/>
                <w:numId w:val="17"/>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普陀片区：蔡妮妮</w:t>
            </w:r>
          </w:p>
          <w:p>
            <w:pPr>
              <w:spacing w:line="400" w:lineRule="exact"/>
              <w:contextualSpacing/>
              <w:jc w:val="center"/>
              <w:rPr>
                <w:rFonts w:ascii="仿宋_GB2312" w:eastAsia="仿宋_GB2312"/>
                <w:sz w:val="24"/>
              </w:rPr>
            </w:pPr>
            <w:r>
              <w:rPr>
                <w:rFonts w:hint="eastAsia" w:ascii="仿宋_GB2312" w:eastAsia="仿宋_GB2312"/>
                <w:sz w:val="24"/>
              </w:rPr>
              <w:t>定海片区：杨莹</w:t>
            </w:r>
          </w:p>
          <w:p>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普陀片区：13957201791</w:t>
            </w:r>
          </w:p>
          <w:p>
            <w:pPr>
              <w:spacing w:line="400" w:lineRule="exact"/>
              <w:contextualSpacing/>
              <w:rPr>
                <w:rFonts w:ascii="仿宋_GB2312" w:eastAsia="仿宋_GB2312"/>
                <w:sz w:val="24"/>
              </w:rPr>
            </w:pPr>
            <w:r>
              <w:rPr>
                <w:rFonts w:hint="eastAsia" w:ascii="仿宋_GB2312" w:eastAsia="仿宋_GB2312"/>
                <w:sz w:val="24"/>
              </w:rPr>
              <w:t>定海片区：13655803997</w:t>
            </w:r>
          </w:p>
          <w:p>
            <w:pPr>
              <w:spacing w:line="400" w:lineRule="exact"/>
              <w:contextualSpacing/>
              <w:rPr>
                <w:rFonts w:ascii="仿宋_GB2312" w:eastAsia="仿宋_GB2312"/>
                <w:sz w:val="24"/>
              </w:rPr>
            </w:pPr>
            <w:r>
              <w:rPr>
                <w:rFonts w:hint="eastAsia" w:ascii="仿宋_GB2312" w:eastAsia="仿宋_GB2312"/>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pPr>
              <w:numPr>
                <w:ilvl w:val="0"/>
                <w:numId w:val="18"/>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pPr>
              <w:numPr>
                <w:ilvl w:val="0"/>
                <w:numId w:val="18"/>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8"/>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18"/>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0580-2260728</w:t>
            </w:r>
          </w:p>
          <w:p>
            <w:pPr>
              <w:spacing w:line="400" w:lineRule="exact"/>
              <w:contextualSpacing/>
              <w:rPr>
                <w:rFonts w:ascii="仿宋_GB2312" w:eastAsia="仿宋_GB2312"/>
                <w:sz w:val="24"/>
              </w:rPr>
            </w:pPr>
            <w:r>
              <w:rPr>
                <w:rFonts w:hint="eastAsia" w:ascii="仿宋_GB2312" w:eastAsia="仿宋_GB2312"/>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13732527321</w:t>
            </w:r>
          </w:p>
        </w:tc>
      </w:tr>
    </w:tbl>
    <w:p>
      <w:pPr>
        <w:spacing w:line="360" w:lineRule="auto"/>
        <w:contextualSpacing/>
        <w:rPr>
          <w:rFonts w:ascii="仿宋_GB2312" w:eastAsia="仿宋_GB2312"/>
          <w:sz w:val="24"/>
        </w:rPr>
      </w:pPr>
      <w:r>
        <w:rPr>
          <w:rFonts w:hint="eastAsia" w:ascii="仿宋_GB2312" w:eastAsia="仿宋_GB2312"/>
          <w:sz w:val="24"/>
        </w:rPr>
        <w:t>1. 一般步骤</w:t>
      </w:r>
    </w:p>
    <w:p>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pPr>
        <w:spacing w:line="360" w:lineRule="auto"/>
        <w:contextualSpacing/>
        <w:rPr>
          <w:rFonts w:ascii="仿宋_GB2312" w:eastAsia="仿宋_GB2312"/>
          <w:sz w:val="24"/>
        </w:rPr>
      </w:pPr>
      <w:r>
        <w:rPr>
          <w:rFonts w:hint="eastAsia" w:ascii="仿宋_GB2312" w:eastAsia="仿宋_GB2312"/>
          <w:sz w:val="24"/>
        </w:rPr>
        <w:t>2. 注意事项</w:t>
      </w:r>
    </w:p>
    <w:p>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540" w:lineRule="exact"/>
        <w:contextualSpacing/>
        <w:rPr>
          <w:rFonts w:ascii="仿宋_GB2312" w:eastAsia="仿宋_GB2312"/>
          <w:sz w:val="24"/>
          <w:szCs w:val="24"/>
        </w:rPr>
      </w:pPr>
    </w:p>
    <w:p>
      <w:pPr>
        <w:rPr>
          <w:rFonts w:ascii="仿宋_GB2312" w:eastAsia="仿宋_GB2312"/>
          <w:sz w:val="24"/>
          <w:szCs w:val="24"/>
        </w:rPr>
      </w:pPr>
    </w:p>
    <w:p/>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pPr>
          <w:pStyle w:val="1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104</w:t>
    </w:r>
    <w:r>
      <w:rPr>
        <w:lang w:val="zh-CN"/>
      </w:rPr>
      <w:fldChar w:fldCharType="end"/>
    </w:r>
  </w:p>
  <w:p>
    <w:pPr>
      <w:pStyle w:val="16"/>
      <w:ind w:firstLine="360"/>
    </w:pPr>
  </w:p>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pPr>
          <w:pStyle w:val="16"/>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9"/>
    </w:sdtPr>
    <w:sdtContent>
      <w:p>
        <w:pPr>
          <w:pStyle w:val="16"/>
          <w:jc w:val="center"/>
        </w:pPr>
        <w:r>
          <w:fldChar w:fldCharType="begin"/>
        </w:r>
        <w:r>
          <w:instrText xml:space="preserve"> PAGE   \* MERGEFORMAT </w:instrText>
        </w:r>
        <w:r>
          <w:fldChar w:fldCharType="separate"/>
        </w:r>
        <w:r>
          <w:rPr>
            <w:lang w:val="zh-CN"/>
          </w:rPr>
          <w:t>99</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0"/>
    </w:sdtPr>
    <w:sdtContent>
      <w:p>
        <w:pPr>
          <w:pStyle w:val="16"/>
          <w:jc w:val="center"/>
        </w:pPr>
        <w:r>
          <w:fldChar w:fldCharType="begin"/>
        </w:r>
        <w:r>
          <w:instrText xml:space="preserve"> PAGE   \* MERGEFORMAT </w:instrText>
        </w:r>
        <w:r>
          <w:fldChar w:fldCharType="separate"/>
        </w:r>
        <w:r>
          <w:rPr>
            <w:lang w:val="zh-CN"/>
          </w:rPr>
          <w:t>23</w:t>
        </w:r>
        <w:r>
          <w:rPr>
            <w:lang w:val="zh-CN"/>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1"/>
    </w:sdtPr>
    <w:sdtContent>
      <w:p>
        <w:pPr>
          <w:pStyle w:val="16"/>
          <w:jc w:val="center"/>
        </w:pPr>
        <w:r>
          <w:fldChar w:fldCharType="begin"/>
        </w:r>
        <w:r>
          <w:instrText xml:space="preserve"> PAGE   \* MERGEFORMAT </w:instrText>
        </w:r>
        <w:r>
          <w:fldChar w:fldCharType="separate"/>
        </w:r>
        <w:r>
          <w:rPr>
            <w:lang w:val="zh-CN"/>
          </w:rPr>
          <w:t>103</w:t>
        </w:r>
        <w:r>
          <w:rPr>
            <w:lang w:val="zh-CN"/>
          </w:rPr>
          <w:fldChar w:fldCharType="end"/>
        </w:r>
      </w:p>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2"/>
    </w:sdtPr>
    <w:sdtContent>
      <w:p>
        <w:pPr>
          <w:pStyle w:val="16"/>
          <w:jc w:val="center"/>
        </w:pPr>
        <w:r>
          <w:fldChar w:fldCharType="begin"/>
        </w:r>
        <w:r>
          <w:instrText xml:space="preserve"> PAGE   \* MERGEFORMAT </w:instrText>
        </w:r>
        <w:r>
          <w:fldChar w:fldCharType="separate"/>
        </w:r>
        <w:r>
          <w:rPr>
            <w:lang w:val="zh-CN"/>
          </w:rPr>
          <w:t>101</w:t>
        </w:r>
        <w:r>
          <w:rPr>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121</w:t>
    </w:r>
    <w:r>
      <w:rPr>
        <w:lang w:val="zh-CN"/>
      </w:rPr>
      <w:fldChar w:fldCharType="end"/>
    </w:r>
  </w:p>
  <w:p/>
  <w:p/>
  <w:p/>
  <w:p/>
  <w:p/>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0842"/>
    <w:multiLevelType w:val="singleLevel"/>
    <w:tmpl w:val="9FF30842"/>
    <w:lvl w:ilvl="0" w:tentative="0">
      <w:start w:val="1"/>
      <w:numFmt w:val="decimal"/>
      <w:lvlText w:val="%1"/>
      <w:lvlJc w:val="center"/>
      <w:pPr>
        <w:tabs>
          <w:tab w:val="left" w:pos="397"/>
        </w:tabs>
        <w:ind w:left="454" w:hanging="454"/>
      </w:pPr>
      <w:rPr>
        <w:rFonts w:hint="default"/>
      </w:rPr>
    </w:lvl>
  </w:abstractNum>
  <w:abstractNum w:abstractNumId="1">
    <w:nsid w:val="D6E0911F"/>
    <w:multiLevelType w:val="singleLevel"/>
    <w:tmpl w:val="D6E0911F"/>
    <w:lvl w:ilvl="0" w:tentative="0">
      <w:start w:val="12"/>
      <w:numFmt w:val="chineseCounting"/>
      <w:suff w:val="nothing"/>
      <w:lvlText w:val="%1、"/>
      <w:lvlJc w:val="left"/>
      <w:rPr>
        <w:rFonts w:hint="eastAsia"/>
      </w:rPr>
    </w:lvl>
  </w:abstractNum>
  <w:abstractNum w:abstractNumId="2">
    <w:nsid w:val="FFFFFFFB"/>
    <w:multiLevelType w:val="multilevel"/>
    <w:tmpl w:val="FFFFFFFB"/>
    <w:lvl w:ilvl="0" w:tentative="0">
      <w:start w:val="1"/>
      <w:numFmt w:val="decimal"/>
      <w:pStyle w:val="70"/>
      <w:lvlText w:val="%1"/>
      <w:lvlJc w:val="left"/>
      <w:pPr>
        <w:tabs>
          <w:tab w:val="left" w:pos="1247"/>
        </w:tabs>
        <w:ind w:left="1247" w:hanging="1247"/>
      </w:pPr>
      <w:rPr>
        <w:rFonts w:hint="default" w:ascii="仿宋" w:hAnsi="仿宋" w:eastAsia="仿宋"/>
        <w:b/>
        <w:i w:val="0"/>
        <w:sz w:val="44"/>
        <w:szCs w:val="44"/>
      </w:rPr>
    </w:lvl>
    <w:lvl w:ilvl="1" w:tentative="0">
      <w:start w:val="1"/>
      <w:numFmt w:val="decimal"/>
      <w:pStyle w:val="71"/>
      <w:lvlText w:val="%1.%2"/>
      <w:lvlJc w:val="left"/>
      <w:pPr>
        <w:tabs>
          <w:tab w:val="left" w:pos="1673"/>
        </w:tabs>
        <w:ind w:left="1673" w:hanging="1247"/>
      </w:pPr>
      <w:rPr>
        <w:rFonts w:hint="default" w:ascii="仿宋" w:hAnsi="仿宋" w:eastAsia="仿宋"/>
        <w:b/>
        <w:i w:val="0"/>
        <w:sz w:val="30"/>
        <w:szCs w:val="30"/>
      </w:rPr>
    </w:lvl>
    <w:lvl w:ilvl="2" w:tentative="0">
      <w:start w:val="1"/>
      <w:numFmt w:val="decimal"/>
      <w:lvlText w:val="%1.%2.%3"/>
      <w:lvlJc w:val="left"/>
      <w:pPr>
        <w:tabs>
          <w:tab w:val="left" w:pos="1247"/>
        </w:tabs>
        <w:ind w:left="1247" w:hanging="1247"/>
      </w:pPr>
      <w:rPr>
        <w:rFonts w:hint="default" w:ascii="仿宋" w:hAnsi="仿宋" w:eastAsia="仿宋"/>
        <w:b/>
        <w:i w:val="0"/>
        <w:color w:val="auto"/>
        <w:sz w:val="28"/>
        <w:szCs w:val="28"/>
      </w:rPr>
    </w:lvl>
    <w:lvl w:ilvl="3" w:tentative="0">
      <w:start w:val="1"/>
      <w:numFmt w:val="decimal"/>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2889AC8"/>
    <w:multiLevelType w:val="singleLevel"/>
    <w:tmpl w:val="02889AC8"/>
    <w:lvl w:ilvl="0" w:tentative="0">
      <w:start w:val="4"/>
      <w:numFmt w:val="chineseCounting"/>
      <w:suff w:val="nothing"/>
      <w:lvlText w:val="%1、"/>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0E030D19"/>
    <w:multiLevelType w:val="singleLevel"/>
    <w:tmpl w:val="0E030D19"/>
    <w:lvl w:ilvl="0" w:tentative="0">
      <w:start w:val="1"/>
      <w:numFmt w:val="decimal"/>
      <w:lvlText w:val="%1."/>
      <w:lvlJc w:val="left"/>
      <w:pPr>
        <w:ind w:left="425" w:hanging="425"/>
      </w:pPr>
      <w:rPr>
        <w:rFonts w:hint="default"/>
      </w:rPr>
    </w:lvl>
  </w:abstractNum>
  <w:abstractNum w:abstractNumId="6">
    <w:nsid w:val="19693563"/>
    <w:multiLevelType w:val="singleLevel"/>
    <w:tmpl w:val="19693563"/>
    <w:lvl w:ilvl="0" w:tentative="0">
      <w:start w:val="1"/>
      <w:numFmt w:val="decimal"/>
      <w:suff w:val="nothing"/>
      <w:lvlText w:val="（%1）"/>
      <w:lvlJc w:val="left"/>
    </w:lvl>
  </w:abstractNum>
  <w:abstractNum w:abstractNumId="7">
    <w:nsid w:val="1F0CFB36"/>
    <w:multiLevelType w:val="singleLevel"/>
    <w:tmpl w:val="1F0CFB36"/>
    <w:lvl w:ilvl="0" w:tentative="0">
      <w:start w:val="1"/>
      <w:numFmt w:val="decimal"/>
      <w:lvlText w:val="%1."/>
      <w:lvlJc w:val="left"/>
      <w:pPr>
        <w:tabs>
          <w:tab w:val="left" w:pos="312"/>
        </w:tabs>
      </w:pPr>
    </w:lvl>
  </w:abstractNum>
  <w:abstractNum w:abstractNumId="8">
    <w:nsid w:val="209CA051"/>
    <w:multiLevelType w:val="singleLevel"/>
    <w:tmpl w:val="209CA051"/>
    <w:lvl w:ilvl="0" w:tentative="0">
      <w:start w:val="1"/>
      <w:numFmt w:val="decimal"/>
      <w:lvlText w:val="%1."/>
      <w:lvlJc w:val="left"/>
      <w:pPr>
        <w:tabs>
          <w:tab w:val="left" w:pos="312"/>
        </w:tabs>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33D68BD9"/>
    <w:multiLevelType w:val="singleLevel"/>
    <w:tmpl w:val="33D68BD9"/>
    <w:lvl w:ilvl="0" w:tentative="0">
      <w:start w:val="4"/>
      <w:numFmt w:val="decimal"/>
      <w:suff w:val="nothing"/>
      <w:lvlText w:val="%1、"/>
      <w:lvlJc w:val="left"/>
    </w:lvl>
  </w:abstractNum>
  <w:abstractNum w:abstractNumId="11">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53275264"/>
    <w:multiLevelType w:val="singleLevel"/>
    <w:tmpl w:val="53275264"/>
    <w:lvl w:ilvl="0" w:tentative="0">
      <w:start w:val="1"/>
      <w:numFmt w:val="decimal"/>
      <w:lvlText w:val="%1."/>
      <w:lvlJc w:val="left"/>
      <w:pPr>
        <w:tabs>
          <w:tab w:val="left" w:pos="312"/>
        </w:tabs>
      </w:pPr>
    </w:lvl>
  </w:abstractNum>
  <w:abstractNum w:abstractNumId="14">
    <w:nsid w:val="533AC6CB"/>
    <w:multiLevelType w:val="singleLevel"/>
    <w:tmpl w:val="533AC6CB"/>
    <w:lvl w:ilvl="0" w:tentative="0">
      <w:start w:val="1"/>
      <w:numFmt w:val="decimal"/>
      <w:lvlText w:val="%1."/>
      <w:lvlJc w:val="left"/>
      <w:pPr>
        <w:tabs>
          <w:tab w:val="left" w:pos="312"/>
        </w:tabs>
      </w:pPr>
    </w:lvl>
  </w:abstractNum>
  <w:abstractNum w:abstractNumId="15">
    <w:nsid w:val="5BB975C8"/>
    <w:multiLevelType w:val="singleLevel"/>
    <w:tmpl w:val="5BB975C8"/>
    <w:lvl w:ilvl="0" w:tentative="0">
      <w:start w:val="3"/>
      <w:numFmt w:val="chineseCounting"/>
      <w:suff w:val="space"/>
      <w:lvlText w:val="第%1部分"/>
      <w:lvlJc w:val="left"/>
      <w:rPr>
        <w:rFonts w:hint="eastAsia"/>
      </w:rPr>
    </w:lvl>
  </w:abstractNum>
  <w:abstractNum w:abstractNumId="16">
    <w:nsid w:val="6C9B464E"/>
    <w:multiLevelType w:val="singleLevel"/>
    <w:tmpl w:val="6C9B464E"/>
    <w:lvl w:ilvl="0" w:tentative="0">
      <w:start w:val="1"/>
      <w:numFmt w:val="chineseCounting"/>
      <w:suff w:val="nothing"/>
      <w:lvlText w:val="%1、"/>
      <w:lvlJc w:val="left"/>
      <w:rPr>
        <w:rFonts w:hint="eastAsia"/>
      </w:rPr>
    </w:lvl>
  </w:abstractNum>
  <w:abstractNum w:abstractNumId="17">
    <w:nsid w:val="7450AA9F"/>
    <w:multiLevelType w:val="singleLevel"/>
    <w:tmpl w:val="7450AA9F"/>
    <w:lvl w:ilvl="0" w:tentative="0">
      <w:start w:val="3"/>
      <w:numFmt w:val="decimal"/>
      <w:lvlText w:val="%1."/>
      <w:lvlJc w:val="left"/>
      <w:pPr>
        <w:tabs>
          <w:tab w:val="left" w:pos="312"/>
        </w:tabs>
      </w:pPr>
    </w:lvl>
  </w:abstractNum>
  <w:num w:numId="1">
    <w:abstractNumId w:val="2"/>
  </w:num>
  <w:num w:numId="2">
    <w:abstractNumId w:val="17"/>
  </w:num>
  <w:num w:numId="3">
    <w:abstractNumId w:val="15"/>
  </w:num>
  <w:num w:numId="4">
    <w:abstractNumId w:val="5"/>
  </w:num>
  <w:num w:numId="5">
    <w:abstractNumId w:val="3"/>
  </w:num>
  <w:num w:numId="6">
    <w:abstractNumId w:val="10"/>
  </w:num>
  <w:num w:numId="7">
    <w:abstractNumId w:val="8"/>
  </w:num>
  <w:num w:numId="8">
    <w:abstractNumId w:val="13"/>
  </w:num>
  <w:num w:numId="9">
    <w:abstractNumId w:val="7"/>
  </w:num>
  <w:num w:numId="10">
    <w:abstractNumId w:val="14"/>
  </w:num>
  <w:num w:numId="11">
    <w:abstractNumId w:val="0"/>
  </w:num>
  <w:num w:numId="12">
    <w:abstractNumId w:val="1"/>
  </w:num>
  <w:num w:numId="13">
    <w:abstractNumId w:val="16"/>
  </w:num>
  <w:num w:numId="14">
    <w:abstractNumId w:val="11"/>
  </w:num>
  <w:num w:numId="15">
    <w:abstractNumId w:val="6"/>
  </w:num>
  <w:num w:numId="16">
    <w:abstractNumId w:val="9"/>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5ZWNiYzNhN2IxZWMzOTRiOWU4N2NiNGRhMDYwY2YifQ=="/>
  </w:docVars>
  <w:rsids>
    <w:rsidRoot w:val="00926757"/>
    <w:rsid w:val="0000659F"/>
    <w:rsid w:val="00033683"/>
    <w:rsid w:val="00035F7B"/>
    <w:rsid w:val="00041660"/>
    <w:rsid w:val="000472D9"/>
    <w:rsid w:val="00055D2E"/>
    <w:rsid w:val="00062E53"/>
    <w:rsid w:val="00077914"/>
    <w:rsid w:val="00081EAA"/>
    <w:rsid w:val="00082C2E"/>
    <w:rsid w:val="000912CE"/>
    <w:rsid w:val="000944C9"/>
    <w:rsid w:val="0009567E"/>
    <w:rsid w:val="0009620B"/>
    <w:rsid w:val="000A1AEE"/>
    <w:rsid w:val="000C0FC4"/>
    <w:rsid w:val="000C7BB2"/>
    <w:rsid w:val="000E19DF"/>
    <w:rsid w:val="00104C5E"/>
    <w:rsid w:val="001052A2"/>
    <w:rsid w:val="0010552D"/>
    <w:rsid w:val="00111A0A"/>
    <w:rsid w:val="00111C03"/>
    <w:rsid w:val="001132E4"/>
    <w:rsid w:val="00153237"/>
    <w:rsid w:val="00160E85"/>
    <w:rsid w:val="00172815"/>
    <w:rsid w:val="00172A51"/>
    <w:rsid w:val="00175ED4"/>
    <w:rsid w:val="00195E54"/>
    <w:rsid w:val="001A03E4"/>
    <w:rsid w:val="001B2B08"/>
    <w:rsid w:val="001B7483"/>
    <w:rsid w:val="001D5327"/>
    <w:rsid w:val="001D6558"/>
    <w:rsid w:val="001E03E1"/>
    <w:rsid w:val="00206184"/>
    <w:rsid w:val="002076A9"/>
    <w:rsid w:val="00214081"/>
    <w:rsid w:val="00225AD7"/>
    <w:rsid w:val="00240FB5"/>
    <w:rsid w:val="002515A2"/>
    <w:rsid w:val="0025552E"/>
    <w:rsid w:val="002676BE"/>
    <w:rsid w:val="0027193B"/>
    <w:rsid w:val="00291364"/>
    <w:rsid w:val="0029140F"/>
    <w:rsid w:val="002A7385"/>
    <w:rsid w:val="002B0213"/>
    <w:rsid w:val="002B24BE"/>
    <w:rsid w:val="002B4776"/>
    <w:rsid w:val="002B4899"/>
    <w:rsid w:val="002C08E7"/>
    <w:rsid w:val="002D010A"/>
    <w:rsid w:val="002D485F"/>
    <w:rsid w:val="002E0F5A"/>
    <w:rsid w:val="002E14B2"/>
    <w:rsid w:val="002F23F2"/>
    <w:rsid w:val="00303C57"/>
    <w:rsid w:val="0030684B"/>
    <w:rsid w:val="00307400"/>
    <w:rsid w:val="003126A6"/>
    <w:rsid w:val="00315243"/>
    <w:rsid w:val="0032269A"/>
    <w:rsid w:val="00323181"/>
    <w:rsid w:val="0032587F"/>
    <w:rsid w:val="00340ED5"/>
    <w:rsid w:val="0036573E"/>
    <w:rsid w:val="00367D30"/>
    <w:rsid w:val="00370553"/>
    <w:rsid w:val="00375187"/>
    <w:rsid w:val="00375D50"/>
    <w:rsid w:val="00376823"/>
    <w:rsid w:val="003920F2"/>
    <w:rsid w:val="00393E68"/>
    <w:rsid w:val="003953FE"/>
    <w:rsid w:val="003A4370"/>
    <w:rsid w:val="003A6725"/>
    <w:rsid w:val="003C4C37"/>
    <w:rsid w:val="003C4FBB"/>
    <w:rsid w:val="003D1C3F"/>
    <w:rsid w:val="003D662C"/>
    <w:rsid w:val="003F6056"/>
    <w:rsid w:val="003F6783"/>
    <w:rsid w:val="00412C63"/>
    <w:rsid w:val="004155F0"/>
    <w:rsid w:val="00416E3B"/>
    <w:rsid w:val="004254BF"/>
    <w:rsid w:val="004365A1"/>
    <w:rsid w:val="00436E62"/>
    <w:rsid w:val="00436FDE"/>
    <w:rsid w:val="004373A3"/>
    <w:rsid w:val="0045096A"/>
    <w:rsid w:val="004628F6"/>
    <w:rsid w:val="00462F5F"/>
    <w:rsid w:val="00464A32"/>
    <w:rsid w:val="004A0957"/>
    <w:rsid w:val="004A2D19"/>
    <w:rsid w:val="004A7203"/>
    <w:rsid w:val="004B6B0F"/>
    <w:rsid w:val="004C38C5"/>
    <w:rsid w:val="004C6FFB"/>
    <w:rsid w:val="004D0667"/>
    <w:rsid w:val="004D0912"/>
    <w:rsid w:val="004E3011"/>
    <w:rsid w:val="004E4D74"/>
    <w:rsid w:val="004F4056"/>
    <w:rsid w:val="00504D6F"/>
    <w:rsid w:val="00521C43"/>
    <w:rsid w:val="00525223"/>
    <w:rsid w:val="00534CF9"/>
    <w:rsid w:val="0055321A"/>
    <w:rsid w:val="0055465B"/>
    <w:rsid w:val="00563FD7"/>
    <w:rsid w:val="00565A6A"/>
    <w:rsid w:val="00567935"/>
    <w:rsid w:val="00567DB4"/>
    <w:rsid w:val="005704C8"/>
    <w:rsid w:val="005766DD"/>
    <w:rsid w:val="00592761"/>
    <w:rsid w:val="00596C28"/>
    <w:rsid w:val="005A45A3"/>
    <w:rsid w:val="005B164F"/>
    <w:rsid w:val="005C3FC5"/>
    <w:rsid w:val="005C7E40"/>
    <w:rsid w:val="005D46AE"/>
    <w:rsid w:val="005D7FA6"/>
    <w:rsid w:val="005E07D9"/>
    <w:rsid w:val="005E1AF0"/>
    <w:rsid w:val="005F0C70"/>
    <w:rsid w:val="005F530A"/>
    <w:rsid w:val="00604BD6"/>
    <w:rsid w:val="0060795A"/>
    <w:rsid w:val="006106D7"/>
    <w:rsid w:val="00631291"/>
    <w:rsid w:val="0065484F"/>
    <w:rsid w:val="00662AC3"/>
    <w:rsid w:val="00663130"/>
    <w:rsid w:val="00666D3A"/>
    <w:rsid w:val="0067589A"/>
    <w:rsid w:val="0068763C"/>
    <w:rsid w:val="00696D4F"/>
    <w:rsid w:val="006B27D4"/>
    <w:rsid w:val="006C3C77"/>
    <w:rsid w:val="006C4C09"/>
    <w:rsid w:val="006C77D7"/>
    <w:rsid w:val="006D1492"/>
    <w:rsid w:val="006E280C"/>
    <w:rsid w:val="006E363D"/>
    <w:rsid w:val="006F2B08"/>
    <w:rsid w:val="006F3F8A"/>
    <w:rsid w:val="006F7C8A"/>
    <w:rsid w:val="0070766A"/>
    <w:rsid w:val="00716576"/>
    <w:rsid w:val="007251DC"/>
    <w:rsid w:val="0073514F"/>
    <w:rsid w:val="007711E5"/>
    <w:rsid w:val="00777158"/>
    <w:rsid w:val="007776AF"/>
    <w:rsid w:val="007817D0"/>
    <w:rsid w:val="007817F8"/>
    <w:rsid w:val="007848A1"/>
    <w:rsid w:val="00787EEA"/>
    <w:rsid w:val="00795878"/>
    <w:rsid w:val="007B02A3"/>
    <w:rsid w:val="007C5D00"/>
    <w:rsid w:val="007D510D"/>
    <w:rsid w:val="007D65FF"/>
    <w:rsid w:val="007D69E3"/>
    <w:rsid w:val="007D76EB"/>
    <w:rsid w:val="007E15B6"/>
    <w:rsid w:val="00814586"/>
    <w:rsid w:val="00817A4D"/>
    <w:rsid w:val="0082124A"/>
    <w:rsid w:val="0082313E"/>
    <w:rsid w:val="00831A68"/>
    <w:rsid w:val="0083282B"/>
    <w:rsid w:val="00832C8E"/>
    <w:rsid w:val="008352D3"/>
    <w:rsid w:val="00836DE1"/>
    <w:rsid w:val="00837625"/>
    <w:rsid w:val="008403BB"/>
    <w:rsid w:val="0086666D"/>
    <w:rsid w:val="00892C71"/>
    <w:rsid w:val="008A5114"/>
    <w:rsid w:val="008B2B0E"/>
    <w:rsid w:val="008B2B90"/>
    <w:rsid w:val="008C6CD8"/>
    <w:rsid w:val="008C7E64"/>
    <w:rsid w:val="008D06F5"/>
    <w:rsid w:val="008D630D"/>
    <w:rsid w:val="008E4D44"/>
    <w:rsid w:val="008E6288"/>
    <w:rsid w:val="008F7D68"/>
    <w:rsid w:val="0090723E"/>
    <w:rsid w:val="009102ED"/>
    <w:rsid w:val="00920C2B"/>
    <w:rsid w:val="00926757"/>
    <w:rsid w:val="0093516D"/>
    <w:rsid w:val="00943A3E"/>
    <w:rsid w:val="009553B7"/>
    <w:rsid w:val="00955D6B"/>
    <w:rsid w:val="00955E6C"/>
    <w:rsid w:val="00957886"/>
    <w:rsid w:val="0098733D"/>
    <w:rsid w:val="009972B3"/>
    <w:rsid w:val="009A2229"/>
    <w:rsid w:val="009C0BFD"/>
    <w:rsid w:val="009C1BAB"/>
    <w:rsid w:val="009D0295"/>
    <w:rsid w:val="009D6CF2"/>
    <w:rsid w:val="009F2CF3"/>
    <w:rsid w:val="009F679E"/>
    <w:rsid w:val="00A014D7"/>
    <w:rsid w:val="00A07F5D"/>
    <w:rsid w:val="00A12169"/>
    <w:rsid w:val="00A17A74"/>
    <w:rsid w:val="00A31488"/>
    <w:rsid w:val="00A472AD"/>
    <w:rsid w:val="00A509CC"/>
    <w:rsid w:val="00A613B9"/>
    <w:rsid w:val="00A62C8E"/>
    <w:rsid w:val="00A64854"/>
    <w:rsid w:val="00A66C00"/>
    <w:rsid w:val="00AB5B94"/>
    <w:rsid w:val="00AC7582"/>
    <w:rsid w:val="00AD6A74"/>
    <w:rsid w:val="00AD765E"/>
    <w:rsid w:val="00AE0CC1"/>
    <w:rsid w:val="00AE154E"/>
    <w:rsid w:val="00AF2A74"/>
    <w:rsid w:val="00B028A5"/>
    <w:rsid w:val="00B03672"/>
    <w:rsid w:val="00B043EE"/>
    <w:rsid w:val="00B075EA"/>
    <w:rsid w:val="00B21C11"/>
    <w:rsid w:val="00B2310E"/>
    <w:rsid w:val="00B27485"/>
    <w:rsid w:val="00B40224"/>
    <w:rsid w:val="00B62025"/>
    <w:rsid w:val="00B63C0A"/>
    <w:rsid w:val="00B91F48"/>
    <w:rsid w:val="00BA7695"/>
    <w:rsid w:val="00BA7A8C"/>
    <w:rsid w:val="00BB0B08"/>
    <w:rsid w:val="00BB32BF"/>
    <w:rsid w:val="00BC50E9"/>
    <w:rsid w:val="00BE5762"/>
    <w:rsid w:val="00BF13DB"/>
    <w:rsid w:val="00BF46A8"/>
    <w:rsid w:val="00C01D38"/>
    <w:rsid w:val="00C13E23"/>
    <w:rsid w:val="00C14E72"/>
    <w:rsid w:val="00C2335A"/>
    <w:rsid w:val="00C24CD4"/>
    <w:rsid w:val="00C259B3"/>
    <w:rsid w:val="00C27B69"/>
    <w:rsid w:val="00C3079E"/>
    <w:rsid w:val="00C3721C"/>
    <w:rsid w:val="00C472BF"/>
    <w:rsid w:val="00C638E8"/>
    <w:rsid w:val="00C75CAF"/>
    <w:rsid w:val="00C83BAB"/>
    <w:rsid w:val="00C83C41"/>
    <w:rsid w:val="00C919E5"/>
    <w:rsid w:val="00C92C7C"/>
    <w:rsid w:val="00CA3AC9"/>
    <w:rsid w:val="00CA5501"/>
    <w:rsid w:val="00CB1F8A"/>
    <w:rsid w:val="00CB41B6"/>
    <w:rsid w:val="00CC235A"/>
    <w:rsid w:val="00CC30E3"/>
    <w:rsid w:val="00CD36C7"/>
    <w:rsid w:val="00CE2326"/>
    <w:rsid w:val="00CE5CF5"/>
    <w:rsid w:val="00D164FF"/>
    <w:rsid w:val="00D17F56"/>
    <w:rsid w:val="00D201F4"/>
    <w:rsid w:val="00D273CE"/>
    <w:rsid w:val="00D43EBD"/>
    <w:rsid w:val="00D8068F"/>
    <w:rsid w:val="00D8086D"/>
    <w:rsid w:val="00D81827"/>
    <w:rsid w:val="00D86376"/>
    <w:rsid w:val="00D91733"/>
    <w:rsid w:val="00DB2184"/>
    <w:rsid w:val="00DB5EC3"/>
    <w:rsid w:val="00DF2080"/>
    <w:rsid w:val="00DF22B9"/>
    <w:rsid w:val="00DF6F11"/>
    <w:rsid w:val="00DF7A61"/>
    <w:rsid w:val="00E12EAA"/>
    <w:rsid w:val="00E22C84"/>
    <w:rsid w:val="00E30AB3"/>
    <w:rsid w:val="00E30BA3"/>
    <w:rsid w:val="00E3495F"/>
    <w:rsid w:val="00E500A2"/>
    <w:rsid w:val="00E63BBC"/>
    <w:rsid w:val="00E64C51"/>
    <w:rsid w:val="00E67EB8"/>
    <w:rsid w:val="00E7168A"/>
    <w:rsid w:val="00E7200E"/>
    <w:rsid w:val="00E83AE2"/>
    <w:rsid w:val="00EA2156"/>
    <w:rsid w:val="00EB0B71"/>
    <w:rsid w:val="00EB0FEF"/>
    <w:rsid w:val="00EC07C2"/>
    <w:rsid w:val="00EC3759"/>
    <w:rsid w:val="00EF2882"/>
    <w:rsid w:val="00EF3356"/>
    <w:rsid w:val="00F13BA1"/>
    <w:rsid w:val="00F13CCC"/>
    <w:rsid w:val="00F2031B"/>
    <w:rsid w:val="00F22EE3"/>
    <w:rsid w:val="00F26CC5"/>
    <w:rsid w:val="00F40096"/>
    <w:rsid w:val="00F40AB7"/>
    <w:rsid w:val="00F64B1C"/>
    <w:rsid w:val="00F720CE"/>
    <w:rsid w:val="00F73F50"/>
    <w:rsid w:val="00F87C38"/>
    <w:rsid w:val="00F934BB"/>
    <w:rsid w:val="00FB0B6C"/>
    <w:rsid w:val="00FC70C8"/>
    <w:rsid w:val="00FC7A0B"/>
    <w:rsid w:val="00FC7B7A"/>
    <w:rsid w:val="02610037"/>
    <w:rsid w:val="02855A64"/>
    <w:rsid w:val="050E41CD"/>
    <w:rsid w:val="06EF134C"/>
    <w:rsid w:val="08A1075B"/>
    <w:rsid w:val="0AED019C"/>
    <w:rsid w:val="0C226901"/>
    <w:rsid w:val="13C03E26"/>
    <w:rsid w:val="164C3F83"/>
    <w:rsid w:val="1987012D"/>
    <w:rsid w:val="1C3108B2"/>
    <w:rsid w:val="1F281F89"/>
    <w:rsid w:val="22200DEB"/>
    <w:rsid w:val="25702416"/>
    <w:rsid w:val="297F1B05"/>
    <w:rsid w:val="2A476372"/>
    <w:rsid w:val="2B38083D"/>
    <w:rsid w:val="2C7F55A5"/>
    <w:rsid w:val="2E1113A3"/>
    <w:rsid w:val="30ED1751"/>
    <w:rsid w:val="33490667"/>
    <w:rsid w:val="3D314F5D"/>
    <w:rsid w:val="4169149A"/>
    <w:rsid w:val="43141ABD"/>
    <w:rsid w:val="46C165CA"/>
    <w:rsid w:val="480E36C9"/>
    <w:rsid w:val="4C6C4800"/>
    <w:rsid w:val="4E8C095C"/>
    <w:rsid w:val="531F3916"/>
    <w:rsid w:val="5381391E"/>
    <w:rsid w:val="53DF63E7"/>
    <w:rsid w:val="55C2222C"/>
    <w:rsid w:val="56225921"/>
    <w:rsid w:val="637C2F6C"/>
    <w:rsid w:val="6976003F"/>
    <w:rsid w:val="6AEC0F4D"/>
    <w:rsid w:val="6C690350"/>
    <w:rsid w:val="6D9E2FAE"/>
    <w:rsid w:val="6ED12088"/>
    <w:rsid w:val="719D1833"/>
    <w:rsid w:val="754167EA"/>
    <w:rsid w:val="77581AC5"/>
    <w:rsid w:val="79995A37"/>
    <w:rsid w:val="79BD40F6"/>
    <w:rsid w:val="7AF2104C"/>
    <w:rsid w:val="7B116A9C"/>
    <w:rsid w:val="7BE70F4E"/>
    <w:rsid w:val="7D874ED3"/>
    <w:rsid w:val="7E22212E"/>
    <w:rsid w:val="7F3D7CD9"/>
    <w:rsid w:val="B8CF1B78"/>
    <w:rsid w:val="BAFFF6D3"/>
    <w:rsid w:val="F3770530"/>
    <w:rsid w:val="FFCDE6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72"/>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qFormat/>
    <w:uiPriority w:val="0"/>
    <w:pPr>
      <w:keepNext/>
      <w:keepLines/>
      <w:spacing w:before="260" w:after="260" w:line="412" w:lineRule="auto"/>
      <w:outlineLvl w:val="1"/>
    </w:pPr>
    <w:rPr>
      <w:rFonts w:ascii="Arial" w:hAnsi="Arial" w:eastAsia="宋体" w:cs="Times New Roman"/>
      <w:b/>
      <w:sz w:val="32"/>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ind w:firstLine="200" w:firstLineChars="200"/>
    </w:pPr>
    <w:rPr>
      <w:rFonts w:ascii="Arial" w:hAnsi="Arial" w:eastAsia="宋体" w:cs="Times New Roman"/>
      <w:spacing w:val="-5"/>
      <w:kern w:val="0"/>
      <w:sz w:val="24"/>
      <w:szCs w:val="20"/>
    </w:rPr>
  </w:style>
  <w:style w:type="paragraph" w:styleId="3">
    <w:name w:val="Body Text"/>
    <w:basedOn w:val="1"/>
    <w:next w:val="4"/>
    <w:link w:val="34"/>
    <w:autoRedefine/>
    <w:unhideWhenUsed/>
    <w:qFormat/>
    <w:uiPriority w:val="0"/>
    <w:pPr>
      <w:spacing w:after="120"/>
    </w:pPr>
  </w:style>
  <w:style w:type="paragraph" w:styleId="4">
    <w:name w:val="Body Text First Indent"/>
    <w:basedOn w:val="3"/>
    <w:link w:val="35"/>
    <w:autoRedefine/>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rPr>
  </w:style>
  <w:style w:type="paragraph" w:styleId="7">
    <w:name w:val="List Number"/>
    <w:basedOn w:val="1"/>
    <w:autoRedefine/>
    <w:qFormat/>
    <w:uiPriority w:val="0"/>
    <w:pPr>
      <w:widowControl/>
      <w:tabs>
        <w:tab w:val="left" w:pos="360"/>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3"/>
    <w:autoRedefine/>
    <w:qFormat/>
    <w:uiPriority w:val="0"/>
    <w:pPr>
      <w:ind w:firstLine="420"/>
    </w:pPr>
    <w:rPr>
      <w:rFonts w:eastAsia="宋体"/>
    </w:rPr>
  </w:style>
  <w:style w:type="paragraph" w:styleId="9">
    <w:name w:val="Document Map"/>
    <w:basedOn w:val="1"/>
    <w:link w:val="32"/>
    <w:autoRedefine/>
    <w:semiHidden/>
    <w:unhideWhenUsed/>
    <w:qFormat/>
    <w:uiPriority w:val="99"/>
    <w:rPr>
      <w:rFonts w:ascii="宋体" w:eastAsia="宋体"/>
      <w:sz w:val="18"/>
      <w:szCs w:val="18"/>
    </w:rPr>
  </w:style>
  <w:style w:type="paragraph" w:styleId="10">
    <w:name w:val="annotation text"/>
    <w:basedOn w:val="1"/>
    <w:link w:val="51"/>
    <w:autoRedefine/>
    <w:unhideWhenUsed/>
    <w:qFormat/>
    <w:uiPriority w:val="0"/>
    <w:pPr>
      <w:jc w:val="left"/>
    </w:pPr>
  </w:style>
  <w:style w:type="paragraph" w:styleId="11">
    <w:name w:val="Body Text Indent"/>
    <w:basedOn w:val="1"/>
    <w:link w:val="31"/>
    <w:autoRedefine/>
    <w:qFormat/>
    <w:uiPriority w:val="0"/>
    <w:pPr>
      <w:spacing w:line="480" w:lineRule="exact"/>
      <w:ind w:firstLine="480" w:firstLineChars="200"/>
    </w:pPr>
    <w:rPr>
      <w:rFonts w:ascii="宋体" w:hAnsi="宋体"/>
      <w:sz w:val="24"/>
    </w:rPr>
  </w:style>
  <w:style w:type="paragraph" w:styleId="12">
    <w:name w:val="Block Text"/>
    <w:basedOn w:val="1"/>
    <w:next w:val="1"/>
    <w:autoRedefine/>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3">
    <w:name w:val="Plain Text"/>
    <w:basedOn w:val="1"/>
    <w:next w:val="1"/>
    <w:link w:val="36"/>
    <w:autoRedefine/>
    <w:qFormat/>
    <w:uiPriority w:val="0"/>
    <w:rPr>
      <w:rFonts w:ascii="宋体" w:hAnsi="Courier New" w:eastAsia="Times New Roman" w:cs="宋体"/>
      <w:sz w:val="30"/>
      <w:szCs w:val="30"/>
    </w:rPr>
  </w:style>
  <w:style w:type="paragraph" w:styleId="14">
    <w:name w:val="Date"/>
    <w:basedOn w:val="1"/>
    <w:next w:val="1"/>
    <w:link w:val="46"/>
    <w:autoRedefine/>
    <w:unhideWhenUsed/>
    <w:qFormat/>
    <w:uiPriority w:val="99"/>
    <w:pPr>
      <w:ind w:left="100" w:leftChars="2500"/>
    </w:pPr>
  </w:style>
  <w:style w:type="paragraph" w:styleId="15">
    <w:name w:val="Balloon Text"/>
    <w:basedOn w:val="1"/>
    <w:link w:val="38"/>
    <w:autoRedefine/>
    <w:unhideWhenUsed/>
    <w:qFormat/>
    <w:uiPriority w:val="99"/>
    <w:rPr>
      <w:sz w:val="18"/>
      <w:szCs w:val="18"/>
    </w:rPr>
  </w:style>
  <w:style w:type="paragraph" w:styleId="16">
    <w:name w:val="footer"/>
    <w:basedOn w:val="1"/>
    <w:link w:val="39"/>
    <w:autoRedefine/>
    <w:unhideWhenUsed/>
    <w:qFormat/>
    <w:uiPriority w:val="99"/>
    <w:pPr>
      <w:tabs>
        <w:tab w:val="center" w:pos="4153"/>
        <w:tab w:val="right" w:pos="8306"/>
      </w:tabs>
      <w:snapToGrid w:val="0"/>
      <w:jc w:val="left"/>
    </w:pPr>
    <w:rPr>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1"/>
    <w:qFormat/>
    <w:uiPriority w:val="11"/>
    <w:pPr>
      <w:adjustRightInd w:val="0"/>
      <w:snapToGrid w:val="0"/>
      <w:spacing w:before="240" w:after="480"/>
      <w:jc w:val="center"/>
    </w:pPr>
    <w:rPr>
      <w:rFonts w:ascii="Arial" w:hAnsi="Arial" w:eastAsia="隶书"/>
      <w:b/>
      <w:bCs/>
      <w:kern w:val="28"/>
      <w:sz w:val="44"/>
      <w:szCs w:val="32"/>
    </w:rPr>
  </w:style>
  <w:style w:type="paragraph" w:styleId="19">
    <w:name w:val="toc 2"/>
    <w:basedOn w:val="1"/>
    <w:next w:val="1"/>
    <w:qFormat/>
    <w:uiPriority w:val="0"/>
    <w:pPr>
      <w:widowControl/>
      <w:spacing w:before="120"/>
      <w:ind w:left="240"/>
      <w:jc w:val="left"/>
    </w:pPr>
    <w:rPr>
      <w:b/>
      <w:bCs/>
      <w:kern w:val="0"/>
      <w:sz w:val="22"/>
    </w:rPr>
  </w:style>
  <w:style w:type="paragraph" w:styleId="20">
    <w:name w:val="Normal (Web)"/>
    <w:basedOn w:val="1"/>
    <w:autoRedefine/>
    <w:unhideWhenUsed/>
    <w:qFormat/>
    <w:uiPriority w:val="99"/>
    <w:pPr>
      <w:spacing w:beforeAutospacing="1" w:afterAutospacing="1"/>
      <w:jc w:val="left"/>
    </w:pPr>
    <w:rPr>
      <w:rFonts w:cs="Times New Roman"/>
      <w:kern w:val="0"/>
      <w:sz w:val="24"/>
    </w:rPr>
  </w:style>
  <w:style w:type="paragraph" w:styleId="21">
    <w:name w:val="Title"/>
    <w:basedOn w:val="1"/>
    <w:next w:val="1"/>
    <w:link w:val="42"/>
    <w:autoRedefine/>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2">
    <w:name w:val="annotation subject"/>
    <w:basedOn w:val="10"/>
    <w:next w:val="10"/>
    <w:link w:val="52"/>
    <w:autoRedefine/>
    <w:unhideWhenUsed/>
    <w:qFormat/>
    <w:uiPriority w:val="99"/>
    <w:rPr>
      <w:b/>
      <w:bCs/>
    </w:rPr>
  </w:style>
  <w:style w:type="paragraph" w:styleId="23">
    <w:name w:val="Body Text First Indent 2"/>
    <w:basedOn w:val="11"/>
    <w:link w:val="44"/>
    <w:autoRedefine/>
    <w:semiHidden/>
    <w:unhideWhenUsed/>
    <w:qFormat/>
    <w:uiPriority w:val="99"/>
    <w:pPr>
      <w:spacing w:after="120" w:line="240" w:lineRule="auto"/>
      <w:ind w:left="420" w:leftChars="200" w:firstLine="420"/>
    </w:pPr>
    <w:rPr>
      <w:rFonts w:asciiTheme="minorHAnsi" w:hAnsiTheme="minorHAnsi"/>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Hyperlink"/>
    <w:basedOn w:val="26"/>
    <w:autoRedefine/>
    <w:unhideWhenUsed/>
    <w:qFormat/>
    <w:uiPriority w:val="99"/>
    <w:rPr>
      <w:color w:val="0000FF" w:themeColor="hyperlink"/>
      <w:u w:val="single"/>
    </w:rPr>
  </w:style>
  <w:style w:type="character" w:styleId="29">
    <w:name w:val="annotation reference"/>
    <w:basedOn w:val="26"/>
    <w:autoRedefine/>
    <w:qFormat/>
    <w:uiPriority w:val="0"/>
    <w:rPr>
      <w:sz w:val="21"/>
      <w:szCs w:val="21"/>
    </w:rPr>
  </w:style>
  <w:style w:type="character" w:customStyle="1" w:styleId="30">
    <w:name w:val="标题 2 Char"/>
    <w:basedOn w:val="26"/>
    <w:link w:val="6"/>
    <w:autoRedefine/>
    <w:qFormat/>
    <w:uiPriority w:val="0"/>
    <w:rPr>
      <w:rFonts w:ascii="Arial" w:hAnsi="Arial" w:eastAsia="宋体" w:cs="Times New Roman"/>
      <w:b/>
      <w:sz w:val="32"/>
      <w:szCs w:val="28"/>
    </w:rPr>
  </w:style>
  <w:style w:type="character" w:customStyle="1" w:styleId="31">
    <w:name w:val="正文文本缩进 Char"/>
    <w:basedOn w:val="26"/>
    <w:link w:val="11"/>
    <w:autoRedefine/>
    <w:qFormat/>
    <w:uiPriority w:val="0"/>
    <w:rPr>
      <w:rFonts w:ascii="宋体" w:hAnsi="宋体"/>
      <w:sz w:val="24"/>
    </w:rPr>
  </w:style>
  <w:style w:type="character" w:customStyle="1" w:styleId="32">
    <w:name w:val="文档结构图 Char"/>
    <w:basedOn w:val="26"/>
    <w:link w:val="9"/>
    <w:autoRedefine/>
    <w:semiHidden/>
    <w:qFormat/>
    <w:uiPriority w:val="99"/>
    <w:rPr>
      <w:rFonts w:ascii="宋体" w:eastAsia="宋体"/>
      <w:sz w:val="18"/>
      <w:szCs w:val="18"/>
    </w:rPr>
  </w:style>
  <w:style w:type="character" w:customStyle="1" w:styleId="33">
    <w:name w:val="批注文字 Char"/>
    <w:basedOn w:val="26"/>
    <w:autoRedefine/>
    <w:qFormat/>
    <w:uiPriority w:val="0"/>
  </w:style>
  <w:style w:type="character" w:customStyle="1" w:styleId="34">
    <w:name w:val="正文文本 Char"/>
    <w:basedOn w:val="26"/>
    <w:link w:val="3"/>
    <w:autoRedefine/>
    <w:qFormat/>
    <w:uiPriority w:val="0"/>
  </w:style>
  <w:style w:type="character" w:customStyle="1" w:styleId="35">
    <w:name w:val="正文首行缩进 Char"/>
    <w:basedOn w:val="34"/>
    <w:link w:val="4"/>
    <w:autoRedefine/>
    <w:qFormat/>
    <w:uiPriority w:val="0"/>
    <w:rPr>
      <w:rFonts w:ascii="仿宋_GB2312" w:hAnsi="仿宋_GB2312" w:eastAsia="仿宋_GB2312" w:cs="仿宋_GB2312"/>
      <w:color w:val="000000" w:themeColor="text1"/>
      <w:sz w:val="24"/>
      <w:szCs w:val="24"/>
      <w:lang w:bidi="en-US"/>
    </w:rPr>
  </w:style>
  <w:style w:type="character" w:customStyle="1" w:styleId="36">
    <w:name w:val="纯文本 Char"/>
    <w:basedOn w:val="26"/>
    <w:link w:val="13"/>
    <w:autoRedefine/>
    <w:qFormat/>
    <w:uiPriority w:val="0"/>
    <w:rPr>
      <w:rFonts w:ascii="宋体" w:hAnsi="Courier New" w:eastAsia="Times New Roman" w:cs="宋体"/>
      <w:sz w:val="30"/>
      <w:szCs w:val="30"/>
    </w:rPr>
  </w:style>
  <w:style w:type="character" w:customStyle="1" w:styleId="37">
    <w:name w:val="日期 Char"/>
    <w:basedOn w:val="26"/>
    <w:autoRedefine/>
    <w:semiHidden/>
    <w:qFormat/>
    <w:uiPriority w:val="99"/>
  </w:style>
  <w:style w:type="character" w:customStyle="1" w:styleId="38">
    <w:name w:val="批注框文本 Char"/>
    <w:basedOn w:val="26"/>
    <w:link w:val="15"/>
    <w:autoRedefine/>
    <w:qFormat/>
    <w:uiPriority w:val="99"/>
    <w:rPr>
      <w:sz w:val="18"/>
      <w:szCs w:val="18"/>
    </w:rPr>
  </w:style>
  <w:style w:type="character" w:customStyle="1" w:styleId="39">
    <w:name w:val="页脚 Char"/>
    <w:basedOn w:val="26"/>
    <w:link w:val="16"/>
    <w:autoRedefine/>
    <w:qFormat/>
    <w:uiPriority w:val="99"/>
    <w:rPr>
      <w:sz w:val="18"/>
      <w:szCs w:val="18"/>
    </w:rPr>
  </w:style>
  <w:style w:type="character" w:customStyle="1" w:styleId="40">
    <w:name w:val="页眉 Char"/>
    <w:basedOn w:val="26"/>
    <w:link w:val="17"/>
    <w:autoRedefine/>
    <w:qFormat/>
    <w:uiPriority w:val="99"/>
    <w:rPr>
      <w:sz w:val="18"/>
      <w:szCs w:val="18"/>
    </w:rPr>
  </w:style>
  <w:style w:type="character" w:customStyle="1" w:styleId="41">
    <w:name w:val="副标题 Char"/>
    <w:basedOn w:val="26"/>
    <w:link w:val="18"/>
    <w:autoRedefine/>
    <w:qFormat/>
    <w:uiPriority w:val="11"/>
    <w:rPr>
      <w:rFonts w:ascii="Arial" w:hAnsi="Arial" w:eastAsia="隶书"/>
      <w:b/>
      <w:bCs/>
      <w:kern w:val="28"/>
      <w:sz w:val="44"/>
      <w:szCs w:val="32"/>
    </w:rPr>
  </w:style>
  <w:style w:type="character" w:customStyle="1" w:styleId="42">
    <w:name w:val="标题 Char"/>
    <w:basedOn w:val="26"/>
    <w:link w:val="21"/>
    <w:autoRedefine/>
    <w:qFormat/>
    <w:uiPriority w:val="0"/>
    <w:rPr>
      <w:rFonts w:asciiTheme="majorHAnsi" w:hAnsiTheme="majorHAnsi" w:eastAsiaTheme="majorEastAsia" w:cstheme="majorBidi"/>
      <w:b/>
      <w:bCs/>
      <w:kern w:val="28"/>
      <w:sz w:val="32"/>
      <w:szCs w:val="32"/>
      <w:lang w:eastAsia="en-US" w:bidi="en-US"/>
    </w:rPr>
  </w:style>
  <w:style w:type="character" w:customStyle="1" w:styleId="43">
    <w:name w:val="批注主题 Char"/>
    <w:basedOn w:val="33"/>
    <w:autoRedefine/>
    <w:semiHidden/>
    <w:qFormat/>
    <w:uiPriority w:val="99"/>
    <w:rPr>
      <w:b/>
      <w:bCs/>
    </w:rPr>
  </w:style>
  <w:style w:type="character" w:customStyle="1" w:styleId="44">
    <w:name w:val="正文首行缩进 2 Char"/>
    <w:basedOn w:val="31"/>
    <w:link w:val="23"/>
    <w:autoRedefine/>
    <w:semiHidden/>
    <w:qFormat/>
    <w:uiPriority w:val="99"/>
    <w:rPr>
      <w:rFonts w:ascii="宋体" w:hAnsi="宋体"/>
      <w:sz w:val="24"/>
    </w:rPr>
  </w:style>
  <w:style w:type="paragraph" w:customStyle="1" w:styleId="45">
    <w:name w:val="[Normal]"/>
    <w:autoRedefine/>
    <w:qFormat/>
    <w:uiPriority w:val="0"/>
    <w:rPr>
      <w:rFonts w:ascii="宋体" w:hAnsi="宋体" w:eastAsia="宋体" w:cs="Times New Roman"/>
      <w:sz w:val="24"/>
      <w:szCs w:val="22"/>
      <w:lang w:val="zh-CN" w:eastAsia="zh-CN" w:bidi="ar-SA"/>
    </w:rPr>
  </w:style>
  <w:style w:type="character" w:customStyle="1" w:styleId="46">
    <w:name w:val="日期 Char1"/>
    <w:basedOn w:val="26"/>
    <w:link w:val="14"/>
    <w:autoRedefine/>
    <w:qFormat/>
    <w:uiPriority w:val="99"/>
  </w:style>
  <w:style w:type="paragraph" w:customStyle="1" w:styleId="47">
    <w:name w:val="列出段落1"/>
    <w:basedOn w:val="1"/>
    <w:qFormat/>
    <w:uiPriority w:val="34"/>
    <w:pPr>
      <w:ind w:firstLine="420" w:firstLineChars="200"/>
    </w:pPr>
  </w:style>
  <w:style w:type="paragraph" w:customStyle="1" w:styleId="48">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9">
    <w:name w:val="正文缩进1"/>
    <w:basedOn w:val="1"/>
    <w:autoRedefine/>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0">
    <w:name w:val="索引 11"/>
    <w:basedOn w:val="1"/>
    <w:next w:val="1"/>
    <w:autoRedefine/>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1">
    <w:name w:val="批注文字 Char1"/>
    <w:basedOn w:val="26"/>
    <w:link w:val="10"/>
    <w:autoRedefine/>
    <w:qFormat/>
    <w:uiPriority w:val="0"/>
  </w:style>
  <w:style w:type="character" w:customStyle="1" w:styleId="52">
    <w:name w:val="批注主题 Char1"/>
    <w:basedOn w:val="51"/>
    <w:link w:val="22"/>
    <w:autoRedefine/>
    <w:qFormat/>
    <w:uiPriority w:val="99"/>
    <w:rPr>
      <w:b/>
      <w:bCs/>
    </w:rPr>
  </w:style>
  <w:style w:type="character" w:customStyle="1" w:styleId="53">
    <w:name w:val="正文缩进 Char"/>
    <w:link w:val="8"/>
    <w:autoRedefine/>
    <w:qFormat/>
    <w:uiPriority w:val="0"/>
    <w:rPr>
      <w:rFonts w:eastAsia="宋体"/>
    </w:rPr>
  </w:style>
  <w:style w:type="paragraph" w:customStyle="1" w:styleId="54">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character" w:customStyle="1" w:styleId="55">
    <w:name w:val="正文缩进 Char2"/>
    <w:autoRedefine/>
    <w:qFormat/>
    <w:uiPriority w:val="0"/>
    <w:rPr>
      <w:rFonts w:ascii="宋体" w:eastAsia="宋体"/>
      <w:snapToGrid w:val="0"/>
      <w:color w:val="000000"/>
      <w:kern w:val="28"/>
      <w:sz w:val="28"/>
      <w:lang w:val="en-US" w:eastAsia="zh-CN" w:bidi="ar-SA"/>
    </w:rPr>
  </w:style>
  <w:style w:type="character" w:customStyle="1" w:styleId="56">
    <w:name w:val="纯文本 Char1"/>
    <w:link w:val="57"/>
    <w:autoRedefine/>
    <w:qFormat/>
    <w:uiPriority w:val="0"/>
    <w:rPr>
      <w:rFonts w:ascii="宋体" w:hAnsi="Courier New"/>
    </w:rPr>
  </w:style>
  <w:style w:type="paragraph" w:customStyle="1" w:styleId="57">
    <w:name w:val="纯文本1"/>
    <w:basedOn w:val="1"/>
    <w:link w:val="56"/>
    <w:autoRedefine/>
    <w:qFormat/>
    <w:uiPriority w:val="0"/>
    <w:rPr>
      <w:rFonts w:ascii="宋体" w:hAnsi="Courier New"/>
    </w:rPr>
  </w:style>
  <w:style w:type="paragraph" w:customStyle="1" w:styleId="58">
    <w:name w:val="text-tag"/>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0">
    <w:name w:val="首行缩进"/>
    <w:basedOn w:val="1"/>
    <w:next w:val="1"/>
    <w:autoRedefine/>
    <w:qFormat/>
    <w:uiPriority w:val="0"/>
    <w:pPr>
      <w:spacing w:line="360" w:lineRule="auto"/>
      <w:ind w:firstLine="480" w:firstLineChars="200"/>
    </w:pPr>
    <w:rPr>
      <w:rFonts w:ascii="宋体"/>
      <w:sz w:val="24"/>
      <w:szCs w:val="20"/>
    </w:rPr>
  </w:style>
  <w:style w:type="paragraph" w:customStyle="1" w:styleId="61">
    <w:name w:val="表格"/>
    <w:basedOn w:val="1"/>
    <w:autoRedefine/>
    <w:qFormat/>
    <w:uiPriority w:val="0"/>
    <w:rPr>
      <w:rFonts w:ascii="Times New Roman" w:hAnsi="Times New Roman" w:eastAsia="宋体" w:cs="Times New Roman"/>
    </w:rPr>
  </w:style>
  <w:style w:type="paragraph" w:customStyle="1" w:styleId="62">
    <w:name w:val="List Paragraph1"/>
    <w:basedOn w:val="1"/>
    <w:autoRedefine/>
    <w:qFormat/>
    <w:uiPriority w:val="99"/>
    <w:pPr>
      <w:ind w:firstLine="420" w:firstLineChars="200"/>
    </w:pPr>
    <w:rPr>
      <w:rFonts w:ascii="等线" w:hAnsi="等线" w:eastAsia="等线" w:cs="宋体"/>
      <w:szCs w:val="24"/>
    </w:rPr>
  </w:style>
  <w:style w:type="paragraph" w:customStyle="1" w:styleId="63">
    <w:name w:val="纯文本111"/>
    <w:basedOn w:val="1"/>
    <w:autoRedefine/>
    <w:qFormat/>
    <w:uiPriority w:val="0"/>
    <w:pPr>
      <w:adjustRightInd w:val="0"/>
    </w:pPr>
    <w:rPr>
      <w:rFonts w:hint="eastAsia" w:ascii="宋体" w:hAnsi="Courier New" w:eastAsia="楷体_GB2312" w:cs="Times New Roman"/>
      <w:sz w:val="28"/>
      <w:szCs w:val="20"/>
    </w:rPr>
  </w:style>
  <w:style w:type="paragraph" w:customStyle="1" w:styleId="64">
    <w:name w:val="文档正文"/>
    <w:basedOn w:val="1"/>
    <w:autoRedefine/>
    <w:qFormat/>
    <w:uiPriority w:val="0"/>
    <w:rPr>
      <w:rFonts w:ascii="宋体" w:cs="Arial"/>
      <w:bCs/>
      <w:szCs w:val="21"/>
    </w:rPr>
  </w:style>
  <w:style w:type="paragraph" w:styleId="65">
    <w:name w:val="List Paragraph"/>
    <w:basedOn w:val="1"/>
    <w:autoRedefine/>
    <w:qFormat/>
    <w:uiPriority w:val="0"/>
    <w:pPr>
      <w:ind w:firstLine="420" w:firstLineChars="200"/>
    </w:pPr>
    <w:rPr>
      <w:rFonts w:ascii="Times New Roman" w:hAnsi="Times New Roman" w:eastAsia="宋体" w:cs="Times New Roman"/>
      <w:szCs w:val="20"/>
    </w:rPr>
  </w:style>
  <w:style w:type="character" w:customStyle="1" w:styleId="66">
    <w:name w:val="正文2 Char Char"/>
    <w:link w:val="67"/>
    <w:autoRedefine/>
    <w:qFormat/>
    <w:uiPriority w:val="0"/>
    <w:rPr>
      <w:rFonts w:eastAsia="宋体"/>
      <w:sz w:val="24"/>
    </w:rPr>
  </w:style>
  <w:style w:type="paragraph" w:customStyle="1" w:styleId="67">
    <w:name w:val="正文2"/>
    <w:basedOn w:val="1"/>
    <w:link w:val="66"/>
    <w:autoRedefine/>
    <w:qFormat/>
    <w:uiPriority w:val="0"/>
    <w:pPr>
      <w:adjustRightInd w:val="0"/>
      <w:spacing w:before="156" w:line="360" w:lineRule="auto"/>
      <w:ind w:firstLine="510" w:firstLineChars="200"/>
    </w:pPr>
    <w:rPr>
      <w:rFonts w:eastAsia="宋体"/>
      <w:sz w:val="24"/>
    </w:rPr>
  </w:style>
  <w:style w:type="paragraph" w:customStyle="1" w:styleId="68">
    <w:name w:val="正文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纯文本 Char3"/>
    <w:autoRedefine/>
    <w:qFormat/>
    <w:uiPriority w:val="99"/>
    <w:rPr>
      <w:rFonts w:ascii="宋体" w:hAnsi="Courier New" w:eastAsia="黑体" w:cs="Times New Roman"/>
      <w:snapToGrid w:val="0"/>
      <w:szCs w:val="21"/>
    </w:rPr>
  </w:style>
  <w:style w:type="paragraph" w:customStyle="1" w:styleId="70">
    <w:name w:val="标题1"/>
    <w:basedOn w:val="5"/>
    <w:autoRedefine/>
    <w:qFormat/>
    <w:uiPriority w:val="0"/>
    <w:pPr>
      <w:keepLines w:val="0"/>
      <w:numPr>
        <w:ilvl w:val="0"/>
        <w:numId w:val="1"/>
      </w:numPr>
      <w:spacing w:before="720" w:after="240" w:line="240" w:lineRule="auto"/>
    </w:pPr>
    <w:rPr>
      <w:rFonts w:ascii="Arial" w:hAnsi="Arial" w:eastAsia="宋体" w:cs="Times New Roman"/>
      <w:bCs w:val="0"/>
      <w:spacing w:val="20"/>
      <w:kern w:val="20"/>
      <w:sz w:val="36"/>
      <w:szCs w:val="24"/>
    </w:rPr>
  </w:style>
  <w:style w:type="paragraph" w:customStyle="1" w:styleId="71">
    <w:name w:val="标题2"/>
    <w:basedOn w:val="6"/>
    <w:autoRedefine/>
    <w:qFormat/>
    <w:uiPriority w:val="0"/>
    <w:pPr>
      <w:keepLines w:val="0"/>
      <w:numPr>
        <w:ilvl w:val="1"/>
        <w:numId w:val="1"/>
      </w:numPr>
      <w:tabs>
        <w:tab w:val="left" w:pos="312"/>
        <w:tab w:val="left" w:pos="1247"/>
        <w:tab w:val="clear" w:pos="1673"/>
      </w:tabs>
      <w:spacing w:before="320" w:after="160" w:line="240" w:lineRule="auto"/>
      <w:ind w:left="1247"/>
    </w:pPr>
    <w:rPr>
      <w:rFonts w:cs="Arial"/>
      <w:spacing w:val="20"/>
      <w:kern w:val="28"/>
      <w:sz w:val="28"/>
      <w:lang w:eastAsia="en-US"/>
    </w:rPr>
  </w:style>
  <w:style w:type="character" w:customStyle="1" w:styleId="72">
    <w:name w:val="标题 1 Char"/>
    <w:basedOn w:val="26"/>
    <w:link w:val="5"/>
    <w:autoRedefine/>
    <w:qFormat/>
    <w:uiPriority w:val="9"/>
    <w:rPr>
      <w:b/>
      <w:bCs/>
      <w:kern w:val="44"/>
      <w:sz w:val="44"/>
      <w:szCs w:val="44"/>
    </w:rPr>
  </w:style>
  <w:style w:type="paragraph" w:customStyle="1" w:styleId="73">
    <w:name w:val="列表段落1"/>
    <w:basedOn w:val="1"/>
    <w:autoRedefine/>
    <w:qFormat/>
    <w:uiPriority w:val="0"/>
    <w:pPr>
      <w:ind w:firstLine="420"/>
    </w:pPr>
    <w:rPr>
      <w:rFonts w:ascii="Times New Roman" w:hAnsi="Times New Roman" w:eastAsia="宋体" w:cs="Times New Roman"/>
      <w:szCs w:val="20"/>
    </w:rPr>
  </w:style>
  <w:style w:type="paragraph" w:customStyle="1" w:styleId="74">
    <w:name w:val="form"/>
    <w:basedOn w:val="1"/>
    <w:autoRedefine/>
    <w:qFormat/>
    <w:uiPriority w:val="0"/>
    <w:pPr>
      <w:snapToGrid w:val="0"/>
      <w:jc w:val="center"/>
    </w:pPr>
    <w:rPr>
      <w:rFonts w:ascii="仿宋_GB2312" w:hAnsi="Times New Roman" w:eastAsia="仿宋_GB2312" w:cs="Times New Roman"/>
      <w:sz w:val="24"/>
      <w:szCs w:val="24"/>
    </w:rPr>
  </w:style>
  <w:style w:type="character" w:customStyle="1" w:styleId="75">
    <w:name w:val="font141"/>
    <w:basedOn w:val="26"/>
    <w:autoRedefine/>
    <w:qFormat/>
    <w:uiPriority w:val="0"/>
    <w:rPr>
      <w:rFonts w:hint="eastAsia" w:ascii="宋体" w:hAnsi="宋体" w:eastAsia="宋体" w:cs="宋体"/>
      <w:color w:val="FF0000"/>
      <w:sz w:val="20"/>
      <w:szCs w:val="20"/>
      <w:u w:val="none"/>
    </w:rPr>
  </w:style>
  <w:style w:type="character" w:customStyle="1" w:styleId="76">
    <w:name w:val="font41"/>
    <w:basedOn w:val="26"/>
    <w:autoRedefine/>
    <w:qFormat/>
    <w:uiPriority w:val="0"/>
    <w:rPr>
      <w:rFonts w:hint="eastAsia" w:ascii="宋体" w:hAnsi="宋体" w:eastAsia="宋体" w:cs="宋体"/>
      <w:color w:val="000000"/>
      <w:sz w:val="20"/>
      <w:szCs w:val="20"/>
      <w:u w:val="none"/>
    </w:rPr>
  </w:style>
  <w:style w:type="character" w:customStyle="1" w:styleId="77">
    <w:name w:val="font71"/>
    <w:autoRedefine/>
    <w:qFormat/>
    <w:uiPriority w:val="0"/>
    <w:rPr>
      <w:rFonts w:hint="eastAsia" w:ascii="宋体" w:hAnsi="宋体" w:eastAsia="宋体" w:cs="宋体"/>
      <w:b/>
      <w:bCs/>
      <w:color w:val="000000"/>
      <w:sz w:val="20"/>
      <w:szCs w:val="20"/>
      <w:u w:val="none"/>
    </w:rPr>
  </w:style>
  <w:style w:type="character" w:customStyle="1" w:styleId="78">
    <w:name w:val="font31"/>
    <w:basedOn w:val="26"/>
    <w:autoRedefine/>
    <w:qFormat/>
    <w:uiPriority w:val="0"/>
    <w:rPr>
      <w:rFonts w:hint="eastAsia" w:ascii="宋体" w:hAnsi="宋体" w:eastAsia="宋体" w:cs="宋体"/>
      <w:color w:val="000000"/>
      <w:sz w:val="20"/>
      <w:szCs w:val="20"/>
      <w:u w:val="none"/>
    </w:rPr>
  </w:style>
  <w:style w:type="character" w:customStyle="1" w:styleId="79">
    <w:name w:val="font21"/>
    <w:basedOn w:val="26"/>
    <w:autoRedefine/>
    <w:qFormat/>
    <w:uiPriority w:val="0"/>
    <w:rPr>
      <w:rFonts w:hint="eastAsia" w:ascii="宋体" w:hAnsi="宋体" w:eastAsia="宋体" w:cs="宋体"/>
      <w:color w:val="000000"/>
      <w:sz w:val="20"/>
      <w:szCs w:val="20"/>
      <w:u w:val="none"/>
    </w:rPr>
  </w:style>
  <w:style w:type="character" w:customStyle="1" w:styleId="80">
    <w:name w:val="font51"/>
    <w:basedOn w:val="2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122</Pages>
  <Words>14641</Words>
  <Characters>83458</Characters>
  <Lines>695</Lines>
  <Paragraphs>195</Paragraphs>
  <TotalTime>77</TotalTime>
  <ScaleCrop>false</ScaleCrop>
  <LinksUpToDate>false</LinksUpToDate>
  <CharactersWithSpaces>97904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2024-04-30T10:19:00Z</dcterms:created>
  <dc:creator>NTKO</dc:creator>
  <cp:lastModifiedBy>舟</cp:lastModifiedBy>
  <dcterms:modified xsi:type="dcterms:W3CDTF">2024-05-06T03:13:52Z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73797CAC83724D2F9B69F0DCD968E392_13</vt:lpwstr>
  </property>
</Properties>
</file>