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bookmarkStart w:id="467" w:name="_GoBack"/>
      <w:bookmarkEnd w:id="467"/>
    </w:p>
    <w:p/>
    <w:p>
      <w:pPr>
        <w:jc w:val="center"/>
      </w:pPr>
    </w:p>
    <w:p>
      <w:pPr>
        <w:jc w:val="center"/>
      </w:pPr>
    </w:p>
    <w:p>
      <w:pPr>
        <w:jc w:val="center"/>
      </w:pPr>
    </w:p>
    <w:p>
      <w:pPr>
        <w:jc w:val="center"/>
      </w:pPr>
    </w:p>
    <w:p>
      <w:pPr>
        <w:jc w:val="center"/>
      </w:pPr>
    </w:p>
    <w:p>
      <w:pPr>
        <w:jc w:val="center"/>
      </w:pPr>
    </w:p>
    <w:p>
      <w:pPr>
        <w:jc w:val="center"/>
      </w:pPr>
    </w:p>
    <w:p>
      <w:pPr>
        <w:jc w:val="center"/>
      </w:pPr>
    </w:p>
    <w:p>
      <w:pPr>
        <w:pStyle w:val="10"/>
        <w:snapToGrid w:val="0"/>
        <w:spacing w:before="120" w:after="120" w:line="360" w:lineRule="auto"/>
        <w:jc w:val="center"/>
        <w:rPr>
          <w:rFonts w:hint="eastAsia" w:hAnsi="宋体" w:eastAsia="仿宋_GB2312" w:cs="宋体"/>
          <w:bCs/>
          <w:spacing w:val="20"/>
          <w:sz w:val="44"/>
          <w:szCs w:val="44"/>
          <w:lang w:eastAsia="zh-CN"/>
        </w:rPr>
      </w:pPr>
      <w:r>
        <w:rPr>
          <w:rFonts w:hint="eastAsia" w:hAnsi="宋体" w:eastAsia="宋体" w:cs="宋体"/>
          <w:bCs/>
          <w:spacing w:val="20"/>
          <w:sz w:val="44"/>
          <w:szCs w:val="44"/>
          <w:lang w:val="en-US" w:eastAsia="zh-CN"/>
        </w:rPr>
        <w:t xml:space="preserve">2023年度舟山市政务云统一购买服务项目  </w:t>
      </w:r>
    </w:p>
    <w:p>
      <w:pPr>
        <w:jc w:val="center"/>
      </w:pPr>
    </w:p>
    <w:p>
      <w:pPr>
        <w:jc w:val="center"/>
      </w:pPr>
    </w:p>
    <w:p>
      <w:pPr>
        <w:jc w:val="center"/>
      </w:pPr>
    </w:p>
    <w:p>
      <w:pPr>
        <w:jc w:val="center"/>
      </w:pPr>
    </w:p>
    <w:p>
      <w:pPr>
        <w:jc w:val="center"/>
      </w:pPr>
    </w:p>
    <w:p>
      <w:pPr>
        <w:tabs>
          <w:tab w:val="left" w:pos="3993"/>
        </w:tabs>
        <w:jc w:val="left"/>
        <w:rPr>
          <w:rFonts w:hint="eastAsia" w:eastAsiaTheme="minorEastAsia"/>
          <w:lang w:eastAsia="zh-CN"/>
        </w:rPr>
      </w:pPr>
      <w:r>
        <w:rPr>
          <w:rFonts w:hint="eastAsia"/>
          <w:lang w:eastAsia="zh-CN"/>
        </w:rPr>
        <w:tab/>
      </w:r>
    </w:p>
    <w:p>
      <w:pPr>
        <w:jc w:val="center"/>
      </w:pPr>
    </w:p>
    <w:p>
      <w:pPr>
        <w:spacing w:line="600" w:lineRule="exact"/>
        <w:jc w:val="center"/>
        <w:rPr>
          <w:rFonts w:ascii="仿宋_GB2312" w:eastAsia="仿宋_GB2312"/>
          <w:sz w:val="32"/>
          <w:szCs w:val="32"/>
        </w:rPr>
      </w:pPr>
      <w:r>
        <w:rPr>
          <w:rFonts w:hint="eastAsia" w:ascii="仿宋_GB2312" w:eastAsia="仿宋_GB2312"/>
          <w:sz w:val="32"/>
          <w:szCs w:val="32"/>
          <w:lang w:eastAsia="zh-CN"/>
        </w:rPr>
        <w:t>公开</w:t>
      </w:r>
      <w:r>
        <w:rPr>
          <w:rFonts w:hint="eastAsia" w:ascii="仿宋_GB2312" w:eastAsia="仿宋_GB2312"/>
          <w:sz w:val="32"/>
          <w:szCs w:val="32"/>
        </w:rPr>
        <w:t>招标文件</w:t>
      </w:r>
    </w:p>
    <w:p>
      <w:pPr>
        <w:spacing w:line="600" w:lineRule="exact"/>
        <w:jc w:val="center"/>
        <w:rPr>
          <w:rFonts w:ascii="仿宋_GB2312" w:eastAsia="仿宋_GB2312"/>
          <w:sz w:val="32"/>
          <w:szCs w:val="32"/>
        </w:rPr>
      </w:pPr>
      <w:r>
        <w:rPr>
          <w:rFonts w:hint="eastAsia" w:ascii="仿宋_GB2312" w:eastAsia="仿宋_GB2312"/>
          <w:sz w:val="32"/>
          <w:szCs w:val="32"/>
        </w:rPr>
        <w:t>（电子招投标）</w:t>
      </w:r>
    </w:p>
    <w:p>
      <w:pPr>
        <w:spacing w:line="600" w:lineRule="exact"/>
        <w:jc w:val="center"/>
        <w:rPr>
          <w:rFonts w:hint="eastAsia" w:ascii="仿宋_GB2312" w:eastAsia="仿宋_GB2312"/>
          <w:sz w:val="32"/>
          <w:szCs w:val="32"/>
          <w:lang w:eastAsia="zh-CN"/>
        </w:rPr>
      </w:pPr>
      <w:r>
        <w:rPr>
          <w:rFonts w:hint="eastAsia" w:ascii="仿宋_GB2312" w:eastAsia="仿宋_GB2312"/>
          <w:sz w:val="32"/>
          <w:szCs w:val="32"/>
        </w:rPr>
        <w:t>编号: ZSZFCG2022-</w:t>
      </w:r>
      <w:r>
        <w:rPr>
          <w:rFonts w:hint="eastAsia" w:ascii="仿宋_GB2312" w:eastAsia="仿宋_GB2312"/>
          <w:sz w:val="32"/>
          <w:szCs w:val="32"/>
          <w:lang w:eastAsia="zh-CN"/>
        </w:rPr>
        <w:t>ZB-036</w:t>
      </w: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p>
    <w:p>
      <w:pPr>
        <w:adjustRightInd w:val="0"/>
        <w:snapToGrid w:val="0"/>
        <w:spacing w:line="600" w:lineRule="exact"/>
        <w:jc w:val="center"/>
        <w:rPr>
          <w:rFonts w:hint="eastAsia" w:ascii="仿宋_GB2312" w:eastAsia="仿宋_GB2312"/>
          <w:sz w:val="32"/>
          <w:szCs w:val="32"/>
        </w:rPr>
      </w:pPr>
      <w:r>
        <w:rPr>
          <w:rFonts w:hint="eastAsia" w:ascii="仿宋_GB2312" w:eastAsia="仿宋_GB2312"/>
          <w:sz w:val="32"/>
          <w:szCs w:val="32"/>
        </w:rPr>
        <w:t>舟山市大数据管理中心</w:t>
      </w:r>
    </w:p>
    <w:p>
      <w:pPr>
        <w:adjustRightInd w:val="0"/>
        <w:snapToGrid w:val="0"/>
        <w:spacing w:line="600" w:lineRule="exact"/>
        <w:jc w:val="center"/>
        <w:rPr>
          <w:rFonts w:ascii="仿宋_GB2312" w:eastAsia="仿宋_GB2312"/>
          <w:sz w:val="32"/>
          <w:szCs w:val="32"/>
        </w:rPr>
      </w:pPr>
      <w:r>
        <w:rPr>
          <w:rFonts w:hint="eastAsia" w:ascii="仿宋_GB2312" w:eastAsia="仿宋_GB2312"/>
          <w:sz w:val="32"/>
          <w:szCs w:val="32"/>
        </w:rPr>
        <w:t>舟山市公共资源交易中心</w:t>
      </w:r>
    </w:p>
    <w:p>
      <w:pPr>
        <w:adjustRightInd w:val="0"/>
        <w:snapToGrid w:val="0"/>
        <w:spacing w:line="600" w:lineRule="exact"/>
        <w:jc w:val="center"/>
        <w:rPr>
          <w:rFonts w:ascii="仿宋_GB2312" w:eastAsia="仿宋_GB2312"/>
          <w:sz w:val="32"/>
          <w:szCs w:val="32"/>
        </w:rPr>
      </w:pPr>
      <w:r>
        <w:rPr>
          <w:rFonts w:hint="eastAsia" w:ascii="仿宋_GB2312" w:eastAsia="仿宋_GB2312"/>
          <w:sz w:val="32"/>
          <w:szCs w:val="32"/>
        </w:rPr>
        <w:t>2022年</w:t>
      </w:r>
      <w:r>
        <w:rPr>
          <w:rFonts w:hint="eastAsia" w:ascii="仿宋_GB2312" w:eastAsia="仿宋_GB2312"/>
          <w:sz w:val="32"/>
          <w:szCs w:val="32"/>
          <w:lang w:val="en-US" w:eastAsia="zh-CN"/>
        </w:rPr>
        <w:t>12</w:t>
      </w:r>
      <w:r>
        <w:rPr>
          <w:rFonts w:hint="eastAsia" w:ascii="仿宋_GB2312" w:eastAsia="仿宋_GB2312"/>
          <w:sz w:val="32"/>
          <w:szCs w:val="32"/>
        </w:rPr>
        <w:t>月</w:t>
      </w:r>
    </w:p>
    <w:p>
      <w:pPr>
        <w:adjustRightInd w:val="0"/>
        <w:snapToGrid w:val="0"/>
        <w:jc w:val="center"/>
        <w:rPr>
          <w:rFonts w:ascii="仿宋_GB2312" w:eastAsia="仿宋_GB2312"/>
          <w:sz w:val="32"/>
          <w:szCs w:val="32"/>
        </w:rPr>
      </w:pPr>
      <w:r>
        <w:rPr>
          <w:rFonts w:hint="eastAsia" w:ascii="仿宋_GB2312" w:eastAsia="仿宋_GB2312"/>
          <w:sz w:val="32"/>
          <w:szCs w:val="32"/>
        </w:rPr>
        <w:br w:type="page"/>
      </w:r>
      <w:bookmarkStart w:id="0" w:name="_Hlt67893495"/>
      <w:bookmarkEnd w:id="0"/>
    </w:p>
    <w:p/>
    <w:p>
      <w:pPr>
        <w:jc w:val="center"/>
        <w:rPr>
          <w:rFonts w:ascii="宋体" w:hAnsi="宋体" w:eastAsia="宋体"/>
          <w:b/>
          <w:sz w:val="36"/>
          <w:szCs w:val="36"/>
        </w:rPr>
      </w:pPr>
      <w:r>
        <w:rPr>
          <w:rFonts w:hint="eastAsia" w:ascii="宋体" w:hAnsi="宋体" w:eastAsia="宋体"/>
          <w:b/>
          <w:sz w:val="36"/>
          <w:szCs w:val="36"/>
        </w:rPr>
        <w:t>目  录</w:t>
      </w:r>
    </w:p>
    <w:p/>
    <w:p/>
    <w:p>
      <w:pPr>
        <w:ind w:firstLine="600" w:firstLineChars="200"/>
        <w:rPr>
          <w:rFonts w:ascii="仿宋_GB2312" w:hAnsi="黑体" w:eastAsia="仿宋_GB2312"/>
          <w:sz w:val="30"/>
          <w:szCs w:val="30"/>
        </w:rPr>
      </w:pPr>
      <w:r>
        <w:rPr>
          <w:rFonts w:hint="eastAsia" w:ascii="仿宋_GB2312" w:hAnsi="黑体" w:eastAsia="仿宋_GB2312"/>
          <w:sz w:val="30"/>
          <w:szCs w:val="30"/>
        </w:rPr>
        <w:t>第一部分      招标公告</w:t>
      </w:r>
    </w:p>
    <w:p>
      <w:pPr>
        <w:ind w:firstLine="600" w:firstLineChars="200"/>
        <w:rPr>
          <w:rFonts w:ascii="仿宋_GB2312" w:hAnsi="黑体" w:eastAsia="仿宋_GB2312"/>
          <w:sz w:val="30"/>
          <w:szCs w:val="30"/>
        </w:rPr>
      </w:pPr>
      <w:r>
        <w:rPr>
          <w:rFonts w:hint="eastAsia" w:ascii="仿宋_GB2312" w:hAnsi="黑体" w:eastAsia="仿宋_GB2312"/>
          <w:sz w:val="30"/>
          <w:szCs w:val="30"/>
        </w:rPr>
        <w:t>第二部分      投标人须知</w:t>
      </w:r>
    </w:p>
    <w:p>
      <w:pPr>
        <w:ind w:firstLine="600" w:firstLineChars="200"/>
        <w:rPr>
          <w:rFonts w:ascii="仿宋_GB2312" w:hAnsi="黑体" w:eastAsia="仿宋_GB2312"/>
          <w:sz w:val="30"/>
          <w:szCs w:val="30"/>
        </w:rPr>
      </w:pPr>
      <w:r>
        <w:rPr>
          <w:rFonts w:hint="eastAsia" w:ascii="仿宋_GB2312" w:hAnsi="黑体" w:eastAsia="仿宋_GB2312"/>
          <w:sz w:val="30"/>
          <w:szCs w:val="30"/>
        </w:rPr>
        <w:t>第三部分      采购需求</w:t>
      </w:r>
    </w:p>
    <w:p>
      <w:pPr>
        <w:ind w:firstLine="600" w:firstLineChars="200"/>
        <w:rPr>
          <w:rFonts w:ascii="仿宋_GB2312" w:hAnsi="黑体" w:eastAsia="仿宋_GB2312"/>
          <w:sz w:val="30"/>
          <w:szCs w:val="30"/>
        </w:rPr>
      </w:pPr>
      <w:r>
        <w:rPr>
          <w:rFonts w:hint="eastAsia" w:ascii="仿宋_GB2312" w:hAnsi="黑体" w:eastAsia="仿宋_GB2312"/>
          <w:sz w:val="30"/>
          <w:szCs w:val="30"/>
        </w:rPr>
        <w:t>第四部分      评标办法</w:t>
      </w:r>
    </w:p>
    <w:p>
      <w:pPr>
        <w:ind w:firstLine="600" w:firstLineChars="200"/>
        <w:rPr>
          <w:rFonts w:ascii="仿宋_GB2312" w:hAnsi="黑体" w:eastAsia="仿宋_GB2312"/>
          <w:sz w:val="30"/>
          <w:szCs w:val="30"/>
        </w:rPr>
      </w:pPr>
      <w:r>
        <w:rPr>
          <w:rFonts w:hint="eastAsia" w:ascii="仿宋_GB2312" w:hAnsi="黑体" w:eastAsia="仿宋_GB2312"/>
          <w:sz w:val="30"/>
          <w:szCs w:val="30"/>
        </w:rPr>
        <w:t>第五部分      拟签订的合同文本</w:t>
      </w:r>
    </w:p>
    <w:p>
      <w:pPr>
        <w:ind w:firstLine="600" w:firstLineChars="200"/>
        <w:rPr>
          <w:rFonts w:ascii="仿宋_GB2312" w:hAnsi="黑体" w:eastAsia="仿宋_GB2312"/>
          <w:sz w:val="30"/>
          <w:szCs w:val="30"/>
        </w:rPr>
      </w:pPr>
      <w:r>
        <w:rPr>
          <w:rFonts w:hint="eastAsia" w:ascii="仿宋_GB2312" w:hAnsi="黑体" w:eastAsia="仿宋_GB2312"/>
          <w:sz w:val="30"/>
          <w:szCs w:val="30"/>
        </w:rPr>
        <w:t>第六部分      应提交的有关格式范例</w:t>
      </w:r>
    </w:p>
    <w:p>
      <w:pPr>
        <w:rPr>
          <w:rFonts w:ascii="黑体" w:hAnsi="黑体" w:eastAsia="黑体"/>
          <w:sz w:val="30"/>
          <w:szCs w:val="30"/>
        </w:rPr>
      </w:pPr>
      <w:bookmarkStart w:id="1" w:name="_Hlt91233176"/>
      <w:bookmarkEnd w:id="1"/>
      <w:bookmarkStart w:id="2" w:name="_Toc91899869"/>
    </w:p>
    <w:p>
      <w:pPr>
        <w:rPr>
          <w:rFonts w:ascii="黑体" w:hAnsi="黑体" w:eastAsia="黑体"/>
          <w:sz w:val="30"/>
          <w:szCs w:val="30"/>
        </w:rPr>
      </w:pPr>
    </w:p>
    <w:p/>
    <w:p/>
    <w:p/>
    <w:p/>
    <w:p/>
    <w:p/>
    <w:p/>
    <w:p/>
    <w:p/>
    <w:p/>
    <w:p/>
    <w:p/>
    <w:p>
      <w:pPr>
        <w:spacing w:line="540" w:lineRule="exact"/>
        <w:contextualSpacing/>
        <w:jc w:val="center"/>
        <w:rPr>
          <w:rFonts w:ascii="黑体" w:hAnsi="黑体" w:eastAsia="黑体"/>
          <w:sz w:val="32"/>
          <w:szCs w:val="32"/>
        </w:rPr>
      </w:pPr>
      <w:bookmarkStart w:id="3" w:name="第一部分"/>
      <w:r>
        <w:rPr>
          <w:rFonts w:hint="eastAsia"/>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黑体" w:hAnsi="黑体" w:eastAsia="黑体"/>
          <w:sz w:val="32"/>
          <w:szCs w:val="32"/>
        </w:rPr>
        <w:t xml:space="preserve">第一部分 </w:t>
      </w:r>
      <w:r>
        <w:rPr>
          <w:rFonts w:hint="eastAsia" w:ascii="黑体" w:hAnsi="黑体" w:eastAsia="黑体"/>
          <w:sz w:val="32"/>
          <w:szCs w:val="32"/>
          <w:lang w:eastAsia="zh-CN"/>
        </w:rPr>
        <w:t>公开</w:t>
      </w:r>
      <w:r>
        <w:rPr>
          <w:rFonts w:hint="eastAsia" w:ascii="黑体" w:hAnsi="黑体" w:eastAsia="黑体"/>
          <w:sz w:val="32"/>
          <w:szCs w:val="32"/>
        </w:rPr>
        <w:t>招标公告</w:t>
      </w:r>
    </w:p>
    <w:p>
      <w:pPr>
        <w:spacing w:line="540" w:lineRule="exact"/>
        <w:ind w:firstLine="562" w:firstLineChars="200"/>
        <w:contextualSpacing/>
        <w:rPr>
          <w:rFonts w:hint="eastAsia" w:ascii="仿宋_GB2312" w:eastAsia="仿宋_GB2312"/>
          <w:b/>
          <w:sz w:val="28"/>
          <w:szCs w:val="28"/>
          <w:lang w:eastAsia="zh-CN"/>
        </w:rPr>
      </w:pPr>
      <w:r>
        <w:rPr>
          <w:rFonts w:hint="eastAsia" w:ascii="仿宋_GB2312" w:eastAsia="仿宋_GB2312"/>
          <w:b/>
          <w:sz w:val="28"/>
          <w:szCs w:val="28"/>
          <w:lang w:eastAsia="zh-CN"/>
        </w:rPr>
        <w:t>招标文件获取及投标文件递交</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lang w:eastAsia="zh-CN"/>
        </w:rPr>
        <w:t>2023年度舟山市政务云统一购买服务项目</w:t>
      </w:r>
      <w:r>
        <w:rPr>
          <w:rFonts w:hint="eastAsia" w:ascii="仿宋_GB2312" w:eastAsia="仿宋_GB2312"/>
          <w:sz w:val="28"/>
          <w:szCs w:val="28"/>
        </w:rPr>
        <w:t>的潜在投标人应在政采云平台（</w:t>
      </w:r>
      <w:r>
        <w:fldChar w:fldCharType="begin"/>
      </w:r>
      <w:r>
        <w:instrText xml:space="preserve"> HYPERLINK "https://www.zcygov.cn/）获取（下载）招标文件，并于2022年%20月%20日9点15分00秒" </w:instrText>
      </w:r>
      <w:r>
        <w:fldChar w:fldCharType="separate"/>
      </w:r>
      <w:r>
        <w:rPr>
          <w:rFonts w:hint="eastAsia" w:ascii="仿宋_GB2312" w:eastAsia="仿宋_GB2312"/>
          <w:sz w:val="28"/>
          <w:szCs w:val="28"/>
        </w:rPr>
        <w:t>https://www.zcygov.cn/）获取（下载）招标文件，并于2022年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日9点1</w:t>
      </w:r>
      <w:r>
        <w:rPr>
          <w:rFonts w:hint="eastAsia" w:ascii="仿宋_GB2312" w:eastAsia="仿宋_GB2312"/>
          <w:sz w:val="28"/>
          <w:szCs w:val="28"/>
          <w:lang w:val="en-US" w:eastAsia="zh-CN"/>
        </w:rPr>
        <w:t>0</w:t>
      </w:r>
      <w:r>
        <w:rPr>
          <w:rFonts w:hint="eastAsia" w:ascii="仿宋_GB2312" w:eastAsia="仿宋_GB2312"/>
          <w:sz w:val="28"/>
          <w:szCs w:val="28"/>
        </w:rPr>
        <w:t>分00秒</w:t>
      </w:r>
      <w:r>
        <w:rPr>
          <w:rFonts w:hint="eastAsia" w:ascii="仿宋_GB2312" w:eastAsia="仿宋_GB2312"/>
          <w:sz w:val="28"/>
          <w:szCs w:val="28"/>
        </w:rPr>
        <w:fldChar w:fldCharType="end"/>
      </w:r>
      <w:r>
        <w:rPr>
          <w:rFonts w:hint="eastAsia" w:ascii="仿宋_GB2312" w:eastAsia="仿宋_GB2312"/>
          <w:sz w:val="28"/>
          <w:szCs w:val="28"/>
        </w:rPr>
        <w:t>（北京时间）前递交（上传）投标文件。</w:t>
      </w:r>
    </w:p>
    <w:p>
      <w:pPr>
        <w:spacing w:line="540" w:lineRule="exact"/>
        <w:ind w:firstLine="562" w:firstLineChars="200"/>
        <w:contextualSpacing/>
        <w:rPr>
          <w:rFonts w:ascii="仿宋_GB2312" w:eastAsia="仿宋_GB2312"/>
          <w:b/>
          <w:sz w:val="28"/>
          <w:szCs w:val="28"/>
        </w:rPr>
      </w:pPr>
      <w:r>
        <w:rPr>
          <w:rFonts w:hint="eastAsia" w:ascii="仿宋_GB2312" w:eastAsia="仿宋_GB2312"/>
          <w:b/>
          <w:sz w:val="28"/>
          <w:szCs w:val="28"/>
        </w:rPr>
        <w:t xml:space="preserve">一、项目基本情况                                            </w:t>
      </w:r>
    </w:p>
    <w:p>
      <w:pPr>
        <w:spacing w:line="540" w:lineRule="exact"/>
        <w:ind w:firstLine="560" w:firstLineChars="200"/>
        <w:contextualSpacing/>
        <w:rPr>
          <w:rFonts w:hint="eastAsia" w:ascii="仿宋_GB2312" w:eastAsia="仿宋_GB2312"/>
          <w:sz w:val="28"/>
          <w:szCs w:val="28"/>
          <w:lang w:eastAsia="zh-CN"/>
        </w:rPr>
      </w:pPr>
      <w:r>
        <w:rPr>
          <w:rFonts w:hint="eastAsia" w:ascii="仿宋_GB2312" w:eastAsia="仿宋_GB2312"/>
          <w:sz w:val="28"/>
          <w:szCs w:val="28"/>
        </w:rPr>
        <w:t>项目编号：ZSZFCG2022-</w:t>
      </w:r>
      <w:r>
        <w:rPr>
          <w:rFonts w:hint="eastAsia" w:ascii="仿宋_GB2312" w:eastAsia="仿宋_GB2312"/>
          <w:sz w:val="28"/>
          <w:szCs w:val="28"/>
          <w:lang w:eastAsia="zh-CN"/>
        </w:rPr>
        <w:t>ZB-036</w:t>
      </w:r>
    </w:p>
    <w:p>
      <w:pPr>
        <w:tabs>
          <w:tab w:val="left" w:pos="7945"/>
        </w:tabs>
        <w:spacing w:line="540" w:lineRule="exact"/>
        <w:contextualSpacing/>
        <w:rPr>
          <w:rFonts w:hint="eastAsia" w:ascii="仿宋_GB2312" w:eastAsia="仿宋_GB2312"/>
          <w:sz w:val="28"/>
          <w:szCs w:val="28"/>
          <w:lang w:eastAsia="zh-CN"/>
        </w:rPr>
      </w:pPr>
      <w:r>
        <w:rPr>
          <w:rFonts w:hint="eastAsia" w:ascii="仿宋_GB2312" w:eastAsia="仿宋_GB2312"/>
          <w:sz w:val="28"/>
          <w:szCs w:val="28"/>
        </w:rPr>
        <w:t xml:space="preserve">    项目名称：</w:t>
      </w:r>
      <w:r>
        <w:rPr>
          <w:rFonts w:hint="eastAsia" w:ascii="仿宋_GB2312" w:eastAsia="仿宋_GB2312"/>
          <w:sz w:val="28"/>
          <w:szCs w:val="28"/>
          <w:lang w:eastAsia="zh-CN"/>
        </w:rPr>
        <w:t xml:space="preserve">2023年度舟山市政务云统一购买服务项目  </w:t>
      </w:r>
      <w:r>
        <w:rPr>
          <w:rFonts w:hint="eastAsia" w:ascii="仿宋_GB2312" w:eastAsia="仿宋_GB2312"/>
          <w:sz w:val="28"/>
          <w:szCs w:val="28"/>
          <w:lang w:eastAsia="zh-CN"/>
        </w:rPr>
        <w:tab/>
      </w:r>
    </w:p>
    <w:p>
      <w:pPr>
        <w:spacing w:line="540" w:lineRule="exact"/>
        <w:contextualSpacing/>
        <w:rPr>
          <w:rFonts w:ascii="仿宋_GB2312" w:eastAsia="仿宋_GB2312"/>
          <w:sz w:val="28"/>
          <w:szCs w:val="28"/>
        </w:rPr>
      </w:pPr>
      <w:r>
        <w:rPr>
          <w:rFonts w:hint="eastAsia" w:ascii="仿宋_GB2312" w:eastAsia="仿宋_GB2312"/>
          <w:sz w:val="28"/>
          <w:szCs w:val="28"/>
        </w:rPr>
        <w:t xml:space="preserve">    预算金额（元）： 22</w:t>
      </w:r>
      <w:r>
        <w:rPr>
          <w:rFonts w:hint="eastAsia" w:ascii="仿宋_GB2312" w:eastAsia="仿宋_GB2312"/>
          <w:sz w:val="28"/>
          <w:szCs w:val="28"/>
          <w:lang w:val="en-US" w:eastAsia="zh-CN"/>
        </w:rPr>
        <w:t>00</w:t>
      </w:r>
      <w:r>
        <w:rPr>
          <w:rFonts w:hint="eastAsia" w:ascii="仿宋_GB2312" w:eastAsia="仿宋_GB2312"/>
          <w:sz w:val="28"/>
          <w:szCs w:val="28"/>
        </w:rPr>
        <w:t>0000</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最高限价（元）： 22</w:t>
      </w:r>
      <w:r>
        <w:rPr>
          <w:rFonts w:hint="eastAsia" w:ascii="仿宋_GB2312" w:eastAsia="仿宋_GB2312"/>
          <w:sz w:val="28"/>
          <w:szCs w:val="28"/>
          <w:lang w:val="en-US" w:eastAsia="zh-CN"/>
        </w:rPr>
        <w:t>00</w:t>
      </w:r>
      <w:r>
        <w:rPr>
          <w:rFonts w:hint="eastAsia" w:ascii="仿宋_GB2312" w:eastAsia="仿宋_GB2312"/>
          <w:sz w:val="28"/>
          <w:szCs w:val="28"/>
        </w:rPr>
        <w:t>0000</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采购需求：详见招标文件第三部分采购需求。</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合同履约期限：一年</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本项目接受联合体投标：</w:t>
      </w:r>
      <w:sdt>
        <w:sdtPr>
          <w:rPr>
            <w:rFonts w:hint="eastAsia" w:ascii="仿宋_GB2312" w:eastAsia="仿宋_GB2312"/>
            <w:sz w:val="28"/>
            <w:szCs w:val="28"/>
          </w:rPr>
          <w:id w:val="2035453831"/>
        </w:sdtPr>
        <w:sdtEndPr>
          <w:rPr>
            <w:rFonts w:hint="eastAsia" w:ascii="仿宋_GB2312" w:eastAsia="仿宋_GB2312"/>
            <w:sz w:val="28"/>
            <w:szCs w:val="28"/>
          </w:rPr>
        </w:sdtEndPr>
        <w:sdtContent>
          <w:r>
            <w:rPr>
              <w:rFonts w:hint="eastAsia" w:ascii="仿宋_GB2312" w:eastAsia="仿宋_GB2312"/>
              <w:sz w:val="28"/>
              <w:szCs w:val="28"/>
            </w:rPr>
            <w:sym w:font="Wingdings" w:char="00A8"/>
          </w:r>
        </w:sdtContent>
      </w:sdt>
      <w:r>
        <w:rPr>
          <w:rFonts w:hint="eastAsia" w:ascii="仿宋_GB2312" w:eastAsia="仿宋_GB2312"/>
          <w:sz w:val="28"/>
          <w:szCs w:val="28"/>
        </w:rPr>
        <w:t>否，</w:t>
      </w:r>
      <w:sdt>
        <w:sdtPr>
          <w:rPr>
            <w:rFonts w:hint="eastAsia" w:ascii="仿宋_GB2312" w:eastAsia="仿宋_GB2312"/>
            <w:sz w:val="28"/>
            <w:szCs w:val="28"/>
          </w:rPr>
          <w:id w:val="1648123876"/>
        </w:sdtPr>
        <w:sdtEndPr>
          <w:rPr>
            <w:rFonts w:hint="eastAsia" w:ascii="仿宋_GB2312" w:eastAsia="仿宋_GB2312"/>
            <w:sz w:val="24"/>
            <w:szCs w:val="24"/>
          </w:rPr>
        </w:sdtEndPr>
        <w:sdtContent>
          <w:r>
            <w:rPr>
              <w:rFonts w:hint="eastAsia" w:ascii="仿宋_GB2312" w:eastAsia="仿宋_GB2312"/>
              <w:b w:val="0"/>
              <w:bCs w:val="0"/>
              <w:sz w:val="28"/>
              <w:szCs w:val="28"/>
              <w:lang w:eastAsia="zh-CN"/>
            </w:rPr>
            <w:t>√</w:t>
          </w:r>
        </w:sdtContent>
      </w:sdt>
      <w:sdt>
        <w:sdtPr>
          <w:rPr>
            <w:rFonts w:hint="eastAsia" w:ascii="仿宋_GB2312" w:eastAsia="仿宋_GB2312"/>
            <w:sz w:val="28"/>
            <w:szCs w:val="28"/>
          </w:rPr>
          <w:id w:val="-1765526721"/>
        </w:sdtPr>
        <w:sdtEndPr>
          <w:rPr>
            <w:rFonts w:hint="eastAsia" w:ascii="仿宋_GB2312" w:eastAsia="仿宋_GB2312"/>
            <w:sz w:val="28"/>
            <w:szCs w:val="28"/>
          </w:rPr>
        </w:sdtEndPr>
        <w:sdtContent>
          <w:sdt>
            <w:sdtPr>
              <w:rPr>
                <w:rFonts w:hint="eastAsia" w:ascii="仿宋_GB2312" w:eastAsia="仿宋_GB2312"/>
                <w:sz w:val="28"/>
                <w:szCs w:val="28"/>
              </w:rPr>
              <w:id w:val="2035453831"/>
              <w:showingPlcHdr/>
            </w:sdtPr>
            <w:sdtEndPr>
              <w:rPr>
                <w:rFonts w:hint="eastAsia" w:ascii="仿宋_GB2312" w:eastAsia="仿宋_GB2312"/>
                <w:sz w:val="28"/>
                <w:szCs w:val="28"/>
              </w:rPr>
            </w:sdtEndPr>
            <w:sdtContent/>
          </w:sdt>
        </w:sdtContent>
      </w:sdt>
      <w:r>
        <w:rPr>
          <w:rFonts w:hint="eastAsia" w:ascii="仿宋_GB2312" w:eastAsia="仿宋_GB2312"/>
          <w:sz w:val="28"/>
          <w:szCs w:val="28"/>
        </w:rPr>
        <w:t>是。</w:t>
      </w:r>
    </w:p>
    <w:p>
      <w:pPr>
        <w:spacing w:line="540" w:lineRule="exact"/>
        <w:ind w:firstLine="562" w:firstLineChars="200"/>
        <w:contextualSpacing/>
        <w:rPr>
          <w:rFonts w:ascii="仿宋_GB2312" w:eastAsia="仿宋_GB2312"/>
          <w:b/>
          <w:sz w:val="28"/>
          <w:szCs w:val="28"/>
        </w:rPr>
      </w:pPr>
      <w:r>
        <w:rPr>
          <w:rFonts w:hint="eastAsia" w:ascii="仿宋_GB2312" w:eastAsia="仿宋_GB2312"/>
          <w:b/>
          <w:sz w:val="28"/>
          <w:szCs w:val="28"/>
        </w:rPr>
        <w:t>二、申请人的资格要求：</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540" w:lineRule="exact"/>
        <w:ind w:firstLine="552"/>
        <w:contextualSpacing/>
        <w:rPr>
          <w:rFonts w:ascii="仿宋_GB2312" w:eastAsia="仿宋_GB2312"/>
          <w:sz w:val="28"/>
          <w:szCs w:val="28"/>
        </w:rPr>
      </w:pPr>
      <w:r>
        <w:rPr>
          <w:rFonts w:hint="eastAsia" w:ascii="仿宋_GB2312" w:eastAsia="仿宋_GB2312"/>
          <w:sz w:val="28"/>
          <w:szCs w:val="28"/>
        </w:rPr>
        <w:t>2.落实政府采购政策需满足的资格要求：</w:t>
      </w:r>
    </w:p>
    <w:p>
      <w:pPr>
        <w:spacing w:line="540" w:lineRule="exact"/>
        <w:ind w:firstLine="560" w:firstLineChars="200"/>
        <w:contextualSpacing/>
        <w:rPr>
          <w:rFonts w:ascii="仿宋_GB2312" w:eastAsia="仿宋_GB2312"/>
          <w:sz w:val="28"/>
          <w:szCs w:val="28"/>
        </w:rPr>
      </w:pPr>
      <w:r>
        <w:rPr>
          <w:rFonts w:hint="eastAsia" w:ascii="仿宋_GB2312" w:eastAsia="仿宋_GB2312"/>
          <w:b w:val="0"/>
          <w:bCs w:val="0"/>
          <w:sz w:val="28"/>
          <w:szCs w:val="28"/>
          <w:lang w:eastAsia="zh-CN"/>
        </w:rPr>
        <w:t>√</w:t>
      </w:r>
      <w:r>
        <w:rPr>
          <w:rFonts w:hint="eastAsia" w:ascii="仿宋_GB2312" w:eastAsia="仿宋_GB2312"/>
          <w:sz w:val="28"/>
          <w:szCs w:val="28"/>
        </w:rPr>
        <w:t>无</w:t>
      </w:r>
    </w:p>
    <w:p>
      <w:pPr>
        <w:spacing w:line="540" w:lineRule="exact"/>
        <w:ind w:firstLine="560" w:firstLineChars="200"/>
        <w:contextualSpacing/>
        <w:rPr>
          <w:rFonts w:ascii="仿宋_GB2312" w:eastAsia="仿宋_GB2312"/>
          <w:sz w:val="28"/>
          <w:szCs w:val="28"/>
        </w:rPr>
      </w:pPr>
      <w:sdt>
        <w:sdtPr>
          <w:rPr>
            <w:rFonts w:hint="eastAsia" w:ascii="仿宋_GB2312" w:eastAsia="仿宋_GB2312"/>
            <w:sz w:val="28"/>
            <w:szCs w:val="28"/>
          </w:rPr>
          <w:id w:val="269264797"/>
        </w:sdtPr>
        <w:sdtEndPr>
          <w:rPr>
            <w:rFonts w:hint="eastAsia" w:ascii="仿宋_GB2312" w:eastAsia="仿宋_GB2312"/>
            <w:sz w:val="28"/>
            <w:szCs w:val="28"/>
          </w:rPr>
        </w:sdtEndPr>
        <w:sdtContent>
          <w:sdt>
            <w:sdtPr>
              <w:rPr>
                <w:rFonts w:hint="eastAsia" w:ascii="仿宋_GB2312" w:eastAsia="仿宋_GB2312"/>
                <w:sz w:val="28"/>
                <w:szCs w:val="28"/>
              </w:rPr>
              <w:id w:val="1648123872"/>
            </w:sdtPr>
            <w:sdtEndPr>
              <w:rPr>
                <w:rFonts w:hint="eastAsia" w:ascii="仿宋_GB2312" w:eastAsia="仿宋_GB2312"/>
                <w:sz w:val="28"/>
                <w:szCs w:val="28"/>
              </w:rPr>
            </w:sdtEndPr>
            <w:sdtContent>
              <w:sdt>
                <w:sdtPr>
                  <w:rPr>
                    <w:rFonts w:hint="eastAsia" w:ascii="仿宋_GB2312" w:eastAsia="仿宋_GB2312"/>
                    <w:sz w:val="28"/>
                    <w:szCs w:val="28"/>
                  </w:rPr>
                  <w:id w:val="1648123875"/>
                </w:sdtPr>
                <w:sdtEndPr>
                  <w:rPr>
                    <w:rFonts w:hint="eastAsia" w:ascii="仿宋_GB2312" w:eastAsia="仿宋_GB2312"/>
                    <w:sz w:val="28"/>
                    <w:szCs w:val="28"/>
                  </w:rPr>
                </w:sdtEndPr>
                <w:sdtContent>
                  <w:r>
                    <w:rPr>
                      <w:rFonts w:hint="eastAsia" w:ascii="仿宋_GB2312" w:eastAsia="仿宋_GB2312"/>
                      <w:sz w:val="28"/>
                      <w:szCs w:val="28"/>
                    </w:rPr>
                    <w:t>☐</w:t>
                  </w:r>
                </w:sdtContent>
              </w:sdt>
            </w:sdtContent>
          </w:sdt>
        </w:sdtContent>
      </w:sdt>
      <w:r>
        <w:rPr>
          <w:rFonts w:hint="eastAsia" w:ascii="仿宋_GB2312" w:eastAsia="仿宋_GB2312"/>
          <w:sz w:val="28"/>
          <w:szCs w:val="28"/>
        </w:rPr>
        <w:t>专门面向中小企业</w:t>
      </w:r>
    </w:p>
    <w:p>
      <w:pPr>
        <w:spacing w:line="540" w:lineRule="exact"/>
        <w:ind w:firstLine="560" w:firstLineChars="200"/>
        <w:contextualSpacing/>
        <w:rPr>
          <w:rFonts w:ascii="仿宋_GB2312" w:eastAsia="仿宋_GB2312"/>
          <w:sz w:val="28"/>
          <w:szCs w:val="28"/>
        </w:rPr>
      </w:pPr>
      <w:sdt>
        <w:sdtPr>
          <w:rPr>
            <w:rFonts w:hint="eastAsia" w:ascii="仿宋_GB2312" w:eastAsia="仿宋_GB2312"/>
            <w:sz w:val="28"/>
            <w:szCs w:val="28"/>
          </w:rPr>
          <w:id w:val="-924730588"/>
        </w:sdtPr>
        <w:sdtEndPr>
          <w:rPr>
            <w:rFonts w:hint="eastAsia" w:ascii="仿宋_GB2312" w:eastAsia="仿宋_GB2312"/>
            <w:sz w:val="28"/>
            <w:szCs w:val="28"/>
          </w:rPr>
        </w:sdtEndPr>
        <w:sdtContent>
          <w:sdt>
            <w:sdtPr>
              <w:rPr>
                <w:rFonts w:hint="eastAsia" w:ascii="仿宋_GB2312" w:eastAsia="仿宋_GB2312"/>
                <w:sz w:val="28"/>
                <w:szCs w:val="28"/>
              </w:rPr>
              <w:id w:val="269264799"/>
            </w:sdtPr>
            <w:sdtEndPr>
              <w:rPr>
                <w:rFonts w:hint="eastAsia" w:ascii="仿宋_GB2312" w:eastAsia="仿宋_GB2312"/>
                <w:sz w:val="28"/>
                <w:szCs w:val="28"/>
              </w:rPr>
            </w:sdtEndPr>
            <w:sdtContent>
              <w:r>
                <w:rPr>
                  <w:rFonts w:hint="eastAsia" w:ascii="仿宋_GB2312" w:eastAsia="仿宋_GB2312"/>
                  <w:sz w:val="28"/>
                  <w:szCs w:val="28"/>
                </w:rPr>
                <w:t>☐</w:t>
              </w:r>
            </w:sdtContent>
          </w:sdt>
        </w:sdtContent>
      </w:sdt>
      <w:r>
        <w:rPr>
          <w:rFonts w:hint="eastAsia" w:ascii="仿宋_GB2312" w:eastAsia="仿宋_GB2312"/>
          <w:sz w:val="28"/>
          <w:szCs w:val="28"/>
        </w:rPr>
        <w:t>货物全部由符合政策要求的中小企业制造，提供中小企业声明函；</w:t>
      </w:r>
    </w:p>
    <w:p>
      <w:pPr>
        <w:spacing w:line="540" w:lineRule="exact"/>
        <w:ind w:firstLine="560" w:firstLineChars="200"/>
        <w:contextualSpacing/>
        <w:rPr>
          <w:rFonts w:ascii="仿宋_GB2312" w:eastAsia="仿宋_GB2312"/>
          <w:sz w:val="28"/>
          <w:szCs w:val="28"/>
        </w:rPr>
      </w:pPr>
      <w:sdt>
        <w:sdtPr>
          <w:rPr>
            <w:rFonts w:hint="eastAsia" w:ascii="仿宋_GB2312" w:eastAsia="仿宋_GB2312"/>
            <w:sz w:val="28"/>
            <w:szCs w:val="28"/>
          </w:rPr>
          <w:id w:val="-1152604937"/>
        </w:sdtPr>
        <w:sdtEndPr>
          <w:rPr>
            <w:rFonts w:hint="eastAsia" w:ascii="仿宋_GB2312" w:eastAsia="仿宋_GB2312"/>
            <w:sz w:val="28"/>
            <w:szCs w:val="28"/>
          </w:rPr>
        </w:sdtEndPr>
        <w:sdtContent>
          <w:r>
            <w:rPr>
              <w:rFonts w:hint="eastAsia" w:ascii="仿宋_GB2312" w:eastAsia="仿宋_GB2312"/>
              <w:sz w:val="28"/>
              <w:szCs w:val="28"/>
            </w:rPr>
            <w:t>☐</w:t>
          </w:r>
        </w:sdtContent>
      </w:sdt>
      <w:r>
        <w:rPr>
          <w:rFonts w:hint="eastAsia" w:ascii="仿宋_GB2312" w:eastAsia="仿宋_GB2312"/>
          <w:sz w:val="28"/>
          <w:szCs w:val="28"/>
        </w:rPr>
        <w:t>货物全部由符合政策要求的小微企业制造，提供中小企业声明函；</w:t>
      </w:r>
    </w:p>
    <w:p>
      <w:pPr>
        <w:spacing w:line="540" w:lineRule="exact"/>
        <w:ind w:firstLine="560" w:firstLineChars="200"/>
        <w:contextualSpacing/>
        <w:rPr>
          <w:rFonts w:ascii="仿宋_GB2312" w:eastAsia="仿宋_GB2312"/>
          <w:sz w:val="28"/>
          <w:szCs w:val="28"/>
        </w:rPr>
      </w:pPr>
      <w:sdt>
        <w:sdtPr>
          <w:rPr>
            <w:rFonts w:hint="eastAsia" w:ascii="仿宋_GB2312" w:eastAsia="仿宋_GB2312"/>
            <w:sz w:val="28"/>
            <w:szCs w:val="28"/>
          </w:rPr>
          <w:id w:val="-333685401"/>
        </w:sdtPr>
        <w:sdtEndPr>
          <w:rPr>
            <w:rFonts w:hint="eastAsia" w:ascii="仿宋_GB2312" w:eastAsia="仿宋_GB2312"/>
            <w:sz w:val="28"/>
            <w:szCs w:val="28"/>
          </w:rPr>
        </w:sdtEndPr>
        <w:sdtContent>
          <w:r>
            <w:rPr>
              <w:rFonts w:hint="eastAsia" w:ascii="仿宋_GB2312" w:eastAsia="仿宋_GB2312"/>
              <w:sz w:val="28"/>
              <w:szCs w:val="28"/>
            </w:rPr>
            <w:t>☐</w:t>
          </w:r>
        </w:sdtContent>
      </w:sdt>
      <w:r>
        <w:rPr>
          <w:rFonts w:hint="eastAsia" w:ascii="仿宋_GB2312" w:eastAsia="仿宋_GB2312"/>
          <w:sz w:val="28"/>
          <w:szCs w:val="28"/>
        </w:rPr>
        <w:t>服务全部由符合政策要求的中小企业承接，提供中小企业声明函；</w:t>
      </w:r>
    </w:p>
    <w:p>
      <w:pPr>
        <w:spacing w:line="540" w:lineRule="exact"/>
        <w:ind w:firstLine="560" w:firstLineChars="200"/>
        <w:contextualSpacing/>
        <w:rPr>
          <w:rFonts w:ascii="仿宋_GB2312" w:eastAsia="仿宋_GB2312"/>
          <w:sz w:val="28"/>
          <w:szCs w:val="28"/>
        </w:rPr>
      </w:pPr>
      <w:sdt>
        <w:sdtPr>
          <w:rPr>
            <w:rFonts w:hint="eastAsia" w:ascii="仿宋_GB2312" w:eastAsia="仿宋_GB2312"/>
            <w:sz w:val="28"/>
            <w:szCs w:val="28"/>
          </w:rPr>
          <w:id w:val="-2141025358"/>
        </w:sdtPr>
        <w:sdtEndPr>
          <w:rPr>
            <w:rFonts w:hint="eastAsia" w:ascii="仿宋_GB2312" w:eastAsia="仿宋_GB2312"/>
            <w:sz w:val="28"/>
            <w:szCs w:val="28"/>
          </w:rPr>
        </w:sdtEndPr>
        <w:sdtContent>
          <w:r>
            <w:rPr>
              <w:rFonts w:hint="eastAsia" w:ascii="仿宋_GB2312" w:eastAsia="仿宋_GB2312"/>
              <w:sz w:val="28"/>
              <w:szCs w:val="28"/>
            </w:rPr>
            <w:t>☐</w:t>
          </w:r>
        </w:sdtContent>
      </w:sdt>
      <w:r>
        <w:rPr>
          <w:rFonts w:hint="eastAsia" w:ascii="仿宋_GB2312" w:eastAsia="仿宋_GB2312"/>
          <w:sz w:val="28"/>
          <w:szCs w:val="28"/>
        </w:rPr>
        <w:t>服务全部由符合政策要求的小微企业承接，提供中小企业声明函；</w:t>
      </w:r>
    </w:p>
    <w:p>
      <w:pPr>
        <w:spacing w:line="540" w:lineRule="exact"/>
        <w:ind w:firstLine="560" w:firstLineChars="200"/>
        <w:contextualSpacing/>
        <w:rPr>
          <w:rFonts w:ascii="仿宋_GB2312" w:eastAsia="仿宋_GB2312"/>
          <w:sz w:val="28"/>
          <w:szCs w:val="28"/>
        </w:rPr>
      </w:pPr>
      <w:sdt>
        <w:sdtPr>
          <w:rPr>
            <w:rFonts w:hint="eastAsia" w:ascii="仿宋_GB2312" w:eastAsia="仿宋_GB2312"/>
            <w:sz w:val="28"/>
            <w:szCs w:val="28"/>
          </w:rPr>
          <w:id w:val="-1985607795"/>
        </w:sdtPr>
        <w:sdtEndPr>
          <w:rPr>
            <w:rFonts w:hint="eastAsia" w:ascii="仿宋_GB2312" w:eastAsia="仿宋_GB2312"/>
            <w:sz w:val="28"/>
            <w:szCs w:val="28"/>
          </w:rPr>
        </w:sdtEndPr>
        <w:sdtContent>
          <w:r>
            <w:rPr>
              <w:rFonts w:hint="eastAsia" w:ascii="仿宋_GB2312" w:eastAsia="仿宋_GB2312"/>
              <w:sz w:val="28"/>
              <w:szCs w:val="28"/>
            </w:rPr>
            <w:t>☐</w:t>
          </w:r>
        </w:sdtContent>
      </w:sdt>
      <w:r>
        <w:rPr>
          <w:rFonts w:hint="eastAsia" w:ascii="仿宋_GB2312" w:eastAsia="仿宋_GB2312"/>
          <w:sz w:val="28"/>
          <w:szCs w:val="28"/>
        </w:rPr>
        <w:t>要求以联合体形式参加，提供联合协议和中小企业声明函，联合协议中中小企业合同金额应当达到</w:t>
      </w:r>
      <w:r>
        <w:rPr>
          <w:rFonts w:hint="eastAsia" w:ascii="仿宋_GB2312" w:eastAsia="仿宋_GB2312"/>
          <w:sz w:val="28"/>
          <w:szCs w:val="28"/>
          <w:u w:val="single"/>
        </w:rPr>
        <w:t xml:space="preserve">    </w:t>
      </w:r>
      <w:r>
        <w:rPr>
          <w:rFonts w:hint="eastAsia" w:ascii="仿宋_GB2312" w:eastAsia="仿宋_GB2312"/>
          <w:sz w:val="28"/>
          <w:szCs w:val="28"/>
        </w:rPr>
        <w:t>%，小微企业合同金额应当达到</w:t>
      </w:r>
      <w:r>
        <w:rPr>
          <w:rFonts w:hint="eastAsia" w:ascii="仿宋_GB2312" w:eastAsia="仿宋_GB2312"/>
          <w:sz w:val="28"/>
          <w:szCs w:val="28"/>
          <w:u w:val="single"/>
        </w:rPr>
        <w:t xml:space="preserve">    </w:t>
      </w:r>
      <w:r>
        <w:rPr>
          <w:rFonts w:hint="eastAsia" w:ascii="仿宋_GB2312" w:eastAsia="仿宋_GB2312"/>
          <w:sz w:val="28"/>
          <w:szCs w:val="28"/>
        </w:rPr>
        <w:t>%;如果供应商本身提供所有标的均由中小企业制造、承建或承接，视同符合了资格条件，无需再与其他中小企业组成联合体参加政府采购活动，无需提供联合协议；</w:t>
      </w:r>
    </w:p>
    <w:p>
      <w:pPr>
        <w:spacing w:line="540" w:lineRule="exact"/>
        <w:ind w:firstLine="560" w:firstLineChars="200"/>
        <w:contextualSpacing/>
        <w:rPr>
          <w:rFonts w:ascii="仿宋_GB2312" w:eastAsia="仿宋_GB2312"/>
          <w:b w:val="0"/>
          <w:bCs w:val="0"/>
          <w:sz w:val="28"/>
          <w:szCs w:val="28"/>
        </w:rPr>
      </w:pPr>
      <w:sdt>
        <w:sdtPr>
          <w:rPr>
            <w:rFonts w:hint="eastAsia" w:ascii="仿宋_GB2312" w:eastAsia="仿宋_GB2312"/>
            <w:b w:val="0"/>
            <w:bCs w:val="0"/>
            <w:sz w:val="28"/>
            <w:szCs w:val="28"/>
          </w:rPr>
          <w:id w:val="34630645"/>
        </w:sdtPr>
        <w:sdtEndPr>
          <w:rPr>
            <w:rFonts w:hint="eastAsia" w:ascii="仿宋_GB2312" w:eastAsia="仿宋_GB2312"/>
            <w:b w:val="0"/>
            <w:bCs w:val="0"/>
            <w:sz w:val="28"/>
            <w:szCs w:val="28"/>
          </w:rPr>
        </w:sdtEndPr>
        <w:sdtContent>
          <w:sdt>
            <w:sdtPr>
              <w:rPr>
                <w:rFonts w:hint="eastAsia" w:ascii="仿宋_GB2312" w:eastAsia="仿宋_GB2312"/>
                <w:b w:val="0"/>
                <w:bCs w:val="0"/>
                <w:sz w:val="28"/>
                <w:szCs w:val="28"/>
              </w:rPr>
              <w:id w:val="1648123874"/>
            </w:sdtPr>
            <w:sdtEndPr>
              <w:rPr>
                <w:rFonts w:hint="eastAsia" w:ascii="仿宋_GB2312" w:eastAsia="仿宋_GB2312"/>
                <w:b w:val="0"/>
                <w:bCs w:val="0"/>
                <w:sz w:val="28"/>
                <w:szCs w:val="28"/>
              </w:rPr>
            </w:sdtEndPr>
            <w:sdtContent>
              <w:r>
                <w:rPr>
                  <w:rFonts w:hint="eastAsia" w:ascii="仿宋_GB2312" w:eastAsia="仿宋_GB2312"/>
                  <w:b w:val="0"/>
                  <w:bCs w:val="0"/>
                  <w:sz w:val="28"/>
                  <w:szCs w:val="28"/>
                </w:rPr>
                <w:sym w:font="Wingdings" w:char="00A8"/>
              </w:r>
            </w:sdtContent>
          </w:sdt>
        </w:sdtContent>
      </w:sdt>
      <w:r>
        <w:rPr>
          <w:rFonts w:hint="eastAsia" w:ascii="仿宋_GB2312" w:eastAsia="仿宋_GB2312"/>
          <w:b w:val="0"/>
          <w:bCs w:val="0"/>
          <w:sz w:val="28"/>
          <w:szCs w:val="28"/>
        </w:rPr>
        <w:t>要求合同分包，提供分包意向协议和中小企业声明函，分包意向协议中，中小微企业合同份额为合同总金额的40%，如果供应商本身提供所有标的均由中小微企业制造、承建或承接，视同符合了资格条件，无需再向中小微企业分包，无需提供分包意向协议；</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3.本项目的特定资格要求：无；</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540" w:lineRule="exact"/>
        <w:ind w:firstLine="562" w:firstLineChars="200"/>
        <w:contextualSpacing/>
        <w:rPr>
          <w:rFonts w:ascii="仿宋_GB2312" w:eastAsia="仿宋_GB2312"/>
          <w:b/>
          <w:sz w:val="28"/>
          <w:szCs w:val="28"/>
        </w:rPr>
      </w:pPr>
      <w:r>
        <w:rPr>
          <w:rFonts w:hint="eastAsia" w:ascii="仿宋_GB2312" w:eastAsia="仿宋_GB2312"/>
          <w:b/>
          <w:sz w:val="28"/>
          <w:szCs w:val="28"/>
        </w:rPr>
        <w:t xml:space="preserve">三、获取招标文件 </w:t>
      </w:r>
    </w:p>
    <w:p>
      <w:pPr>
        <w:shd w:val="clear"/>
        <w:spacing w:line="540" w:lineRule="exact"/>
        <w:ind w:firstLine="560" w:firstLineChars="200"/>
        <w:contextualSpacing/>
        <w:rPr>
          <w:rFonts w:ascii="仿宋_GB2312" w:eastAsia="仿宋_GB2312"/>
          <w:sz w:val="28"/>
          <w:szCs w:val="28"/>
          <w:highlight w:val="none"/>
        </w:rPr>
      </w:pPr>
      <w:r>
        <w:rPr>
          <w:rFonts w:hint="eastAsia" w:ascii="仿宋_GB2312" w:eastAsia="仿宋_GB2312"/>
          <w:sz w:val="28"/>
          <w:szCs w:val="28"/>
          <w:highlight w:val="none"/>
        </w:rPr>
        <w:t>时间：/至2022年</w:t>
      </w:r>
      <w:r>
        <w:rPr>
          <w:rFonts w:hint="eastAsia" w:ascii="仿宋_GB2312" w:eastAsia="仿宋_GB2312"/>
          <w:sz w:val="28"/>
          <w:szCs w:val="28"/>
          <w:highlight w:val="none"/>
          <w:lang w:val="en-US" w:eastAsia="zh-CN"/>
        </w:rPr>
        <w:t>12</w:t>
      </w:r>
      <w:r>
        <w:rPr>
          <w:rFonts w:hint="eastAsia" w:ascii="仿宋_GB2312" w:eastAsia="仿宋_GB2312"/>
          <w:sz w:val="28"/>
          <w:szCs w:val="28"/>
          <w:highlight w:val="none"/>
        </w:rPr>
        <w:t>月</w:t>
      </w:r>
      <w:r>
        <w:rPr>
          <w:rFonts w:hint="eastAsia" w:ascii="仿宋_GB2312" w:eastAsia="仿宋_GB2312"/>
          <w:sz w:val="28"/>
          <w:szCs w:val="28"/>
          <w:highlight w:val="none"/>
          <w:lang w:val="en-US" w:eastAsia="zh-CN"/>
        </w:rPr>
        <w:t>27</w:t>
      </w:r>
      <w:r>
        <w:rPr>
          <w:rFonts w:hint="eastAsia" w:ascii="仿宋_GB2312" w:eastAsia="仿宋_GB2312"/>
          <w:sz w:val="28"/>
          <w:szCs w:val="28"/>
          <w:highlight w:val="none"/>
        </w:rPr>
        <w:t>日，每天上午00:00至12:00 ，下午12:00至23:59（北京时间，线上获取法定节假日均可，线下获取文件法定节假日除外的工作时间）</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 xml:space="preserve">地点（网址）：政采云平台（https://www.zcygov.cn/）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 xml:space="preserve">方式：供应商登录政采云平台https://www.zcygov.cn/在线申请获取采购文件（进入“项目采购”应用，在获取采购文件菜单中选择项目，申请获取采购文件）。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 xml:space="preserve">售价（元）：0 </w:t>
      </w:r>
      <w:r>
        <w:rPr>
          <w:rFonts w:hint="eastAsia" w:ascii="仿宋_GB2312" w:eastAsia="仿宋_GB2312"/>
          <w:sz w:val="28"/>
          <w:szCs w:val="28"/>
        </w:rPr>
        <w:tab/>
      </w:r>
    </w:p>
    <w:p>
      <w:pPr>
        <w:spacing w:line="540" w:lineRule="exact"/>
        <w:ind w:firstLine="562" w:firstLineChars="200"/>
        <w:contextualSpacing/>
        <w:rPr>
          <w:rFonts w:ascii="仿宋_GB2312" w:eastAsia="仿宋_GB2312"/>
          <w:b/>
          <w:sz w:val="28"/>
          <w:szCs w:val="28"/>
        </w:rPr>
      </w:pPr>
      <w:r>
        <w:rPr>
          <w:rFonts w:hint="eastAsia" w:ascii="仿宋_GB2312" w:eastAsia="仿宋_GB2312"/>
          <w:b/>
          <w:sz w:val="28"/>
          <w:szCs w:val="28"/>
        </w:rPr>
        <w:t>四、提交投标文件截止时间、开标时间和地点</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提交投标文件截止时间： 2022年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日9点1</w:t>
      </w:r>
      <w:r>
        <w:rPr>
          <w:rFonts w:hint="eastAsia" w:ascii="仿宋_GB2312" w:eastAsia="仿宋_GB2312"/>
          <w:sz w:val="28"/>
          <w:szCs w:val="28"/>
          <w:lang w:val="en-US" w:eastAsia="zh-CN"/>
        </w:rPr>
        <w:t>0</w:t>
      </w:r>
      <w:r>
        <w:rPr>
          <w:rFonts w:hint="eastAsia" w:ascii="仿宋_GB2312" w:eastAsia="仿宋_GB2312"/>
          <w:sz w:val="28"/>
          <w:szCs w:val="28"/>
        </w:rPr>
        <w:t>分 （北京时间）</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 xml:space="preserve">投标地点（网址）：政采云平台（https://www.zcygov.cn/）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开标时间：2022 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日9点1</w:t>
      </w:r>
      <w:r>
        <w:rPr>
          <w:rFonts w:hint="eastAsia" w:ascii="仿宋_GB2312" w:eastAsia="仿宋_GB2312"/>
          <w:sz w:val="28"/>
          <w:szCs w:val="28"/>
          <w:lang w:val="en-US" w:eastAsia="zh-CN"/>
        </w:rPr>
        <w:t>0</w:t>
      </w:r>
      <w:r>
        <w:rPr>
          <w:rFonts w:hint="eastAsia" w:ascii="仿宋_GB2312" w:eastAsia="仿宋_GB2312"/>
          <w:sz w:val="28"/>
          <w:szCs w:val="28"/>
        </w:rPr>
        <w:t xml:space="preserve">分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开标地点（网址）：政采云平台（https://www.zcygov.cn/）</w:t>
      </w:r>
    </w:p>
    <w:p>
      <w:pPr>
        <w:spacing w:line="540" w:lineRule="exact"/>
        <w:ind w:firstLine="562" w:firstLineChars="200"/>
        <w:contextualSpacing/>
        <w:rPr>
          <w:rFonts w:ascii="仿宋_GB2312" w:eastAsia="仿宋_GB2312"/>
          <w:b/>
          <w:sz w:val="28"/>
          <w:szCs w:val="28"/>
        </w:rPr>
      </w:pPr>
      <w:r>
        <w:rPr>
          <w:rFonts w:hint="eastAsia" w:ascii="仿宋_GB2312" w:eastAsia="仿宋_GB2312"/>
          <w:b/>
          <w:sz w:val="28"/>
          <w:szCs w:val="28"/>
        </w:rPr>
        <w:t xml:space="preserve">五、公告期限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自本公告发布之日起5个工作日。</w:t>
      </w:r>
    </w:p>
    <w:p>
      <w:pPr>
        <w:spacing w:line="540" w:lineRule="exact"/>
        <w:ind w:firstLine="562" w:firstLineChars="200"/>
        <w:contextualSpacing/>
        <w:rPr>
          <w:rFonts w:ascii="仿宋_GB2312" w:eastAsia="仿宋_GB2312"/>
          <w:b/>
          <w:sz w:val="28"/>
          <w:szCs w:val="28"/>
        </w:rPr>
      </w:pPr>
      <w:r>
        <w:rPr>
          <w:rFonts w:hint="eastAsia" w:ascii="仿宋_GB2312" w:eastAsia="仿宋_GB2312"/>
          <w:b/>
          <w:sz w:val="28"/>
          <w:szCs w:val="28"/>
        </w:rPr>
        <w:t>六、其他补充事宜</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540" w:lineRule="exact"/>
        <w:ind w:firstLine="703" w:firstLineChars="250"/>
        <w:contextualSpacing/>
        <w:rPr>
          <w:rFonts w:ascii="仿宋_GB2312" w:eastAsia="仿宋_GB2312"/>
          <w:b/>
          <w:sz w:val="28"/>
          <w:szCs w:val="28"/>
        </w:rPr>
      </w:pPr>
      <w:r>
        <w:rPr>
          <w:rFonts w:hint="eastAsia" w:ascii="仿宋_GB2312" w:eastAsia="仿宋_GB2312"/>
          <w:b/>
          <w:sz w:val="28"/>
          <w:szCs w:val="28"/>
        </w:rPr>
        <w:t>七、对本次采购提出询问、质疑、投诉，请按以下方式联系</w:t>
      </w:r>
    </w:p>
    <w:p>
      <w:pPr>
        <w:spacing w:line="540" w:lineRule="exact"/>
        <w:ind w:firstLine="560" w:firstLineChars="200"/>
        <w:contextualSpacing/>
        <w:rPr>
          <w:rFonts w:hint="eastAsia" w:ascii="仿宋_GB2312" w:eastAsia="仿宋_GB2312"/>
          <w:sz w:val="28"/>
          <w:szCs w:val="28"/>
        </w:rPr>
      </w:pPr>
      <w:r>
        <w:rPr>
          <w:rFonts w:hint="eastAsia" w:ascii="仿宋_GB2312" w:eastAsia="仿宋_GB2312"/>
          <w:sz w:val="28"/>
          <w:szCs w:val="28"/>
        </w:rPr>
        <w:t>1. 采购人信息</w:t>
      </w:r>
    </w:p>
    <w:p>
      <w:pPr>
        <w:spacing w:line="540" w:lineRule="exact"/>
        <w:ind w:firstLine="560" w:firstLineChars="200"/>
        <w:contextualSpacing/>
        <w:rPr>
          <w:rFonts w:hint="eastAsia" w:ascii="仿宋_GB2312" w:eastAsia="仿宋_GB2312"/>
          <w:sz w:val="28"/>
          <w:szCs w:val="28"/>
        </w:rPr>
      </w:pPr>
      <w:r>
        <w:rPr>
          <w:rFonts w:hint="eastAsia" w:ascii="仿宋_GB2312" w:eastAsia="仿宋_GB2312"/>
          <w:sz w:val="28"/>
          <w:szCs w:val="28"/>
        </w:rPr>
        <w:t>名 称：舟山市大数据管理中心</w:t>
      </w:r>
    </w:p>
    <w:p>
      <w:pPr>
        <w:spacing w:line="540" w:lineRule="exact"/>
        <w:ind w:firstLine="560" w:firstLineChars="200"/>
        <w:contextualSpacing/>
        <w:rPr>
          <w:rFonts w:hint="eastAsia" w:ascii="仿宋_GB2312" w:eastAsia="仿宋_GB2312"/>
          <w:sz w:val="28"/>
          <w:szCs w:val="28"/>
        </w:rPr>
      </w:pPr>
      <w:r>
        <w:rPr>
          <w:rFonts w:hint="eastAsia" w:ascii="仿宋_GB2312" w:eastAsia="仿宋_GB2312"/>
          <w:sz w:val="28"/>
          <w:szCs w:val="28"/>
        </w:rPr>
        <w:t>地 址：舟山市新城海天大道681号</w:t>
      </w:r>
      <w:r>
        <w:rPr>
          <w:rFonts w:hint="eastAsia" w:eastAsia="仿宋_GB2312"/>
          <w:sz w:val="28"/>
          <w:szCs w:val="28"/>
        </w:rPr>
        <w:t> </w:t>
      </w:r>
      <w:r>
        <w:rPr>
          <w:rFonts w:hint="eastAsia" w:ascii="仿宋_GB2312" w:eastAsia="仿宋_GB2312"/>
          <w:sz w:val="28"/>
          <w:szCs w:val="28"/>
        </w:rPr>
        <w:t xml:space="preserve">    </w:t>
      </w:r>
    </w:p>
    <w:p>
      <w:pPr>
        <w:spacing w:line="540" w:lineRule="exact"/>
        <w:ind w:firstLine="560" w:firstLineChars="200"/>
        <w:contextualSpacing/>
        <w:rPr>
          <w:rFonts w:hint="eastAsia" w:ascii="仿宋_GB2312" w:eastAsia="仿宋_GB2312"/>
          <w:sz w:val="28"/>
          <w:szCs w:val="28"/>
        </w:rPr>
      </w:pPr>
      <w:r>
        <w:rPr>
          <w:rFonts w:hint="eastAsia" w:ascii="仿宋_GB2312" w:eastAsia="仿宋_GB2312"/>
          <w:sz w:val="28"/>
          <w:szCs w:val="28"/>
        </w:rPr>
        <w:t>传 真：/</w:t>
      </w:r>
    </w:p>
    <w:p>
      <w:pPr>
        <w:numPr>
          <w:ilvl w:val="0"/>
          <w:numId w:val="0"/>
        </w:numPr>
        <w:spacing w:line="540" w:lineRule="exact"/>
        <w:ind w:left="560" w:leftChars="0"/>
        <w:contextualSpacing/>
        <w:rPr>
          <w:rFonts w:hint="eastAsia" w:ascii="仿宋_GB2312" w:eastAsia="仿宋_GB2312"/>
          <w:sz w:val="28"/>
          <w:szCs w:val="28"/>
          <w:lang w:eastAsia="zh-CN"/>
        </w:rPr>
      </w:pPr>
      <w:r>
        <w:rPr>
          <w:rFonts w:hint="eastAsia" w:ascii="仿宋_GB2312" w:eastAsia="仿宋_GB2312"/>
          <w:sz w:val="28"/>
          <w:szCs w:val="28"/>
        </w:rPr>
        <w:t>项目联系人（询问）：乐</w:t>
      </w:r>
      <w:r>
        <w:rPr>
          <w:rFonts w:hint="eastAsia" w:ascii="仿宋_GB2312" w:eastAsia="仿宋_GB2312"/>
          <w:sz w:val="28"/>
          <w:szCs w:val="28"/>
          <w:lang w:eastAsia="zh-CN"/>
        </w:rPr>
        <w:t>先生</w:t>
      </w:r>
    </w:p>
    <w:p>
      <w:pPr>
        <w:numPr>
          <w:ilvl w:val="0"/>
          <w:numId w:val="0"/>
        </w:numPr>
        <w:spacing w:line="540" w:lineRule="exact"/>
        <w:ind w:left="560" w:leftChars="0"/>
        <w:contextualSpacing/>
        <w:rPr>
          <w:rFonts w:hint="eastAsia" w:ascii="仿宋_GB2312" w:eastAsia="仿宋_GB2312"/>
          <w:sz w:val="28"/>
          <w:szCs w:val="28"/>
        </w:rPr>
      </w:pPr>
      <w:r>
        <w:rPr>
          <w:rFonts w:hint="eastAsia" w:ascii="仿宋_GB2312" w:eastAsia="仿宋_GB2312"/>
          <w:sz w:val="28"/>
          <w:szCs w:val="28"/>
        </w:rPr>
        <w:t>项目联系方式（询问）： 13675809317</w:t>
      </w:r>
    </w:p>
    <w:p>
      <w:pPr>
        <w:numPr>
          <w:ilvl w:val="0"/>
          <w:numId w:val="0"/>
        </w:numPr>
        <w:spacing w:line="540" w:lineRule="exact"/>
        <w:ind w:left="560" w:leftChars="0"/>
        <w:contextualSpacing/>
        <w:rPr>
          <w:rFonts w:hint="eastAsia" w:ascii="仿宋_GB2312" w:eastAsia="仿宋_GB2312"/>
          <w:sz w:val="28"/>
          <w:szCs w:val="28"/>
          <w:lang w:eastAsia="zh-CN"/>
        </w:rPr>
      </w:pPr>
      <w:r>
        <w:rPr>
          <w:rFonts w:hint="eastAsia" w:ascii="仿宋_GB2312" w:eastAsia="仿宋_GB2312"/>
          <w:sz w:val="28"/>
          <w:szCs w:val="28"/>
        </w:rPr>
        <w:t>质疑联系人：林</w:t>
      </w:r>
      <w:r>
        <w:rPr>
          <w:rFonts w:hint="eastAsia" w:ascii="仿宋_GB2312" w:eastAsia="仿宋_GB2312"/>
          <w:sz w:val="28"/>
          <w:szCs w:val="28"/>
          <w:lang w:eastAsia="zh-CN"/>
        </w:rPr>
        <w:t>先生</w:t>
      </w:r>
    </w:p>
    <w:p>
      <w:pPr>
        <w:numPr>
          <w:ilvl w:val="0"/>
          <w:numId w:val="0"/>
        </w:numPr>
        <w:spacing w:line="540" w:lineRule="exact"/>
        <w:ind w:firstLine="560" w:firstLineChars="200"/>
        <w:contextualSpacing/>
        <w:rPr>
          <w:rFonts w:hint="eastAsia" w:ascii="仿宋_GB2312" w:eastAsia="仿宋_GB2312"/>
          <w:sz w:val="28"/>
          <w:szCs w:val="28"/>
        </w:rPr>
      </w:pPr>
      <w:r>
        <w:rPr>
          <w:rFonts w:hint="eastAsia" w:ascii="仿宋_GB2312" w:eastAsia="仿宋_GB2312"/>
          <w:sz w:val="28"/>
          <w:szCs w:val="28"/>
        </w:rPr>
        <w:t>质疑联系方式：13884308956</w:t>
      </w:r>
    </w:p>
    <w:p>
      <w:pPr>
        <w:numPr>
          <w:ilvl w:val="0"/>
          <w:numId w:val="0"/>
        </w:numPr>
        <w:spacing w:line="540" w:lineRule="exact"/>
        <w:ind w:firstLine="560" w:firstLineChars="200"/>
        <w:contextualSpacing/>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 采购代理机构信息</w:t>
      </w:r>
    </w:p>
    <w:p>
      <w:pPr>
        <w:numPr>
          <w:ilvl w:val="0"/>
          <w:numId w:val="0"/>
        </w:numPr>
        <w:spacing w:line="540" w:lineRule="exact"/>
        <w:ind w:left="560" w:leftChars="0"/>
        <w:contextualSpacing/>
        <w:rPr>
          <w:rFonts w:hint="eastAsia" w:ascii="仿宋_GB2312" w:eastAsia="仿宋_GB2312"/>
          <w:sz w:val="28"/>
          <w:szCs w:val="28"/>
        </w:rPr>
      </w:pPr>
      <w:r>
        <w:rPr>
          <w:rFonts w:hint="eastAsia" w:ascii="仿宋_GB2312" w:eastAsia="仿宋_GB2312"/>
          <w:sz w:val="28"/>
          <w:szCs w:val="28"/>
        </w:rPr>
        <w:t>名 称：舟山市公共资源交易中心</w:t>
      </w:r>
    </w:p>
    <w:p>
      <w:pPr>
        <w:numPr>
          <w:ilvl w:val="0"/>
          <w:numId w:val="0"/>
        </w:numPr>
        <w:spacing w:line="540" w:lineRule="exact"/>
        <w:ind w:left="560" w:leftChars="0"/>
        <w:contextualSpacing/>
        <w:rPr>
          <w:rFonts w:hint="eastAsia" w:ascii="仿宋_GB2312" w:eastAsia="仿宋_GB2312"/>
          <w:sz w:val="28"/>
          <w:szCs w:val="28"/>
          <w:lang w:val="en-US" w:eastAsia="zh-CN"/>
        </w:rPr>
      </w:pPr>
      <w:r>
        <w:rPr>
          <w:rFonts w:hint="eastAsia" w:ascii="仿宋_GB2312" w:eastAsia="仿宋_GB2312"/>
          <w:sz w:val="28"/>
          <w:szCs w:val="28"/>
        </w:rPr>
        <w:t>地 址：舟山市新城翁山路555号四楼（大宗商品交易中心同幢西边）4楼</w:t>
      </w:r>
      <w:r>
        <w:rPr>
          <w:rFonts w:hint="eastAsia" w:ascii="仿宋_GB2312" w:eastAsia="仿宋_GB2312"/>
          <w:sz w:val="28"/>
          <w:szCs w:val="28"/>
          <w:lang w:val="en-US" w:eastAsia="zh-CN"/>
        </w:rPr>
        <w:t>4021室</w:t>
      </w:r>
    </w:p>
    <w:p>
      <w:pPr>
        <w:numPr>
          <w:ilvl w:val="0"/>
          <w:numId w:val="0"/>
        </w:numPr>
        <w:spacing w:line="540" w:lineRule="exact"/>
        <w:ind w:left="560" w:leftChars="0"/>
        <w:contextualSpacing/>
        <w:rPr>
          <w:rFonts w:hint="eastAsia" w:ascii="仿宋_GB2312" w:eastAsia="仿宋_GB2312"/>
          <w:sz w:val="28"/>
          <w:szCs w:val="28"/>
        </w:rPr>
      </w:pPr>
      <w:r>
        <w:rPr>
          <w:rFonts w:hint="eastAsia" w:ascii="仿宋_GB2312" w:eastAsia="仿宋_GB2312"/>
          <w:sz w:val="28"/>
          <w:szCs w:val="28"/>
        </w:rPr>
        <w:t>传 真：/</w:t>
      </w:r>
    </w:p>
    <w:p>
      <w:pPr>
        <w:numPr>
          <w:ilvl w:val="0"/>
          <w:numId w:val="0"/>
        </w:numPr>
        <w:spacing w:line="540" w:lineRule="exact"/>
        <w:ind w:left="560" w:leftChars="0"/>
        <w:contextualSpacing/>
        <w:rPr>
          <w:rFonts w:hint="eastAsia" w:ascii="仿宋_GB2312" w:eastAsia="仿宋_GB2312"/>
          <w:sz w:val="28"/>
          <w:szCs w:val="28"/>
          <w:lang w:eastAsia="zh-CN"/>
        </w:rPr>
      </w:pPr>
      <w:r>
        <w:rPr>
          <w:rFonts w:hint="eastAsia" w:ascii="仿宋_GB2312" w:eastAsia="仿宋_GB2312"/>
          <w:sz w:val="28"/>
          <w:szCs w:val="28"/>
        </w:rPr>
        <w:t>项目联系人（询问）：</w:t>
      </w:r>
      <w:r>
        <w:rPr>
          <w:rFonts w:hint="eastAsia" w:ascii="仿宋_GB2312" w:eastAsia="仿宋_GB2312"/>
          <w:sz w:val="28"/>
          <w:szCs w:val="28"/>
          <w:lang w:eastAsia="zh-CN"/>
        </w:rPr>
        <w:t>丁先生</w:t>
      </w:r>
    </w:p>
    <w:p>
      <w:pPr>
        <w:numPr>
          <w:ilvl w:val="0"/>
          <w:numId w:val="0"/>
        </w:numPr>
        <w:spacing w:line="540" w:lineRule="exact"/>
        <w:ind w:left="560" w:leftChars="0"/>
        <w:contextualSpacing/>
        <w:rPr>
          <w:rFonts w:hint="eastAsia" w:ascii="仿宋_GB2312" w:eastAsia="仿宋_GB2312"/>
          <w:sz w:val="28"/>
          <w:szCs w:val="28"/>
          <w:lang w:val="en-US" w:eastAsia="zh-CN"/>
        </w:rPr>
      </w:pPr>
      <w:r>
        <w:rPr>
          <w:rFonts w:hint="eastAsia" w:ascii="仿宋_GB2312" w:eastAsia="仿宋_GB2312"/>
          <w:sz w:val="28"/>
          <w:szCs w:val="28"/>
        </w:rPr>
        <w:t>项目联系方式（询问）：0580-22809</w:t>
      </w:r>
      <w:r>
        <w:rPr>
          <w:rFonts w:hint="eastAsia" w:ascii="仿宋_GB2312" w:eastAsia="仿宋_GB2312"/>
          <w:sz w:val="28"/>
          <w:szCs w:val="28"/>
          <w:lang w:val="en-US" w:eastAsia="zh-CN"/>
        </w:rPr>
        <w:t>48</w:t>
      </w:r>
    </w:p>
    <w:p>
      <w:pPr>
        <w:numPr>
          <w:ilvl w:val="0"/>
          <w:numId w:val="0"/>
        </w:numPr>
        <w:spacing w:line="540" w:lineRule="exact"/>
        <w:ind w:left="560" w:leftChars="0"/>
        <w:contextualSpacing/>
        <w:rPr>
          <w:rFonts w:ascii="仿宋_GB2312" w:eastAsia="仿宋_GB2312"/>
          <w:sz w:val="28"/>
          <w:szCs w:val="28"/>
        </w:rPr>
      </w:pPr>
      <w:r>
        <w:rPr>
          <w:rFonts w:hint="eastAsia" w:ascii="仿宋_GB2312" w:eastAsia="仿宋_GB2312"/>
          <w:sz w:val="28"/>
          <w:szCs w:val="28"/>
        </w:rPr>
        <w:t>质疑联系人：陈女士</w:t>
      </w:r>
    </w:p>
    <w:p>
      <w:pPr>
        <w:spacing w:line="540" w:lineRule="exact"/>
        <w:contextualSpacing/>
        <w:rPr>
          <w:rFonts w:ascii="仿宋_GB2312" w:eastAsia="仿宋_GB2312"/>
          <w:sz w:val="28"/>
          <w:szCs w:val="28"/>
        </w:rPr>
      </w:pPr>
      <w:r>
        <w:rPr>
          <w:rFonts w:hint="eastAsia" w:eastAsia="仿宋_GB2312"/>
          <w:sz w:val="28"/>
          <w:szCs w:val="28"/>
        </w:rPr>
        <w:t> </w:t>
      </w:r>
      <w:r>
        <w:rPr>
          <w:rFonts w:hint="eastAsia" w:ascii="仿宋_GB2312" w:eastAsia="仿宋_GB2312"/>
          <w:sz w:val="28"/>
          <w:szCs w:val="28"/>
        </w:rPr>
        <w:t xml:space="preserve">   质疑联系方式：0580-22809</w:t>
      </w:r>
      <w:r>
        <w:rPr>
          <w:rFonts w:hint="eastAsia" w:ascii="仿宋_GB2312" w:eastAsia="仿宋_GB2312"/>
          <w:sz w:val="28"/>
          <w:szCs w:val="28"/>
          <w:lang w:val="en-US" w:eastAsia="zh-CN"/>
        </w:rPr>
        <w:t>52</w:t>
      </w:r>
    </w:p>
    <w:p>
      <w:pPr>
        <w:spacing w:line="540" w:lineRule="exact"/>
        <w:contextualSpacing/>
        <w:rPr>
          <w:rFonts w:ascii="仿宋_GB2312" w:eastAsia="仿宋_GB2312"/>
          <w:sz w:val="28"/>
          <w:szCs w:val="28"/>
        </w:rPr>
      </w:pPr>
      <w:r>
        <w:rPr>
          <w:rFonts w:hint="eastAsia" w:eastAsia="仿宋_GB2312"/>
          <w:sz w:val="28"/>
          <w:szCs w:val="28"/>
        </w:rPr>
        <w:t> </w:t>
      </w:r>
      <w:r>
        <w:rPr>
          <w:rFonts w:hint="eastAsia" w:ascii="仿宋_GB2312" w:eastAsia="仿宋_GB2312"/>
          <w:sz w:val="28"/>
          <w:szCs w:val="28"/>
        </w:rPr>
        <w:t xml:space="preserve">   3.同级政府采购监督管理部门</w:t>
      </w:r>
    </w:p>
    <w:p>
      <w:pPr>
        <w:spacing w:line="540" w:lineRule="exact"/>
        <w:contextualSpacing/>
        <w:rPr>
          <w:rFonts w:ascii="仿宋_GB2312" w:eastAsia="仿宋_GB2312"/>
          <w:sz w:val="28"/>
          <w:szCs w:val="28"/>
        </w:rPr>
      </w:pPr>
      <w:r>
        <w:rPr>
          <w:rFonts w:hint="eastAsia" w:eastAsia="仿宋_GB2312"/>
          <w:sz w:val="28"/>
          <w:szCs w:val="28"/>
        </w:rPr>
        <w:t> </w:t>
      </w:r>
      <w:r>
        <w:rPr>
          <w:rFonts w:hint="eastAsia" w:ascii="仿宋_GB2312" w:eastAsia="仿宋_GB2312"/>
          <w:sz w:val="28"/>
          <w:szCs w:val="28"/>
        </w:rPr>
        <w:t xml:space="preserve">   名 称：舟山市财政局政府采购监管处</w:t>
      </w:r>
    </w:p>
    <w:p>
      <w:pPr>
        <w:spacing w:line="540" w:lineRule="exact"/>
        <w:contextualSpacing/>
        <w:rPr>
          <w:rFonts w:ascii="仿宋_GB2312" w:eastAsia="仿宋_GB2312"/>
          <w:sz w:val="28"/>
          <w:szCs w:val="28"/>
        </w:rPr>
      </w:pPr>
      <w:r>
        <w:rPr>
          <w:rFonts w:hint="eastAsia" w:eastAsia="仿宋_GB2312"/>
          <w:sz w:val="28"/>
          <w:szCs w:val="28"/>
        </w:rPr>
        <w:t> </w:t>
      </w:r>
      <w:r>
        <w:rPr>
          <w:rFonts w:hint="eastAsia" w:ascii="仿宋_GB2312" w:eastAsia="仿宋_GB2312"/>
          <w:sz w:val="28"/>
          <w:szCs w:val="28"/>
        </w:rPr>
        <w:t xml:space="preserve">   地 址：舟山市定海区新城海天大道681号</w:t>
      </w:r>
    </w:p>
    <w:p>
      <w:pPr>
        <w:spacing w:line="540" w:lineRule="exact"/>
        <w:contextualSpacing/>
        <w:rPr>
          <w:rFonts w:hint="default" w:ascii="仿宋_GB2312" w:eastAsia="仿宋_GB2312"/>
          <w:sz w:val="28"/>
          <w:szCs w:val="28"/>
          <w:lang w:val="en-US" w:eastAsia="zh-CN"/>
        </w:rPr>
      </w:pPr>
      <w:r>
        <w:rPr>
          <w:rFonts w:hint="eastAsia" w:eastAsia="仿宋_GB2312"/>
          <w:sz w:val="28"/>
          <w:szCs w:val="28"/>
        </w:rPr>
        <w:t> </w:t>
      </w:r>
      <w:r>
        <w:rPr>
          <w:rFonts w:hint="eastAsia" w:ascii="仿宋_GB2312" w:eastAsia="仿宋_GB2312"/>
          <w:sz w:val="28"/>
          <w:szCs w:val="28"/>
        </w:rPr>
        <w:t xml:space="preserve">   传 真：0580-22825</w:t>
      </w:r>
      <w:r>
        <w:rPr>
          <w:rFonts w:hint="eastAsia" w:ascii="仿宋_GB2312" w:eastAsia="仿宋_GB2312"/>
          <w:sz w:val="28"/>
          <w:szCs w:val="28"/>
          <w:lang w:val="en-US" w:eastAsia="zh-CN"/>
        </w:rPr>
        <w:t>91</w:t>
      </w:r>
    </w:p>
    <w:p>
      <w:pPr>
        <w:spacing w:line="540" w:lineRule="exact"/>
        <w:contextualSpacing/>
        <w:rPr>
          <w:rFonts w:hint="eastAsia" w:ascii="仿宋_GB2312" w:eastAsia="仿宋_GB2312"/>
          <w:sz w:val="28"/>
          <w:szCs w:val="28"/>
          <w:lang w:eastAsia="zh-CN"/>
        </w:rPr>
      </w:pPr>
      <w:r>
        <w:rPr>
          <w:rFonts w:hint="eastAsia" w:eastAsia="仿宋_GB2312"/>
          <w:sz w:val="28"/>
          <w:szCs w:val="28"/>
        </w:rPr>
        <w:t> </w:t>
      </w:r>
      <w:r>
        <w:rPr>
          <w:rFonts w:hint="eastAsia" w:ascii="仿宋_GB2312" w:eastAsia="仿宋_GB2312"/>
          <w:sz w:val="28"/>
          <w:szCs w:val="28"/>
        </w:rPr>
        <w:t xml:space="preserve">   联系人 ：</w:t>
      </w:r>
      <w:r>
        <w:rPr>
          <w:rFonts w:hint="eastAsia" w:ascii="仿宋_GB2312" w:eastAsia="仿宋_GB2312"/>
          <w:sz w:val="28"/>
          <w:szCs w:val="28"/>
          <w:lang w:eastAsia="zh-CN"/>
        </w:rPr>
        <w:t>王女士</w:t>
      </w:r>
    </w:p>
    <w:p>
      <w:pPr>
        <w:spacing w:line="540" w:lineRule="exact"/>
        <w:contextualSpacing/>
        <w:rPr>
          <w:rFonts w:ascii="仿宋_GB2312" w:eastAsia="仿宋_GB2312"/>
          <w:sz w:val="28"/>
          <w:szCs w:val="28"/>
        </w:rPr>
      </w:pPr>
      <w:r>
        <w:rPr>
          <w:rFonts w:hint="eastAsia" w:eastAsia="仿宋_GB2312"/>
          <w:sz w:val="28"/>
          <w:szCs w:val="28"/>
        </w:rPr>
        <w:t> </w:t>
      </w:r>
      <w:r>
        <w:rPr>
          <w:rFonts w:hint="eastAsia" w:ascii="仿宋_GB2312" w:eastAsia="仿宋_GB2312"/>
          <w:sz w:val="28"/>
          <w:szCs w:val="28"/>
        </w:rPr>
        <w:t xml:space="preserve">   监督投诉电话：228251</w:t>
      </w:r>
      <w:r>
        <w:rPr>
          <w:rFonts w:hint="eastAsia" w:ascii="仿宋_GB2312" w:eastAsia="仿宋_GB2312"/>
          <w:sz w:val="28"/>
          <w:szCs w:val="28"/>
          <w:lang w:val="en-US" w:eastAsia="zh-CN"/>
        </w:rPr>
        <w:t>91</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若对项目采购电子交易系统操作有疑问，可登录政采云（https://www.zcygov.cn/），点击右侧咨询小采，获取采小蜜智能服务管家帮助，或拨打政采云服务热线400-881-7190获取热线服务帮助。</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CA问题联系电话（人工）：汇信CA 400-888-4636；天谷CA 400-087-8198。</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w:t>
      </w:r>
    </w:p>
    <w:p>
      <w:pPr>
        <w:spacing w:line="540" w:lineRule="exact"/>
        <w:contextualSpacing/>
        <w:jc w:val="center"/>
        <w:rPr>
          <w:rFonts w:ascii="宋体" w:hAnsi="宋体" w:eastAsia="宋体"/>
          <w:b/>
          <w:sz w:val="32"/>
          <w:szCs w:val="32"/>
        </w:rPr>
      </w:pPr>
      <w:r>
        <w:rPr>
          <w:rFonts w:hint="eastAsia" w:ascii="仿宋_GB2312" w:eastAsia="仿宋_GB2312"/>
          <w:sz w:val="28"/>
          <w:szCs w:val="28"/>
        </w:rPr>
        <w:br w:type="page"/>
      </w:r>
      <w:r>
        <w:rPr>
          <w:rFonts w:hint="eastAsia" w:ascii="宋体" w:hAnsi="宋体" w:eastAsia="宋体"/>
          <w:b/>
          <w:sz w:val="32"/>
          <w:szCs w:val="32"/>
        </w:rPr>
        <w:t>第二部分</w:t>
      </w:r>
      <w:bookmarkEnd w:id="8"/>
      <w:r>
        <w:rPr>
          <w:rFonts w:hint="eastAsia" w:ascii="宋体" w:hAnsi="宋体" w:eastAsia="宋体"/>
          <w:b/>
          <w:sz w:val="32"/>
          <w:szCs w:val="32"/>
        </w:rPr>
        <w:t xml:space="preserve"> 投标人须知</w:t>
      </w:r>
      <w:bookmarkEnd w:id="9"/>
    </w:p>
    <w:p>
      <w:pPr>
        <w:spacing w:line="540" w:lineRule="exact"/>
        <w:contextualSpacing/>
        <w:jc w:val="center"/>
        <w:rPr>
          <w:rFonts w:ascii="仿宋_GB2312" w:eastAsia="仿宋_GB2312"/>
          <w:sz w:val="28"/>
          <w:szCs w:val="28"/>
        </w:rPr>
      </w:pPr>
      <w:r>
        <w:rPr>
          <w:rFonts w:hint="eastAsia" w:ascii="仿宋_GB2312" w:eastAsia="仿宋_GB2312"/>
          <w:sz w:val="28"/>
          <w:szCs w:val="28"/>
        </w:rPr>
        <w:t>前附表</w:t>
      </w:r>
    </w:p>
    <w:tbl>
      <w:tblPr>
        <w:tblStyle w:val="1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6"/>
        <w:gridCol w:w="1953"/>
        <w:gridCol w:w="6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5" w:hRule="atLeast"/>
          <w:tblHeader/>
        </w:trPr>
        <w:tc>
          <w:tcPr>
            <w:tcW w:w="666" w:type="dxa"/>
            <w:tcBorders>
              <w:top w:val="single" w:color="auto" w:sz="4" w:space="0"/>
              <w:left w:val="single" w:color="auto" w:sz="4" w:space="0"/>
              <w:bottom w:val="single" w:color="auto" w:sz="4" w:space="0"/>
              <w:right w:val="single" w:color="auto" w:sz="4" w:space="0"/>
            </w:tcBorders>
          </w:tcPr>
          <w:p>
            <w:pPr>
              <w:spacing w:line="540" w:lineRule="exact"/>
              <w:contextualSpacing/>
              <w:jc w:val="center"/>
              <w:rPr>
                <w:rFonts w:ascii="仿宋_GB2312" w:eastAsia="仿宋_GB2312"/>
                <w:sz w:val="28"/>
                <w:szCs w:val="28"/>
              </w:rPr>
            </w:pPr>
            <w:r>
              <w:rPr>
                <w:rFonts w:hint="eastAsia" w:ascii="仿宋_GB2312" w:eastAsia="仿宋_GB2312"/>
                <w:sz w:val="28"/>
                <w:szCs w:val="28"/>
              </w:rPr>
              <w:t>序号</w:t>
            </w:r>
          </w:p>
        </w:tc>
        <w:tc>
          <w:tcPr>
            <w:tcW w:w="1953" w:type="dxa"/>
            <w:tcBorders>
              <w:top w:val="single" w:color="000000" w:sz="8" w:space="0"/>
              <w:left w:val="single" w:color="auto" w:sz="4" w:space="0"/>
              <w:bottom w:val="single" w:color="000000" w:sz="8" w:space="0"/>
              <w:right w:val="single" w:color="000000" w:sz="8" w:space="0"/>
            </w:tcBorders>
            <w:vAlign w:val="center"/>
          </w:tcPr>
          <w:p>
            <w:pPr>
              <w:spacing w:line="540" w:lineRule="exact"/>
              <w:contextualSpacing/>
              <w:jc w:val="center"/>
              <w:rPr>
                <w:rFonts w:ascii="仿宋_GB2312" w:eastAsia="仿宋_GB2312"/>
                <w:sz w:val="28"/>
                <w:szCs w:val="28"/>
              </w:rPr>
            </w:pPr>
            <w:r>
              <w:rPr>
                <w:rFonts w:hint="eastAsia" w:ascii="仿宋_GB2312" w:eastAsia="仿宋_GB2312"/>
                <w:sz w:val="28"/>
                <w:szCs w:val="28"/>
              </w:rPr>
              <w:t>事  项</w:t>
            </w:r>
          </w:p>
        </w:tc>
        <w:tc>
          <w:tcPr>
            <w:tcW w:w="6460" w:type="dxa"/>
            <w:tcBorders>
              <w:top w:val="single" w:color="000000" w:sz="8" w:space="0"/>
              <w:left w:val="single" w:color="000000" w:sz="2" w:space="0"/>
              <w:bottom w:val="single" w:color="000000" w:sz="8" w:space="0"/>
              <w:right w:val="single" w:color="000000" w:sz="8" w:space="0"/>
            </w:tcBorders>
            <w:vAlign w:val="center"/>
          </w:tcPr>
          <w:p>
            <w:pPr>
              <w:spacing w:line="540" w:lineRule="exact"/>
              <w:contextualSpacing/>
              <w:jc w:val="center"/>
              <w:rPr>
                <w:rFonts w:ascii="仿宋_GB2312" w:eastAsia="仿宋_GB2312"/>
                <w:sz w:val="28"/>
                <w:szCs w:val="28"/>
              </w:rPr>
            </w:pPr>
            <w:r>
              <w:rPr>
                <w:rFonts w:hint="eastAsia" w:ascii="仿宋_GB2312" w:eastAsia="仿宋_GB2312"/>
                <w:sz w:val="28"/>
                <w:szCs w:val="28"/>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64" w:hRule="atLeast"/>
          <w:tblHeader/>
        </w:trPr>
        <w:tc>
          <w:tcPr>
            <w:tcW w:w="666"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ascii="仿宋_GB2312" w:eastAsia="仿宋_GB2312"/>
                <w:sz w:val="28"/>
                <w:szCs w:val="28"/>
              </w:rPr>
            </w:pPr>
            <w:r>
              <w:rPr>
                <w:rFonts w:hint="eastAsia" w:ascii="仿宋_GB2312" w:eastAsia="仿宋_GB2312"/>
                <w:sz w:val="28"/>
                <w:szCs w:val="28"/>
              </w:rPr>
              <w:t>1</w:t>
            </w:r>
          </w:p>
        </w:tc>
        <w:tc>
          <w:tcPr>
            <w:tcW w:w="1953" w:type="dxa"/>
            <w:tcBorders>
              <w:top w:val="single" w:color="000000" w:sz="8" w:space="0"/>
              <w:left w:val="single" w:color="auto" w:sz="4" w:space="0"/>
              <w:bottom w:val="single" w:color="000000" w:sz="8" w:space="0"/>
              <w:right w:val="single" w:color="000000" w:sz="8" w:space="0"/>
            </w:tcBorders>
            <w:vAlign w:val="center"/>
          </w:tcPr>
          <w:p>
            <w:pPr>
              <w:spacing w:line="540" w:lineRule="exact"/>
              <w:contextualSpacing/>
              <w:jc w:val="center"/>
              <w:rPr>
                <w:rFonts w:ascii="仿宋_GB2312" w:eastAsia="仿宋_GB2312"/>
                <w:sz w:val="28"/>
                <w:szCs w:val="28"/>
              </w:rPr>
            </w:pPr>
            <w:r>
              <w:rPr>
                <w:rFonts w:hint="eastAsia" w:ascii="仿宋_GB2312" w:eastAsia="仿宋_GB2312"/>
                <w:sz w:val="28"/>
                <w:szCs w:val="28"/>
              </w:rPr>
              <w:t>报价要求</w:t>
            </w:r>
          </w:p>
        </w:tc>
        <w:tc>
          <w:tcPr>
            <w:tcW w:w="6460"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有关本项目实施所需的所有费用（含税费）均计入报价。开标一览表（报价表）是报价的唯一载体。投标文件中价格全部采用人民币报价。招标文件未列明，而投标人认为必需的费用也需列入报价。提醒：验收时检测费用由采购人承担，不包含在投标总价中。</w:t>
            </w:r>
          </w:p>
          <w:p>
            <w:pPr>
              <w:spacing w:line="400" w:lineRule="exact"/>
              <w:contextualSpacing/>
              <w:rPr>
                <w:rFonts w:ascii="仿宋_GB2312" w:eastAsia="仿宋_GB2312"/>
                <w:sz w:val="24"/>
                <w:szCs w:val="24"/>
              </w:rPr>
            </w:pPr>
            <w:r>
              <w:rPr>
                <w:rFonts w:hint="eastAsia" w:ascii="仿宋_GB2312" w:eastAsia="仿宋_GB2312"/>
                <w:sz w:val="24"/>
                <w:szCs w:val="24"/>
              </w:rPr>
              <w:t>投标报价出现下列情形的，投标无效：</w:t>
            </w:r>
          </w:p>
          <w:p>
            <w:pPr>
              <w:spacing w:line="400" w:lineRule="exact"/>
              <w:contextualSpacing/>
              <w:rPr>
                <w:rFonts w:ascii="仿宋_GB2312" w:eastAsia="仿宋_GB2312"/>
                <w:sz w:val="24"/>
                <w:szCs w:val="24"/>
              </w:rPr>
            </w:pPr>
            <w:r>
              <w:rPr>
                <w:rFonts w:hint="eastAsia" w:ascii="仿宋_GB2312" w:eastAsia="仿宋_GB2312"/>
                <w:sz w:val="24"/>
                <w:szCs w:val="24"/>
              </w:rPr>
              <w:t>投标文件出现不是唯一的、有选择性投标报价的；</w:t>
            </w:r>
          </w:p>
          <w:p>
            <w:pPr>
              <w:spacing w:line="400" w:lineRule="exact"/>
              <w:contextualSpacing/>
              <w:rPr>
                <w:rFonts w:ascii="仿宋_GB2312" w:eastAsia="仿宋_GB2312"/>
                <w:sz w:val="24"/>
                <w:szCs w:val="24"/>
              </w:rPr>
            </w:pPr>
            <w:r>
              <w:rPr>
                <w:rFonts w:hint="eastAsia" w:ascii="仿宋_GB2312" w:eastAsia="仿宋_GB2312"/>
                <w:sz w:val="24"/>
                <w:szCs w:val="24"/>
              </w:rPr>
              <w:t>投标报价超过招标文件中规定的预算金额或者最高限价的;</w:t>
            </w:r>
          </w:p>
          <w:p>
            <w:pPr>
              <w:spacing w:line="400" w:lineRule="exact"/>
              <w:contextualSpacing/>
              <w:rPr>
                <w:rFonts w:ascii="仿宋_GB2312" w:eastAsia="仿宋_GB2312"/>
                <w:sz w:val="24"/>
                <w:szCs w:val="24"/>
              </w:rPr>
            </w:pPr>
            <w:r>
              <w:rPr>
                <w:rFonts w:hint="eastAsia" w:ascii="仿宋_GB2312" w:eastAsia="仿宋_GB2312"/>
                <w:sz w:val="24"/>
                <w:szCs w:val="24"/>
              </w:rPr>
              <w:t>报价明显低于其他通过符合性审查投标人的报价，有可能影响产品质量或者不能诚信履约的，未能按要求提供书面说明或者提交相关证明材料证明其报价合理性的;</w:t>
            </w:r>
          </w:p>
          <w:p>
            <w:pPr>
              <w:spacing w:line="400" w:lineRule="exact"/>
              <w:contextualSpacing/>
              <w:rPr>
                <w:rFonts w:ascii="仿宋_GB2312" w:eastAsia="仿宋_GB2312"/>
                <w:sz w:val="24"/>
                <w:szCs w:val="24"/>
              </w:rPr>
            </w:pPr>
            <w:r>
              <w:rPr>
                <w:rFonts w:hint="eastAsia" w:ascii="仿宋_GB2312" w:eastAsia="仿宋_GB2312"/>
                <w:sz w:val="24"/>
                <w:szCs w:val="24"/>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blHeader/>
        </w:trPr>
        <w:tc>
          <w:tcPr>
            <w:tcW w:w="666"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ascii="仿宋_GB2312" w:eastAsia="仿宋_GB2312"/>
                <w:sz w:val="28"/>
                <w:szCs w:val="28"/>
              </w:rPr>
            </w:pPr>
            <w:r>
              <w:rPr>
                <w:rFonts w:hint="eastAsia" w:ascii="仿宋_GB2312" w:eastAsia="仿宋_GB2312"/>
                <w:sz w:val="28"/>
                <w:szCs w:val="28"/>
              </w:rPr>
              <w:t>2</w:t>
            </w:r>
          </w:p>
        </w:tc>
        <w:tc>
          <w:tcPr>
            <w:tcW w:w="1953" w:type="dxa"/>
            <w:tcBorders>
              <w:top w:val="single" w:color="000000" w:sz="8" w:space="0"/>
              <w:left w:val="single" w:color="auto" w:sz="4" w:space="0"/>
              <w:bottom w:val="single" w:color="000000" w:sz="8" w:space="0"/>
              <w:right w:val="single" w:color="000000" w:sz="8" w:space="0"/>
            </w:tcBorders>
            <w:vAlign w:val="center"/>
          </w:tcPr>
          <w:p>
            <w:pPr>
              <w:spacing w:line="540" w:lineRule="exact"/>
              <w:contextualSpacing/>
              <w:jc w:val="center"/>
              <w:rPr>
                <w:rFonts w:ascii="仿宋_GB2312" w:eastAsia="仿宋_GB2312"/>
                <w:sz w:val="28"/>
                <w:szCs w:val="28"/>
              </w:rPr>
            </w:pPr>
            <w:r>
              <w:rPr>
                <w:rFonts w:hint="eastAsia" w:ascii="仿宋_GB2312" w:eastAsia="仿宋_GB2312"/>
                <w:sz w:val="28"/>
                <w:szCs w:val="28"/>
              </w:rPr>
              <w:t>分包</w:t>
            </w:r>
          </w:p>
        </w:tc>
        <w:tc>
          <w:tcPr>
            <w:tcW w:w="6460"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1477286927"/>
              </w:sdtPr>
              <w:sdtEndPr>
                <w:rPr>
                  <w:rFonts w:hint="eastAsia" w:ascii="仿宋_GB2312" w:eastAsia="仿宋_GB2312"/>
                  <w:sz w:val="24"/>
                  <w:szCs w:val="24"/>
                </w:rPr>
              </w:sdtEndPr>
              <w:sdtContent>
                <w:r>
                  <w:rPr>
                    <w:rFonts w:hint="eastAsia" w:ascii="仿宋_GB2312" w:eastAsia="仿宋_GB2312"/>
                    <w:sz w:val="24"/>
                    <w:szCs w:val="24"/>
                    <w:lang w:val="en-US" w:eastAsia="zh-CN"/>
                  </w:rPr>
                  <w:t xml:space="preserve"> </w:t>
                </w:r>
                <w:r>
                  <w:rPr>
                    <w:rFonts w:hint="eastAsia" w:ascii="MS Mincho" w:hAnsi="MS Mincho" w:eastAsia="MS Mincho" w:cs="MS Mincho"/>
                    <w:sz w:val="24"/>
                    <w:szCs w:val="24"/>
                  </w:rPr>
                  <w:t>☐</w:t>
                </w:r>
              </w:sdtContent>
            </w:sdt>
            <w:r>
              <w:rPr>
                <w:rFonts w:hint="eastAsia" w:ascii="仿宋_GB2312" w:eastAsia="仿宋_GB2312"/>
                <w:sz w:val="24"/>
                <w:szCs w:val="24"/>
              </w:rPr>
              <w:t>A同意将非主体、非关键性的工作分包。</w:t>
            </w:r>
          </w:p>
          <w:p>
            <w:pPr>
              <w:spacing w:line="400" w:lineRule="exact"/>
              <w:contextualSpacing/>
              <w:rPr>
                <w:rFonts w:ascii="仿宋_GB2312" w:eastAsia="仿宋_GB2312"/>
                <w:sz w:val="28"/>
                <w:szCs w:val="28"/>
              </w:rPr>
            </w:pPr>
            <w:sdt>
              <w:sdtPr>
                <w:rPr>
                  <w:rFonts w:hint="eastAsia" w:ascii="仿宋_GB2312" w:eastAsia="仿宋_GB2312"/>
                  <w:sz w:val="24"/>
                  <w:szCs w:val="24"/>
                </w:rPr>
                <w:id w:val="-1276331357"/>
                <w:showingPlcHdr/>
              </w:sdtPr>
              <w:sdtEndPr>
                <w:rPr>
                  <w:rFonts w:hint="eastAsia" w:ascii="仿宋_GB2312" w:eastAsia="仿宋_GB2312"/>
                  <w:sz w:val="24"/>
                  <w:szCs w:val="24"/>
                </w:rPr>
              </w:sdtEndPr>
              <w:sdtContent/>
            </w:sdt>
            <w:r>
              <w:rPr>
                <w:rFonts w:hint="eastAsia" w:ascii="仿宋_GB2312" w:eastAsia="仿宋_GB2312"/>
                <w:sz w:val="24"/>
                <w:szCs w:val="24"/>
              </w:rPr>
              <w:t xml:space="preserve"> </w:t>
            </w:r>
            <w:sdt>
              <w:sdtPr>
                <w:rPr>
                  <w:rFonts w:hint="eastAsia" w:ascii="仿宋_GB2312" w:eastAsia="仿宋_GB2312"/>
                  <w:sz w:val="28"/>
                  <w:szCs w:val="28"/>
                </w:rPr>
                <w:id w:val="1648123876"/>
              </w:sdtPr>
              <w:sdtEndPr>
                <w:rPr>
                  <w:rFonts w:hint="eastAsia" w:ascii="仿宋_GB2312" w:eastAsia="仿宋_GB2312"/>
                  <w:sz w:val="24"/>
                  <w:szCs w:val="24"/>
                </w:rPr>
              </w:sdtEndPr>
              <w:sdtContent>
                <w:r>
                  <w:rPr>
                    <w:rFonts w:hint="eastAsia" w:ascii="仿宋_GB2312" w:eastAsia="仿宋_GB2312"/>
                    <w:b w:val="0"/>
                    <w:bCs w:val="0"/>
                    <w:sz w:val="28"/>
                    <w:szCs w:val="28"/>
                    <w:lang w:eastAsia="zh-CN"/>
                  </w:rPr>
                  <w:t>√</w:t>
                </w:r>
              </w:sdtContent>
            </w:sdt>
            <w:r>
              <w:rPr>
                <w:rFonts w:hint="eastAsia" w:ascii="仿宋_GB2312" w:eastAsia="仿宋_GB2312"/>
                <w:sz w:val="24"/>
                <w:szCs w:val="24"/>
              </w:rPr>
              <w:t>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1" w:hRule="atLeast"/>
          <w:tblHeader/>
        </w:trPr>
        <w:tc>
          <w:tcPr>
            <w:tcW w:w="666" w:type="dxa"/>
            <w:vMerge w:val="restart"/>
            <w:tcBorders>
              <w:top w:val="single" w:color="auto" w:sz="4" w:space="0"/>
              <w:left w:val="single" w:color="auto" w:sz="4" w:space="0"/>
              <w:right w:val="single" w:color="auto" w:sz="4" w:space="0"/>
            </w:tcBorders>
            <w:vAlign w:val="center"/>
          </w:tcPr>
          <w:p>
            <w:pPr>
              <w:spacing w:line="540" w:lineRule="exact"/>
              <w:contextualSpacing/>
              <w:jc w:val="center"/>
              <w:rPr>
                <w:rFonts w:ascii="仿宋_GB2312" w:eastAsia="仿宋_GB2312"/>
                <w:sz w:val="28"/>
                <w:szCs w:val="28"/>
              </w:rPr>
            </w:pPr>
            <w:r>
              <w:rPr>
                <w:rFonts w:hint="eastAsia" w:ascii="仿宋_GB2312" w:eastAsia="仿宋_GB2312"/>
                <w:sz w:val="28"/>
                <w:szCs w:val="28"/>
              </w:rPr>
              <w:t>3</w:t>
            </w:r>
          </w:p>
        </w:tc>
        <w:tc>
          <w:tcPr>
            <w:tcW w:w="1953" w:type="dxa"/>
            <w:vMerge w:val="restart"/>
            <w:tcBorders>
              <w:top w:val="single" w:color="000000" w:sz="8" w:space="0"/>
              <w:left w:val="single" w:color="auto" w:sz="4" w:space="0"/>
              <w:right w:val="single" w:color="000000" w:sz="8"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投标人应当提供的资格、资信证明文件</w:t>
            </w:r>
          </w:p>
        </w:tc>
        <w:tc>
          <w:tcPr>
            <w:tcW w:w="6460" w:type="dxa"/>
            <w:tcBorders>
              <w:top w:val="single" w:color="000000" w:sz="8" w:space="0"/>
              <w:left w:val="single" w:color="000000" w:sz="2" w:space="0"/>
              <w:bottom w:val="single" w:color="auto" w:sz="4"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（1）资格证明文件：见招标文件第二部分11.1。</w:t>
            </w:r>
          </w:p>
          <w:p>
            <w:pPr>
              <w:spacing w:line="400" w:lineRule="exact"/>
              <w:contextualSpacing/>
              <w:rPr>
                <w:rFonts w:ascii="仿宋_GB2312" w:eastAsia="仿宋_GB2312"/>
                <w:sz w:val="24"/>
                <w:szCs w:val="24"/>
              </w:rPr>
            </w:pPr>
            <w:r>
              <w:rPr>
                <w:rFonts w:hint="eastAsia" w:ascii="仿宋_GB2312" w:eastAsia="仿宋_GB2312"/>
                <w:sz w:val="24"/>
                <w:szCs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6" w:hRule="atLeast"/>
          <w:tblHeader/>
        </w:trPr>
        <w:tc>
          <w:tcPr>
            <w:tcW w:w="666" w:type="dxa"/>
            <w:vMerge w:val="continue"/>
            <w:tcBorders>
              <w:left w:val="single" w:color="auto" w:sz="4" w:space="0"/>
              <w:bottom w:val="single" w:color="auto" w:sz="4" w:space="0"/>
              <w:right w:val="single" w:color="auto" w:sz="4" w:space="0"/>
            </w:tcBorders>
          </w:tcPr>
          <w:p>
            <w:pPr>
              <w:spacing w:line="540" w:lineRule="exact"/>
              <w:contextualSpacing/>
              <w:rPr>
                <w:rFonts w:ascii="仿宋_GB2312" w:eastAsia="仿宋_GB2312"/>
                <w:sz w:val="28"/>
                <w:szCs w:val="28"/>
              </w:rPr>
            </w:pPr>
          </w:p>
        </w:tc>
        <w:tc>
          <w:tcPr>
            <w:tcW w:w="1953" w:type="dxa"/>
            <w:vMerge w:val="continue"/>
            <w:tcBorders>
              <w:left w:val="single" w:color="auto" w:sz="4"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p>
        </w:tc>
        <w:tc>
          <w:tcPr>
            <w:tcW w:w="6460" w:type="dxa"/>
            <w:tcBorders>
              <w:top w:val="single" w:color="auto" w:sz="4"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1" w:hRule="atLeast"/>
          <w:tblHeader/>
        </w:trPr>
        <w:tc>
          <w:tcPr>
            <w:tcW w:w="666"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ascii="仿宋_GB2312" w:eastAsia="仿宋_GB2312"/>
                <w:sz w:val="28"/>
                <w:szCs w:val="28"/>
              </w:rPr>
            </w:pPr>
            <w:r>
              <w:rPr>
                <w:rFonts w:hint="eastAsia" w:ascii="仿宋_GB2312" w:eastAsia="仿宋_GB2312"/>
                <w:sz w:val="28"/>
                <w:szCs w:val="28"/>
              </w:rPr>
              <w:t>4</w:t>
            </w:r>
          </w:p>
        </w:tc>
        <w:tc>
          <w:tcPr>
            <w:tcW w:w="1953" w:type="dxa"/>
            <w:tcBorders>
              <w:top w:val="single" w:color="000000" w:sz="8" w:space="0"/>
              <w:left w:val="single" w:color="auto" w:sz="4"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开标前答疑会或现场考察</w:t>
            </w:r>
          </w:p>
        </w:tc>
        <w:tc>
          <w:tcPr>
            <w:tcW w:w="6460"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212966419"/>
              </w:sdtPr>
              <w:sdtEndPr>
                <w:rPr>
                  <w:rFonts w:hint="eastAsia" w:ascii="仿宋_GB2312" w:eastAsia="仿宋_GB2312"/>
                  <w:sz w:val="24"/>
                  <w:szCs w:val="24"/>
                </w:rPr>
              </w:sdtEndPr>
              <w:sdtContent>
                <w:sdt>
                  <w:sdtPr>
                    <w:rPr>
                      <w:rFonts w:hint="eastAsia" w:ascii="仿宋_GB2312" w:eastAsia="仿宋_GB2312"/>
                      <w:sz w:val="24"/>
                      <w:szCs w:val="24"/>
                    </w:rPr>
                    <w:id w:val="346402517"/>
                  </w:sdtPr>
                  <w:sdtEndPr>
                    <w:rPr>
                      <w:rFonts w:hint="eastAsia" w:ascii="仿宋_GB2312" w:eastAsia="仿宋_GB2312"/>
                      <w:sz w:val="24"/>
                      <w:szCs w:val="24"/>
                    </w:rPr>
                  </w:sdtEndPr>
                  <w:sdtContent>
                    <w:sdt>
                      <w:sdtPr>
                        <w:rPr>
                          <w:rFonts w:hint="eastAsia" w:ascii="仿宋_GB2312" w:eastAsia="仿宋_GB2312"/>
                          <w:sz w:val="28"/>
                          <w:szCs w:val="28"/>
                        </w:rPr>
                        <w:id w:val="1648123876"/>
                      </w:sdtPr>
                      <w:sdtEndPr>
                        <w:rPr>
                          <w:rFonts w:hint="eastAsia" w:ascii="仿宋_GB2312" w:eastAsia="仿宋_GB2312"/>
                          <w:sz w:val="24"/>
                          <w:szCs w:val="24"/>
                        </w:rPr>
                      </w:sdtEndPr>
                      <w:sdtContent>
                        <w:r>
                          <w:rPr>
                            <w:rFonts w:hint="eastAsia" w:ascii="仿宋_GB2312" w:eastAsia="仿宋_GB2312"/>
                            <w:b w:val="0"/>
                            <w:bCs w:val="0"/>
                            <w:sz w:val="28"/>
                            <w:szCs w:val="28"/>
                            <w:lang w:eastAsia="zh-CN"/>
                          </w:rPr>
                          <w:t>√</w:t>
                        </w:r>
                      </w:sdtContent>
                    </w:sdt>
                  </w:sdtContent>
                </w:sdt>
              </w:sdtContent>
            </w:sdt>
            <w:r>
              <w:rPr>
                <w:rFonts w:hint="eastAsia" w:ascii="仿宋_GB2312" w:eastAsia="仿宋_GB2312"/>
                <w:sz w:val="24"/>
                <w:szCs w:val="24"/>
              </w:rPr>
              <w:t>A不组织。</w:t>
            </w:r>
          </w:p>
          <w:p>
            <w:pPr>
              <w:spacing w:line="400" w:lineRule="exact"/>
              <w:contextualSpacing/>
              <w:rPr>
                <w:rFonts w:ascii="仿宋_GB2312" w:eastAsia="仿宋_GB2312"/>
                <w:sz w:val="24"/>
                <w:szCs w:val="24"/>
              </w:rPr>
            </w:pPr>
            <w:sdt>
              <w:sdtPr>
                <w:rPr>
                  <w:rFonts w:hint="eastAsia" w:ascii="仿宋_GB2312" w:eastAsia="仿宋_GB2312"/>
                  <w:sz w:val="24"/>
                  <w:szCs w:val="24"/>
                </w:rPr>
                <w:id w:val="-999802974"/>
              </w:sdtPr>
              <w:sdtEndPr>
                <w:rPr>
                  <w:rFonts w:hint="eastAsia" w:ascii="仿宋_GB2312" w:eastAsia="仿宋_GB2312"/>
                  <w:sz w:val="24"/>
                  <w:szCs w:val="24"/>
                </w:rPr>
              </w:sdtEndPr>
              <w:sdtContent>
                <w:r>
                  <w:rPr>
                    <w:rFonts w:hint="eastAsia" w:ascii="仿宋_GB2312" w:eastAsia="仿宋_GB2312"/>
                    <w:sz w:val="24"/>
                    <w:szCs w:val="24"/>
                  </w:rPr>
                  <w:t>☐</w:t>
                </w:r>
              </w:sdtContent>
            </w:sdt>
            <w:r>
              <w:rPr>
                <w:rFonts w:hint="eastAsia" w:ascii="仿宋_GB2312" w:eastAsia="仿宋_GB2312"/>
                <w:sz w:val="24"/>
                <w:szCs w:val="24"/>
              </w:rPr>
              <w:t>B组织，时间：</w:t>
            </w:r>
            <w:r>
              <w:rPr>
                <w:rFonts w:hint="eastAsia" w:ascii="仿宋_GB2312" w:eastAsia="仿宋_GB2312"/>
                <w:sz w:val="24"/>
                <w:szCs w:val="24"/>
                <w:u w:val="single"/>
              </w:rPr>
              <w:t xml:space="preserve">     </w:t>
            </w:r>
            <w:r>
              <w:rPr>
                <w:rFonts w:hint="eastAsia" w:ascii="仿宋_GB2312" w:eastAsia="仿宋_GB2312"/>
                <w:sz w:val="24"/>
                <w:szCs w:val="24"/>
              </w:rPr>
              <w:t xml:space="preserve"> ,地点：</w:t>
            </w:r>
            <w:r>
              <w:rPr>
                <w:rFonts w:hint="eastAsia" w:ascii="仿宋_GB2312" w:eastAsia="仿宋_GB2312"/>
                <w:sz w:val="24"/>
                <w:szCs w:val="24"/>
                <w:u w:val="single"/>
              </w:rPr>
              <w:t xml:space="preserve">     </w:t>
            </w:r>
            <w:r>
              <w:rPr>
                <w:rFonts w:hint="eastAsia" w:ascii="仿宋_GB2312" w:eastAsia="仿宋_GB2312"/>
                <w:sz w:val="24"/>
                <w:szCs w:val="24"/>
              </w:rPr>
              <w:t xml:space="preserve"> ，联系人：</w:t>
            </w:r>
            <w:r>
              <w:rPr>
                <w:rFonts w:hint="eastAsia" w:ascii="仿宋_GB2312" w:eastAsia="仿宋_GB2312"/>
                <w:sz w:val="24"/>
                <w:szCs w:val="24"/>
                <w:u w:val="single"/>
              </w:rPr>
              <w:t xml:space="preserve">     </w:t>
            </w:r>
            <w:r>
              <w:rPr>
                <w:rFonts w:hint="eastAsia" w:ascii="仿宋_GB2312" w:eastAsia="仿宋_GB2312"/>
                <w:sz w:val="24"/>
                <w:szCs w:val="24"/>
              </w:rPr>
              <w:t xml:space="preserve"> ，联系方式：</w:t>
            </w:r>
            <w:r>
              <w:rPr>
                <w:rFonts w:hint="eastAsia" w:ascii="仿宋_GB2312" w:eastAsia="仿宋_GB2312"/>
                <w:sz w:val="24"/>
                <w:szCs w:val="24"/>
                <w:u w:val="single"/>
              </w:rPr>
              <w:t xml:space="preserve">      </w:t>
            </w:r>
            <w:r>
              <w:rPr>
                <w:rFonts w:hint="eastAsia" w:ascii="仿宋_GB2312" w:eastAsia="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40" w:hRule="atLeast"/>
          <w:tblHeader/>
        </w:trPr>
        <w:tc>
          <w:tcPr>
            <w:tcW w:w="666" w:type="dxa"/>
            <w:tcBorders>
              <w:top w:val="single" w:color="auto" w:sz="4" w:space="0"/>
              <w:left w:val="single" w:color="auto" w:sz="4" w:space="0"/>
              <w:bottom w:val="single" w:color="auto" w:sz="4" w:space="0"/>
              <w:right w:val="single" w:color="auto" w:sz="4" w:space="0"/>
            </w:tcBorders>
            <w:vAlign w:val="center"/>
          </w:tcPr>
          <w:p>
            <w:pPr>
              <w:spacing w:line="540" w:lineRule="exact"/>
              <w:contextualSpacing/>
              <w:jc w:val="center"/>
              <w:rPr>
                <w:rFonts w:ascii="仿宋_GB2312" w:eastAsia="仿宋_GB2312"/>
                <w:sz w:val="28"/>
                <w:szCs w:val="28"/>
              </w:rPr>
            </w:pPr>
            <w:r>
              <w:rPr>
                <w:rFonts w:hint="eastAsia" w:ascii="仿宋_GB2312" w:eastAsia="仿宋_GB2312"/>
                <w:sz w:val="28"/>
                <w:szCs w:val="28"/>
              </w:rPr>
              <w:t>5</w:t>
            </w:r>
          </w:p>
        </w:tc>
        <w:tc>
          <w:tcPr>
            <w:tcW w:w="1953" w:type="dxa"/>
            <w:tcBorders>
              <w:top w:val="single" w:color="000000" w:sz="8" w:space="0"/>
              <w:left w:val="single" w:color="auto" w:sz="4" w:space="0"/>
              <w:bottom w:val="single" w:color="000000" w:sz="8" w:space="0"/>
              <w:right w:val="single" w:color="000000" w:sz="8" w:space="0"/>
            </w:tcBorders>
            <w:vAlign w:val="center"/>
          </w:tcPr>
          <w:p>
            <w:pPr>
              <w:spacing w:line="540" w:lineRule="exact"/>
              <w:contextualSpacing/>
              <w:jc w:val="center"/>
              <w:rPr>
                <w:rFonts w:ascii="仿宋_GB2312" w:eastAsia="仿宋_GB2312"/>
                <w:sz w:val="24"/>
                <w:szCs w:val="24"/>
              </w:rPr>
            </w:pPr>
            <w:r>
              <w:rPr>
                <w:rFonts w:hint="eastAsia" w:ascii="仿宋_GB2312" w:eastAsia="仿宋_GB2312"/>
                <w:sz w:val="24"/>
                <w:szCs w:val="24"/>
              </w:rPr>
              <w:t>样品提供</w:t>
            </w:r>
          </w:p>
        </w:tc>
        <w:tc>
          <w:tcPr>
            <w:tcW w:w="6460"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8"/>
                  <w:szCs w:val="28"/>
                </w:rPr>
                <w:id w:val="346402516"/>
              </w:sdtPr>
              <w:sdtEndPr>
                <w:rPr>
                  <w:rFonts w:hint="eastAsia" w:ascii="仿宋_GB2312" w:eastAsia="仿宋_GB2312"/>
                  <w:sz w:val="24"/>
                  <w:szCs w:val="24"/>
                </w:rPr>
              </w:sdtEndPr>
              <w:sdtContent>
                <w:sdt>
                  <w:sdtPr>
                    <w:rPr>
                      <w:rFonts w:hint="eastAsia" w:ascii="仿宋_GB2312" w:eastAsia="仿宋_GB2312"/>
                      <w:sz w:val="28"/>
                      <w:szCs w:val="28"/>
                    </w:rPr>
                    <w:id w:val="1648123876"/>
                  </w:sdtPr>
                  <w:sdtEndPr>
                    <w:rPr>
                      <w:rFonts w:hint="eastAsia" w:ascii="仿宋_GB2312" w:eastAsia="仿宋_GB2312"/>
                      <w:sz w:val="24"/>
                      <w:szCs w:val="24"/>
                    </w:rPr>
                  </w:sdtEndPr>
                  <w:sdtContent>
                    <w:r>
                      <w:rPr>
                        <w:rFonts w:hint="eastAsia" w:ascii="仿宋_GB2312" w:eastAsia="仿宋_GB2312"/>
                        <w:b w:val="0"/>
                        <w:bCs w:val="0"/>
                        <w:sz w:val="28"/>
                        <w:szCs w:val="28"/>
                        <w:lang w:eastAsia="zh-CN"/>
                      </w:rPr>
                      <w:t>√</w:t>
                    </w:r>
                  </w:sdtContent>
                </w:sdt>
              </w:sdtContent>
            </w:sdt>
            <w:r>
              <w:rPr>
                <w:rFonts w:hint="eastAsia" w:ascii="仿宋_GB2312" w:eastAsia="仿宋_GB2312"/>
                <w:sz w:val="24"/>
                <w:szCs w:val="24"/>
              </w:rPr>
              <w:t>A不要求提供。</w:t>
            </w:r>
          </w:p>
          <w:p>
            <w:pPr>
              <w:spacing w:line="400" w:lineRule="exact"/>
              <w:contextualSpacing/>
              <w:rPr>
                <w:rFonts w:ascii="仿宋_GB2312" w:eastAsia="仿宋_GB2312"/>
                <w:sz w:val="24"/>
                <w:szCs w:val="24"/>
              </w:rPr>
            </w:pPr>
            <w:sdt>
              <w:sdtPr>
                <w:rPr>
                  <w:rFonts w:hint="eastAsia" w:ascii="仿宋_GB2312" w:eastAsia="仿宋_GB2312"/>
                  <w:sz w:val="24"/>
                  <w:szCs w:val="24"/>
                </w:rPr>
                <w:id w:val="1026831988"/>
              </w:sdtPr>
              <w:sdtEndPr>
                <w:rPr>
                  <w:rFonts w:hint="eastAsia" w:ascii="仿宋_GB2312" w:eastAsia="仿宋_GB2312"/>
                  <w:sz w:val="24"/>
                  <w:szCs w:val="24"/>
                </w:rPr>
              </w:sdtEndPr>
              <w:sdtContent>
                <w:r>
                  <w:rPr>
                    <w:rFonts w:hint="eastAsia" w:ascii="仿宋_GB2312" w:eastAsia="仿宋_GB2312"/>
                    <w:sz w:val="24"/>
                    <w:szCs w:val="24"/>
                  </w:rPr>
                  <w:t>☐</w:t>
                </w:r>
              </w:sdtContent>
            </w:sdt>
            <w:r>
              <w:rPr>
                <w:rFonts w:hint="eastAsia" w:ascii="仿宋_GB2312" w:eastAsia="仿宋_GB2312"/>
                <w:sz w:val="24"/>
                <w:szCs w:val="24"/>
              </w:rPr>
              <w:t>B要求提供，</w:t>
            </w:r>
          </w:p>
          <w:p>
            <w:pPr>
              <w:spacing w:line="400" w:lineRule="exact"/>
              <w:contextualSpacing/>
              <w:rPr>
                <w:rFonts w:ascii="仿宋_GB2312" w:eastAsia="仿宋_GB2312"/>
                <w:sz w:val="24"/>
                <w:szCs w:val="24"/>
              </w:rPr>
            </w:pPr>
            <w:r>
              <w:rPr>
                <w:rFonts w:hint="eastAsia" w:ascii="仿宋_GB2312" w:eastAsia="仿宋_GB2312"/>
                <w:sz w:val="24"/>
                <w:szCs w:val="24"/>
              </w:rPr>
              <w:t>（1）样品：    ；</w:t>
            </w:r>
          </w:p>
          <w:p>
            <w:pPr>
              <w:spacing w:line="400" w:lineRule="exact"/>
              <w:contextualSpacing/>
              <w:rPr>
                <w:rFonts w:ascii="仿宋_GB2312" w:eastAsia="仿宋_GB2312"/>
                <w:sz w:val="24"/>
                <w:szCs w:val="24"/>
              </w:rPr>
            </w:pPr>
            <w:r>
              <w:rPr>
                <w:rFonts w:hint="eastAsia" w:ascii="仿宋_GB2312" w:eastAsia="仿宋_GB2312"/>
                <w:sz w:val="24"/>
                <w:szCs w:val="24"/>
              </w:rPr>
              <w:t>（2）样品制作的标准和要求：    ；</w:t>
            </w:r>
          </w:p>
          <w:p>
            <w:pPr>
              <w:spacing w:line="400" w:lineRule="exact"/>
              <w:contextualSpacing/>
              <w:rPr>
                <w:rFonts w:ascii="仿宋_GB2312" w:eastAsia="仿宋_GB2312"/>
                <w:sz w:val="24"/>
                <w:szCs w:val="24"/>
              </w:rPr>
            </w:pPr>
            <w:r>
              <w:rPr>
                <w:rFonts w:hint="eastAsia" w:ascii="仿宋_GB2312" w:eastAsia="仿宋_GB2312"/>
                <w:sz w:val="24"/>
                <w:szCs w:val="24"/>
              </w:rPr>
              <w:t>（3）样品的评审方法以及评审标准：详见评标办法；</w:t>
            </w:r>
          </w:p>
          <w:p>
            <w:pPr>
              <w:spacing w:line="400" w:lineRule="exact"/>
              <w:contextualSpacing/>
              <w:rPr>
                <w:rFonts w:ascii="仿宋_GB2312" w:eastAsia="仿宋_GB2312"/>
                <w:sz w:val="24"/>
                <w:szCs w:val="24"/>
              </w:rPr>
            </w:pPr>
            <w:r>
              <w:rPr>
                <w:rFonts w:hint="eastAsia" w:ascii="仿宋_GB2312" w:eastAsia="仿宋_GB2312"/>
                <w:sz w:val="24"/>
                <w:szCs w:val="24"/>
              </w:rPr>
              <w:t>（4）是否需要随样品提交检测报告：</w:t>
            </w:r>
            <w:sdt>
              <w:sdtPr>
                <w:rPr>
                  <w:rFonts w:hint="eastAsia" w:ascii="仿宋_GB2312" w:eastAsia="仿宋_GB2312"/>
                  <w:sz w:val="24"/>
                  <w:szCs w:val="24"/>
                </w:rPr>
                <w:id w:val="1303421454"/>
              </w:sdtPr>
              <w:sdtEndPr>
                <w:rPr>
                  <w:rFonts w:hint="eastAsia" w:ascii="仿宋_GB2312" w:eastAsia="仿宋_GB2312"/>
                  <w:sz w:val="24"/>
                  <w:szCs w:val="24"/>
                </w:rPr>
              </w:sdtEndPr>
              <w:sdtContent>
                <w:r>
                  <w:rPr>
                    <w:rFonts w:hint="eastAsia" w:ascii="仿宋_GB2312" w:eastAsia="仿宋_GB2312"/>
                    <w:sz w:val="24"/>
                    <w:szCs w:val="24"/>
                  </w:rPr>
                  <w:sym w:font="Wingdings" w:char="F0FE"/>
                </w:r>
              </w:sdtContent>
            </w:sdt>
            <w:r>
              <w:rPr>
                <w:rFonts w:hint="eastAsia" w:ascii="仿宋_GB2312" w:eastAsia="仿宋_GB2312"/>
                <w:sz w:val="24"/>
                <w:szCs w:val="24"/>
              </w:rPr>
              <w:t>否；</w:t>
            </w:r>
            <w:sdt>
              <w:sdtPr>
                <w:rPr>
                  <w:rFonts w:hint="eastAsia" w:ascii="仿宋_GB2312" w:eastAsia="仿宋_GB2312"/>
                  <w:sz w:val="24"/>
                  <w:szCs w:val="24"/>
                </w:rPr>
                <w:id w:val="1621728433"/>
              </w:sdtPr>
              <w:sdtEndPr>
                <w:rPr>
                  <w:rFonts w:hint="eastAsia" w:ascii="仿宋_GB2312" w:eastAsia="仿宋_GB2312"/>
                  <w:sz w:val="24"/>
                  <w:szCs w:val="24"/>
                </w:rPr>
              </w:sdtEndPr>
              <w:sdtContent>
                <w:r>
                  <w:rPr>
                    <w:rFonts w:hint="eastAsia" w:ascii="仿宋_GB2312" w:eastAsia="仿宋_GB2312"/>
                    <w:sz w:val="24"/>
                    <w:szCs w:val="24"/>
                  </w:rPr>
                  <w:t>☐</w:t>
                </w:r>
              </w:sdtContent>
            </w:sdt>
            <w:r>
              <w:rPr>
                <w:rFonts w:hint="eastAsia" w:ascii="仿宋_GB2312" w:eastAsia="仿宋_GB2312"/>
                <w:sz w:val="24"/>
                <w:szCs w:val="24"/>
              </w:rPr>
              <w:t>是，检测机构的要求：    ；检测内容：    。</w:t>
            </w:r>
          </w:p>
          <w:p>
            <w:pPr>
              <w:spacing w:line="400" w:lineRule="exact"/>
              <w:contextualSpacing/>
              <w:rPr>
                <w:rFonts w:ascii="仿宋_GB2312" w:eastAsia="仿宋_GB2312"/>
                <w:sz w:val="24"/>
                <w:szCs w:val="24"/>
              </w:rPr>
            </w:pPr>
            <w:r>
              <w:rPr>
                <w:rFonts w:hint="eastAsia" w:ascii="仿宋_GB2312" w:eastAsia="仿宋_GB2312"/>
                <w:sz w:val="24"/>
                <w:szCs w:val="24"/>
              </w:rPr>
              <w:t>（5）提供样品的时间：    ；地点：    ；联系人：   ，联系电话：    。请投标人在上述时间内提供样品并按规定位置安装完毕。超过截止时间的，采购人或采购代理机构将不予接收，并将清场并封闭样品现场。</w:t>
            </w:r>
          </w:p>
          <w:p>
            <w:pPr>
              <w:spacing w:line="400" w:lineRule="exact"/>
              <w:contextualSpacing/>
              <w:rPr>
                <w:rFonts w:ascii="仿宋_GB2312" w:eastAsia="仿宋_GB2312"/>
                <w:sz w:val="24"/>
                <w:szCs w:val="24"/>
              </w:rPr>
            </w:pPr>
            <w:r>
              <w:rPr>
                <w:rFonts w:hint="eastAsia" w:ascii="仿宋_GB2312" w:eastAsia="仿宋_GB2312"/>
                <w:sz w:val="24"/>
                <w:szCs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400" w:lineRule="exact"/>
              <w:contextualSpacing/>
              <w:rPr>
                <w:rFonts w:ascii="仿宋_GB2312" w:eastAsia="仿宋_GB2312"/>
                <w:sz w:val="28"/>
                <w:szCs w:val="28"/>
              </w:rPr>
            </w:pPr>
            <w:r>
              <w:rPr>
                <w:rFonts w:hint="eastAsia" w:ascii="仿宋_GB2312" w:eastAsia="仿宋_GB2312"/>
                <w:sz w:val="24"/>
                <w:szCs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40" w:hRule="atLeast"/>
          <w:tblHeader/>
        </w:trPr>
        <w:tc>
          <w:tcPr>
            <w:tcW w:w="666"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6</w:t>
            </w:r>
          </w:p>
        </w:tc>
        <w:tc>
          <w:tcPr>
            <w:tcW w:w="195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方案讲解演示</w:t>
            </w:r>
          </w:p>
        </w:tc>
        <w:tc>
          <w:tcPr>
            <w:tcW w:w="6460"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1859348549"/>
              </w:sdtPr>
              <w:sdtEndPr>
                <w:rPr>
                  <w:rFonts w:hint="eastAsia" w:ascii="仿宋_GB2312" w:eastAsia="仿宋_GB2312"/>
                  <w:sz w:val="24"/>
                  <w:szCs w:val="24"/>
                </w:rPr>
              </w:sdtEndPr>
              <w:sdtContent>
                <w:sdt>
                  <w:sdtPr>
                    <w:rPr>
                      <w:rFonts w:hint="eastAsia" w:ascii="仿宋_GB2312" w:eastAsia="仿宋_GB2312"/>
                      <w:sz w:val="24"/>
                      <w:szCs w:val="24"/>
                    </w:rPr>
                    <w:id w:val="1026831988"/>
                  </w:sdtPr>
                  <w:sdtEndPr>
                    <w:rPr>
                      <w:rFonts w:hint="eastAsia" w:ascii="仿宋_GB2312" w:eastAsia="仿宋_GB2312"/>
                      <w:sz w:val="24"/>
                      <w:szCs w:val="24"/>
                    </w:rPr>
                  </w:sdtEndPr>
                  <w:sdtContent>
                    <w:r>
                      <w:rPr>
                        <w:rFonts w:hint="eastAsia" w:ascii="仿宋_GB2312" w:eastAsia="仿宋_GB2312"/>
                        <w:sz w:val="24"/>
                        <w:szCs w:val="24"/>
                      </w:rPr>
                      <w:t>☐</w:t>
                    </w:r>
                  </w:sdtContent>
                </w:sdt>
              </w:sdtContent>
            </w:sdt>
            <w:r>
              <w:rPr>
                <w:rFonts w:hint="eastAsia" w:ascii="仿宋_GB2312" w:eastAsia="仿宋_GB2312"/>
                <w:sz w:val="24"/>
                <w:szCs w:val="24"/>
              </w:rPr>
              <w:t>A不组织。</w:t>
            </w:r>
          </w:p>
          <w:p>
            <w:pPr>
              <w:spacing w:line="400" w:lineRule="exact"/>
              <w:contextualSpacing/>
              <w:rPr>
                <w:rFonts w:ascii="仿宋_GB2312" w:eastAsia="仿宋_GB2312"/>
                <w:sz w:val="24"/>
                <w:szCs w:val="24"/>
              </w:rPr>
            </w:pPr>
            <w:sdt>
              <w:sdtPr>
                <w:rPr>
                  <w:rFonts w:hint="eastAsia" w:ascii="仿宋_GB2312" w:eastAsia="仿宋_GB2312"/>
                  <w:sz w:val="24"/>
                  <w:szCs w:val="24"/>
                </w:rPr>
                <w:id w:val="1174071719"/>
              </w:sdtPr>
              <w:sdtEndPr>
                <w:rPr>
                  <w:rFonts w:hint="eastAsia" w:ascii="仿宋_GB2312" w:eastAsia="仿宋_GB2312"/>
                  <w:sz w:val="24"/>
                  <w:szCs w:val="24"/>
                </w:rPr>
              </w:sdtEndPr>
              <w:sdtContent>
                <w:sdt>
                  <w:sdtPr>
                    <w:rPr>
                      <w:rFonts w:hint="eastAsia" w:ascii="仿宋_GB2312" w:eastAsia="仿宋_GB2312"/>
                      <w:sz w:val="24"/>
                      <w:szCs w:val="24"/>
                    </w:rPr>
                    <w:id w:val="-1477286927"/>
                  </w:sdtPr>
                  <w:sdtEndPr>
                    <w:rPr>
                      <w:rFonts w:hint="eastAsia" w:ascii="仿宋_GB2312" w:eastAsia="仿宋_GB2312"/>
                      <w:sz w:val="24"/>
                      <w:szCs w:val="24"/>
                    </w:rPr>
                  </w:sdtEndPr>
                  <w:sdtContent>
                    <w:sdt>
                      <w:sdtPr>
                        <w:rPr>
                          <w:rFonts w:hint="eastAsia" w:ascii="仿宋_GB2312" w:eastAsia="仿宋_GB2312"/>
                          <w:sz w:val="28"/>
                          <w:szCs w:val="28"/>
                        </w:rPr>
                        <w:id w:val="1648123876"/>
                      </w:sdtPr>
                      <w:sdtEndPr>
                        <w:rPr>
                          <w:rFonts w:hint="eastAsia" w:ascii="仿宋_GB2312" w:eastAsia="仿宋_GB2312"/>
                          <w:sz w:val="24"/>
                          <w:szCs w:val="24"/>
                        </w:rPr>
                      </w:sdtEndPr>
                      <w:sdtContent>
                        <w:r>
                          <w:rPr>
                            <w:rFonts w:hint="eastAsia" w:ascii="仿宋_GB2312" w:eastAsia="仿宋_GB2312"/>
                            <w:b w:val="0"/>
                            <w:bCs w:val="0"/>
                            <w:sz w:val="28"/>
                            <w:szCs w:val="28"/>
                            <w:lang w:eastAsia="zh-CN"/>
                          </w:rPr>
                          <w:t>√</w:t>
                        </w:r>
                      </w:sdtContent>
                    </w:sdt>
                  </w:sdtContent>
                </w:sdt>
              </w:sdtContent>
            </w:sdt>
            <w:r>
              <w:rPr>
                <w:rFonts w:hint="eastAsia" w:ascii="仿宋_GB2312" w:eastAsia="仿宋_GB2312"/>
                <w:sz w:val="24"/>
                <w:szCs w:val="24"/>
              </w:rPr>
              <w:t>B组织。</w:t>
            </w:r>
          </w:p>
          <w:p>
            <w:pPr>
              <w:spacing w:line="400" w:lineRule="exact"/>
              <w:contextualSpacing/>
              <w:rPr>
                <w:rFonts w:ascii="仿宋_GB2312" w:eastAsia="仿宋_GB2312"/>
                <w:sz w:val="24"/>
                <w:szCs w:val="24"/>
              </w:rPr>
            </w:pPr>
            <w:r>
              <w:rPr>
                <w:rFonts w:hint="eastAsia" w:ascii="仿宋_GB2312" w:eastAsia="仿宋_GB2312"/>
                <w:sz w:val="24"/>
                <w:szCs w:val="24"/>
              </w:rPr>
              <w:t>（1）在评标时安排每个投标人进行</w:t>
            </w:r>
            <w:r>
              <w:rPr>
                <w:rFonts w:hint="eastAsia" w:ascii="仿宋_GB2312" w:eastAsia="仿宋_GB2312"/>
                <w:sz w:val="24"/>
                <w:szCs w:val="24"/>
                <w:lang w:eastAsia="zh-CN"/>
              </w:rPr>
              <w:t>功能</w:t>
            </w:r>
            <w:r>
              <w:rPr>
                <w:rFonts w:hint="eastAsia" w:ascii="仿宋_GB2312" w:eastAsia="仿宋_GB2312"/>
                <w:sz w:val="24"/>
                <w:szCs w:val="24"/>
              </w:rPr>
              <w:t>演示。每个投标人时间不超过20分钟，讲解次序以投标文件解密时间先后次序为准。讲解演示结束后按要求解答评标委员会提问。</w:t>
            </w:r>
          </w:p>
          <w:p>
            <w:pPr>
              <w:spacing w:line="400" w:lineRule="exact"/>
              <w:contextualSpacing/>
              <w:rPr>
                <w:rFonts w:ascii="仿宋_GB2312" w:eastAsia="仿宋_GB2312"/>
                <w:sz w:val="24"/>
                <w:szCs w:val="24"/>
              </w:rPr>
            </w:pPr>
            <w:r>
              <w:rPr>
                <w:rFonts w:hint="eastAsia" w:ascii="仿宋_GB2312" w:eastAsia="仿宋_GB2312"/>
                <w:sz w:val="24"/>
                <w:szCs w:val="24"/>
              </w:rPr>
              <w:t>（2）方案讲解演示</w:t>
            </w:r>
            <w:r>
              <w:rPr>
                <w:rFonts w:hint="eastAsia" w:ascii="仿宋_GB2312" w:eastAsia="仿宋_GB2312"/>
                <w:sz w:val="24"/>
                <w:szCs w:val="24"/>
                <w:lang w:eastAsia="zh-CN"/>
              </w:rPr>
              <w:t>采用以下</w:t>
            </w:r>
            <w:r>
              <w:rPr>
                <w:rFonts w:hint="eastAsia" w:ascii="仿宋_GB2312" w:eastAsia="仿宋_GB2312"/>
                <w:sz w:val="24"/>
                <w:szCs w:val="24"/>
              </w:rPr>
              <w:t>方式：</w:t>
            </w:r>
          </w:p>
          <w:p>
            <w:pPr>
              <w:spacing w:line="400" w:lineRule="exact"/>
              <w:contextualSpacing/>
              <w:rPr>
                <w:rFonts w:hint="eastAsia" w:ascii="仿宋_GB2312" w:eastAsia="仿宋_GB2312"/>
                <w:sz w:val="24"/>
                <w:szCs w:val="24"/>
              </w:rPr>
            </w:pPr>
            <w:sdt>
              <w:sdtPr>
                <w:rPr>
                  <w:rFonts w:hint="eastAsia" w:ascii="仿宋_GB2312" w:eastAsia="仿宋_GB2312"/>
                  <w:sz w:val="24"/>
                  <w:szCs w:val="24"/>
                </w:rPr>
                <w:id w:val="-1477286927"/>
              </w:sdtPr>
              <w:sdtEndPr>
                <w:rPr>
                  <w:rFonts w:hint="eastAsia" w:ascii="仿宋_GB2312" w:eastAsia="仿宋_GB2312"/>
                  <w:sz w:val="24"/>
                  <w:szCs w:val="24"/>
                </w:rPr>
              </w:sdtEndPr>
              <w:sdtContent>
                <w:sdt>
                  <w:sdtPr>
                    <w:rPr>
                      <w:rFonts w:hint="eastAsia" w:ascii="仿宋_GB2312" w:eastAsia="仿宋_GB2312"/>
                      <w:sz w:val="28"/>
                      <w:szCs w:val="28"/>
                    </w:rPr>
                    <w:id w:val="1648123876"/>
                  </w:sdtPr>
                  <w:sdtEndPr>
                    <w:rPr>
                      <w:rFonts w:hint="eastAsia" w:ascii="仿宋_GB2312" w:eastAsia="仿宋_GB2312"/>
                      <w:sz w:val="24"/>
                      <w:szCs w:val="24"/>
                    </w:rPr>
                  </w:sdtEndPr>
                  <w:sdtContent>
                    <w:r>
                      <w:rPr>
                        <w:rFonts w:hint="eastAsia" w:ascii="仿宋_GB2312" w:eastAsia="仿宋_GB2312"/>
                        <w:b w:val="0"/>
                        <w:bCs w:val="0"/>
                        <w:sz w:val="28"/>
                        <w:szCs w:val="28"/>
                        <w:lang w:eastAsia="zh-CN"/>
                      </w:rPr>
                      <w:t>√</w:t>
                    </w:r>
                  </w:sdtContent>
                </w:sdt>
              </w:sdtContent>
            </w:sdt>
            <w:r>
              <w:rPr>
                <w:rFonts w:hint="eastAsia" w:ascii="仿宋_GB2312" w:eastAsia="仿宋_GB2312"/>
                <w:sz w:val="24"/>
                <w:szCs w:val="24"/>
              </w:rPr>
              <w:t>政采云平台在线讲解演示。政采云平台在线讲解需投标人根据政采云平台操作要求做好准备工作，提前完善软硬件配置环境。</w:t>
            </w:r>
          </w:p>
          <w:p>
            <w:pPr>
              <w:spacing w:line="400" w:lineRule="exact"/>
              <w:contextualSpacing/>
              <w:rPr>
                <w:rFonts w:hint="eastAsia" w:ascii="仿宋_GB2312" w:eastAsia="仿宋_GB2312"/>
                <w:sz w:val="24"/>
                <w:szCs w:val="24"/>
                <w:lang w:eastAsia="zh-CN"/>
              </w:rPr>
            </w:pPr>
            <w:r>
              <w:rPr>
                <w:rFonts w:hint="eastAsia" w:ascii="仿宋_GB2312" w:eastAsia="仿宋_GB2312"/>
                <w:sz w:val="24"/>
                <w:szCs w:val="24"/>
                <w:lang w:eastAsia="zh-CN"/>
              </w:rPr>
              <w:t>注：本项目线上协商通过“政采云视频讲标系统”进行，供应商登录政采云系统-----进入开标大厅---进入本项目进行操作。政采云视频讲标系统在线上视频协商时需要供应商电脑配置有摄像头、音箱和必要的网络带宽（浏览器建议用谷歌浏览器，网络带宽不少于50兆，请勿用无线，以免出现卡顿现象。摄像头建议用中档及以上摄像头，以利于演示时的画面质量；音箱请提前予以调试，以避免演示时出现没有声音现象）。“政采云视频讲标系统”评审小组可以看见和听见供应商的画面和声音，供应商只能听见评审小组声音，看不见评审小组的画面。政采云视频讲标系统目前不支持手机端。</w:t>
            </w:r>
          </w:p>
          <w:p>
            <w:pPr>
              <w:spacing w:line="400" w:lineRule="exact"/>
              <w:contextualSpacing/>
              <w:rPr>
                <w:rFonts w:ascii="仿宋_GB2312" w:eastAsia="仿宋_GB2312"/>
                <w:sz w:val="24"/>
                <w:szCs w:val="24"/>
              </w:rPr>
            </w:pPr>
            <w:sdt>
              <w:sdtPr>
                <w:rPr>
                  <w:rFonts w:hint="eastAsia" w:ascii="仿宋_GB2312" w:eastAsia="仿宋_GB2312"/>
                  <w:sz w:val="24"/>
                  <w:szCs w:val="24"/>
                </w:rPr>
                <w:id w:val="-1639946486"/>
              </w:sdtPr>
              <w:sdtEndPr>
                <w:rPr>
                  <w:rFonts w:hint="eastAsia" w:ascii="仿宋_GB2312" w:eastAsia="仿宋_GB2312"/>
                  <w:sz w:val="24"/>
                  <w:szCs w:val="24"/>
                </w:rPr>
              </w:sdtEndPr>
              <w:sdtContent>
                <w:r>
                  <w:rPr>
                    <w:rFonts w:hint="eastAsia" w:ascii="仿宋_GB2312" w:eastAsia="仿宋_GB2312"/>
                    <w:sz w:val="24"/>
                    <w:szCs w:val="24"/>
                  </w:rPr>
                  <w:t>☐</w:t>
                </w:r>
              </w:sdtContent>
            </w:sdt>
            <w:r>
              <w:rPr>
                <w:rFonts w:hint="eastAsia" w:ascii="仿宋_GB2312" w:eastAsia="仿宋_GB2312"/>
                <w:sz w:val="24"/>
                <w:szCs w:val="24"/>
              </w:rPr>
              <w:t>交易中心现场讲解演示。现场讲解地点为    ，讲解演示所用电脑等设备由投标人自备。现场讲解演示人员进场时提供讲解人员名单（加盖公章）及身份证明，否则不得讲解演示。</w:t>
            </w:r>
          </w:p>
          <w:p>
            <w:pPr>
              <w:spacing w:line="400" w:lineRule="exact"/>
              <w:contextualSpacing/>
              <w:rPr>
                <w:rFonts w:ascii="仿宋_GB2312" w:eastAsia="仿宋_GB2312"/>
                <w:sz w:val="24"/>
                <w:szCs w:val="24"/>
              </w:rPr>
            </w:pPr>
            <w:r>
              <w:rPr>
                <w:rFonts w:hint="eastAsia" w:ascii="仿宋_GB2312" w:eastAsia="仿宋_GB2312"/>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9" w:hRule="atLeast"/>
          <w:tblHeader/>
        </w:trPr>
        <w:tc>
          <w:tcPr>
            <w:tcW w:w="666"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7</w:t>
            </w:r>
          </w:p>
        </w:tc>
        <w:tc>
          <w:tcPr>
            <w:tcW w:w="195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是否允许采购进口产品</w:t>
            </w:r>
          </w:p>
        </w:tc>
        <w:tc>
          <w:tcPr>
            <w:tcW w:w="6460"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1828425707"/>
              </w:sdtPr>
              <w:sdtEndPr>
                <w:rPr>
                  <w:rFonts w:hint="eastAsia" w:ascii="仿宋_GB2312" w:eastAsia="仿宋_GB2312"/>
                  <w:sz w:val="24"/>
                  <w:szCs w:val="24"/>
                </w:rPr>
              </w:sdtEndPr>
              <w:sdtContent>
                <w:sdt>
                  <w:sdtPr>
                    <w:rPr>
                      <w:rFonts w:hint="eastAsia" w:ascii="仿宋_GB2312" w:eastAsia="仿宋_GB2312"/>
                      <w:sz w:val="28"/>
                      <w:szCs w:val="28"/>
                    </w:rPr>
                    <w:id w:val="1648123876"/>
                  </w:sdtPr>
                  <w:sdtEndPr>
                    <w:rPr>
                      <w:rFonts w:hint="eastAsia" w:ascii="仿宋_GB2312" w:eastAsia="仿宋_GB2312"/>
                      <w:sz w:val="24"/>
                      <w:szCs w:val="24"/>
                    </w:rPr>
                  </w:sdtEndPr>
                  <w:sdtContent>
                    <w:r>
                      <w:rPr>
                        <w:rFonts w:hint="eastAsia" w:ascii="仿宋_GB2312" w:eastAsia="仿宋_GB2312"/>
                        <w:b w:val="0"/>
                        <w:bCs w:val="0"/>
                        <w:sz w:val="28"/>
                        <w:szCs w:val="28"/>
                        <w:lang w:eastAsia="zh-CN"/>
                      </w:rPr>
                      <w:t>√</w:t>
                    </w:r>
                  </w:sdtContent>
                </w:sdt>
              </w:sdtContent>
            </w:sdt>
            <w:r>
              <w:rPr>
                <w:rFonts w:hint="eastAsia" w:ascii="仿宋_GB2312" w:eastAsia="仿宋_GB2312"/>
                <w:sz w:val="24"/>
                <w:szCs w:val="24"/>
              </w:rPr>
              <w:t>本项目不允许采购进口产品。</w:t>
            </w:r>
          </w:p>
          <w:p>
            <w:pPr>
              <w:spacing w:line="400" w:lineRule="exact"/>
              <w:contextualSpacing/>
              <w:rPr>
                <w:rFonts w:ascii="仿宋_GB2312" w:eastAsia="仿宋_GB2312"/>
                <w:sz w:val="24"/>
                <w:szCs w:val="24"/>
              </w:rPr>
            </w:pPr>
            <w:sdt>
              <w:sdtPr>
                <w:rPr>
                  <w:rFonts w:hint="eastAsia" w:ascii="仿宋_GB2312" w:eastAsia="仿宋_GB2312"/>
                  <w:sz w:val="24"/>
                  <w:szCs w:val="24"/>
                </w:rPr>
                <w:id w:val="-52852824"/>
              </w:sdtPr>
              <w:sdtEndPr>
                <w:rPr>
                  <w:rFonts w:hint="eastAsia" w:ascii="仿宋_GB2312" w:eastAsia="仿宋_GB2312"/>
                  <w:sz w:val="24"/>
                  <w:szCs w:val="24"/>
                </w:rPr>
              </w:sdtEndPr>
              <w:sdtContent>
                <w:r>
                  <w:rPr>
                    <w:rFonts w:hint="eastAsia" w:ascii="仿宋_GB2312" w:eastAsia="仿宋_GB2312"/>
                    <w:sz w:val="24"/>
                    <w:szCs w:val="24"/>
                  </w:rPr>
                  <w:t>☐</w:t>
                </w:r>
              </w:sdtContent>
            </w:sdt>
            <w:r>
              <w:rPr>
                <w:rFonts w:hint="eastAsia" w:ascii="仿宋_GB2312" w:eastAsia="仿宋_GB2312"/>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5" w:hRule="atLeast"/>
          <w:tblHeader/>
        </w:trPr>
        <w:tc>
          <w:tcPr>
            <w:tcW w:w="666"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8</w:t>
            </w:r>
          </w:p>
        </w:tc>
        <w:tc>
          <w:tcPr>
            <w:tcW w:w="195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项目属性与核心产品</w:t>
            </w:r>
          </w:p>
        </w:tc>
        <w:tc>
          <w:tcPr>
            <w:tcW w:w="6460"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sdt>
              <w:sdtPr>
                <w:rPr>
                  <w:rFonts w:hint="eastAsia" w:ascii="仿宋_GB2312" w:eastAsia="仿宋_GB2312"/>
                  <w:sz w:val="24"/>
                  <w:szCs w:val="24"/>
                </w:rPr>
                <w:id w:val="118727868"/>
              </w:sdtPr>
              <w:sdtEndPr>
                <w:rPr>
                  <w:rFonts w:hint="eastAsia" w:ascii="仿宋_GB2312" w:eastAsia="仿宋_GB2312"/>
                  <w:sz w:val="24"/>
                  <w:szCs w:val="24"/>
                </w:rPr>
              </w:sdtEndPr>
              <w:sdtContent>
                <w:sdt>
                  <w:sdtPr>
                    <w:rPr>
                      <w:rFonts w:hint="eastAsia" w:ascii="仿宋_GB2312" w:eastAsia="仿宋_GB2312"/>
                      <w:sz w:val="24"/>
                      <w:szCs w:val="24"/>
                    </w:rPr>
                    <w:id w:val="474885559"/>
                  </w:sdtPr>
                  <w:sdtEndPr>
                    <w:rPr>
                      <w:rFonts w:hint="eastAsia" w:ascii="仿宋_GB2312" w:eastAsia="仿宋_GB2312"/>
                      <w:sz w:val="24"/>
                      <w:szCs w:val="24"/>
                    </w:rPr>
                  </w:sdtEndPr>
                  <w:sdtContent>
                    <w:r>
                      <w:rPr>
                        <w:rFonts w:hint="eastAsia" w:ascii="仿宋_GB2312" w:eastAsia="仿宋_GB2312"/>
                        <w:sz w:val="24"/>
                        <w:szCs w:val="24"/>
                      </w:rPr>
                      <w:t>☐</w:t>
                    </w:r>
                  </w:sdtContent>
                </w:sdt>
              </w:sdtContent>
            </w:sdt>
            <w:r>
              <w:rPr>
                <w:rFonts w:hint="eastAsia" w:ascii="仿宋_GB2312" w:eastAsia="仿宋_GB2312"/>
                <w:sz w:val="24"/>
                <w:szCs w:val="24"/>
              </w:rPr>
              <w:t>A货物类，单一产品或核心产品为：    。</w:t>
            </w:r>
          </w:p>
          <w:p>
            <w:pPr>
              <w:spacing w:line="400" w:lineRule="exact"/>
              <w:contextualSpacing/>
              <w:rPr>
                <w:rFonts w:ascii="仿宋_GB2312" w:eastAsia="仿宋_GB2312"/>
                <w:sz w:val="24"/>
                <w:szCs w:val="24"/>
              </w:rPr>
            </w:pPr>
            <w:sdt>
              <w:sdtPr>
                <w:rPr>
                  <w:rFonts w:hint="eastAsia" w:ascii="仿宋_GB2312" w:eastAsia="仿宋_GB2312"/>
                  <w:sz w:val="24"/>
                  <w:szCs w:val="24"/>
                </w:rPr>
                <w:id w:val="346402514"/>
              </w:sdtPr>
              <w:sdtEndPr>
                <w:rPr>
                  <w:rFonts w:hint="eastAsia" w:ascii="仿宋_GB2312" w:eastAsia="仿宋_GB2312"/>
                  <w:sz w:val="24"/>
                  <w:szCs w:val="24"/>
                </w:rPr>
              </w:sdtEndPr>
              <w:sdtContent>
                <w:sdt>
                  <w:sdtPr>
                    <w:rPr>
                      <w:rFonts w:hint="eastAsia" w:ascii="仿宋_GB2312" w:eastAsia="仿宋_GB2312"/>
                      <w:sz w:val="28"/>
                      <w:szCs w:val="28"/>
                    </w:rPr>
                    <w:id w:val="1648123876"/>
                  </w:sdtPr>
                  <w:sdtEndPr>
                    <w:rPr>
                      <w:rFonts w:hint="eastAsia" w:ascii="仿宋_GB2312" w:eastAsia="仿宋_GB2312"/>
                      <w:sz w:val="24"/>
                      <w:szCs w:val="24"/>
                    </w:rPr>
                  </w:sdtEndPr>
                  <w:sdtContent>
                    <w:r>
                      <w:rPr>
                        <w:rFonts w:hint="eastAsia" w:ascii="仿宋_GB2312" w:eastAsia="仿宋_GB2312"/>
                        <w:b w:val="0"/>
                        <w:bCs w:val="0"/>
                        <w:sz w:val="28"/>
                        <w:szCs w:val="28"/>
                        <w:lang w:eastAsia="zh-CN"/>
                      </w:rPr>
                      <w:t>√</w:t>
                    </w:r>
                  </w:sdtContent>
                </w:sdt>
              </w:sdtContent>
            </w:sdt>
            <w:r>
              <w:rPr>
                <w:rFonts w:hint="eastAsia" w:ascii="仿宋_GB2312" w:eastAsia="仿宋_GB2312"/>
                <w:sz w:val="24"/>
                <w:szCs w:val="24"/>
              </w:rPr>
              <w:t>B服务类。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1" w:hRule="atLeast"/>
          <w:tblHeader/>
        </w:trPr>
        <w:tc>
          <w:tcPr>
            <w:tcW w:w="666"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9</w:t>
            </w:r>
          </w:p>
        </w:tc>
        <w:tc>
          <w:tcPr>
            <w:tcW w:w="195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采购标的对应的中小企业划分标准所属行业</w:t>
            </w:r>
          </w:p>
        </w:tc>
        <w:tc>
          <w:tcPr>
            <w:tcW w:w="6460"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采购标的：详见采购需求，所属行业：软件和信息技术服务业。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66"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10</w:t>
            </w:r>
          </w:p>
        </w:tc>
        <w:tc>
          <w:tcPr>
            <w:tcW w:w="195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节能产品、环境标志产品</w:t>
            </w:r>
          </w:p>
        </w:tc>
        <w:tc>
          <w:tcPr>
            <w:tcW w:w="6460"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3" w:hRule="atLeast"/>
          <w:tblHeader/>
        </w:trPr>
        <w:tc>
          <w:tcPr>
            <w:tcW w:w="666" w:type="dxa"/>
            <w:tcBorders>
              <w:top w:val="single" w:color="auto" w:sz="4" w:space="0"/>
              <w:left w:val="single" w:color="000000" w:sz="8"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11</w:t>
            </w:r>
          </w:p>
        </w:tc>
        <w:tc>
          <w:tcPr>
            <w:tcW w:w="1953" w:type="dxa"/>
            <w:tcBorders>
              <w:top w:val="single" w:color="000000" w:sz="8" w:space="0"/>
              <w:left w:val="single" w:color="000000" w:sz="2"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政采贷</w:t>
            </w:r>
          </w:p>
        </w:tc>
        <w:tc>
          <w:tcPr>
            <w:tcW w:w="6460"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7" w:hRule="atLeast"/>
          <w:tblHeader/>
        </w:trPr>
        <w:tc>
          <w:tcPr>
            <w:tcW w:w="666"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12</w:t>
            </w:r>
          </w:p>
        </w:tc>
        <w:tc>
          <w:tcPr>
            <w:tcW w:w="1953" w:type="dxa"/>
            <w:tcBorders>
              <w:top w:val="single" w:color="000000" w:sz="8" w:space="0"/>
              <w:left w:val="single" w:color="000000" w:sz="2" w:space="0"/>
              <w:bottom w:val="single" w:color="auto" w:sz="4"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 xml:space="preserve">备份投标文件送达地点和签收人员 </w:t>
            </w:r>
          </w:p>
        </w:tc>
        <w:tc>
          <w:tcPr>
            <w:tcW w:w="6460" w:type="dxa"/>
            <w:tcBorders>
              <w:top w:val="single" w:color="000000" w:sz="8" w:space="0"/>
              <w:left w:val="single" w:color="000000" w:sz="2" w:space="0"/>
              <w:bottom w:val="single" w:color="auto" w:sz="4"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备份投标文件的送达地点和签收人员详见招标文件第二部分15.3、15.4。采购人、采购代理机构不强制或变相强制投标人提交备份投标文件。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 w:hRule="atLeast"/>
          <w:tblHeader/>
        </w:trPr>
        <w:tc>
          <w:tcPr>
            <w:tcW w:w="666" w:type="dxa"/>
            <w:tcBorders>
              <w:top w:val="single" w:color="auto" w:sz="4" w:space="0"/>
              <w:left w:val="single" w:color="000000" w:sz="8" w:space="0"/>
              <w:bottom w:val="single" w:color="auto" w:sz="4" w:space="0"/>
              <w:right w:val="single" w:color="000000" w:sz="2" w:space="0"/>
            </w:tcBorders>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13</w:t>
            </w:r>
          </w:p>
        </w:tc>
        <w:tc>
          <w:tcPr>
            <w:tcW w:w="1953"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特别说明</w:t>
            </w:r>
          </w:p>
        </w:tc>
        <w:tc>
          <w:tcPr>
            <w:tcW w:w="6460" w:type="dxa"/>
            <w:tcBorders>
              <w:top w:val="single" w:color="000000" w:sz="8" w:space="0"/>
              <w:left w:val="single" w:color="000000" w:sz="2" w:space="0"/>
              <w:bottom w:val="single" w:color="000000" w:sz="8" w:space="0"/>
              <w:right w:val="single" w:color="000000" w:sz="8" w:space="0"/>
            </w:tcBorders>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无。</w:t>
            </w:r>
          </w:p>
        </w:tc>
      </w:tr>
    </w:tbl>
    <w:p>
      <w:pPr>
        <w:spacing w:line="540" w:lineRule="exact"/>
        <w:contextualSpacing/>
        <w:rPr>
          <w:rFonts w:ascii="仿宋_GB2312" w:eastAsia="仿宋_GB2312"/>
          <w:sz w:val="28"/>
          <w:szCs w:val="28"/>
        </w:rPr>
      </w:pPr>
    </w:p>
    <w:bookmarkEnd w:id="10"/>
    <w:p>
      <w:pPr>
        <w:spacing w:line="540" w:lineRule="exact"/>
        <w:ind w:firstLine="551" w:firstLineChars="196"/>
        <w:contextualSpacing/>
        <w:rPr>
          <w:rFonts w:ascii="仿宋_GB2312" w:eastAsia="仿宋_GB2312"/>
          <w:b/>
          <w:sz w:val="28"/>
          <w:szCs w:val="28"/>
        </w:rPr>
      </w:pPr>
      <w:bookmarkStart w:id="11" w:name="_Toc164416483"/>
      <w:bookmarkStart w:id="12" w:name="第三部分"/>
      <w:r>
        <w:rPr>
          <w:rFonts w:hint="eastAsia" w:ascii="仿宋_GB2312" w:eastAsia="仿宋_GB2312"/>
          <w:b/>
          <w:sz w:val="28"/>
          <w:szCs w:val="28"/>
        </w:rPr>
        <w:t>一、总则</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 适用范围</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本招标文件适用于该项目的招标、投标、开标、资格审查及信用信息查询、评标、定标、合同、验收等行为（法律、法规另有规定的，从其规定）。</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2.定义</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2.1 “采购人”系指招标公告中载明的本项目的采购人。</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2.2 “采购代理机构”系指招标公告中载明的本项目的采购代理机构。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2.3 “投标人”系指是指响应招标、参加投标竞争的法人、其他组织或者自然人。</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2.4 “负责人”系指法人企业的法定负责人，或其他组织为法律、行政法规规定代表单位行使职权的主要负责人，或自然人本人。</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2.6“电子交易平台”是指本项目政府采购活动所依托的政府采购云平台（https://www.zcygov.cn/）。</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2.7 “▲” 系指实质性要求条款，“★”系产品采购项目中单一产品或核心产品，“</w:t>
      </w:r>
      <w:sdt>
        <w:sdtPr>
          <w:rPr>
            <w:rFonts w:hint="eastAsia" w:ascii="仿宋_GB2312" w:eastAsia="仿宋_GB2312"/>
            <w:sz w:val="28"/>
            <w:szCs w:val="28"/>
          </w:rPr>
          <w:id w:val="512970236"/>
        </w:sdtPr>
        <w:sdtEndPr>
          <w:rPr>
            <w:rFonts w:hint="eastAsia" w:ascii="仿宋_GB2312" w:eastAsia="仿宋_GB2312"/>
            <w:sz w:val="28"/>
            <w:szCs w:val="28"/>
          </w:rPr>
        </w:sdtEndPr>
        <w:sdtContent>
          <w:sdt>
            <w:sdtPr>
              <w:rPr>
                <w:rFonts w:hint="eastAsia" w:ascii="仿宋_GB2312" w:eastAsia="仿宋_GB2312"/>
                <w:sz w:val="24"/>
                <w:szCs w:val="24"/>
              </w:rPr>
              <w:id w:val="1303421454"/>
            </w:sdtPr>
            <w:sdtEndPr>
              <w:rPr>
                <w:rFonts w:hint="eastAsia" w:ascii="仿宋_GB2312" w:eastAsia="仿宋_GB2312"/>
                <w:sz w:val="24"/>
                <w:szCs w:val="24"/>
              </w:rPr>
            </w:sdtEndPr>
            <w:sdtContent>
              <w:sdt>
                <w:sdtPr>
                  <w:rPr>
                    <w:rFonts w:hint="eastAsia" w:ascii="仿宋_GB2312" w:eastAsia="仿宋_GB2312"/>
                    <w:sz w:val="28"/>
                    <w:szCs w:val="28"/>
                  </w:rPr>
                  <w:id w:val="1648123876"/>
                </w:sdtPr>
                <w:sdtEndPr>
                  <w:rPr>
                    <w:rFonts w:hint="eastAsia" w:ascii="仿宋_GB2312" w:eastAsia="仿宋_GB2312"/>
                    <w:sz w:val="24"/>
                    <w:szCs w:val="24"/>
                  </w:rPr>
                </w:sdtEndPr>
                <w:sdtContent>
                  <w:r>
                    <w:rPr>
                      <w:rFonts w:hint="eastAsia" w:ascii="仿宋_GB2312" w:eastAsia="仿宋_GB2312"/>
                      <w:b w:val="0"/>
                      <w:bCs w:val="0"/>
                      <w:sz w:val="28"/>
                      <w:szCs w:val="28"/>
                      <w:lang w:eastAsia="zh-CN"/>
                    </w:rPr>
                    <w:t>√</w:t>
                  </w:r>
                </w:sdtContent>
              </w:sdt>
            </w:sdtContent>
          </w:sdt>
        </w:sdtContent>
      </w:sdt>
      <w:r>
        <w:rPr>
          <w:rFonts w:hint="eastAsia" w:ascii="仿宋_GB2312" w:eastAsia="仿宋_GB2312"/>
          <w:sz w:val="28"/>
          <w:szCs w:val="28"/>
        </w:rPr>
        <w:t>” 系指适用本项目的要求，“</w:t>
      </w:r>
      <w:sdt>
        <w:sdtPr>
          <w:rPr>
            <w:rFonts w:hint="eastAsia" w:ascii="仿宋_GB2312" w:eastAsia="仿宋_GB2312"/>
            <w:sz w:val="28"/>
            <w:szCs w:val="28"/>
          </w:rPr>
          <w:id w:val="404888855"/>
        </w:sdtPr>
        <w:sdtEndPr>
          <w:rPr>
            <w:rFonts w:hint="eastAsia" w:ascii="仿宋_GB2312" w:eastAsia="仿宋_GB2312"/>
            <w:sz w:val="28"/>
            <w:szCs w:val="28"/>
          </w:rPr>
        </w:sdtEndPr>
        <w:sdtContent>
          <w:r>
            <w:rPr>
              <w:rFonts w:hint="eastAsia" w:ascii="仿宋_GB2312" w:eastAsia="仿宋_GB2312"/>
              <w:sz w:val="28"/>
              <w:szCs w:val="28"/>
            </w:rPr>
            <w:t>☐</w:t>
          </w:r>
        </w:sdtContent>
      </w:sdt>
      <w:r>
        <w:rPr>
          <w:rFonts w:hint="eastAsia" w:ascii="仿宋_GB2312" w:eastAsia="仿宋_GB2312"/>
          <w:sz w:val="28"/>
          <w:szCs w:val="28"/>
        </w:rPr>
        <w:t>” 系指不适用本项目的要求。</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 采购项目需要落实的政府采购政策</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3.2 支持绿色发展。</w:t>
      </w:r>
    </w:p>
    <w:p>
      <w:pPr>
        <w:spacing w:line="540" w:lineRule="exact"/>
        <w:ind w:firstLine="560" w:firstLineChars="200"/>
        <w:contextualSpacing/>
        <w:rPr>
          <w:rFonts w:ascii="仿宋_GB2312" w:eastAsia="仿宋_GB2312"/>
          <w:b/>
          <w:sz w:val="28"/>
          <w:szCs w:val="28"/>
        </w:rPr>
      </w:pPr>
      <w:r>
        <w:rPr>
          <w:rFonts w:hint="eastAsia" w:ascii="仿宋_GB2312" w:eastAsia="仿宋_GB2312"/>
          <w:sz w:val="28"/>
          <w:szCs w:val="28"/>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eastAsia="仿宋_GB2312"/>
          <w:b/>
          <w:sz w:val="28"/>
          <w:szCs w:val="28"/>
        </w:rPr>
        <w:t>▲采购人拟采购的产品属于政府强制采购的节能产品品目清单范围的，投标人未按招标文件要求提供国家确定的认证机构出具的、处于有效期之内的节能产品认证证书的，投标无效。</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3.2.2 修缮、装修类项目采购建材的，采购人应将绿色建筑和绿色建材性能、指标等作为实质性条件纳入招标文件和合同。</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3.3支持中小企业发展</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540" w:lineRule="exact"/>
        <w:contextualSpacing/>
        <w:rPr>
          <w:rFonts w:ascii="仿宋_GB2312" w:eastAsia="仿宋_GB2312"/>
          <w:sz w:val="28"/>
          <w:szCs w:val="28"/>
        </w:rPr>
      </w:pPr>
      <w:r>
        <w:rPr>
          <w:rFonts w:hint="eastAsia" w:ascii="仿宋_GB2312" w:eastAsia="仿宋_GB2312"/>
          <w:sz w:val="28"/>
          <w:szCs w:val="28"/>
        </w:rPr>
        <w:t>符合中小企业划分标准的个体工商户，在政府采购活动中视同中小企业。</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3.3.2在政府采购活动中，投标人提供的货物、工程或者服务符合下列情形的，享受中小企业扶持政策：</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3.3.2.1在货物采购项目中，货物由中小企业制造，即货物由中小企业生产且使用该中小企业商号或者注册商标；</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3.3.2.2在工程采购项目中，工程由中小企业承建，即工程施工单位为中小企业；</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3.3.2.3在服务采购项目中，服务由中小企业承接，即提供服务的人员为中小企业依照《中华人民共和国劳动合同法》订立劳动合同的从业人员。</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在货物采购项目中，投标人提供的货物既有中小企业制造货物，也有大型企业制造货物的，不享受中小企业扶持政策。</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以联合体形式参加政府采购活动，联合体各方均为中小企业的，联合体视同中小企业。其中，联合体各方均为小微企业的，联合体视同小微企业。</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3.3.3对于未预留份额专门面向中小企业的政府采购货物或服务项目，以及预留份额政府采购货物或服务项目中的非预留部分，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3.3.4符合《关于促进残疾人就业政府采购政策的通知》（财库〔2017〕141号）规定的条件并提供《残疾人福利性单位声明函》（附件1）的残疾人福利性单位视同小型、微型企业；</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3.3.7中小企业享受扶持政策获得政府采购合同的，小微企业不得将合同分包给大中型企业，中型企业不得将合同分包给大型企业。</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3.4支持创新发展</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3.4.1 采购人优先采购被认定为首台套产品和“制造精品”的自主创新产品。</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3.5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 询问、质疑、投诉</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4.1供应商询问</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供应商可以就招标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4.2供应商质疑</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4.2.1提出质疑的供应商应当是参与所质疑项目采购活动的供应商。潜在供应商已依法获取其可质疑的招标文件的，可以对该文件提出质疑。</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原则上由采购人负责答复；对招标文件中其他内容提出的质疑，原则上由采购代理机构负责答复。</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代理机构负责答复。</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4.2.2.3对采购结果提出质疑的，质疑期限自采购结果公告期限届满之日起计算。对采购结果提出质疑的，采购代理机构负责答复。</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4.2.3供应商提出质疑应当提交质疑函和必要的证明材料。质疑函应当包括下列内容：</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4.2.3.1供应商的姓名或者名称、地址、邮编、联系人及联系电话；</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4.2.3.2质疑项目的名称、编号；</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4.2.3.3具体、明确的质疑事项和与质疑事项相关的请求；</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4.2.3.4事实依据；</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4.2.3.5必要的法律依据；</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4.2.3.6提出质疑的日期。</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供应商提交的质疑函需一式三份。供应商为自然人的，应当由本人签字；供应商为法人或者其他组织的，应当由法定代表人、主要负责人，或者其授权代表签字或者盖章，并加盖公章。</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质疑函范本及制作说明详见附件2。</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4.2.4采购人或者采购代理机构应当在收到供应商的书面质疑后七个工作日内作出答复，并以书面形式通知质疑供应商和其他与质疑处理结果有利害关系的政府采购当事人，但答复的内容不得涉及商业秘密。</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4.2.5询问或者质疑事项可能影响采购结果的，采购人应当暂停签订合同，已经签订合同的，应当中止履行合同。</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4.3供应商投诉</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4.3.1质疑供应商对采购人、采购代理机构的答复不满意或者采购人、采购代理机构未在规定的时间内作出答复的，可以在答复期满后十五个工作日内向同级政府采购监督管理部门提出投诉。</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4.3.2供应商投诉的事项不得超出已质疑事项的范围，基于质疑答复内容提出的投诉事项除外。</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4.3.3供应商投诉应当有明确的请求和必要的证明材料。</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4.3.5 以联合体形式参加政府采购活动的，其投诉应当由组成联合体的所有供应商共同提出。</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投诉书范本及制作说明详见附件3。</w:t>
      </w:r>
    </w:p>
    <w:p>
      <w:pPr>
        <w:spacing w:line="540" w:lineRule="exact"/>
        <w:ind w:firstLine="562" w:firstLineChars="200"/>
        <w:contextualSpacing/>
        <w:rPr>
          <w:rFonts w:ascii="仿宋_GB2312" w:eastAsia="仿宋_GB2312"/>
          <w:b/>
          <w:sz w:val="28"/>
          <w:szCs w:val="28"/>
        </w:rPr>
      </w:pPr>
      <w:r>
        <w:rPr>
          <w:rFonts w:hint="eastAsia" w:ascii="仿宋_GB2312" w:eastAsia="仿宋_GB2312"/>
          <w:b/>
          <w:sz w:val="28"/>
          <w:szCs w:val="28"/>
        </w:rPr>
        <w:t>二、招标文件的构成、澄清、修改</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5．招标文件的构成</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5.1 招标文件包括下列文件及附件：</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5.1.1招标公告；</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5.1.2投标人须知；</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5.1.3采购需求；</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5.1.4评标办法；</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5.1.5拟签订的合同文本；</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5.1.6应提交的有关格式范例。</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5.2与本项目有关的澄清或者修改的内容为招标文件的组成部分。</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6. 招标文件的澄清、修改</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6.1已获取招标文件的潜在投标人，若有问题需要澄清，应于投标截止时间前，以书面形式向采购代理机构提出。</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540" w:lineRule="exact"/>
        <w:contextualSpacing/>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三、投标</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7. 招标文件的获取</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详见招标公告中获取招标文件的时间期限、地点、方式及招标文件售价。</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8.开标前答疑会或现场考察</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采购人组织潜在投标人现场考察或者召开开标前答疑会的，潜在投标人按第二部分投标人须知前附表的规定参加现场考察或者开标前答疑会。</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9.投标保证金</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本项目不需缴纳投标保证金。</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10. 投标文件的语言</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投标文件及投标人与采购有关的来往通知、函件和文件均应使用中文。</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11. 投标文件的组成</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11.1资格文件：</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11.1.1符合参加政府采购活动应当具备的一般条件的承诺函；</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11.1.2落实政府采购政策需满足的资格要求（若有）；</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11.1.3本项目的特定资格要求（若有）。</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11.2  商务技术文件：</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 xml:space="preserve">11.2.1投标函；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11.2.2授权委托书或法定代表人（单位负责人、自然人本人）身份证明；</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11.2.3联合协议（若有）；</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11.2.4分包意向协议（若有）；</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11.2.5符合性审查资料；</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11.2.6评标标准相应的商务技术资料；</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11.2.7政府采购供应商廉洁自律承诺书；</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 xml:space="preserve">11.3报价文件：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11.3.1开标一览表（报价表）；</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11.3.2中小企业声明函。</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投标文件含有采购人不能接受的附加条件的，投标无效；</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投标人提供虚假材料投标的，投标无效。</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12. 投标文件的编制</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12.2投标人进行电子投标应安装客户端软件—“政采云电子交易客户端”，并按照招标文件和电子交易平台的要求编制并加密投标文件。投标人未按规定加密的投标文件，电子交易平台将拒收并提示。</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12.3使用“政采云电子交易客户端”需要提前申领CA数字证书，申领流程请自行前往“浙江政府采购网-下载专区-电子交易客户端-CA驱动和申领流程”进行查阅。</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13.投标文件的签署、盖章</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13.1投标文件按照招标文件第六部分格式要求进行签署、盖章。▲</w:t>
      </w:r>
      <w:r>
        <w:rPr>
          <w:rFonts w:hint="eastAsia" w:ascii="仿宋_GB2312" w:eastAsia="仿宋_GB2312"/>
          <w:b/>
          <w:sz w:val="28"/>
          <w:szCs w:val="28"/>
        </w:rPr>
        <w:t>投标人的投标文件未按照招标文件要求签署、盖章的，其投标无效</w:t>
      </w:r>
      <w:r>
        <w:rPr>
          <w:rFonts w:hint="eastAsia" w:ascii="仿宋_GB2312" w:eastAsia="仿宋_GB2312"/>
          <w:sz w:val="28"/>
          <w:szCs w:val="28"/>
        </w:rPr>
        <w:t>。</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13.2为确保网上操作合法、有效和安全，投标人应当在投标截止时间前完成在“政府采购云平台”的身份认证，确保在电子投标过程中能够对相关数据电文进行加密和使用电子签名。</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13.3招标文件对投标文件签署、盖章的要求适用于电子签名。</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14.投标文件的提交、补充、修改、撤回</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14.2电子交易平台收到投标文件，将妥善保存并即时向供应商发出确认回执通知。在投标截止时间前，除供应商补充、修改或者撤回投标文件外，任何单位和个人不得解密或提取投标文件。</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14.3采购人、采购代理机构可以视情况延长投标文件提交的截止时间。在上述情况下，采购代理机构与投标人以前在投标截止期方面的全部权利、责任和义务，将适用于延长至新的投标截止期。</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15.备份投标文件</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15.3直接提交备份投标文件的，投标人应于开标当日投标截止时间前将备份投标文件按要求密封和标记后送达舟山市新城翁山路555号四楼（大宗商品交易中心同幢西边）4楼政府采购窗口；送达时间以签收人签收时间为准（签收人：俞女士，联系电话：0580-2281591）。采购代理机构将拒绝接受逾期送达的备份投标文件。</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15.4以邮政快递方式递交备份投标文件的，投标人应先将备份投标文件按要求密封和标记，再进行邮政快递包装后邮寄。备份投标文件须在投标截止时间之前送达舟山市翁山路555号4楼4024室；送达时间以签收人签收时间为准（签收人：俞女士，联系电话：0580-2281591）。采购代理机构将拒绝接受逾期送达的备份投标文件。邮寄过程中，电子备份投标文件发生泄露、遗失、损坏或延期送达等情况的，由投标人自行负责。</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15.5投标人仅提交备份投标文件，没有在电子交易平台传输递交投标文件的，投标无效。</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16.投标文件的无效处理</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有招标文件第四部分4.2项规定的情形之一的，投标无效。</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17.投标有效期</w:t>
      </w:r>
    </w:p>
    <w:p>
      <w:pPr>
        <w:spacing w:line="540" w:lineRule="exact"/>
        <w:ind w:firstLine="560" w:firstLineChars="200"/>
        <w:contextualSpacing/>
        <w:rPr>
          <w:rFonts w:ascii="仿宋_GB2312" w:eastAsia="仿宋_GB2312"/>
          <w:b/>
          <w:sz w:val="28"/>
          <w:szCs w:val="28"/>
        </w:rPr>
      </w:pPr>
      <w:r>
        <w:rPr>
          <w:rFonts w:hint="eastAsia" w:ascii="仿宋_GB2312" w:eastAsia="仿宋_GB2312"/>
          <w:sz w:val="28"/>
          <w:szCs w:val="28"/>
        </w:rPr>
        <w:t>17.1投标有效期为从提交投标文件的截止之日起90天。▲</w:t>
      </w:r>
      <w:r>
        <w:rPr>
          <w:rFonts w:hint="eastAsia" w:ascii="仿宋_GB2312" w:eastAsia="仿宋_GB2312"/>
          <w:b/>
          <w:sz w:val="28"/>
          <w:szCs w:val="28"/>
        </w:rPr>
        <w:t>投标人的投标文件中承诺的投标有效期少于招标文件中载明的投标有效期的，投标无效。</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17.2投标文件合格投递后，自投标截止日期起，在投标有效期内有效。</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17.3在原定投标有效期满之前，如果出现特殊情况，采购代理机构可以以书面形式通知投标人延长投标有效期。投标人同意延长的，不得要求或被允许修改其投标文件，投标人拒绝延长的，其投标无效。</w:t>
      </w:r>
    </w:p>
    <w:p>
      <w:pPr>
        <w:spacing w:line="540" w:lineRule="exact"/>
        <w:ind w:firstLine="562" w:firstLineChars="200"/>
        <w:contextualSpacing/>
        <w:rPr>
          <w:rFonts w:ascii="仿宋_GB2312" w:eastAsia="仿宋_GB2312"/>
          <w:b/>
          <w:sz w:val="28"/>
          <w:szCs w:val="28"/>
        </w:rPr>
      </w:pPr>
      <w:r>
        <w:rPr>
          <w:rFonts w:hint="eastAsia" w:ascii="仿宋_GB2312" w:eastAsia="仿宋_GB2312"/>
          <w:b/>
          <w:sz w:val="28"/>
          <w:szCs w:val="28"/>
        </w:rPr>
        <w:t>四、开标、资格审查与信用信息查询</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 xml:space="preserve">18.开标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18.1采购代理机构按照招标文件规定的时间通过电子交易平台组织开标，所有投标人均应当准时在线参加。</w:t>
      </w:r>
    </w:p>
    <w:p>
      <w:pPr>
        <w:spacing w:line="540" w:lineRule="exact"/>
        <w:contextualSpacing/>
        <w:rPr>
          <w:rFonts w:ascii="仿宋_GB2312" w:eastAsia="仿宋_GB2312"/>
          <w:sz w:val="28"/>
          <w:szCs w:val="28"/>
        </w:rPr>
      </w:pPr>
      <w:r>
        <w:rPr>
          <w:rFonts w:hint="eastAsia" w:ascii="仿宋_GB2312" w:eastAsia="仿宋_GB2312"/>
          <w:sz w:val="28"/>
          <w:szCs w:val="28"/>
        </w:rPr>
        <w:t>　  18.2开标时，电子交易平台按开标时间自动提取所有投标文件。采购代理机构依托电子交易平台发起开始解密指令，投标人按照平台提示和招标文件的规定在半小时内完成在线解密。</w:t>
      </w:r>
    </w:p>
    <w:p>
      <w:pPr>
        <w:spacing w:line="540" w:lineRule="exact"/>
        <w:contextualSpacing/>
        <w:rPr>
          <w:rFonts w:ascii="仿宋_GB2312" w:eastAsia="仿宋_GB2312"/>
          <w:sz w:val="28"/>
          <w:szCs w:val="28"/>
        </w:rPr>
      </w:pPr>
      <w:r>
        <w:rPr>
          <w:rFonts w:hint="eastAsia" w:ascii="仿宋_GB2312" w:eastAsia="仿宋_GB2312"/>
          <w:sz w:val="28"/>
          <w:szCs w:val="28"/>
        </w:rPr>
        <w:t>　  18.3</w:t>
      </w:r>
      <w:r>
        <w:rPr>
          <w:rFonts w:hint="eastAsia" w:ascii="仿宋_GB2312" w:eastAsia="仿宋_GB2312"/>
          <w:b/>
          <w:sz w:val="28"/>
          <w:szCs w:val="28"/>
        </w:rPr>
        <w:t>投标文件未按时解密，投标人提供了备份投标文件的，以备份投标文件作为依据，否则视为投标文件撤回。投标文件已按时解密的，备份投标文件自动失效。</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19.资格审查</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19.1开标后，采购人或采购代理机构将依法对投标人的资格进行审查。</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19.2采购人依据法律法规和招标文件的规定，对投标人的基本资格条件、特定资格条件进行审查。</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19.3投标人未按照招标文件要求提供与基本资格条件、特定资格条件相应的有效资格证明材料的，视为投标人不具备招标文件中规定的资格要求，其投标无效。</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19.4对未通过资格审查的投标人，采购人或采购代理机构告知其未通过的原因。</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19.5合格投标人不足3家的，不再评标。</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20.信用信息查询</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20.1信用信息查询渠道及截止时间：采购代理机构将通过“信用中国”网站(www.creditchina.gov.cn)、中国政府采购网(www.ccgp.gov.cn)渠道查询投标人投标截止时间当天的信用记录。</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20.2信用信息查询记录和证据留存的具体方式：现场查询的投标人的信用记录、查询结果经确认后将与采购文件一起存档。</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20.3信用信息的使用规则：经查询列入失信被执行人名单、重大税收违法案件当事人名单、政府采购严重违法失信行为记录名单、参加政府采购活动前三年内在经营活动中有重大违法记录的投标人将被拒绝参与政府采购活动。</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540" w:lineRule="exact"/>
        <w:ind w:firstLine="562" w:firstLineChars="200"/>
        <w:contextualSpacing/>
        <w:rPr>
          <w:rFonts w:ascii="仿宋_GB2312" w:eastAsia="仿宋_GB2312"/>
          <w:b/>
          <w:sz w:val="28"/>
          <w:szCs w:val="28"/>
        </w:rPr>
      </w:pPr>
      <w:r>
        <w:rPr>
          <w:rFonts w:hint="eastAsia" w:ascii="仿宋_GB2312" w:eastAsia="仿宋_GB2312"/>
          <w:b/>
          <w:sz w:val="28"/>
          <w:szCs w:val="28"/>
        </w:rPr>
        <w:t>五、评标</w:t>
      </w:r>
    </w:p>
    <w:p>
      <w:pPr>
        <w:spacing w:line="540" w:lineRule="exact"/>
        <w:ind w:firstLine="560" w:firstLineChars="200"/>
        <w:contextualSpacing/>
        <w:rPr>
          <w:rFonts w:ascii="仿宋_GB2312" w:eastAsia="仿宋_GB2312"/>
          <w:sz w:val="28"/>
          <w:szCs w:val="28"/>
        </w:rPr>
      </w:pPr>
      <w:bookmarkStart w:id="13" w:name="_Toc91899903"/>
      <w:r>
        <w:rPr>
          <w:rFonts w:hint="eastAsia" w:ascii="仿宋_GB2312" w:eastAsia="仿宋_GB2312"/>
          <w:sz w:val="28"/>
          <w:szCs w:val="28"/>
        </w:rPr>
        <w:t>21.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spacing w:line="540" w:lineRule="exact"/>
        <w:ind w:firstLine="562" w:firstLineChars="200"/>
        <w:contextualSpacing/>
        <w:rPr>
          <w:rFonts w:ascii="仿宋_GB2312" w:eastAsia="仿宋_GB2312"/>
          <w:b/>
          <w:sz w:val="28"/>
          <w:szCs w:val="28"/>
        </w:rPr>
      </w:pPr>
      <w:r>
        <w:rPr>
          <w:rFonts w:hint="eastAsia" w:ascii="仿宋_GB2312" w:eastAsia="仿宋_GB2312"/>
          <w:b/>
          <w:sz w:val="28"/>
          <w:szCs w:val="28"/>
        </w:rPr>
        <w:t>六、定标</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22. 确定中标供应商</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采购人将自收到评审报告之日起5个工作日内通过电子交易平台在评审报告推荐的中标候选人中按顺序确定中标供应商。</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23. 中标通知与中标结果公告</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23.1自中标人确定之日起2个工作日内，采购代理机构通过电子交易平台向中标人发出中标通知书，同时编制发布采购结果公告。采购代理机构也可以以纸质形式进行中标通知。</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23.2中标结果公告内容包括采购人及其委托的采购代理机构的名称、地址、联系方式，项目名称和项目编号，中标人名称、地址和中标金额、评审专家抽取规则、开标情况、资格审查情况、符合性审查情况、专家评分情况，主要中标标的的名称、规格型号、数量、单价、服务要求，开标记录、未中标情况说明、中标公告期限以及评审专家名单、评分汇总及明细。</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23.3公告期限为1个工作日。</w:t>
      </w:r>
    </w:p>
    <w:p>
      <w:pPr>
        <w:spacing w:line="540" w:lineRule="exact"/>
        <w:ind w:firstLine="562" w:firstLineChars="200"/>
        <w:contextualSpacing/>
        <w:rPr>
          <w:rFonts w:ascii="仿宋_GB2312" w:eastAsia="仿宋_GB2312"/>
          <w:b/>
          <w:sz w:val="28"/>
          <w:szCs w:val="28"/>
        </w:rPr>
      </w:pPr>
      <w:r>
        <w:rPr>
          <w:rFonts w:hint="eastAsia" w:ascii="仿宋_GB2312" w:eastAsia="仿宋_GB2312"/>
          <w:b/>
          <w:sz w:val="28"/>
          <w:szCs w:val="28"/>
        </w:rPr>
        <w:t>七、合同授予</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24. 合同主要条款详见第五部分拟签订的合同文本。</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25. 合同的签订</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25.1 采购人与中标人应当通过电子交易平台在中标通知书发出之日起三十日内，按照招标文件确定的事项签订政府采购合同，并在合同签订之日起2个工作日内依法发布合同公告。</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25.2中标人按规定的日期、时间、地点，由法定代表人或其授权代表与采购人代表签订合同。如中标人为联合体的，由联合体成员各方法定代表人或其授权代表与采购人代表签订合同。</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25.3中标供应商拒绝与采购人签订合同的，采购人可以按照评审报告推荐的中标或者成交候选人名单排序，确定下一候选人为中标供应商，也可以重新开展政府采购活动。</w:t>
      </w:r>
    </w:p>
    <w:p>
      <w:pPr>
        <w:spacing w:line="540" w:lineRule="exact"/>
        <w:ind w:firstLine="560" w:firstLineChars="200"/>
        <w:contextualSpacing/>
        <w:rPr>
          <w:rFonts w:hint="eastAsia" w:ascii="仿宋_GB2312" w:eastAsia="仿宋_GB2312"/>
          <w:sz w:val="28"/>
          <w:szCs w:val="28"/>
        </w:rPr>
      </w:pPr>
      <w:r>
        <w:rPr>
          <w:rFonts w:hint="eastAsia" w:ascii="仿宋_GB2312" w:eastAsia="仿宋_GB2312"/>
          <w:sz w:val="28"/>
          <w:szCs w:val="28"/>
        </w:rPr>
        <w:t>25.4采购合同由采购人与中标供应商根据招标文件、投标文件等内容通过政府采购电子交易平台在线签订，自动备案。</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26. 履约保证金</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_GB2312" w:eastAsia="仿宋_GB2312"/>
          <w:sz w:val="28"/>
          <w:szCs w:val="28"/>
          <w:lang w:val="en-US" w:eastAsia="zh-CN"/>
        </w:rPr>
        <w:t>1</w:t>
      </w:r>
      <w:r>
        <w:rPr>
          <w:rFonts w:hint="eastAsia" w:ascii="仿宋_GB2312" w:eastAsia="仿宋_GB2312"/>
          <w:sz w:val="28"/>
          <w:szCs w:val="28"/>
        </w:rPr>
        <w:t>%。鼓励和支持供应商以银行、保险公司出具的保函形式提供履约保证金。采购人不得拒收履约保函。</w:t>
      </w:r>
    </w:p>
    <w:p>
      <w:pPr>
        <w:spacing w:line="540" w:lineRule="exact"/>
        <w:ind w:firstLine="562" w:firstLineChars="200"/>
        <w:contextualSpacing/>
        <w:rPr>
          <w:rFonts w:ascii="仿宋_GB2312" w:eastAsia="仿宋_GB2312"/>
          <w:b/>
          <w:sz w:val="28"/>
          <w:szCs w:val="28"/>
        </w:rPr>
      </w:pPr>
      <w:r>
        <w:rPr>
          <w:rFonts w:hint="eastAsia" w:ascii="仿宋_GB2312" w:eastAsia="仿宋_GB2312"/>
          <w:b/>
          <w:sz w:val="28"/>
          <w:szCs w:val="28"/>
        </w:rPr>
        <w:t>八、电子交易活动的中止</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27. 电子交易活动的中止。采购过程中出现以下情形，导致电子交易平台无法正常运行，或者无法保证电子交易的公平、公正和安全时，采购代理机构可中止电子交易活动：</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 xml:space="preserve">27.1电子交易平台发生故障而无法登录访问的；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27.2电子交易平台应用或数据库出现错误，不能进行正常操作的；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27.3电子交易平台发现严重安全漏洞，有潜在泄密危险的；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 xml:space="preserve">27.4病毒发作导致不能进行正常操作的；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27.5其他无法保证电子交易的公平、公正和安全的情况。</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28.出现以上情形，不影响采购公平、公正性的，采购组织机构可以待上述情形消除后继续组织电子交易活动，也可以决定某些环节以纸质形式进行；影响或可能影响采购公平、公正性的，应当重新采购。</w:t>
      </w:r>
    </w:p>
    <w:p>
      <w:pPr>
        <w:spacing w:line="540" w:lineRule="exact"/>
        <w:ind w:firstLine="562" w:firstLineChars="200"/>
        <w:contextualSpacing/>
        <w:rPr>
          <w:rFonts w:ascii="仿宋_GB2312" w:eastAsia="仿宋_GB2312"/>
          <w:b/>
          <w:sz w:val="28"/>
          <w:szCs w:val="28"/>
        </w:rPr>
      </w:pPr>
      <w:r>
        <w:rPr>
          <w:rFonts w:hint="eastAsia" w:ascii="仿宋_GB2312" w:eastAsia="仿宋_GB2312"/>
          <w:b/>
          <w:sz w:val="28"/>
          <w:szCs w:val="28"/>
        </w:rPr>
        <w:t>九、验收</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29.验收</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29.2采购人可以邀请参加本项目的其他投标人或者第三方机构参与验收。参与验收的投标人或者第三方机构的意见作为验收书的参考资料一并存档。</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spacing w:line="540" w:lineRule="exact"/>
        <w:contextualSpacing/>
        <w:rPr>
          <w:rFonts w:ascii="仿宋_GB2312" w:eastAsia="仿宋_GB2312"/>
          <w:sz w:val="28"/>
          <w:szCs w:val="28"/>
        </w:rPr>
        <w:sectPr>
          <w:footerReference r:id="rId6" w:type="first"/>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117"/>
        </w:sectPr>
      </w:pPr>
      <w:bookmarkStart w:id="14" w:name="_Hlt68072990"/>
      <w:bookmarkEnd w:id="14"/>
      <w:bookmarkStart w:id="15" w:name="_Hlt68403820"/>
      <w:bookmarkEnd w:id="15"/>
      <w:bookmarkStart w:id="16" w:name="_Hlt75236011"/>
      <w:bookmarkEnd w:id="16"/>
      <w:bookmarkStart w:id="17" w:name="_Hlt75236101"/>
      <w:bookmarkEnd w:id="17"/>
      <w:bookmarkStart w:id="18" w:name="_Hlt68057669"/>
      <w:bookmarkEnd w:id="18"/>
      <w:bookmarkStart w:id="19" w:name="_Hlt68072998"/>
      <w:bookmarkEnd w:id="19"/>
      <w:bookmarkStart w:id="20" w:name="_Hlt74730295"/>
      <w:bookmarkEnd w:id="20"/>
      <w:bookmarkStart w:id="21" w:name="_Hlt74714665"/>
      <w:bookmarkEnd w:id="21"/>
      <w:bookmarkStart w:id="22" w:name="_Hlt68073093"/>
      <w:bookmarkEnd w:id="22"/>
      <w:bookmarkStart w:id="23" w:name="_Hlt74707468"/>
      <w:bookmarkEnd w:id="23"/>
      <w:bookmarkStart w:id="24" w:name="_Hlt75236290"/>
      <w:bookmarkEnd w:id="24"/>
      <w:bookmarkStart w:id="25" w:name="_Hlt74729768"/>
      <w:bookmarkEnd w:id="25"/>
    </w:p>
    <w:bookmarkEnd w:id="11"/>
    <w:bookmarkEnd w:id="12"/>
    <w:p>
      <w:pPr>
        <w:spacing w:line="540" w:lineRule="exact"/>
        <w:contextualSpacing/>
        <w:jc w:val="center"/>
        <w:rPr>
          <w:rFonts w:ascii="仿宋_GB2312" w:eastAsia="仿宋_GB2312"/>
          <w:b/>
          <w:sz w:val="32"/>
          <w:szCs w:val="32"/>
        </w:rPr>
      </w:pPr>
      <w:bookmarkStart w:id="26" w:name="第四部分"/>
      <w:r>
        <w:rPr>
          <w:rFonts w:hint="eastAsia" w:ascii="仿宋_GB2312" w:eastAsia="仿宋_GB2312"/>
          <w:b/>
          <w:sz w:val="32"/>
          <w:szCs w:val="32"/>
        </w:rPr>
        <w:t>第三部分   采购需求</w:t>
      </w:r>
    </w:p>
    <w:p>
      <w:pPr>
        <w:spacing w:line="540" w:lineRule="exact"/>
        <w:contextualSpacing/>
        <w:rPr>
          <w:rFonts w:ascii="仿宋_GB2312" w:eastAsia="仿宋_GB2312"/>
          <w:sz w:val="28"/>
          <w:szCs w:val="28"/>
        </w:rPr>
      </w:pP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项目概况</w:t>
      </w:r>
    </w:p>
    <w:p>
      <w:pPr>
        <w:spacing w:line="560" w:lineRule="exact"/>
        <w:ind w:firstLine="560" w:firstLineChars="200"/>
        <w:jc w:val="left"/>
        <w:rPr>
          <w:rFonts w:hint="eastAsia" w:ascii="仿宋_GB2312" w:hAnsi="黑体" w:eastAsia="仿宋_GB2312"/>
          <w:b w:val="0"/>
          <w:bCs w:val="0"/>
          <w:color w:val="auto"/>
          <w:sz w:val="28"/>
          <w:szCs w:val="28"/>
          <w:highlight w:val="none"/>
          <w:u w:val="none"/>
        </w:rPr>
      </w:pPr>
      <w:r>
        <w:rPr>
          <w:rFonts w:hint="eastAsia" w:ascii="仿宋_GB2312" w:hAnsi="黑体" w:eastAsia="仿宋_GB2312"/>
          <w:b w:val="0"/>
          <w:bCs w:val="0"/>
          <w:color w:val="auto"/>
          <w:sz w:val="28"/>
          <w:szCs w:val="28"/>
          <w:highlight w:val="none"/>
          <w:u w:val="none"/>
        </w:rPr>
        <w:t>根据《舟山市政务云平台管理办法》、《舟山市数字化改革行动方案》等相关要求，市大数据管理中心组织进行舟山市政务云平台服务采购，舟山政务云是支撑舟山市数字化改革业务的重要基础设施，主要为全市各政务部门提供高性能云主机、云存储、云应用、云安全、异地备份等基础设施资源共享服务，为各政务部门间数据交换、共享、应用等提供基础平台支撑。</w:t>
      </w:r>
    </w:p>
    <w:p>
      <w:pPr>
        <w:spacing w:line="560" w:lineRule="exact"/>
        <w:ind w:firstLine="560" w:firstLineChars="200"/>
        <w:jc w:val="left"/>
        <w:rPr>
          <w:rFonts w:hint="eastAsia" w:ascii="仿宋_GB2312" w:hAnsi="黑体" w:eastAsia="仿宋_GB2312"/>
          <w:b w:val="0"/>
          <w:bCs w:val="0"/>
          <w:color w:val="auto"/>
          <w:sz w:val="28"/>
          <w:szCs w:val="28"/>
          <w:highlight w:val="none"/>
          <w:u w:val="none"/>
          <w:lang w:eastAsia="zh-CN"/>
        </w:rPr>
      </w:pPr>
      <w:r>
        <w:rPr>
          <w:rFonts w:hint="eastAsia" w:ascii="仿宋_GB2312" w:hAnsi="黑体" w:eastAsia="仿宋_GB2312"/>
          <w:b w:val="0"/>
          <w:bCs w:val="0"/>
          <w:color w:val="auto"/>
          <w:sz w:val="28"/>
          <w:szCs w:val="28"/>
          <w:highlight w:val="none"/>
          <w:u w:val="none"/>
        </w:rPr>
        <w:t>本项目采用企业建设和运维、政府按需统一购买服务方式进行，通过明确各项服务内容的采购单价和计价规则及云供应商，对经准确登记云资源进行计费并支付费用。由工作小组对云平台供应商服务质量开展监测，从服务安全性、稳定性、响应度、满意度等多维度评价，相关结果作为云平台年度考核重要依据。</w:t>
      </w:r>
    </w:p>
    <w:p>
      <w:pPr>
        <w:spacing w:line="560" w:lineRule="exact"/>
        <w:ind w:firstLine="560" w:firstLineChars="200"/>
        <w:jc w:val="left"/>
        <w:rPr>
          <w:rFonts w:hint="eastAsia" w:ascii="仿宋_GB2312" w:hAnsi="黑体" w:eastAsia="仿宋_GB2312"/>
          <w:b w:val="0"/>
          <w:bCs w:val="0"/>
          <w:color w:val="auto"/>
          <w:sz w:val="32"/>
          <w:szCs w:val="32"/>
          <w:highlight w:val="none"/>
          <w:u w:val="none"/>
        </w:rPr>
      </w:pPr>
      <w:r>
        <w:rPr>
          <w:rFonts w:hint="eastAsia" w:ascii="仿宋_GB2312" w:hAnsi="黑体" w:eastAsia="仿宋_GB2312"/>
          <w:color w:val="auto"/>
          <w:sz w:val="28"/>
          <w:szCs w:val="28"/>
          <w:highlight w:val="none"/>
          <w:u w:val="none"/>
        </w:rPr>
        <w:t>202</w:t>
      </w:r>
      <w:r>
        <w:rPr>
          <w:rFonts w:hint="eastAsia" w:ascii="仿宋_GB2312" w:hAnsi="黑体" w:eastAsia="仿宋_GB2312"/>
          <w:color w:val="auto"/>
          <w:sz w:val="28"/>
          <w:szCs w:val="28"/>
          <w:highlight w:val="none"/>
          <w:u w:val="none"/>
          <w:lang w:eastAsia="zh-CN"/>
        </w:rPr>
        <w:t>3</w:t>
      </w:r>
      <w:r>
        <w:rPr>
          <w:rFonts w:hint="eastAsia" w:ascii="仿宋_GB2312" w:hAnsi="黑体" w:eastAsia="仿宋_GB2312"/>
          <w:color w:val="auto"/>
          <w:sz w:val="28"/>
          <w:szCs w:val="28"/>
          <w:highlight w:val="none"/>
          <w:u w:val="none"/>
        </w:rPr>
        <w:t>年1月1日至本项目招标完成签订合同期间的</w:t>
      </w:r>
      <w:r>
        <w:rPr>
          <w:rFonts w:hint="eastAsia" w:ascii="仿宋_GB2312" w:hAnsi="黑体" w:eastAsia="仿宋_GB2312"/>
          <w:color w:val="auto"/>
          <w:sz w:val="28"/>
          <w:szCs w:val="28"/>
          <w:highlight w:val="none"/>
          <w:u w:val="none"/>
          <w:lang w:val="en-US" w:eastAsia="zh-CN"/>
        </w:rPr>
        <w:t>政务云购买</w:t>
      </w:r>
      <w:r>
        <w:rPr>
          <w:rFonts w:hint="eastAsia" w:ascii="仿宋_GB2312" w:hAnsi="黑体" w:eastAsia="仿宋_GB2312"/>
          <w:color w:val="auto"/>
          <w:sz w:val="28"/>
          <w:szCs w:val="28"/>
          <w:highlight w:val="none"/>
          <w:u w:val="none"/>
        </w:rPr>
        <w:t>服务费</w:t>
      </w:r>
      <w:r>
        <w:rPr>
          <w:rFonts w:hint="eastAsia" w:ascii="仿宋_GB2312" w:hAnsi="黑体" w:eastAsia="仿宋_GB2312"/>
          <w:color w:val="auto"/>
          <w:sz w:val="28"/>
          <w:szCs w:val="28"/>
          <w:highlight w:val="none"/>
          <w:u w:val="none"/>
          <w:lang w:val="en-US" w:eastAsia="zh-CN"/>
        </w:rPr>
        <w:t>可以</w:t>
      </w:r>
      <w:r>
        <w:rPr>
          <w:rFonts w:hint="eastAsia" w:ascii="仿宋_GB2312" w:hAnsi="黑体" w:eastAsia="仿宋_GB2312"/>
          <w:color w:val="auto"/>
          <w:sz w:val="28"/>
          <w:szCs w:val="28"/>
          <w:highlight w:val="none"/>
          <w:u w:val="none"/>
        </w:rPr>
        <w:t>含在本项目预算内，本项目中标供应商须承诺：202</w:t>
      </w:r>
      <w:r>
        <w:rPr>
          <w:rFonts w:hint="eastAsia" w:ascii="仿宋_GB2312" w:hAnsi="黑体" w:eastAsia="仿宋_GB2312"/>
          <w:color w:val="auto"/>
          <w:sz w:val="28"/>
          <w:szCs w:val="28"/>
          <w:highlight w:val="none"/>
          <w:u w:val="none"/>
          <w:lang w:eastAsia="zh-CN"/>
        </w:rPr>
        <w:t>3</w:t>
      </w:r>
      <w:r>
        <w:rPr>
          <w:rFonts w:hint="eastAsia" w:ascii="仿宋_GB2312" w:hAnsi="黑体" w:eastAsia="仿宋_GB2312"/>
          <w:color w:val="auto"/>
          <w:sz w:val="28"/>
          <w:szCs w:val="28"/>
          <w:highlight w:val="none"/>
          <w:u w:val="none"/>
        </w:rPr>
        <w:t>年1月1日至本项目招标完成签订合同期间的</w:t>
      </w:r>
      <w:r>
        <w:rPr>
          <w:rFonts w:hint="eastAsia" w:ascii="仿宋_GB2312" w:hAnsi="黑体" w:eastAsia="仿宋_GB2312"/>
          <w:color w:val="auto"/>
          <w:sz w:val="28"/>
          <w:szCs w:val="28"/>
          <w:highlight w:val="none"/>
          <w:u w:val="none"/>
          <w:lang w:val="en-US" w:eastAsia="zh-CN"/>
        </w:rPr>
        <w:t>政务云购买</w:t>
      </w:r>
      <w:r>
        <w:rPr>
          <w:rFonts w:hint="eastAsia" w:ascii="仿宋_GB2312" w:hAnsi="黑体" w:eastAsia="仿宋_GB2312"/>
          <w:color w:val="auto"/>
          <w:sz w:val="28"/>
          <w:szCs w:val="28"/>
          <w:highlight w:val="none"/>
          <w:u w:val="none"/>
        </w:rPr>
        <w:t>服务费</w:t>
      </w:r>
      <w:r>
        <w:rPr>
          <w:rFonts w:hint="eastAsia" w:ascii="仿宋_GB2312" w:hAnsi="黑体" w:eastAsia="仿宋_GB2312"/>
          <w:color w:val="auto"/>
          <w:sz w:val="28"/>
          <w:szCs w:val="28"/>
          <w:highlight w:val="none"/>
          <w:u w:val="none"/>
          <w:lang w:val="en-US" w:eastAsia="zh-CN"/>
        </w:rPr>
        <w:t>须</w:t>
      </w:r>
      <w:r>
        <w:rPr>
          <w:rFonts w:hint="eastAsia" w:ascii="仿宋_GB2312" w:hAnsi="黑体" w:eastAsia="仿宋_GB2312"/>
          <w:color w:val="auto"/>
          <w:sz w:val="28"/>
          <w:szCs w:val="28"/>
          <w:highlight w:val="none"/>
          <w:u w:val="none"/>
        </w:rPr>
        <w:t>按202</w:t>
      </w:r>
      <w:r>
        <w:rPr>
          <w:rFonts w:hint="eastAsia" w:ascii="仿宋_GB2312" w:hAnsi="黑体" w:eastAsia="仿宋_GB2312"/>
          <w:color w:val="auto"/>
          <w:sz w:val="28"/>
          <w:szCs w:val="28"/>
          <w:highlight w:val="none"/>
          <w:u w:val="none"/>
          <w:lang w:eastAsia="zh-CN"/>
        </w:rPr>
        <w:t>3</w:t>
      </w:r>
      <w:r>
        <w:rPr>
          <w:rFonts w:hint="eastAsia" w:ascii="仿宋_GB2312" w:hAnsi="黑体" w:eastAsia="仿宋_GB2312"/>
          <w:color w:val="auto"/>
          <w:sz w:val="28"/>
          <w:szCs w:val="28"/>
          <w:highlight w:val="none"/>
          <w:u w:val="none"/>
        </w:rPr>
        <w:t>年中标单价结算，经采购单位确认后，由中标供应商支付给采购人现</w:t>
      </w:r>
      <w:r>
        <w:rPr>
          <w:rFonts w:hint="eastAsia" w:ascii="仿宋_GB2312" w:hAnsi="黑体" w:eastAsia="仿宋_GB2312"/>
          <w:color w:val="auto"/>
          <w:sz w:val="28"/>
          <w:szCs w:val="28"/>
          <w:highlight w:val="none"/>
          <w:u w:val="none"/>
          <w:lang w:val="en-US" w:eastAsia="zh-CN"/>
        </w:rPr>
        <w:t>服务</w:t>
      </w:r>
      <w:r>
        <w:rPr>
          <w:rFonts w:hint="eastAsia" w:ascii="仿宋_GB2312" w:hAnsi="黑体" w:eastAsia="仿宋_GB2312"/>
          <w:color w:val="auto"/>
          <w:sz w:val="28"/>
          <w:szCs w:val="28"/>
          <w:highlight w:val="none"/>
          <w:u w:val="none"/>
        </w:rPr>
        <w:t>公司，本项目预算已包含此费用。</w:t>
      </w:r>
    </w:p>
    <w:p>
      <w:pPr>
        <w:spacing w:line="560" w:lineRule="exact"/>
        <w:ind w:firstLine="560" w:firstLineChars="200"/>
        <w:jc w:val="left"/>
        <w:rPr>
          <w:rFonts w:hint="eastAsia" w:ascii="仿宋_GB2312" w:hAnsi="黑体" w:eastAsia="仿宋_GB2312"/>
          <w:b w:val="0"/>
          <w:bCs w:val="0"/>
          <w:color w:val="auto"/>
          <w:sz w:val="28"/>
          <w:szCs w:val="28"/>
          <w:highlight w:val="none"/>
          <w:u w:val="none"/>
        </w:rPr>
      </w:pPr>
      <w:r>
        <w:rPr>
          <w:rFonts w:hint="eastAsia" w:ascii="仿宋_GB2312" w:hAnsi="黑体" w:eastAsia="仿宋_GB2312"/>
          <w:b w:val="0"/>
          <w:bCs w:val="0"/>
          <w:color w:val="auto"/>
          <w:sz w:val="28"/>
          <w:szCs w:val="28"/>
          <w:highlight w:val="none"/>
          <w:u w:val="none"/>
          <w:lang w:eastAsia="zh-CN"/>
        </w:rPr>
        <w:t>二、</w:t>
      </w:r>
      <w:r>
        <w:rPr>
          <w:rFonts w:hint="eastAsia" w:ascii="仿宋_GB2312" w:hAnsi="黑体" w:eastAsia="仿宋_GB2312"/>
          <w:b w:val="0"/>
          <w:bCs w:val="0"/>
          <w:color w:val="auto"/>
          <w:sz w:val="28"/>
          <w:szCs w:val="28"/>
          <w:highlight w:val="none"/>
          <w:u w:val="none"/>
        </w:rPr>
        <w:t>基本要求</w:t>
      </w:r>
    </w:p>
    <w:p>
      <w:pPr>
        <w:pageBreakBefore w:val="0"/>
        <w:kinsoku/>
        <w:wordWrap w:val="0"/>
        <w:overflowPunct/>
        <w:topLinePunct/>
        <w:bidi w:val="0"/>
        <w:adjustRightInd/>
        <w:snapToGrid/>
        <w:spacing w:line="560" w:lineRule="exact"/>
        <w:ind w:firstLine="560" w:firstLineChars="200"/>
        <w:jc w:val="left"/>
        <w:rPr>
          <w:rFonts w:hint="eastAsia" w:ascii="仿宋_GB2312" w:hAnsi="黑体" w:eastAsia="仿宋_GB2312"/>
          <w:b w:val="0"/>
          <w:bCs w:val="0"/>
          <w:color w:val="auto"/>
          <w:sz w:val="28"/>
          <w:szCs w:val="28"/>
          <w:highlight w:val="none"/>
          <w:u w:val="none"/>
        </w:rPr>
      </w:pPr>
      <w:r>
        <w:rPr>
          <w:rFonts w:hint="eastAsia" w:ascii="仿宋_GB2312" w:hAnsi="黑体" w:eastAsia="仿宋_GB2312"/>
          <w:b w:val="0"/>
          <w:bCs w:val="0"/>
          <w:color w:val="auto"/>
          <w:sz w:val="28"/>
          <w:szCs w:val="28"/>
          <w:highlight w:val="none"/>
          <w:u w:val="none"/>
        </w:rPr>
        <w:t>▲1.云平台供应商在政务云主管单位规划指导下，负责政务云资源池</w:t>
      </w:r>
      <w:r>
        <w:rPr>
          <w:rFonts w:hint="eastAsia" w:ascii="仿宋_GB2312" w:hAnsi="黑体" w:eastAsia="仿宋_GB2312"/>
          <w:b w:val="0"/>
          <w:bCs w:val="0"/>
          <w:color w:val="auto"/>
          <w:sz w:val="28"/>
          <w:szCs w:val="28"/>
          <w:highlight w:val="none"/>
          <w:u w:val="none"/>
          <w:lang w:eastAsia="zh-CN"/>
        </w:rPr>
        <w:t>及安全</w:t>
      </w:r>
      <w:r>
        <w:rPr>
          <w:rFonts w:hint="eastAsia" w:ascii="仿宋_GB2312" w:hAnsi="黑体" w:eastAsia="仿宋_GB2312"/>
          <w:b w:val="0"/>
          <w:bCs w:val="0"/>
          <w:color w:val="auto"/>
          <w:sz w:val="28"/>
          <w:szCs w:val="28"/>
          <w:highlight w:val="none"/>
          <w:u w:val="none"/>
        </w:rPr>
        <w:t>的建设和维护升级，所建资源池满足使用单位上云服务需求</w:t>
      </w:r>
      <w:r>
        <w:rPr>
          <w:rFonts w:hint="eastAsia" w:ascii="仿宋_GB2312" w:hAnsi="黑体" w:eastAsia="仿宋_GB2312"/>
          <w:b w:val="0"/>
          <w:bCs w:val="0"/>
          <w:color w:val="auto"/>
          <w:sz w:val="28"/>
          <w:szCs w:val="28"/>
          <w:highlight w:val="none"/>
          <w:u w:val="none"/>
          <w:lang w:eastAsia="zh-CN"/>
        </w:rPr>
        <w:t>且能准确计费计价，建立健全值班值守、运维规范、信息管理、安全管理等工作机制，确保云平台</w:t>
      </w:r>
      <w:r>
        <w:rPr>
          <w:rFonts w:hint="eastAsia" w:ascii="仿宋_GB2312" w:hAnsi="黑体" w:eastAsia="仿宋_GB2312"/>
          <w:b w:val="0"/>
          <w:bCs w:val="0"/>
          <w:color w:val="auto"/>
          <w:sz w:val="28"/>
          <w:szCs w:val="28"/>
          <w:highlight w:val="none"/>
          <w:u w:val="none"/>
          <w:lang w:val="en-US" w:eastAsia="zh-CN"/>
        </w:rPr>
        <w:t>稳定运行</w:t>
      </w:r>
      <w:r>
        <w:rPr>
          <w:rFonts w:hint="eastAsia" w:ascii="仿宋_GB2312" w:hAnsi="黑体" w:eastAsia="仿宋_GB2312"/>
          <w:b w:val="0"/>
          <w:bCs w:val="0"/>
          <w:color w:val="auto"/>
          <w:sz w:val="28"/>
          <w:szCs w:val="28"/>
          <w:highlight w:val="none"/>
          <w:u w:val="none"/>
        </w:rPr>
        <w:t>。</w:t>
      </w:r>
    </w:p>
    <w:p>
      <w:pPr>
        <w:pageBreakBefore w:val="0"/>
        <w:kinsoku/>
        <w:wordWrap w:val="0"/>
        <w:overflowPunct/>
        <w:topLinePunct/>
        <w:bidi w:val="0"/>
        <w:adjustRightInd/>
        <w:snapToGrid/>
        <w:spacing w:line="560" w:lineRule="exact"/>
        <w:ind w:firstLine="560" w:firstLineChars="200"/>
        <w:jc w:val="left"/>
        <w:rPr>
          <w:rFonts w:hint="eastAsia" w:ascii="仿宋_GB2312" w:hAnsi="黑体" w:eastAsia="仿宋_GB2312"/>
          <w:b w:val="0"/>
          <w:bCs w:val="0"/>
          <w:color w:val="auto"/>
          <w:sz w:val="28"/>
          <w:szCs w:val="28"/>
          <w:highlight w:val="none"/>
          <w:u w:val="none"/>
        </w:rPr>
      </w:pPr>
      <w:r>
        <w:rPr>
          <w:rFonts w:hint="eastAsia" w:ascii="仿宋_GB2312" w:hAnsi="黑体" w:eastAsia="仿宋_GB2312"/>
          <w:b w:val="0"/>
          <w:bCs w:val="0"/>
          <w:color w:val="auto"/>
          <w:sz w:val="28"/>
          <w:szCs w:val="28"/>
          <w:highlight w:val="none"/>
          <w:u w:val="none"/>
        </w:rPr>
        <w:t>2.基础云服务：包括政务专用要求、云平台带宽、服务区域划分、通过中央网信办云计算服务安全评估、安全等级保护和服务器支撑。</w:t>
      </w:r>
    </w:p>
    <w:p>
      <w:pPr>
        <w:pageBreakBefore w:val="0"/>
        <w:kinsoku/>
        <w:wordWrap w:val="0"/>
        <w:overflowPunct/>
        <w:topLinePunct/>
        <w:bidi w:val="0"/>
        <w:adjustRightInd/>
        <w:snapToGrid/>
        <w:spacing w:line="560" w:lineRule="exact"/>
        <w:ind w:firstLine="560" w:firstLineChars="200"/>
        <w:jc w:val="left"/>
        <w:rPr>
          <w:rFonts w:hint="eastAsia" w:ascii="仿宋_GB2312" w:hAnsi="黑体" w:eastAsia="仿宋_GB2312"/>
          <w:b w:val="0"/>
          <w:bCs w:val="0"/>
          <w:color w:val="auto"/>
          <w:sz w:val="28"/>
          <w:szCs w:val="28"/>
          <w:highlight w:val="none"/>
          <w:u w:val="none"/>
        </w:rPr>
      </w:pPr>
      <w:r>
        <w:rPr>
          <w:rFonts w:hint="eastAsia" w:ascii="仿宋_GB2312" w:hAnsi="黑体" w:eastAsia="仿宋_GB2312"/>
          <w:b w:val="0"/>
          <w:bCs w:val="0"/>
          <w:color w:val="auto"/>
          <w:sz w:val="28"/>
          <w:szCs w:val="28"/>
          <w:highlight w:val="none"/>
          <w:u w:val="none"/>
        </w:rPr>
        <w:t>3.云平台基础服务：包括云平台软件、云平台架构、云主机、云存储、云数据库、云主机数据盘、云负载均衡、异地备份。</w:t>
      </w:r>
    </w:p>
    <w:p>
      <w:pPr>
        <w:pageBreakBefore w:val="0"/>
        <w:kinsoku/>
        <w:wordWrap w:val="0"/>
        <w:overflowPunct/>
        <w:topLinePunct/>
        <w:bidi w:val="0"/>
        <w:adjustRightInd/>
        <w:snapToGrid/>
        <w:spacing w:line="560" w:lineRule="exact"/>
        <w:ind w:firstLine="560" w:firstLineChars="200"/>
        <w:jc w:val="left"/>
        <w:rPr>
          <w:rFonts w:hint="eastAsia" w:ascii="仿宋_GB2312" w:hAnsi="黑体" w:eastAsia="仿宋_GB2312"/>
          <w:b w:val="0"/>
          <w:bCs w:val="0"/>
          <w:color w:val="auto"/>
          <w:sz w:val="28"/>
          <w:szCs w:val="28"/>
          <w:highlight w:val="none"/>
          <w:u w:val="none"/>
        </w:rPr>
      </w:pPr>
      <w:r>
        <w:rPr>
          <w:rFonts w:hint="eastAsia" w:ascii="仿宋_GB2312" w:hAnsi="黑体" w:eastAsia="仿宋_GB2312"/>
          <w:b w:val="0"/>
          <w:bCs w:val="0"/>
          <w:color w:val="auto"/>
          <w:sz w:val="28"/>
          <w:szCs w:val="28"/>
          <w:highlight w:val="none"/>
          <w:u w:val="none"/>
        </w:rPr>
        <w:t>4.云安全服务：包括统一基础云安全服务。</w:t>
      </w:r>
    </w:p>
    <w:p>
      <w:pPr>
        <w:pageBreakBefore w:val="0"/>
        <w:kinsoku/>
        <w:wordWrap w:val="0"/>
        <w:overflowPunct/>
        <w:topLinePunct/>
        <w:bidi w:val="0"/>
        <w:adjustRightInd/>
        <w:snapToGrid/>
        <w:spacing w:line="560" w:lineRule="exact"/>
        <w:ind w:firstLine="560" w:firstLineChars="200"/>
        <w:jc w:val="left"/>
        <w:rPr>
          <w:rFonts w:hint="eastAsia" w:ascii="仿宋_GB2312" w:hAnsi="黑体" w:eastAsia="仿宋_GB2312"/>
          <w:b w:val="0"/>
          <w:bCs w:val="0"/>
          <w:color w:val="auto"/>
          <w:sz w:val="28"/>
          <w:szCs w:val="28"/>
          <w:highlight w:val="none"/>
          <w:u w:val="none"/>
        </w:rPr>
      </w:pPr>
      <w:r>
        <w:rPr>
          <w:rFonts w:hint="eastAsia" w:ascii="仿宋_GB2312" w:hAnsi="黑体" w:eastAsia="仿宋_GB2312"/>
          <w:b w:val="0"/>
          <w:bCs w:val="0"/>
          <w:color w:val="auto"/>
          <w:sz w:val="28"/>
          <w:szCs w:val="28"/>
          <w:highlight w:val="none"/>
          <w:u w:val="none"/>
        </w:rPr>
        <w:t>5.云平台监管及审计：包括基本云管平台、运行监测系统。</w:t>
      </w:r>
    </w:p>
    <w:p>
      <w:pPr>
        <w:pageBreakBefore w:val="0"/>
        <w:kinsoku/>
        <w:wordWrap w:val="0"/>
        <w:overflowPunct/>
        <w:topLinePunct/>
        <w:bidi w:val="0"/>
        <w:adjustRightInd/>
        <w:snapToGrid/>
        <w:spacing w:line="560" w:lineRule="exact"/>
        <w:ind w:firstLine="560" w:firstLineChars="200"/>
        <w:jc w:val="left"/>
        <w:rPr>
          <w:rFonts w:hint="eastAsia" w:ascii="仿宋_GB2312" w:hAnsi="黑体" w:eastAsia="仿宋_GB2312"/>
          <w:b w:val="0"/>
          <w:bCs w:val="0"/>
          <w:color w:val="auto"/>
          <w:sz w:val="28"/>
          <w:szCs w:val="28"/>
          <w:highlight w:val="none"/>
          <w:u w:val="none"/>
        </w:rPr>
      </w:pPr>
      <w:r>
        <w:rPr>
          <w:rFonts w:hint="eastAsia" w:ascii="仿宋_GB2312" w:hAnsi="黑体" w:eastAsia="仿宋_GB2312"/>
          <w:b w:val="0"/>
          <w:bCs w:val="0"/>
          <w:color w:val="auto"/>
          <w:sz w:val="28"/>
          <w:szCs w:val="28"/>
          <w:highlight w:val="none"/>
          <w:u w:val="none"/>
        </w:rPr>
        <w:t>6.云应用服务：云备份、大数据服务。</w:t>
      </w:r>
    </w:p>
    <w:p>
      <w:pPr>
        <w:pageBreakBefore w:val="0"/>
        <w:kinsoku/>
        <w:wordWrap w:val="0"/>
        <w:overflowPunct/>
        <w:topLinePunct/>
        <w:bidi w:val="0"/>
        <w:adjustRightInd/>
        <w:snapToGrid/>
        <w:spacing w:line="560" w:lineRule="exact"/>
        <w:ind w:firstLine="560" w:firstLineChars="200"/>
        <w:jc w:val="left"/>
        <w:rPr>
          <w:rFonts w:hint="eastAsia" w:ascii="仿宋_GB2312" w:hAnsi="黑体" w:eastAsia="仿宋_GB2312"/>
          <w:b w:val="0"/>
          <w:bCs w:val="0"/>
          <w:color w:val="auto"/>
          <w:sz w:val="28"/>
          <w:szCs w:val="28"/>
          <w:highlight w:val="none"/>
          <w:u w:val="none"/>
        </w:rPr>
      </w:pPr>
      <w:r>
        <w:rPr>
          <w:rFonts w:hint="eastAsia" w:ascii="仿宋_GB2312" w:hAnsi="黑体" w:eastAsia="仿宋_GB2312"/>
          <w:b w:val="0"/>
          <w:bCs w:val="0"/>
          <w:color w:val="auto"/>
          <w:sz w:val="28"/>
          <w:szCs w:val="28"/>
          <w:highlight w:val="none"/>
          <w:u w:val="none"/>
        </w:rPr>
        <w:t>7.IDC托管服务：包括IDC托管机房、网络支持。</w:t>
      </w:r>
    </w:p>
    <w:p>
      <w:pPr>
        <w:pageBreakBefore w:val="0"/>
        <w:kinsoku/>
        <w:wordWrap w:val="0"/>
        <w:overflowPunct/>
        <w:topLinePunct/>
        <w:bidi w:val="0"/>
        <w:adjustRightInd/>
        <w:snapToGrid/>
        <w:spacing w:line="560" w:lineRule="exact"/>
        <w:ind w:firstLine="560" w:firstLineChars="200"/>
        <w:jc w:val="left"/>
        <w:rPr>
          <w:rFonts w:hint="eastAsia" w:ascii="仿宋_GB2312" w:hAnsi="黑体" w:eastAsia="仿宋_GB2312"/>
          <w:b w:val="0"/>
          <w:bCs w:val="0"/>
          <w:color w:val="auto"/>
          <w:sz w:val="28"/>
          <w:szCs w:val="28"/>
          <w:highlight w:val="none"/>
          <w:u w:val="none"/>
        </w:rPr>
      </w:pPr>
      <w:r>
        <w:rPr>
          <w:rFonts w:hint="eastAsia" w:ascii="仿宋_GB2312" w:hAnsi="黑体" w:eastAsia="仿宋_GB2312"/>
          <w:b w:val="0"/>
          <w:bCs w:val="0"/>
          <w:color w:val="auto"/>
          <w:sz w:val="28"/>
          <w:szCs w:val="28"/>
          <w:highlight w:val="none"/>
          <w:u w:val="none"/>
        </w:rPr>
        <w:t>8.云技术支持服务：应用迁移咨询服务、其他技术服务、培训服务。</w:t>
      </w:r>
    </w:p>
    <w:p>
      <w:pPr>
        <w:pageBreakBefore w:val="0"/>
        <w:kinsoku/>
        <w:wordWrap w:val="0"/>
        <w:overflowPunct/>
        <w:topLinePunct/>
        <w:bidi w:val="0"/>
        <w:adjustRightInd/>
        <w:snapToGrid/>
        <w:spacing w:line="560" w:lineRule="exact"/>
        <w:ind w:firstLine="560" w:firstLineChars="200"/>
        <w:jc w:val="left"/>
        <w:rPr>
          <w:rFonts w:hint="eastAsia" w:eastAsia="仿宋_GB2312"/>
          <w:lang w:eastAsia="zh-CN"/>
        </w:rPr>
      </w:pPr>
      <w:r>
        <w:rPr>
          <w:rFonts w:hint="eastAsia" w:ascii="仿宋_GB2312" w:hAnsi="黑体" w:eastAsia="仿宋_GB2312"/>
          <w:b w:val="0"/>
          <w:bCs w:val="0"/>
          <w:color w:val="auto"/>
          <w:sz w:val="28"/>
          <w:szCs w:val="28"/>
          <w:highlight w:val="none"/>
          <w:u w:val="none"/>
        </w:rPr>
        <w:t>9.计算服务：云服务器是一种简单高效、处理能力可弹性伸缩的具有高可用性、安全性和弹性的计算服务。云服务器采用了业界标准和成熟的虚拟化技术，具备操作易用、容灾备份、灵活扩展、节约成本等优势，可根据用户的需求动态地创建和分配计算资源与存储资源</w:t>
      </w:r>
      <w:r>
        <w:rPr>
          <w:rFonts w:hint="eastAsia" w:ascii="仿宋_GB2312" w:hAnsi="黑体" w:eastAsia="仿宋_GB2312"/>
          <w:b w:val="0"/>
          <w:bCs w:val="0"/>
          <w:color w:val="auto"/>
          <w:sz w:val="28"/>
          <w:szCs w:val="28"/>
          <w:highlight w:val="none"/>
          <w:u w:val="none"/>
          <w:lang w:eastAsia="zh-CN"/>
        </w:rPr>
        <w:t>，同时</w:t>
      </w:r>
      <w:r>
        <w:rPr>
          <w:rFonts w:hint="eastAsia" w:ascii="仿宋_GB2312" w:hAnsi="黑体" w:eastAsia="仿宋_GB2312"/>
          <w:b w:val="0"/>
          <w:bCs w:val="0"/>
          <w:color w:val="auto"/>
          <w:sz w:val="28"/>
          <w:szCs w:val="28"/>
          <w:highlight w:val="none"/>
          <w:u w:val="none"/>
        </w:rPr>
        <w:t>满足用户多样化的计算和存储需求。</w:t>
      </w:r>
      <w:r>
        <w:rPr>
          <w:rFonts w:hint="eastAsia" w:ascii="仿宋_GB2312" w:hAnsi="黑体" w:eastAsia="仿宋_GB2312"/>
          <w:b w:val="0"/>
          <w:bCs w:val="0"/>
          <w:color w:val="auto"/>
          <w:sz w:val="28"/>
          <w:szCs w:val="28"/>
          <w:highlight w:val="none"/>
          <w:u w:val="none"/>
          <w:lang w:eastAsia="zh-CN"/>
        </w:rPr>
        <w:t>除此之外，包括云服务器在内的</w:t>
      </w:r>
      <w:r>
        <w:rPr>
          <w:rFonts w:hint="eastAsia" w:ascii="仿宋_GB2312" w:hAnsi="黑体" w:eastAsia="仿宋_GB2312"/>
          <w:b w:val="0"/>
          <w:bCs w:val="0"/>
          <w:color w:val="auto"/>
          <w:sz w:val="28"/>
          <w:szCs w:val="28"/>
          <w:highlight w:val="none"/>
          <w:u w:val="none"/>
        </w:rPr>
        <w:t>四大件产品</w:t>
      </w:r>
      <w:r>
        <w:rPr>
          <w:rFonts w:hint="eastAsia" w:ascii="仿宋_GB2312" w:hAnsi="黑体" w:eastAsia="仿宋_GB2312"/>
          <w:b w:val="0"/>
          <w:bCs w:val="0"/>
          <w:color w:val="auto"/>
          <w:sz w:val="28"/>
          <w:szCs w:val="28"/>
          <w:highlight w:val="none"/>
          <w:u w:val="none"/>
          <w:lang w:eastAsia="zh-CN"/>
        </w:rPr>
        <w:t>开设和云资源自动开通。</w:t>
      </w:r>
    </w:p>
    <w:p>
      <w:pPr>
        <w:pageBreakBefore w:val="0"/>
        <w:kinsoku/>
        <w:wordWrap w:val="0"/>
        <w:overflowPunct/>
        <w:topLinePunct/>
        <w:bidi w:val="0"/>
        <w:adjustRightInd/>
        <w:snapToGrid/>
        <w:spacing w:line="560" w:lineRule="exact"/>
        <w:ind w:firstLine="560" w:firstLineChars="200"/>
        <w:jc w:val="both"/>
        <w:rPr>
          <w:rFonts w:hint="eastAsia" w:ascii="仿宋_GB2312" w:hAnsi="黑体" w:eastAsia="仿宋_GB2312"/>
          <w:b w:val="0"/>
          <w:bCs w:val="0"/>
          <w:color w:val="auto"/>
          <w:sz w:val="28"/>
          <w:szCs w:val="28"/>
          <w:highlight w:val="none"/>
          <w:u w:val="none"/>
          <w:lang w:eastAsia="zh-CN"/>
        </w:rPr>
      </w:pPr>
      <w:r>
        <w:rPr>
          <w:rFonts w:hint="eastAsia" w:ascii="仿宋_GB2312" w:hAnsi="黑体" w:eastAsia="仿宋_GB2312"/>
          <w:b w:val="0"/>
          <w:bCs w:val="0"/>
          <w:color w:val="auto"/>
          <w:sz w:val="28"/>
          <w:szCs w:val="28"/>
          <w:highlight w:val="none"/>
          <w:u w:val="none"/>
        </w:rPr>
        <w:t>▲1</w:t>
      </w:r>
      <w:r>
        <w:rPr>
          <w:rFonts w:hint="eastAsia" w:ascii="仿宋_GB2312" w:hAnsi="黑体" w:eastAsia="仿宋_GB2312"/>
          <w:b w:val="0"/>
          <w:bCs w:val="0"/>
          <w:color w:val="auto"/>
          <w:sz w:val="28"/>
          <w:szCs w:val="28"/>
          <w:highlight w:val="none"/>
          <w:u w:val="none"/>
          <w:lang w:val="en-US" w:eastAsia="zh-CN"/>
        </w:rPr>
        <w:t>0</w:t>
      </w:r>
      <w:r>
        <w:rPr>
          <w:rFonts w:hint="eastAsia" w:ascii="仿宋_GB2312" w:hAnsi="黑体" w:eastAsia="仿宋_GB2312"/>
          <w:b w:val="0"/>
          <w:bCs w:val="0"/>
          <w:color w:val="auto"/>
          <w:sz w:val="28"/>
          <w:szCs w:val="28"/>
          <w:highlight w:val="none"/>
          <w:u w:val="none"/>
        </w:rPr>
        <w:t>.云主机迁移。云平台根据物理主机负载情况综合调度，将云主机在不停机状态下从一台物理主机迁移到另外一台物理主机；在线迁移时，云主机应用完全不中断，用户完全无感知。</w:t>
      </w:r>
    </w:p>
    <w:p>
      <w:pPr>
        <w:pageBreakBefore w:val="0"/>
        <w:kinsoku/>
        <w:wordWrap w:val="0"/>
        <w:overflowPunct/>
        <w:topLinePunct/>
        <w:bidi w:val="0"/>
        <w:adjustRightInd/>
        <w:snapToGrid/>
        <w:spacing w:line="560" w:lineRule="exact"/>
        <w:ind w:firstLine="560" w:firstLineChars="200"/>
        <w:jc w:val="both"/>
        <w:rPr>
          <w:rFonts w:hint="eastAsia" w:ascii="仿宋_GB2312" w:hAnsi="黑体" w:eastAsia="仿宋_GB2312"/>
          <w:color w:val="auto"/>
          <w:sz w:val="28"/>
          <w:szCs w:val="28"/>
          <w:highlight w:val="none"/>
          <w:u w:val="none"/>
        </w:rPr>
      </w:pPr>
      <w:r>
        <w:rPr>
          <w:rFonts w:hint="eastAsia" w:ascii="仿宋_GB2312" w:hAnsi="黑体" w:eastAsia="仿宋_GB2312"/>
          <w:color w:val="auto"/>
          <w:sz w:val="28"/>
          <w:szCs w:val="28"/>
          <w:highlight w:val="none"/>
          <w:u w:val="none"/>
          <w:lang w:eastAsia="zh-CN"/>
        </w:rPr>
        <w:t>1</w:t>
      </w:r>
      <w:r>
        <w:rPr>
          <w:rFonts w:hint="eastAsia" w:ascii="仿宋_GB2312" w:hAnsi="黑体" w:eastAsia="仿宋_GB2312"/>
          <w:color w:val="auto"/>
          <w:sz w:val="28"/>
          <w:szCs w:val="28"/>
          <w:highlight w:val="none"/>
          <w:u w:val="none"/>
          <w:lang w:val="en-US" w:eastAsia="zh-CN"/>
        </w:rPr>
        <w:t>1</w:t>
      </w:r>
      <w:r>
        <w:rPr>
          <w:rFonts w:hint="eastAsia" w:ascii="仿宋_GB2312" w:hAnsi="黑体" w:eastAsia="仿宋_GB2312"/>
          <w:b w:val="0"/>
          <w:bCs w:val="0"/>
          <w:color w:val="auto"/>
          <w:sz w:val="28"/>
          <w:szCs w:val="28"/>
          <w:highlight w:val="none"/>
          <w:u w:val="none"/>
        </w:rPr>
        <w:t>.</w:t>
      </w:r>
      <w:r>
        <w:rPr>
          <w:rFonts w:hint="eastAsia" w:ascii="仿宋_GB2312" w:hAnsi="黑体" w:eastAsia="仿宋_GB2312"/>
          <w:color w:val="auto"/>
          <w:sz w:val="28"/>
          <w:szCs w:val="28"/>
          <w:highlight w:val="none"/>
          <w:u w:val="none"/>
        </w:rPr>
        <w:t>政务云国产化</w:t>
      </w:r>
      <w:r>
        <w:rPr>
          <w:rFonts w:hint="eastAsia" w:ascii="仿宋_GB2312" w:hAnsi="黑体" w:eastAsia="仿宋_GB2312"/>
          <w:color w:val="auto"/>
          <w:sz w:val="28"/>
          <w:szCs w:val="28"/>
          <w:highlight w:val="none"/>
          <w:u w:val="none"/>
          <w:lang w:val="en-US" w:eastAsia="zh-CN"/>
        </w:rPr>
        <w:t>资源</w:t>
      </w:r>
    </w:p>
    <w:p>
      <w:pPr>
        <w:pageBreakBefore w:val="0"/>
        <w:kinsoku/>
        <w:wordWrap w:val="0"/>
        <w:overflowPunct/>
        <w:topLinePunct/>
        <w:bidi w:val="0"/>
        <w:adjustRightInd/>
        <w:snapToGrid/>
        <w:spacing w:line="560" w:lineRule="exact"/>
        <w:ind w:firstLine="560" w:firstLineChars="200"/>
        <w:jc w:val="both"/>
        <w:rPr>
          <w:rFonts w:ascii="楷体" w:hAnsi="楷体" w:eastAsia="楷体"/>
          <w:sz w:val="32"/>
          <w:szCs w:val="32"/>
        </w:rPr>
      </w:pPr>
      <w:r>
        <w:rPr>
          <w:rFonts w:hint="eastAsia" w:ascii="仿宋_GB2312" w:hAnsi="黑体" w:eastAsia="仿宋_GB2312"/>
          <w:color w:val="auto"/>
          <w:sz w:val="28"/>
          <w:szCs w:val="28"/>
          <w:highlight w:val="none"/>
          <w:u w:val="none"/>
        </w:rPr>
        <w:t>租赁服务主要包括：1）云服务器；2）云存储（对象存储）；3）负载均衡；4）专有网络；5）数据库；6）分布式数据库；7）中间件；8）操作系统；9）云平台安全服务；10）平台国密改造服务；11）云租户安全（含等保安全、密码服务）；1</w:t>
      </w:r>
      <w:r>
        <w:rPr>
          <w:rFonts w:hint="eastAsia" w:ascii="仿宋_GB2312" w:hAnsi="黑体" w:eastAsia="仿宋_GB2312"/>
          <w:color w:val="auto"/>
          <w:sz w:val="28"/>
          <w:szCs w:val="28"/>
          <w:highlight w:val="none"/>
          <w:u w:val="none"/>
          <w:lang w:val="en-US" w:eastAsia="zh-CN"/>
        </w:rPr>
        <w:t>2</w:t>
      </w:r>
      <w:r>
        <w:rPr>
          <w:rFonts w:hint="eastAsia" w:ascii="仿宋_GB2312" w:hAnsi="黑体" w:eastAsia="仿宋_GB2312"/>
          <w:color w:val="auto"/>
          <w:sz w:val="28"/>
          <w:szCs w:val="28"/>
          <w:highlight w:val="none"/>
          <w:u w:val="none"/>
        </w:rPr>
        <w:t>）信息系统密码测评服务。</w:t>
      </w:r>
    </w:p>
    <w:p>
      <w:pPr>
        <w:pageBreakBefore w:val="0"/>
        <w:numPr>
          <w:ilvl w:val="0"/>
          <w:numId w:val="0"/>
        </w:numPr>
        <w:kinsoku/>
        <w:wordWrap w:val="0"/>
        <w:overflowPunct/>
        <w:topLinePunct/>
        <w:bidi w:val="0"/>
        <w:adjustRightInd/>
        <w:snapToGrid/>
        <w:spacing w:line="560" w:lineRule="exact"/>
        <w:ind w:firstLine="560" w:firstLineChars="200"/>
        <w:jc w:val="left"/>
        <w:rPr>
          <w:rFonts w:hint="eastAsia" w:ascii="仿宋_GB2312" w:hAnsi="黑体" w:eastAsia="仿宋_GB2312"/>
          <w:color w:val="auto"/>
          <w:sz w:val="28"/>
          <w:szCs w:val="28"/>
          <w:highlight w:val="none"/>
          <w:u w:val="none"/>
          <w:lang w:eastAsia="zh-CN"/>
        </w:rPr>
      </w:pPr>
      <w:r>
        <w:rPr>
          <w:rFonts w:hint="eastAsia" w:ascii="仿宋_GB2312" w:hAnsi="黑体" w:eastAsia="仿宋_GB2312"/>
          <w:color w:val="auto"/>
          <w:sz w:val="28"/>
          <w:szCs w:val="28"/>
          <w:highlight w:val="none"/>
          <w:u w:val="none"/>
          <w:lang w:eastAsia="zh-CN"/>
        </w:rPr>
        <w:t>三、</w:t>
      </w:r>
      <w:r>
        <w:rPr>
          <w:rFonts w:hint="eastAsia" w:ascii="仿宋_GB2312" w:hAnsi="黑体" w:eastAsia="仿宋_GB2312"/>
          <w:color w:val="auto"/>
          <w:sz w:val="28"/>
          <w:szCs w:val="28"/>
          <w:highlight w:val="none"/>
          <w:u w:val="none"/>
        </w:rPr>
        <w:t>采购</w:t>
      </w:r>
      <w:r>
        <w:rPr>
          <w:rFonts w:hint="eastAsia" w:ascii="仿宋_GB2312" w:hAnsi="黑体" w:eastAsia="仿宋_GB2312"/>
          <w:color w:val="auto"/>
          <w:sz w:val="28"/>
          <w:szCs w:val="28"/>
          <w:highlight w:val="none"/>
          <w:u w:val="none"/>
          <w:lang w:eastAsia="zh-CN"/>
        </w:rPr>
        <w:t>清单</w:t>
      </w:r>
    </w:p>
    <w:p>
      <w:pPr>
        <w:pageBreakBefore w:val="0"/>
        <w:numPr>
          <w:ilvl w:val="-1"/>
          <w:numId w:val="0"/>
        </w:numPr>
        <w:kinsoku/>
        <w:wordWrap w:val="0"/>
        <w:overflowPunct/>
        <w:topLinePunct/>
        <w:bidi w:val="0"/>
        <w:adjustRightInd/>
        <w:snapToGrid/>
        <w:spacing w:line="560" w:lineRule="exact"/>
        <w:ind w:firstLine="0" w:firstLineChars="0"/>
        <w:jc w:val="left"/>
        <w:rPr>
          <w:rFonts w:hint="default" w:ascii="仿宋_GB2312" w:hAnsi="黑体" w:eastAsia="仿宋_GB2312"/>
          <w:color w:val="auto"/>
          <w:sz w:val="28"/>
          <w:szCs w:val="28"/>
          <w:highlight w:val="none"/>
          <w:u w:val="none"/>
        </w:rPr>
      </w:pPr>
      <w:r>
        <w:rPr>
          <w:rFonts w:hint="eastAsia" w:ascii="仿宋_GB2312" w:hAnsi="黑体" w:eastAsia="仿宋_GB2312"/>
          <w:color w:val="auto"/>
          <w:sz w:val="28"/>
          <w:szCs w:val="28"/>
          <w:highlight w:val="none"/>
          <w:u w:val="none"/>
          <w:lang w:val="en-US" w:eastAsia="zh-CN"/>
        </w:rPr>
        <w:t xml:space="preserve">   （一）政务云</w:t>
      </w:r>
    </w:p>
    <w:tbl>
      <w:tblPr>
        <w:tblStyle w:val="15"/>
        <w:tblW w:w="50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00"/>
        <w:gridCol w:w="991"/>
        <w:gridCol w:w="1980"/>
        <w:gridCol w:w="319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247"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522"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服务类别</w:t>
            </w:r>
          </w:p>
        </w:tc>
        <w:tc>
          <w:tcPr>
            <w:tcW w:w="1721" w:type="pct"/>
            <w:gridSpan w:val="2"/>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服务名称</w:t>
            </w:r>
          </w:p>
        </w:tc>
        <w:tc>
          <w:tcPr>
            <w:tcW w:w="1853"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采购规格（单位）</w:t>
            </w:r>
          </w:p>
        </w:tc>
        <w:tc>
          <w:tcPr>
            <w:tcW w:w="655" w:type="pct"/>
            <w:noWrap w:val="0"/>
            <w:vAlign w:val="center"/>
          </w:tcPr>
          <w:p>
            <w:pPr>
              <w:pageBreakBefore w:val="0"/>
              <w:kinsoku/>
              <w:wordWrap w:val="0"/>
              <w:overflowPunct/>
              <w:topLinePunct/>
              <w:bidi w:val="0"/>
              <w:adjustRightInd/>
              <w:snapToGrid/>
              <w:spacing w:line="360" w:lineRule="auto"/>
              <w:rPr>
                <w:rFonts w:hint="eastAsia" w:ascii="宋体" w:hAnsi="宋体" w:eastAsia="宋体" w:cs="宋体"/>
                <w:szCs w:val="21"/>
              </w:rPr>
            </w:pPr>
          </w:p>
          <w:p>
            <w:pPr>
              <w:pageBreakBefore w:val="0"/>
              <w:widowControl/>
              <w:kinsoku/>
              <w:wordWrap w:val="0"/>
              <w:overflowPunct/>
              <w:topLinePunct/>
              <w:bidi w:val="0"/>
              <w:adjustRightInd/>
              <w:snapToGrid/>
              <w:spacing w:line="36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eastAsia="zh-CN"/>
              </w:rPr>
              <w:t>最高限价</w:t>
            </w:r>
            <w:r>
              <w:rPr>
                <w:rFonts w:hint="eastAsia" w:ascii="宋体" w:hAnsi="宋体" w:eastAsia="宋体" w:cs="宋体"/>
                <w:b/>
                <w:bCs/>
                <w:color w:val="000000"/>
                <w:kern w:val="0"/>
                <w:szCs w:val="21"/>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p>
        </w:tc>
        <w:tc>
          <w:tcPr>
            <w:tcW w:w="522" w:type="pct"/>
            <w:vMerge w:val="restar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计算服务</w:t>
            </w:r>
          </w:p>
        </w:tc>
        <w:tc>
          <w:tcPr>
            <w:tcW w:w="1721" w:type="pct"/>
            <w:gridSpan w:val="2"/>
            <w:vMerge w:val="restar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云服务器</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一</w:t>
            </w:r>
            <w:r>
              <w:rPr>
                <w:rFonts w:hint="eastAsia" w:ascii="宋体" w:hAnsi="宋体" w:eastAsia="宋体" w:cs="宋体"/>
                <w:color w:val="000000"/>
                <w:kern w:val="0"/>
                <w:szCs w:val="21"/>
              </w:rPr>
              <w:t>核，</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55.12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一</w:t>
            </w:r>
            <w:r>
              <w:rPr>
                <w:rFonts w:hint="eastAsia" w:ascii="宋体" w:hAnsi="宋体" w:eastAsia="宋体" w:cs="宋体"/>
                <w:color w:val="000000"/>
                <w:kern w:val="0"/>
                <w:szCs w:val="21"/>
              </w:rPr>
              <w:t>核，</w:t>
            </w: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一</w:t>
            </w:r>
            <w:r>
              <w:rPr>
                <w:rFonts w:hint="eastAsia" w:ascii="宋体" w:hAnsi="宋体" w:eastAsia="宋体" w:cs="宋体"/>
                <w:color w:val="000000"/>
                <w:kern w:val="0"/>
                <w:szCs w:val="21"/>
              </w:rPr>
              <w:t>核，</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lang w:eastAsia="zh-CN"/>
              </w:rPr>
            </w:pPr>
            <w:r>
              <w:rPr>
                <w:rFonts w:hint="eastAsia" w:ascii="宋体" w:hAnsi="宋体" w:eastAsia="宋体" w:cs="宋体"/>
                <w:color w:val="000000"/>
                <w:szCs w:val="21"/>
                <w:lang w:val="en-US" w:eastAsia="zh-CN"/>
              </w:rPr>
              <w:t>4</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两核，4GB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5</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两核，8GB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6</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两核，</w:t>
            </w:r>
            <w:r>
              <w:rPr>
                <w:rFonts w:hint="eastAsia" w:ascii="宋体" w:hAnsi="宋体" w:eastAsia="宋体" w:cs="宋体"/>
                <w:color w:val="000000"/>
                <w:kern w:val="0"/>
                <w:szCs w:val="21"/>
                <w:lang w:val="en-US" w:eastAsia="zh-CN"/>
              </w:rPr>
              <w:t>16</w:t>
            </w:r>
            <w:r>
              <w:rPr>
                <w:rFonts w:hint="eastAsia" w:ascii="宋体" w:hAnsi="宋体" w:eastAsia="宋体" w:cs="宋体"/>
                <w:color w:val="000000"/>
                <w:kern w:val="0"/>
                <w:szCs w:val="21"/>
              </w:rPr>
              <w:t>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337.58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7</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四核，</w:t>
            </w: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192.80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8</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四核，8GB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267.81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9</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四核，16GB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413.24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10</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四核，</w:t>
            </w:r>
            <w:r>
              <w:rPr>
                <w:rFonts w:hint="eastAsia" w:ascii="宋体" w:hAnsi="宋体" w:eastAsia="宋体" w:cs="宋体"/>
                <w:color w:val="000000"/>
                <w:kern w:val="0"/>
                <w:szCs w:val="21"/>
                <w:lang w:val="en-US" w:eastAsia="zh-CN"/>
              </w:rPr>
              <w:t>32</w:t>
            </w:r>
            <w:r>
              <w:rPr>
                <w:rFonts w:hint="eastAsia" w:ascii="宋体" w:hAnsi="宋体" w:eastAsia="宋体" w:cs="宋体"/>
                <w:color w:val="000000"/>
                <w:kern w:val="0"/>
                <w:szCs w:val="21"/>
              </w:rPr>
              <w:t>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764.76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11</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八核，</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12</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八核，16GB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535.72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13</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八核，32GB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826.48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14</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八核，</w:t>
            </w:r>
            <w:r>
              <w:rPr>
                <w:rFonts w:hint="eastAsia" w:ascii="宋体" w:hAnsi="宋体" w:eastAsia="宋体" w:cs="宋体"/>
                <w:color w:val="000000"/>
                <w:kern w:val="0"/>
                <w:szCs w:val="21"/>
                <w:lang w:val="en-US" w:eastAsia="zh-CN"/>
              </w:rPr>
              <w:t>64</w:t>
            </w:r>
            <w:r>
              <w:rPr>
                <w:rFonts w:hint="eastAsia" w:ascii="宋体" w:hAnsi="宋体" w:eastAsia="宋体" w:cs="宋体"/>
                <w:color w:val="000000"/>
                <w:kern w:val="0"/>
                <w:szCs w:val="21"/>
              </w:rPr>
              <w:t>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1529.51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15</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十六核，</w:t>
            </w:r>
            <w:r>
              <w:rPr>
                <w:rFonts w:hint="eastAsia" w:ascii="宋体" w:hAnsi="宋体" w:eastAsia="宋体" w:cs="宋体"/>
                <w:color w:val="000000"/>
                <w:kern w:val="0"/>
                <w:szCs w:val="21"/>
                <w:lang w:val="en-US" w:eastAsia="zh-CN"/>
              </w:rPr>
              <w:t>16</w:t>
            </w:r>
            <w:r>
              <w:rPr>
                <w:rFonts w:hint="eastAsia" w:ascii="宋体" w:hAnsi="宋体" w:eastAsia="宋体" w:cs="宋体"/>
                <w:color w:val="000000"/>
                <w:kern w:val="0"/>
                <w:szCs w:val="21"/>
              </w:rPr>
              <w:t>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1221.04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16</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十六核，32GB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1721.78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17</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十六核，64GB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2374.66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18</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十六核，</w:t>
            </w:r>
            <w:r>
              <w:rPr>
                <w:rFonts w:hint="eastAsia" w:ascii="宋体" w:hAnsi="宋体" w:eastAsia="宋体" w:cs="宋体"/>
                <w:color w:val="000000"/>
                <w:kern w:val="0"/>
                <w:szCs w:val="21"/>
                <w:lang w:val="en-US" w:eastAsia="zh-CN"/>
              </w:rPr>
              <w:t>128</w:t>
            </w:r>
            <w:r>
              <w:rPr>
                <w:rFonts w:hint="eastAsia" w:ascii="宋体" w:hAnsi="宋体" w:eastAsia="宋体" w:cs="宋体"/>
                <w:color w:val="000000"/>
                <w:kern w:val="0"/>
                <w:szCs w:val="21"/>
              </w:rPr>
              <w:t>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3038.26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19</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三十二核，64GB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3443.56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20</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三十二核，128GB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4749.10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21</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restar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GPU云服务器</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4核15G，1*NVIDIA T4（或同等性能及以上处理器）</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2845.8</w:t>
            </w:r>
            <w:r>
              <w:rPr>
                <w:rFonts w:hint="eastAsia" w:ascii="宋体" w:hAnsi="宋体" w:eastAsia="宋体" w:cs="宋体"/>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22</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eastAsia="zh-CN"/>
              </w:rPr>
              <w:t>4核30G，1*NVIDIA P100（或同等性能及以上处理器）</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4021.49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23</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8核31G，1*NVIDIA T4（或同等性能及以上处理器）</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3427.2</w:t>
            </w:r>
            <w:r>
              <w:rPr>
                <w:rFonts w:hint="eastAsia" w:ascii="宋体" w:hAnsi="宋体" w:eastAsia="宋体" w:cs="宋体"/>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24</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8核60G，1*NVIDIA P100（</w:t>
            </w:r>
            <w:r>
              <w:rPr>
                <w:rFonts w:hint="default" w:ascii="宋体" w:hAnsi="宋体" w:eastAsia="宋体" w:cs="宋体"/>
                <w:color w:val="000000"/>
                <w:kern w:val="0"/>
                <w:szCs w:val="21"/>
                <w:lang w:val="en" w:eastAsia="zh-CN"/>
              </w:rPr>
              <w:t>或同等性能及以上处理器</w:t>
            </w:r>
            <w:r>
              <w:rPr>
                <w:rFonts w:hint="eastAsia" w:ascii="宋体" w:hAnsi="宋体" w:eastAsia="宋体" w:cs="宋体"/>
                <w:color w:val="000000"/>
                <w:kern w:val="0"/>
                <w:szCs w:val="21"/>
                <w:lang w:val="en-US" w:eastAsia="zh-CN"/>
              </w:rPr>
              <w:t>）</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4843.05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25</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8核60G，2*NVIDIA P100（</w:t>
            </w:r>
            <w:r>
              <w:rPr>
                <w:rFonts w:hint="default" w:ascii="宋体" w:hAnsi="宋体" w:eastAsia="宋体" w:cs="宋体"/>
                <w:color w:val="000000"/>
                <w:kern w:val="0"/>
                <w:szCs w:val="21"/>
                <w:lang w:val="en" w:eastAsia="zh-CN"/>
              </w:rPr>
              <w:t>或同等性能及以上处理器</w:t>
            </w:r>
            <w:r>
              <w:rPr>
                <w:rFonts w:hint="eastAsia" w:ascii="宋体" w:hAnsi="宋体" w:eastAsia="宋体" w:cs="宋体"/>
                <w:color w:val="000000"/>
                <w:kern w:val="0"/>
                <w:szCs w:val="21"/>
                <w:lang w:val="en-US" w:eastAsia="zh-CN"/>
              </w:rPr>
              <w:t>）</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8044.08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26</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16核62G，1*NVIDIA T4（</w:t>
            </w:r>
            <w:r>
              <w:rPr>
                <w:rFonts w:hint="default" w:ascii="宋体" w:hAnsi="宋体" w:eastAsia="宋体" w:cs="宋体"/>
                <w:color w:val="000000"/>
                <w:kern w:val="0"/>
                <w:szCs w:val="21"/>
                <w:lang w:val="en" w:eastAsia="zh-CN"/>
              </w:rPr>
              <w:t>或同等性能及以上处理器</w:t>
            </w:r>
            <w:r>
              <w:rPr>
                <w:rFonts w:hint="eastAsia" w:ascii="宋体" w:hAnsi="宋体" w:eastAsia="宋体" w:cs="宋体"/>
                <w:color w:val="000000"/>
                <w:kern w:val="0"/>
                <w:szCs w:val="21"/>
                <w:lang w:val="en-US" w:eastAsia="zh-CN"/>
              </w:rPr>
              <w:t>）</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4016.25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27</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16核120G，</w:t>
            </w:r>
            <w:r>
              <w:rPr>
                <w:rFonts w:hint="eastAsia" w:ascii="宋体" w:hAnsi="宋体" w:eastAsia="宋体" w:cs="宋体"/>
                <w:color w:val="000000"/>
                <w:kern w:val="0"/>
                <w:szCs w:val="21"/>
                <w:lang w:eastAsia="zh-CN"/>
              </w:rPr>
              <w:t>2</w:t>
            </w:r>
            <w:r>
              <w:rPr>
                <w:rFonts w:hint="eastAsia" w:ascii="宋体" w:hAnsi="宋体" w:eastAsia="宋体" w:cs="宋体"/>
                <w:color w:val="000000"/>
                <w:kern w:val="0"/>
                <w:szCs w:val="21"/>
                <w:lang w:val="en-US" w:eastAsia="zh-CN"/>
              </w:rPr>
              <w:t>*NVIDIA P100（</w:t>
            </w:r>
            <w:r>
              <w:rPr>
                <w:rFonts w:hint="default" w:ascii="宋体" w:hAnsi="宋体" w:eastAsia="宋体" w:cs="宋体"/>
                <w:color w:val="000000"/>
                <w:kern w:val="0"/>
                <w:szCs w:val="21"/>
                <w:lang w:val="en" w:eastAsia="zh-CN"/>
              </w:rPr>
              <w:t>或同等性能及以上处理器</w:t>
            </w:r>
            <w:r>
              <w:rPr>
                <w:rFonts w:hint="eastAsia" w:ascii="宋体" w:hAnsi="宋体" w:eastAsia="宋体" w:cs="宋体"/>
                <w:color w:val="000000"/>
                <w:kern w:val="0"/>
                <w:szCs w:val="21"/>
                <w:lang w:val="en-US" w:eastAsia="zh-CN"/>
              </w:rPr>
              <w:t>）</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9686.11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28</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24核93G，1*NVIDIA T4（</w:t>
            </w:r>
            <w:r>
              <w:rPr>
                <w:rFonts w:hint="default" w:ascii="宋体" w:hAnsi="宋体" w:eastAsia="宋体" w:cs="宋体"/>
                <w:color w:val="000000"/>
                <w:kern w:val="0"/>
                <w:szCs w:val="21"/>
                <w:lang w:val="en" w:eastAsia="zh-CN"/>
              </w:rPr>
              <w:t>或同等性能及以上处理器</w:t>
            </w:r>
            <w:r>
              <w:rPr>
                <w:rFonts w:hint="eastAsia" w:ascii="宋体" w:hAnsi="宋体" w:eastAsia="宋体" w:cs="宋体"/>
                <w:color w:val="000000"/>
                <w:kern w:val="0"/>
                <w:szCs w:val="21"/>
                <w:lang w:val="en-US" w:eastAsia="zh-CN"/>
              </w:rPr>
              <w:t>）</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4207.5</w:t>
            </w:r>
            <w:r>
              <w:rPr>
                <w:rFonts w:hint="eastAsia" w:ascii="宋体" w:hAnsi="宋体" w:eastAsia="宋体" w:cs="宋体"/>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29</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28核112G，1*NVIDIA P100（</w:t>
            </w:r>
            <w:r>
              <w:rPr>
                <w:rFonts w:hint="default" w:ascii="宋体" w:hAnsi="宋体" w:eastAsia="宋体" w:cs="宋体"/>
                <w:color w:val="000000"/>
                <w:kern w:val="0"/>
                <w:szCs w:val="21"/>
                <w:lang w:val="en" w:eastAsia="zh-CN"/>
              </w:rPr>
              <w:t>或同等性能及以上处理器</w:t>
            </w:r>
            <w:r>
              <w:rPr>
                <w:rFonts w:hint="eastAsia" w:ascii="宋体" w:hAnsi="宋体" w:eastAsia="宋体" w:cs="宋体"/>
                <w:color w:val="000000"/>
                <w:kern w:val="0"/>
                <w:szCs w:val="21"/>
                <w:lang w:val="en-US" w:eastAsia="zh-CN"/>
              </w:rPr>
              <w:t>）</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6103.06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30</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48核186G，</w:t>
            </w:r>
            <w:r>
              <w:rPr>
                <w:rFonts w:hint="eastAsia" w:ascii="宋体" w:hAnsi="宋体" w:eastAsia="宋体" w:cs="宋体"/>
                <w:color w:val="000000"/>
                <w:kern w:val="0"/>
                <w:szCs w:val="21"/>
                <w:lang w:eastAsia="zh-CN"/>
              </w:rPr>
              <w:t>2</w:t>
            </w:r>
            <w:r>
              <w:rPr>
                <w:rFonts w:hint="eastAsia" w:ascii="宋体" w:hAnsi="宋体" w:eastAsia="宋体" w:cs="宋体"/>
                <w:color w:val="000000"/>
                <w:kern w:val="0"/>
                <w:szCs w:val="21"/>
                <w:lang w:val="en-US" w:eastAsia="zh-CN"/>
              </w:rPr>
              <w:t>*NVIDIA T4（</w:t>
            </w:r>
            <w:r>
              <w:rPr>
                <w:rFonts w:hint="default" w:ascii="宋体" w:hAnsi="宋体" w:eastAsia="宋体" w:cs="宋体"/>
                <w:color w:val="000000"/>
                <w:kern w:val="0"/>
                <w:szCs w:val="21"/>
                <w:lang w:val="en" w:eastAsia="zh-CN"/>
              </w:rPr>
              <w:t>或同等性能及以上处理器</w:t>
            </w:r>
            <w:r>
              <w:rPr>
                <w:rFonts w:hint="eastAsia" w:ascii="宋体" w:hAnsi="宋体" w:eastAsia="宋体" w:cs="宋体"/>
                <w:color w:val="000000"/>
                <w:kern w:val="0"/>
                <w:szCs w:val="21"/>
                <w:lang w:val="en-US" w:eastAsia="zh-CN"/>
              </w:rPr>
              <w:t>）</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8415</w:t>
            </w:r>
            <w:r>
              <w:rPr>
                <w:rFonts w:hint="eastAsia" w:ascii="宋体" w:hAnsi="宋体" w:eastAsia="宋体" w:cs="宋体"/>
                <w:szCs w:val="21"/>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31</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56核224G，</w:t>
            </w:r>
            <w:r>
              <w:rPr>
                <w:rFonts w:hint="eastAsia" w:ascii="宋体" w:hAnsi="宋体" w:eastAsia="宋体" w:cs="宋体"/>
                <w:color w:val="000000"/>
                <w:kern w:val="0"/>
                <w:szCs w:val="21"/>
                <w:lang w:eastAsia="zh-CN"/>
              </w:rPr>
              <w:t>2</w:t>
            </w:r>
            <w:r>
              <w:rPr>
                <w:rFonts w:hint="eastAsia" w:ascii="宋体" w:hAnsi="宋体" w:eastAsia="宋体" w:cs="宋体"/>
                <w:color w:val="000000"/>
                <w:kern w:val="0"/>
                <w:szCs w:val="21"/>
                <w:lang w:val="en-US" w:eastAsia="zh-CN"/>
              </w:rPr>
              <w:t>*NVIDIA P100（</w:t>
            </w:r>
            <w:r>
              <w:rPr>
                <w:rFonts w:hint="default" w:ascii="宋体" w:hAnsi="宋体" w:eastAsia="宋体" w:cs="宋体"/>
                <w:color w:val="000000"/>
                <w:kern w:val="0"/>
                <w:szCs w:val="21"/>
                <w:lang w:val="en" w:eastAsia="zh-CN"/>
              </w:rPr>
              <w:t>或同等性能及以上处理器</w:t>
            </w:r>
            <w:r>
              <w:rPr>
                <w:rFonts w:hint="eastAsia" w:ascii="宋体" w:hAnsi="宋体" w:eastAsia="宋体" w:cs="宋体"/>
                <w:color w:val="000000"/>
                <w:kern w:val="0"/>
                <w:szCs w:val="21"/>
                <w:lang w:val="en-US" w:eastAsia="zh-CN"/>
              </w:rPr>
              <w:t>）</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10334.97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32</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noWrap w:val="0"/>
            <w:vAlign w:val="center"/>
          </w:tcPr>
          <w:p>
            <w:pPr>
              <w:pageBreakBefore w:val="0"/>
              <w:widowControl/>
              <w:kinsoku/>
              <w:wordWrap w:val="0"/>
              <w:overflowPunct/>
              <w:topLinePunct/>
              <w:bidi w:val="0"/>
              <w:adjustRightInd/>
              <w:snapToGrid/>
              <w:spacing w:line="360" w:lineRule="auto"/>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块存储</w:t>
            </w:r>
            <w:r>
              <w:rPr>
                <w:rFonts w:hint="eastAsia" w:ascii="宋体" w:hAnsi="宋体" w:eastAsia="宋体" w:cs="宋体"/>
                <w:color w:val="000000"/>
                <w:kern w:val="0"/>
                <w:szCs w:val="21"/>
                <w:lang w:val="en-US" w:eastAsia="zh-CN"/>
              </w:rPr>
              <w:t>-高效云盘</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以100GB为单价，每100G</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39</w:t>
            </w: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33</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块存储</w:t>
            </w:r>
            <w:r>
              <w:rPr>
                <w:rFonts w:hint="eastAsia" w:ascii="宋体" w:hAnsi="宋体" w:eastAsia="宋体" w:cs="宋体"/>
                <w:color w:val="000000"/>
                <w:kern w:val="0"/>
                <w:szCs w:val="21"/>
                <w:lang w:val="en-US" w:eastAsia="zh-CN"/>
              </w:rPr>
              <w:t>-SSD云盘</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以10GB为单价，每10GB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34</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快照</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根据快照所占的存储空间大小按月计费，每GB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0.1</w:t>
            </w:r>
            <w:r>
              <w:rPr>
                <w:rFonts w:hint="eastAsia" w:ascii="宋体" w:hAnsi="宋体" w:eastAsia="宋体" w:cs="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35</w:t>
            </w:r>
          </w:p>
        </w:tc>
        <w:tc>
          <w:tcPr>
            <w:tcW w:w="522"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Hans"/>
              </w:rPr>
              <w:t>互联网</w:t>
            </w:r>
            <w:r>
              <w:rPr>
                <w:rFonts w:hint="eastAsia" w:ascii="宋体" w:hAnsi="宋体" w:eastAsia="宋体" w:cs="宋体"/>
                <w:color w:val="000000"/>
                <w:kern w:val="0"/>
                <w:szCs w:val="21"/>
                <w:lang w:val="en-US" w:eastAsia="zh-CN"/>
              </w:rPr>
              <w:t>IP</w:t>
            </w:r>
            <w:r>
              <w:rPr>
                <w:rFonts w:hint="eastAsia" w:ascii="宋体" w:hAnsi="宋体" w:eastAsia="宋体" w:cs="宋体"/>
                <w:color w:val="000000"/>
                <w:kern w:val="0"/>
                <w:szCs w:val="21"/>
                <w:lang w:val="en-US" w:eastAsia="zh-Hans"/>
              </w:rPr>
              <w:t>地址</w:t>
            </w:r>
          </w:p>
        </w:tc>
        <w:tc>
          <w:tcPr>
            <w:tcW w:w="1721" w:type="pct"/>
            <w:gridSpan w:val="2"/>
            <w:noWrap w:val="0"/>
            <w:vAlign w:val="center"/>
          </w:tcPr>
          <w:p>
            <w:pPr>
              <w:pageBreakBefore w:val="0"/>
              <w:widowControl/>
              <w:kinsoku/>
              <w:wordWrap w:val="0"/>
              <w:overflowPunct/>
              <w:topLinePunct/>
              <w:bidi w:val="0"/>
              <w:adjustRightInd/>
              <w:snapToGrid/>
              <w:spacing w:line="360" w:lineRule="auto"/>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标准IP地址或互联网地址</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根据个数按月收费</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36</w:t>
            </w:r>
          </w:p>
        </w:tc>
        <w:tc>
          <w:tcPr>
            <w:tcW w:w="522"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Hans"/>
              </w:rPr>
              <w:t>专线链路服务费</w:t>
            </w:r>
          </w:p>
        </w:tc>
        <w:tc>
          <w:tcPr>
            <w:tcW w:w="1721" w:type="pct"/>
            <w:gridSpan w:val="2"/>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同城容灾互联服务</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lang w:eastAsia="zh-CN"/>
              </w:rPr>
            </w:pPr>
            <w:r>
              <w:rPr>
                <w:rFonts w:hint="default" w:ascii="宋体" w:hAnsi="宋体" w:eastAsia="宋体" w:cs="宋体"/>
                <w:color w:val="000000"/>
                <w:kern w:val="0"/>
                <w:szCs w:val="21"/>
              </w:rPr>
              <w:t>2*10G</w:t>
            </w:r>
            <w:r>
              <w:rPr>
                <w:rFonts w:hint="eastAsia" w:ascii="宋体" w:hAnsi="宋体" w:eastAsia="宋体" w:cs="宋体"/>
                <w:color w:val="000000"/>
                <w:kern w:val="0"/>
                <w:szCs w:val="21"/>
                <w:lang w:eastAsia="zh-CN"/>
              </w:rPr>
              <w:t>专线</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37</w:t>
            </w:r>
          </w:p>
        </w:tc>
        <w:tc>
          <w:tcPr>
            <w:tcW w:w="522" w:type="pct"/>
            <w:vMerge w:val="restar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存储服务</w:t>
            </w:r>
          </w:p>
        </w:tc>
        <w:tc>
          <w:tcPr>
            <w:tcW w:w="1721" w:type="pct"/>
            <w:gridSpan w:val="2"/>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对象存储(OSS)</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根据</w:t>
            </w:r>
            <w:r>
              <w:rPr>
                <w:rFonts w:hint="eastAsia" w:ascii="宋体" w:hAnsi="宋体" w:eastAsia="宋体" w:cs="宋体"/>
                <w:color w:val="000000"/>
                <w:kern w:val="0"/>
                <w:szCs w:val="21"/>
                <w:lang w:val="en-US" w:eastAsia="zh-Hans"/>
              </w:rPr>
              <w:t>开通的存储容量按月计费</w:t>
            </w:r>
            <w:r>
              <w:rPr>
                <w:rFonts w:hint="eastAsia" w:ascii="宋体" w:hAnsi="宋体" w:eastAsia="宋体" w:cs="宋体"/>
                <w:color w:val="000000"/>
                <w:kern w:val="0"/>
                <w:szCs w:val="21"/>
                <w:lang w:eastAsia="zh-Hans"/>
              </w:rPr>
              <w:t>，1GB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eastAsia="zh-CN"/>
              </w:rPr>
              <w:t>0.1</w:t>
            </w:r>
            <w:r>
              <w:rPr>
                <w:rFonts w:hint="eastAsia" w:ascii="宋体" w:hAnsi="宋体" w:eastAsia="宋体" w:cs="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38</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文件存储</w:t>
            </w:r>
            <w:r>
              <w:rPr>
                <w:rFonts w:hint="eastAsia" w:ascii="宋体" w:hAnsi="宋体" w:eastAsia="宋体" w:cs="宋体"/>
                <w:color w:val="000000"/>
                <w:kern w:val="0"/>
                <w:szCs w:val="21"/>
                <w:lang w:eastAsia="zh-Hans"/>
              </w:rPr>
              <w:t>(NAS)</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根据</w:t>
            </w:r>
            <w:r>
              <w:rPr>
                <w:rFonts w:hint="eastAsia" w:ascii="宋体" w:hAnsi="宋体" w:eastAsia="宋体" w:cs="宋体"/>
                <w:color w:val="000000"/>
                <w:kern w:val="0"/>
                <w:szCs w:val="21"/>
                <w:lang w:val="en-US" w:eastAsia="zh-Hans"/>
              </w:rPr>
              <w:t>开通的存储容量按月计费</w:t>
            </w:r>
            <w:r>
              <w:rPr>
                <w:rFonts w:hint="eastAsia" w:ascii="宋体" w:hAnsi="宋体" w:eastAsia="宋体" w:cs="宋体"/>
                <w:color w:val="000000"/>
                <w:kern w:val="0"/>
                <w:szCs w:val="21"/>
                <w:lang w:eastAsia="zh-Hans"/>
              </w:rPr>
              <w:t>，1GB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0.3</w:t>
            </w:r>
            <w:r>
              <w:rPr>
                <w:rFonts w:hint="eastAsia" w:ascii="宋体" w:hAnsi="宋体" w:eastAsia="宋体" w:cs="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39</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快照</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根据快照所占的存储空间大小按月计费，每TB容量，1TB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40</w:t>
            </w:r>
          </w:p>
        </w:tc>
        <w:tc>
          <w:tcPr>
            <w:tcW w:w="522" w:type="pct"/>
            <w:vMerge w:val="restar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数据库服务</w:t>
            </w:r>
          </w:p>
        </w:tc>
        <w:tc>
          <w:tcPr>
            <w:tcW w:w="1721" w:type="pct"/>
            <w:gridSpan w:val="2"/>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云数据库存储空间</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以100GB为单价，每100G</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87.40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41</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restart"/>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云数据库MySQL版</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2C4G（</w:t>
            </w:r>
            <w:r>
              <w:rPr>
                <w:rFonts w:hint="eastAsia" w:ascii="宋体" w:hAnsi="宋体" w:eastAsia="宋体" w:cs="宋体"/>
                <w:color w:val="000000"/>
                <w:kern w:val="0"/>
                <w:szCs w:val="21"/>
                <w:lang w:val="en-US" w:eastAsia="zh-CN"/>
              </w:rPr>
              <w:t>通用</w:t>
            </w:r>
            <w:r>
              <w:rPr>
                <w:rFonts w:hint="eastAsia" w:ascii="宋体" w:hAnsi="宋体" w:eastAsia="宋体" w:cs="宋体"/>
                <w:color w:val="000000"/>
                <w:kern w:val="0"/>
                <w:szCs w:val="21"/>
              </w:rPr>
              <w:t>型，连接数1200）</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546.25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42</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2C8G（</w:t>
            </w:r>
            <w:r>
              <w:rPr>
                <w:rFonts w:hint="eastAsia" w:ascii="宋体" w:hAnsi="宋体" w:eastAsia="宋体" w:cs="宋体"/>
                <w:color w:val="000000"/>
                <w:kern w:val="0"/>
                <w:szCs w:val="21"/>
                <w:lang w:val="en-US" w:eastAsia="zh-CN"/>
              </w:rPr>
              <w:t>通用</w:t>
            </w:r>
            <w:r>
              <w:rPr>
                <w:rFonts w:hint="eastAsia" w:ascii="宋体" w:hAnsi="宋体" w:eastAsia="宋体" w:cs="宋体"/>
                <w:color w:val="000000"/>
                <w:kern w:val="0"/>
                <w:szCs w:val="21"/>
              </w:rPr>
              <w:t>型，连接数2000）</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983.25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43</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4C8G（</w:t>
            </w:r>
            <w:r>
              <w:rPr>
                <w:rFonts w:hint="eastAsia" w:ascii="宋体" w:hAnsi="宋体" w:eastAsia="宋体" w:cs="宋体"/>
                <w:color w:val="000000"/>
                <w:kern w:val="0"/>
                <w:szCs w:val="21"/>
                <w:lang w:val="en-US" w:eastAsia="zh-CN"/>
              </w:rPr>
              <w:t>通用</w:t>
            </w:r>
            <w:r>
              <w:rPr>
                <w:rFonts w:hint="eastAsia" w:ascii="宋体" w:hAnsi="宋体" w:eastAsia="宋体" w:cs="宋体"/>
                <w:color w:val="000000"/>
                <w:kern w:val="0"/>
                <w:szCs w:val="21"/>
              </w:rPr>
              <w:t>型，连接数2000）</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1037.88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44</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4C16G（</w:t>
            </w:r>
            <w:r>
              <w:rPr>
                <w:rFonts w:hint="eastAsia" w:ascii="宋体" w:hAnsi="宋体" w:eastAsia="宋体" w:cs="宋体"/>
                <w:color w:val="000000"/>
                <w:kern w:val="0"/>
                <w:szCs w:val="21"/>
                <w:lang w:val="en-US" w:eastAsia="zh-CN"/>
              </w:rPr>
              <w:t>通用</w:t>
            </w:r>
            <w:r>
              <w:rPr>
                <w:rFonts w:hint="eastAsia" w:ascii="宋体" w:hAnsi="宋体" w:eastAsia="宋体" w:cs="宋体"/>
                <w:color w:val="000000"/>
                <w:kern w:val="0"/>
                <w:szCs w:val="21"/>
              </w:rPr>
              <w:t>型，连接数4000）</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45</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8C16G（</w:t>
            </w:r>
            <w:r>
              <w:rPr>
                <w:rFonts w:hint="eastAsia" w:ascii="宋体" w:hAnsi="宋体" w:eastAsia="宋体" w:cs="宋体"/>
                <w:color w:val="000000"/>
                <w:kern w:val="0"/>
                <w:szCs w:val="21"/>
                <w:lang w:val="en-US" w:eastAsia="zh-CN"/>
              </w:rPr>
              <w:t>通用</w:t>
            </w:r>
            <w:r>
              <w:rPr>
                <w:rFonts w:hint="eastAsia" w:ascii="宋体" w:hAnsi="宋体" w:eastAsia="宋体" w:cs="宋体"/>
                <w:color w:val="000000"/>
                <w:kern w:val="0"/>
                <w:szCs w:val="21"/>
              </w:rPr>
              <w:t>型，连接数4000））</w:t>
            </w:r>
          </w:p>
        </w:tc>
        <w:tc>
          <w:tcPr>
            <w:tcW w:w="655"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1966.50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46</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8C32G（</w:t>
            </w:r>
            <w:r>
              <w:rPr>
                <w:rFonts w:hint="eastAsia" w:ascii="宋体" w:hAnsi="宋体" w:eastAsia="宋体" w:cs="宋体"/>
                <w:color w:val="000000"/>
                <w:kern w:val="0"/>
                <w:szCs w:val="21"/>
                <w:lang w:val="en-US" w:eastAsia="zh-CN"/>
              </w:rPr>
              <w:t>通用</w:t>
            </w:r>
            <w:r>
              <w:rPr>
                <w:rFonts w:hint="eastAsia" w:ascii="宋体" w:hAnsi="宋体" w:eastAsia="宋体" w:cs="宋体"/>
                <w:color w:val="000000"/>
                <w:kern w:val="0"/>
                <w:szCs w:val="21"/>
              </w:rPr>
              <w:t>型，连接数8000））</w:t>
            </w:r>
          </w:p>
        </w:tc>
        <w:tc>
          <w:tcPr>
            <w:tcW w:w="655"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3605.25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47</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16C64G（</w:t>
            </w:r>
            <w:r>
              <w:rPr>
                <w:rFonts w:hint="eastAsia" w:ascii="宋体" w:hAnsi="宋体" w:eastAsia="宋体" w:cs="宋体"/>
                <w:color w:val="000000"/>
                <w:kern w:val="0"/>
                <w:szCs w:val="21"/>
                <w:lang w:val="en-US" w:eastAsia="zh-CN"/>
              </w:rPr>
              <w:t>通用</w:t>
            </w:r>
            <w:r>
              <w:rPr>
                <w:rFonts w:hint="eastAsia" w:ascii="宋体" w:hAnsi="宋体" w:eastAsia="宋体" w:cs="宋体"/>
                <w:color w:val="000000"/>
                <w:kern w:val="0"/>
                <w:szCs w:val="21"/>
              </w:rPr>
              <w:t>型，连接数16000）</w:t>
            </w:r>
          </w:p>
        </w:tc>
        <w:tc>
          <w:tcPr>
            <w:tcW w:w="655"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7101.25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48</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16C96G（</w:t>
            </w:r>
            <w:r>
              <w:rPr>
                <w:rFonts w:hint="eastAsia" w:ascii="宋体" w:hAnsi="宋体" w:eastAsia="宋体" w:cs="宋体"/>
                <w:color w:val="000000"/>
                <w:kern w:val="0"/>
                <w:szCs w:val="21"/>
                <w:lang w:val="en-US" w:eastAsia="zh-CN"/>
              </w:rPr>
              <w:t>通用</w:t>
            </w:r>
            <w:r>
              <w:rPr>
                <w:rFonts w:hint="eastAsia" w:ascii="宋体" w:hAnsi="宋体" w:eastAsia="宋体" w:cs="宋体"/>
                <w:color w:val="000000"/>
                <w:kern w:val="0"/>
                <w:szCs w:val="21"/>
              </w:rPr>
              <w:t>型，连接数24000）</w:t>
            </w:r>
          </w:p>
        </w:tc>
        <w:tc>
          <w:tcPr>
            <w:tcW w:w="655"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10597.25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49</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2C16G,250GB Disk(独享型，连接数2500)</w:t>
            </w:r>
          </w:p>
        </w:tc>
        <w:tc>
          <w:tcPr>
            <w:tcW w:w="655"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50</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4C32G,500GB Disk(独享型，连接数5000)</w:t>
            </w:r>
          </w:p>
        </w:tc>
        <w:tc>
          <w:tcPr>
            <w:tcW w:w="655"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3987.63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51</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8C64G,1000GB Disk(独享型，连接数10000)</w:t>
            </w:r>
          </w:p>
        </w:tc>
        <w:tc>
          <w:tcPr>
            <w:tcW w:w="655"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7866.00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52</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16C128G,2000GB Disk(独享型，连接数20000)</w:t>
            </w:r>
          </w:p>
        </w:tc>
        <w:tc>
          <w:tcPr>
            <w:tcW w:w="655"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15732.00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53</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4C16G,250GB Disk(独享型，连接数2500)</w:t>
            </w:r>
          </w:p>
        </w:tc>
        <w:tc>
          <w:tcPr>
            <w:tcW w:w="655"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2515.75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54</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8C32G,500GB Disk(独享型，连接数5000)</w:t>
            </w:r>
          </w:p>
        </w:tc>
        <w:tc>
          <w:tcPr>
            <w:tcW w:w="655"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4916.25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55</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16C64G,1000GB Disk(独享型，连接数10000)</w:t>
            </w:r>
          </w:p>
        </w:tc>
        <w:tc>
          <w:tcPr>
            <w:tcW w:w="655"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9614.00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56</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32C128G,2000GB Disk(独享型，连接数</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2000)</w:t>
            </w:r>
          </w:p>
        </w:tc>
        <w:tc>
          <w:tcPr>
            <w:tcW w:w="655"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19228.00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57</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30C220G,3000GB Disk（独占物理机，连接数4000）</w:t>
            </w:r>
          </w:p>
        </w:tc>
        <w:tc>
          <w:tcPr>
            <w:tcW w:w="655"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31027.00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58</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restar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云数据库SQL Server版</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1C2G（共享型，连接数600）</w:t>
            </w:r>
          </w:p>
        </w:tc>
        <w:tc>
          <w:tcPr>
            <w:tcW w:w="655"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59</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2C4G（共享型，连接数1200）</w:t>
            </w:r>
          </w:p>
        </w:tc>
        <w:tc>
          <w:tcPr>
            <w:tcW w:w="655"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546.25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60</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2C8G（共享型，连接数2000）</w:t>
            </w:r>
          </w:p>
        </w:tc>
        <w:tc>
          <w:tcPr>
            <w:tcW w:w="655"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983.25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61</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4C8G（共享型，连接数2000）</w:t>
            </w:r>
          </w:p>
        </w:tc>
        <w:tc>
          <w:tcPr>
            <w:tcW w:w="655"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1037.88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62</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4C16G（共享型，连接数4000）</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1857.25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63</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8C16G（共享型，连接数4000）</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1966.50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64</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8C32G（共享型，连接数8000）</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3605.25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65</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16C64G（共享型，连接数16000）</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7101.25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66</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16C96G（共享型，连接数24000）</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10597.25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67</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2C16G,250GB Disk (独享型)</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68</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4C32G,500GB Disk (独享型)</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3987.63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69</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8C64G,1000GB Disk (独享型)</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7866.00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70</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16C128G,2000GB Disk (独享型)</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15732.00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71</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30C220G,2000GB Disk（独占物理机）</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72</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restar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云数据库R</w:t>
            </w:r>
            <w:r>
              <w:rPr>
                <w:rFonts w:hint="eastAsia" w:ascii="宋体" w:hAnsi="宋体" w:eastAsia="宋体" w:cs="宋体"/>
                <w:color w:val="000000"/>
                <w:kern w:val="0"/>
                <w:szCs w:val="21"/>
                <w:lang w:val="en-US" w:eastAsia="zh-Hans"/>
              </w:rPr>
              <w:t>edis</w:t>
            </w:r>
            <w:r>
              <w:rPr>
                <w:rFonts w:hint="eastAsia" w:ascii="宋体" w:hAnsi="宋体" w:eastAsia="宋体" w:cs="宋体"/>
                <w:color w:val="000000"/>
                <w:kern w:val="0"/>
                <w:szCs w:val="21"/>
                <w:lang w:val="en-US" w:eastAsia="zh-CN"/>
              </w:rPr>
              <w:t>版</w:t>
            </w:r>
          </w:p>
        </w:tc>
        <w:tc>
          <w:tcPr>
            <w:tcW w:w="1853" w:type="pct"/>
            <w:noWrap w:val="0"/>
            <w:vAlign w:val="center"/>
          </w:tcPr>
          <w:p>
            <w:pPr>
              <w:pageBreakBefore w:val="0"/>
              <w:widowControl/>
              <w:kinsoku/>
              <w:wordWrap w:val="0"/>
              <w:overflowPunct/>
              <w:topLinePunct/>
              <w:bidi w:val="0"/>
              <w:adjustRightInd/>
              <w:snapToGrid/>
              <w:spacing w:line="360" w:lineRule="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标准版（主从版）</w:t>
            </w:r>
            <w:r>
              <w:rPr>
                <w:rFonts w:hint="eastAsia" w:ascii="宋体" w:hAnsi="宋体" w:eastAsia="宋体" w:cs="宋体"/>
                <w:color w:val="000000"/>
                <w:kern w:val="0"/>
                <w:szCs w:val="21"/>
                <w:lang w:val="en-US" w:eastAsia="zh-CN"/>
              </w:rPr>
              <w:t>1G，连接数10000</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73</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标准版（主从版）</w:t>
            </w:r>
            <w:r>
              <w:rPr>
                <w:rFonts w:hint="eastAsia" w:ascii="宋体" w:hAnsi="宋体" w:eastAsia="宋体" w:cs="宋体"/>
                <w:color w:val="000000"/>
                <w:kern w:val="0"/>
                <w:szCs w:val="21"/>
                <w:lang w:val="en-US" w:eastAsia="zh-CN"/>
              </w:rPr>
              <w:t>2G，连接数10000</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74</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标准版（主从版）</w:t>
            </w:r>
            <w:r>
              <w:rPr>
                <w:rFonts w:hint="eastAsia" w:ascii="宋体" w:hAnsi="宋体" w:eastAsia="宋体" w:cs="宋体"/>
                <w:color w:val="000000"/>
                <w:kern w:val="0"/>
                <w:szCs w:val="21"/>
                <w:lang w:val="en-US" w:eastAsia="zh-CN"/>
              </w:rPr>
              <w:t>4G，连接数10000</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75</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标准版（主从版）</w:t>
            </w:r>
            <w:r>
              <w:rPr>
                <w:rFonts w:hint="eastAsia" w:ascii="宋体" w:hAnsi="宋体" w:eastAsia="宋体" w:cs="宋体"/>
                <w:color w:val="000000"/>
                <w:kern w:val="0"/>
                <w:szCs w:val="21"/>
                <w:lang w:val="en-US" w:eastAsia="zh-CN"/>
              </w:rPr>
              <w:t>8G，连接数10000</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76</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标准版（主从版）</w:t>
            </w:r>
            <w:r>
              <w:rPr>
                <w:rFonts w:hint="eastAsia" w:ascii="宋体" w:hAnsi="宋体" w:eastAsia="宋体" w:cs="宋体"/>
                <w:color w:val="000000"/>
                <w:kern w:val="0"/>
                <w:szCs w:val="21"/>
                <w:lang w:val="en-US" w:eastAsia="zh-CN"/>
              </w:rPr>
              <w:t>16G，连接数10000</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77</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标准版（主从版）</w:t>
            </w:r>
            <w:r>
              <w:rPr>
                <w:rFonts w:hint="eastAsia" w:ascii="宋体" w:hAnsi="宋体" w:eastAsia="宋体" w:cs="宋体"/>
                <w:color w:val="000000"/>
                <w:kern w:val="0"/>
                <w:szCs w:val="21"/>
                <w:lang w:val="en-US" w:eastAsia="zh-CN"/>
              </w:rPr>
              <w:t>32G，连接数10000</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2451.00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78</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集群版</w:t>
            </w:r>
            <w:r>
              <w:rPr>
                <w:rFonts w:hint="eastAsia" w:ascii="宋体" w:hAnsi="宋体" w:eastAsia="宋体" w:cs="宋体"/>
                <w:color w:val="000000"/>
                <w:kern w:val="0"/>
                <w:szCs w:val="21"/>
                <w:lang w:val="en-US" w:eastAsia="zh-CN"/>
              </w:rPr>
              <w:t>16G，连接数80000</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1425.00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79</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集群版</w:t>
            </w:r>
            <w:r>
              <w:rPr>
                <w:rFonts w:hint="eastAsia" w:ascii="宋体" w:hAnsi="宋体" w:eastAsia="宋体" w:cs="宋体"/>
                <w:color w:val="000000"/>
                <w:kern w:val="0"/>
                <w:szCs w:val="21"/>
                <w:lang w:val="en-US" w:eastAsia="zh-CN"/>
              </w:rPr>
              <w:t>32G，连接数80000</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80</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集群版</w:t>
            </w:r>
            <w:r>
              <w:rPr>
                <w:rFonts w:hint="eastAsia" w:ascii="宋体" w:hAnsi="宋体" w:eastAsia="宋体" w:cs="宋体"/>
                <w:color w:val="000000"/>
                <w:kern w:val="0"/>
                <w:szCs w:val="21"/>
                <w:lang w:val="en-US" w:eastAsia="zh-CN"/>
              </w:rPr>
              <w:t>64G，连接数80000</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81</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集群版</w:t>
            </w:r>
            <w:r>
              <w:rPr>
                <w:rFonts w:hint="eastAsia" w:ascii="宋体" w:hAnsi="宋体" w:eastAsia="宋体" w:cs="宋体"/>
                <w:color w:val="000000"/>
                <w:kern w:val="0"/>
                <w:szCs w:val="21"/>
                <w:lang w:val="en-US" w:eastAsia="zh-CN"/>
              </w:rPr>
              <w:t>128G，连接数160000</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82</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集群版</w:t>
            </w:r>
            <w:r>
              <w:rPr>
                <w:rFonts w:hint="eastAsia" w:ascii="宋体" w:hAnsi="宋体" w:eastAsia="宋体" w:cs="宋体"/>
                <w:color w:val="000000"/>
                <w:kern w:val="0"/>
                <w:szCs w:val="21"/>
                <w:lang w:val="en-US" w:eastAsia="zh-CN"/>
              </w:rPr>
              <w:t>256G，连接数160000</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83</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restar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分布式关系型数据库</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入门版</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8核16GB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1804.70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84</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8核32GB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1935.91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85</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16核32GB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4282.60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86</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32核64GB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8335.78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87</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restar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分布式关系型数据库</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标准版</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16核32GB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4344.87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88</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16核64GB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5085.59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89</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top"/>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32核64GB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8454.86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90</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32核128GB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10096.89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91</w:t>
            </w:r>
          </w:p>
        </w:tc>
        <w:tc>
          <w:tcPr>
            <w:tcW w:w="522" w:type="pct"/>
            <w:vMerge w:val="restar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网络服务</w:t>
            </w:r>
          </w:p>
        </w:tc>
        <w:tc>
          <w:tcPr>
            <w:tcW w:w="1721" w:type="pct"/>
            <w:gridSpan w:val="2"/>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负载均衡</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私网负载均衡租用，按实例个数计费</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92</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721" w:type="pct"/>
            <w:gridSpan w:val="2"/>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专有网络服务</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按每个VPC实例计算</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93</w:t>
            </w:r>
          </w:p>
        </w:tc>
        <w:tc>
          <w:tcPr>
            <w:tcW w:w="522" w:type="pct"/>
            <w:vMerge w:val="restar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大数据能力服务</w:t>
            </w:r>
          </w:p>
        </w:tc>
        <w:tc>
          <w:tcPr>
            <w:tcW w:w="1721" w:type="pct"/>
            <w:gridSpan w:val="2"/>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大数据计算资源单元服务</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lang w:eastAsia="zh-CN"/>
              </w:rPr>
              <w:t>根据实例开通的</w:t>
            </w:r>
            <w:r>
              <w:rPr>
                <w:rFonts w:hint="eastAsia" w:ascii="宋体" w:hAnsi="宋体" w:eastAsia="宋体" w:cs="宋体"/>
                <w:color w:val="auto"/>
                <w:kern w:val="0"/>
                <w:szCs w:val="21"/>
                <w:shd w:val="clear" w:color="auto" w:fill="auto"/>
                <w:lang w:val="en-US" w:eastAsia="zh-CN"/>
              </w:rPr>
              <w:t>cu数，</w:t>
            </w:r>
            <w:r>
              <w:rPr>
                <w:rFonts w:hint="eastAsia" w:ascii="宋体" w:hAnsi="宋体" w:eastAsia="宋体" w:cs="宋体"/>
                <w:color w:val="auto"/>
                <w:kern w:val="0"/>
                <w:szCs w:val="21"/>
                <w:shd w:val="clear" w:color="auto" w:fill="auto"/>
              </w:rPr>
              <w:t>按每CU计算</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163.88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94</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kern w:val="0"/>
                <w:szCs w:val="21"/>
                <w:shd w:val="clear" w:color="auto" w:fill="auto"/>
              </w:rPr>
            </w:pPr>
          </w:p>
        </w:tc>
        <w:tc>
          <w:tcPr>
            <w:tcW w:w="1721" w:type="pct"/>
            <w:gridSpan w:val="2"/>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大数据计算存储服务</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每GB容量，1GB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95</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kern w:val="0"/>
                <w:szCs w:val="21"/>
                <w:shd w:val="clear" w:color="auto" w:fill="auto"/>
              </w:rPr>
            </w:pPr>
          </w:p>
        </w:tc>
        <w:tc>
          <w:tcPr>
            <w:tcW w:w="1721" w:type="pct"/>
            <w:gridSpan w:val="2"/>
            <w:vMerge w:val="restar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机器学习</w:t>
            </w:r>
            <w:r>
              <w:rPr>
                <w:rFonts w:hint="eastAsia" w:ascii="宋体" w:hAnsi="宋体" w:eastAsia="宋体" w:cs="宋体"/>
                <w:color w:val="auto"/>
                <w:kern w:val="0"/>
                <w:szCs w:val="21"/>
                <w:shd w:val="clear" w:color="auto" w:fill="auto"/>
                <w:lang w:eastAsia="zh-CN"/>
              </w:rPr>
              <w:t>（</w:t>
            </w:r>
            <w:r>
              <w:rPr>
                <w:rFonts w:hint="eastAsia" w:ascii="宋体" w:hAnsi="宋体" w:eastAsia="宋体" w:cs="宋体"/>
                <w:color w:val="auto"/>
                <w:kern w:val="0"/>
                <w:szCs w:val="21"/>
                <w:shd w:val="clear" w:color="auto" w:fill="auto"/>
                <w:lang w:val="en-US" w:eastAsia="zh-CN"/>
              </w:rPr>
              <w:t>PAI</w:t>
            </w:r>
            <w:r>
              <w:rPr>
                <w:rFonts w:hint="eastAsia" w:ascii="宋体" w:hAnsi="宋体" w:eastAsia="宋体" w:cs="宋体"/>
                <w:color w:val="auto"/>
                <w:kern w:val="0"/>
                <w:szCs w:val="21"/>
                <w:shd w:val="clear" w:color="auto" w:fill="auto"/>
                <w:lang w:eastAsia="zh-CN"/>
              </w:rPr>
              <w:t>）</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lang w:val="en-US" w:eastAsia="zh-CN"/>
              </w:rPr>
              <w:t>PAI Studio</w:t>
            </w:r>
            <w:r>
              <w:rPr>
                <w:rFonts w:hint="eastAsia" w:ascii="宋体" w:hAnsi="宋体" w:eastAsia="宋体" w:cs="宋体"/>
                <w:color w:val="auto"/>
                <w:kern w:val="0"/>
                <w:szCs w:val="21"/>
                <w:shd w:val="clear" w:color="auto" w:fill="auto"/>
              </w:rPr>
              <w:t>标准版：根据开通的</w:t>
            </w:r>
            <w:r>
              <w:rPr>
                <w:rFonts w:hint="eastAsia" w:ascii="宋体" w:hAnsi="宋体" w:eastAsia="宋体" w:cs="宋体"/>
                <w:color w:val="auto"/>
                <w:kern w:val="0"/>
                <w:szCs w:val="21"/>
                <w:shd w:val="clear" w:color="auto" w:fill="auto"/>
                <w:lang w:eastAsia="zh-CN"/>
              </w:rPr>
              <w:t>实例</w:t>
            </w:r>
            <w:r>
              <w:rPr>
                <w:rFonts w:hint="eastAsia" w:ascii="宋体" w:hAnsi="宋体" w:eastAsia="宋体" w:cs="宋体"/>
                <w:color w:val="auto"/>
                <w:kern w:val="0"/>
                <w:szCs w:val="21"/>
                <w:shd w:val="clear" w:color="auto" w:fill="auto"/>
              </w:rPr>
              <w:t>个数</w:t>
            </w:r>
            <w:r>
              <w:rPr>
                <w:rFonts w:hint="eastAsia" w:ascii="宋体" w:hAnsi="宋体" w:eastAsia="宋体" w:cs="宋体"/>
                <w:color w:val="auto"/>
                <w:kern w:val="0"/>
                <w:szCs w:val="21"/>
                <w:shd w:val="clear" w:color="auto" w:fill="auto"/>
                <w:lang w:eastAsia="zh-CN"/>
              </w:rPr>
              <w:t>按月</w:t>
            </w:r>
            <w:r>
              <w:rPr>
                <w:rFonts w:hint="eastAsia" w:ascii="宋体" w:hAnsi="宋体" w:eastAsia="宋体" w:cs="宋体"/>
                <w:color w:val="auto"/>
                <w:kern w:val="0"/>
                <w:szCs w:val="21"/>
                <w:shd w:val="clear" w:color="auto" w:fill="auto"/>
              </w:rPr>
              <w:t>收费</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21850.00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96</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kern w:val="0"/>
                <w:szCs w:val="21"/>
                <w:shd w:val="clear" w:color="auto" w:fill="auto"/>
              </w:rPr>
            </w:pPr>
          </w:p>
        </w:tc>
        <w:tc>
          <w:tcPr>
            <w:tcW w:w="1721" w:type="pct"/>
            <w:gridSpan w:val="2"/>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auto"/>
                <w:kern w:val="0"/>
                <w:szCs w:val="21"/>
                <w:shd w:val="clear" w:color="auto" w:fill="auto"/>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lang w:val="en-US" w:eastAsia="zh-CN"/>
              </w:rPr>
              <w:t>PAI Studio</w:t>
            </w:r>
            <w:r>
              <w:rPr>
                <w:rFonts w:hint="eastAsia" w:ascii="宋体" w:hAnsi="宋体" w:eastAsia="宋体" w:cs="宋体"/>
                <w:color w:val="auto"/>
                <w:kern w:val="0"/>
                <w:szCs w:val="21"/>
                <w:shd w:val="clear" w:color="auto" w:fill="auto"/>
                <w:lang w:eastAsia="zh-CN"/>
              </w:rPr>
              <w:t>深度学习</w:t>
            </w:r>
            <w:r>
              <w:rPr>
                <w:rFonts w:hint="eastAsia" w:ascii="宋体" w:hAnsi="宋体" w:eastAsia="宋体" w:cs="宋体"/>
                <w:color w:val="auto"/>
                <w:kern w:val="0"/>
                <w:szCs w:val="21"/>
                <w:shd w:val="clear" w:color="auto" w:fill="auto"/>
              </w:rPr>
              <w:t>：根据开通的</w:t>
            </w:r>
            <w:r>
              <w:rPr>
                <w:rFonts w:hint="eastAsia" w:ascii="宋体" w:hAnsi="宋体" w:eastAsia="宋体" w:cs="宋体"/>
                <w:color w:val="auto"/>
                <w:kern w:val="0"/>
                <w:szCs w:val="21"/>
                <w:shd w:val="clear" w:color="auto" w:fill="auto"/>
                <w:lang w:eastAsia="zh-CN"/>
              </w:rPr>
              <w:t>实例</w:t>
            </w:r>
            <w:r>
              <w:rPr>
                <w:rFonts w:hint="eastAsia" w:ascii="宋体" w:hAnsi="宋体" w:eastAsia="宋体" w:cs="宋体"/>
                <w:color w:val="auto"/>
                <w:kern w:val="0"/>
                <w:szCs w:val="21"/>
                <w:shd w:val="clear" w:color="auto" w:fill="auto"/>
              </w:rPr>
              <w:t>个数</w:t>
            </w:r>
            <w:r>
              <w:rPr>
                <w:rFonts w:hint="eastAsia" w:ascii="宋体" w:hAnsi="宋体" w:eastAsia="宋体" w:cs="宋体"/>
                <w:color w:val="auto"/>
                <w:kern w:val="0"/>
                <w:szCs w:val="21"/>
                <w:shd w:val="clear" w:color="auto" w:fill="auto"/>
                <w:lang w:eastAsia="zh-CN"/>
              </w:rPr>
              <w:t>按月</w:t>
            </w:r>
            <w:r>
              <w:rPr>
                <w:rFonts w:hint="eastAsia" w:ascii="宋体" w:hAnsi="宋体" w:eastAsia="宋体" w:cs="宋体"/>
                <w:color w:val="auto"/>
                <w:kern w:val="0"/>
                <w:szCs w:val="21"/>
                <w:shd w:val="clear" w:color="auto" w:fill="auto"/>
              </w:rPr>
              <w:t>收费</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2480</w:t>
            </w:r>
            <w:r>
              <w:rPr>
                <w:rFonts w:hint="eastAsia" w:ascii="宋体" w:hAnsi="宋体" w:eastAsia="宋体" w:cs="宋体"/>
                <w:color w:val="000000"/>
                <w:kern w:val="0"/>
                <w:szCs w:val="21"/>
                <w:lang w:val="en-US" w:eastAsia="zh-Hans"/>
              </w:rPr>
              <w:t>.</w:t>
            </w:r>
            <w:r>
              <w:rPr>
                <w:rFonts w:hint="eastAsia" w:ascii="宋体" w:hAnsi="宋体" w:eastAsia="宋体" w:cs="宋体"/>
                <w:color w:val="000000"/>
                <w:kern w:val="0"/>
                <w:szCs w:val="21"/>
                <w:lang w:eastAsia="zh-Han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97</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kern w:val="0"/>
                <w:szCs w:val="21"/>
                <w:shd w:val="clear" w:color="auto" w:fill="auto"/>
              </w:rPr>
            </w:pPr>
          </w:p>
        </w:tc>
        <w:tc>
          <w:tcPr>
            <w:tcW w:w="1721" w:type="pct"/>
            <w:gridSpan w:val="2"/>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auto"/>
                <w:kern w:val="0"/>
                <w:szCs w:val="21"/>
                <w:shd w:val="clear" w:color="auto" w:fill="auto"/>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lang w:val="en-US" w:eastAsia="zh-CN"/>
              </w:rPr>
              <w:t>PAI Studio</w:t>
            </w:r>
            <w:r>
              <w:rPr>
                <w:rFonts w:hint="eastAsia" w:ascii="宋体" w:hAnsi="宋体" w:eastAsia="宋体" w:cs="宋体"/>
                <w:color w:val="auto"/>
                <w:kern w:val="0"/>
                <w:szCs w:val="21"/>
                <w:shd w:val="clear" w:color="auto" w:fill="auto"/>
                <w:lang w:eastAsia="zh-CN"/>
              </w:rPr>
              <w:t>自动调参</w:t>
            </w:r>
            <w:r>
              <w:rPr>
                <w:rFonts w:hint="eastAsia" w:ascii="宋体" w:hAnsi="宋体" w:eastAsia="宋体" w:cs="宋体"/>
                <w:color w:val="auto"/>
                <w:kern w:val="0"/>
                <w:szCs w:val="21"/>
                <w:shd w:val="clear" w:color="auto" w:fill="auto"/>
              </w:rPr>
              <w:t>：根据开通的</w:t>
            </w:r>
            <w:r>
              <w:rPr>
                <w:rFonts w:hint="eastAsia" w:ascii="宋体" w:hAnsi="宋体" w:eastAsia="宋体" w:cs="宋体"/>
                <w:color w:val="auto"/>
                <w:kern w:val="0"/>
                <w:szCs w:val="21"/>
                <w:shd w:val="clear" w:color="auto" w:fill="auto"/>
                <w:lang w:eastAsia="zh-CN"/>
              </w:rPr>
              <w:t>实例</w:t>
            </w:r>
            <w:r>
              <w:rPr>
                <w:rFonts w:hint="eastAsia" w:ascii="宋体" w:hAnsi="宋体" w:eastAsia="宋体" w:cs="宋体"/>
                <w:color w:val="auto"/>
                <w:kern w:val="0"/>
                <w:szCs w:val="21"/>
                <w:shd w:val="clear" w:color="auto" w:fill="auto"/>
              </w:rPr>
              <w:t>个数</w:t>
            </w:r>
            <w:r>
              <w:rPr>
                <w:rFonts w:hint="eastAsia" w:ascii="宋体" w:hAnsi="宋体" w:eastAsia="宋体" w:cs="宋体"/>
                <w:color w:val="auto"/>
                <w:kern w:val="0"/>
                <w:szCs w:val="21"/>
                <w:shd w:val="clear" w:color="auto" w:fill="auto"/>
                <w:lang w:eastAsia="zh-CN"/>
              </w:rPr>
              <w:t>按月</w:t>
            </w:r>
            <w:r>
              <w:rPr>
                <w:rFonts w:hint="eastAsia" w:ascii="宋体" w:hAnsi="宋体" w:eastAsia="宋体" w:cs="宋体"/>
                <w:color w:val="auto"/>
                <w:kern w:val="0"/>
                <w:szCs w:val="21"/>
                <w:shd w:val="clear" w:color="auto" w:fill="auto"/>
              </w:rPr>
              <w:t>收费</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3277.50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98</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kern w:val="0"/>
                <w:szCs w:val="21"/>
                <w:shd w:val="clear" w:color="auto" w:fill="auto"/>
              </w:rPr>
            </w:pPr>
          </w:p>
        </w:tc>
        <w:tc>
          <w:tcPr>
            <w:tcW w:w="1721" w:type="pct"/>
            <w:gridSpan w:val="2"/>
            <w:vMerge w:val="restart"/>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DataWorks</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kern w:val="0"/>
                <w:szCs w:val="21"/>
                <w:shd w:val="clear" w:color="auto" w:fill="auto"/>
                <w:lang w:eastAsia="zh-CN"/>
              </w:rPr>
            </w:pPr>
            <w:r>
              <w:rPr>
                <w:rFonts w:hint="eastAsia" w:ascii="宋体" w:hAnsi="宋体" w:eastAsia="宋体" w:cs="宋体"/>
                <w:color w:val="auto"/>
                <w:kern w:val="0"/>
                <w:szCs w:val="21"/>
                <w:shd w:val="clear" w:color="auto" w:fill="auto"/>
              </w:rPr>
              <w:t>标准版</w:t>
            </w:r>
            <w:r>
              <w:rPr>
                <w:rFonts w:hint="eastAsia" w:ascii="宋体" w:hAnsi="宋体" w:eastAsia="宋体" w:cs="宋体"/>
                <w:color w:val="auto"/>
                <w:kern w:val="0"/>
                <w:szCs w:val="21"/>
                <w:shd w:val="clear" w:color="auto" w:fill="auto"/>
                <w:lang w:eastAsia="zh-CN"/>
              </w:rPr>
              <w:t>；</w:t>
            </w:r>
            <w:r>
              <w:rPr>
                <w:rFonts w:hint="eastAsia" w:ascii="宋体" w:hAnsi="宋体" w:eastAsia="宋体" w:cs="宋体"/>
                <w:color w:val="auto"/>
                <w:kern w:val="0"/>
                <w:szCs w:val="21"/>
                <w:shd w:val="clear" w:color="auto" w:fill="auto"/>
              </w:rPr>
              <w:t>根据租户开通的版本</w:t>
            </w:r>
            <w:r>
              <w:rPr>
                <w:rFonts w:hint="eastAsia" w:ascii="宋体" w:hAnsi="宋体" w:eastAsia="宋体" w:cs="宋体"/>
                <w:color w:val="auto"/>
                <w:kern w:val="0"/>
                <w:szCs w:val="21"/>
                <w:shd w:val="clear" w:color="auto" w:fill="auto"/>
                <w:lang w:eastAsia="zh-CN"/>
              </w:rPr>
              <w:t>按月</w:t>
            </w:r>
            <w:r>
              <w:rPr>
                <w:rFonts w:hint="eastAsia" w:ascii="宋体" w:hAnsi="宋体" w:eastAsia="宋体" w:cs="宋体"/>
                <w:color w:val="auto"/>
                <w:kern w:val="0"/>
                <w:szCs w:val="21"/>
                <w:shd w:val="clear" w:color="auto" w:fill="auto"/>
              </w:rPr>
              <w:t>收费</w:t>
            </w:r>
            <w:r>
              <w:rPr>
                <w:rFonts w:hint="eastAsia" w:ascii="宋体" w:hAnsi="宋体" w:eastAsia="宋体" w:cs="宋体"/>
                <w:color w:val="auto"/>
                <w:kern w:val="0"/>
                <w:szCs w:val="21"/>
                <w:shd w:val="clear" w:color="auto" w:fill="auto"/>
                <w:lang w:eastAsia="zh-CN"/>
              </w:rPr>
              <w:t>，</w:t>
            </w:r>
            <w:r>
              <w:rPr>
                <w:rFonts w:hint="eastAsia" w:ascii="宋体" w:hAnsi="宋体" w:eastAsia="宋体" w:cs="宋体"/>
                <w:color w:val="auto"/>
                <w:kern w:val="0"/>
                <w:szCs w:val="21"/>
                <w:shd w:val="clear" w:color="auto" w:fill="auto"/>
                <w:lang w:val="en-US" w:eastAsia="zh-CN"/>
              </w:rPr>
              <w:t>1</w:t>
            </w:r>
            <w:r>
              <w:rPr>
                <w:rFonts w:hint="eastAsia" w:ascii="宋体" w:hAnsi="宋体" w:eastAsia="宋体" w:cs="宋体"/>
                <w:color w:val="auto"/>
                <w:kern w:val="0"/>
                <w:szCs w:val="21"/>
                <w:shd w:val="clear" w:color="auto" w:fill="auto"/>
                <w:lang w:eastAsia="zh-CN"/>
              </w:rPr>
              <w:t>套</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5462.50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99</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kern w:val="0"/>
                <w:szCs w:val="21"/>
                <w:shd w:val="clear" w:color="auto" w:fill="auto"/>
              </w:rPr>
            </w:pPr>
          </w:p>
        </w:tc>
        <w:tc>
          <w:tcPr>
            <w:tcW w:w="1721" w:type="pct"/>
            <w:gridSpan w:val="2"/>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kern w:val="0"/>
                <w:szCs w:val="21"/>
                <w:shd w:val="clear" w:color="auto" w:fill="auto"/>
                <w:lang w:eastAsia="zh-CN"/>
              </w:rPr>
            </w:pPr>
            <w:r>
              <w:rPr>
                <w:rFonts w:hint="eastAsia" w:ascii="宋体" w:hAnsi="宋体" w:eastAsia="宋体" w:cs="宋体"/>
                <w:color w:val="auto"/>
                <w:kern w:val="0"/>
                <w:szCs w:val="21"/>
                <w:shd w:val="clear" w:color="auto" w:fill="auto"/>
                <w:lang w:eastAsia="zh-CN"/>
              </w:rPr>
              <w:t>专业版；</w:t>
            </w:r>
            <w:r>
              <w:rPr>
                <w:rFonts w:hint="eastAsia" w:ascii="宋体" w:hAnsi="宋体" w:eastAsia="宋体" w:cs="宋体"/>
                <w:color w:val="auto"/>
                <w:kern w:val="0"/>
                <w:szCs w:val="21"/>
                <w:shd w:val="clear" w:color="auto" w:fill="auto"/>
              </w:rPr>
              <w:t>根据租户开通的版本</w:t>
            </w:r>
            <w:r>
              <w:rPr>
                <w:rFonts w:hint="eastAsia" w:ascii="宋体" w:hAnsi="宋体" w:eastAsia="宋体" w:cs="宋体"/>
                <w:color w:val="auto"/>
                <w:kern w:val="0"/>
                <w:szCs w:val="21"/>
                <w:shd w:val="clear" w:color="auto" w:fill="auto"/>
                <w:lang w:eastAsia="zh-CN"/>
              </w:rPr>
              <w:t>按月</w:t>
            </w:r>
            <w:r>
              <w:rPr>
                <w:rFonts w:hint="eastAsia" w:ascii="宋体" w:hAnsi="宋体" w:eastAsia="宋体" w:cs="宋体"/>
                <w:color w:val="auto"/>
                <w:kern w:val="0"/>
                <w:szCs w:val="21"/>
                <w:shd w:val="clear" w:color="auto" w:fill="auto"/>
              </w:rPr>
              <w:t>收费</w:t>
            </w:r>
            <w:r>
              <w:rPr>
                <w:rFonts w:hint="eastAsia" w:ascii="宋体" w:hAnsi="宋体" w:eastAsia="宋体" w:cs="宋体"/>
                <w:color w:val="auto"/>
                <w:kern w:val="0"/>
                <w:szCs w:val="21"/>
                <w:shd w:val="clear" w:color="auto" w:fill="auto"/>
                <w:lang w:eastAsia="zh-CN"/>
              </w:rPr>
              <w:t>，</w:t>
            </w:r>
            <w:r>
              <w:rPr>
                <w:rFonts w:hint="eastAsia" w:ascii="宋体" w:hAnsi="宋体" w:eastAsia="宋体" w:cs="宋体"/>
                <w:color w:val="auto"/>
                <w:kern w:val="0"/>
                <w:szCs w:val="21"/>
                <w:shd w:val="clear" w:color="auto" w:fill="auto"/>
                <w:lang w:val="en-US" w:eastAsia="zh-CN"/>
              </w:rPr>
              <w:t>1</w:t>
            </w:r>
            <w:r>
              <w:rPr>
                <w:rFonts w:hint="eastAsia" w:ascii="宋体" w:hAnsi="宋体" w:eastAsia="宋体" w:cs="宋体"/>
                <w:color w:val="auto"/>
                <w:kern w:val="0"/>
                <w:szCs w:val="21"/>
                <w:shd w:val="clear" w:color="auto" w:fill="auto"/>
                <w:lang w:eastAsia="zh-CN"/>
              </w:rPr>
              <w:t>套</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10925.00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100</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kern w:val="0"/>
                <w:szCs w:val="21"/>
                <w:shd w:val="clear" w:color="auto" w:fill="auto"/>
              </w:rPr>
            </w:pPr>
          </w:p>
        </w:tc>
        <w:tc>
          <w:tcPr>
            <w:tcW w:w="1721" w:type="pct"/>
            <w:gridSpan w:val="2"/>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lang w:eastAsia="zh-CN"/>
              </w:rPr>
              <w:t>企业版；</w:t>
            </w:r>
            <w:r>
              <w:rPr>
                <w:rFonts w:hint="eastAsia" w:ascii="宋体" w:hAnsi="宋体" w:eastAsia="宋体" w:cs="宋体"/>
                <w:color w:val="auto"/>
                <w:kern w:val="0"/>
                <w:szCs w:val="21"/>
                <w:shd w:val="clear" w:color="auto" w:fill="auto"/>
              </w:rPr>
              <w:t>根据租户开通的版本</w:t>
            </w:r>
            <w:r>
              <w:rPr>
                <w:rFonts w:hint="eastAsia" w:ascii="宋体" w:hAnsi="宋体" w:eastAsia="宋体" w:cs="宋体"/>
                <w:color w:val="auto"/>
                <w:kern w:val="0"/>
                <w:szCs w:val="21"/>
                <w:shd w:val="clear" w:color="auto" w:fill="auto"/>
                <w:lang w:eastAsia="zh-CN"/>
              </w:rPr>
              <w:t>按月</w:t>
            </w:r>
            <w:r>
              <w:rPr>
                <w:rFonts w:hint="eastAsia" w:ascii="宋体" w:hAnsi="宋体" w:eastAsia="宋体" w:cs="宋体"/>
                <w:color w:val="auto"/>
                <w:kern w:val="0"/>
                <w:szCs w:val="21"/>
                <w:shd w:val="clear" w:color="auto" w:fill="auto"/>
              </w:rPr>
              <w:t>收费</w:t>
            </w:r>
            <w:r>
              <w:rPr>
                <w:rFonts w:hint="eastAsia" w:ascii="宋体" w:hAnsi="宋体" w:eastAsia="宋体" w:cs="宋体"/>
                <w:color w:val="auto"/>
                <w:kern w:val="0"/>
                <w:szCs w:val="21"/>
                <w:shd w:val="clear" w:color="auto" w:fill="auto"/>
                <w:lang w:eastAsia="zh-CN"/>
              </w:rPr>
              <w:t>，</w:t>
            </w:r>
            <w:r>
              <w:rPr>
                <w:rFonts w:hint="eastAsia" w:ascii="宋体" w:hAnsi="宋体" w:eastAsia="宋体" w:cs="宋体"/>
                <w:color w:val="auto"/>
                <w:kern w:val="0"/>
                <w:szCs w:val="21"/>
                <w:shd w:val="clear" w:color="auto" w:fill="auto"/>
                <w:lang w:val="en-US" w:eastAsia="zh-CN"/>
              </w:rPr>
              <w:t>1</w:t>
            </w:r>
            <w:r>
              <w:rPr>
                <w:rFonts w:hint="eastAsia" w:ascii="宋体" w:hAnsi="宋体" w:eastAsia="宋体" w:cs="宋体"/>
                <w:color w:val="auto"/>
                <w:kern w:val="0"/>
                <w:szCs w:val="21"/>
                <w:shd w:val="clear" w:color="auto" w:fill="auto"/>
                <w:lang w:eastAsia="zh-CN"/>
              </w:rPr>
              <w:t>套</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43700.00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101</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kern w:val="0"/>
                <w:szCs w:val="21"/>
                <w:shd w:val="clear" w:color="auto" w:fill="auto"/>
              </w:rPr>
            </w:pPr>
          </w:p>
        </w:tc>
        <w:tc>
          <w:tcPr>
            <w:tcW w:w="1721" w:type="pct"/>
            <w:gridSpan w:val="2"/>
            <w:vMerge w:val="restart"/>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auto"/>
                <w:kern w:val="0"/>
                <w:szCs w:val="21"/>
                <w:shd w:val="clear" w:color="auto" w:fill="auto"/>
              </w:rPr>
            </w:pPr>
            <w:r>
              <w:rPr>
                <w:rFonts w:hint="eastAsia" w:ascii="宋体" w:hAnsi="宋体" w:eastAsia="宋体" w:cs="宋体"/>
                <w:color w:val="auto"/>
                <w:szCs w:val="21"/>
                <w:shd w:val="clear" w:color="auto" w:fill="auto"/>
              </w:rPr>
              <w:t>DataV</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kern w:val="0"/>
                <w:szCs w:val="21"/>
                <w:shd w:val="clear" w:color="auto" w:fill="auto"/>
                <w:lang w:eastAsia="zh-CN"/>
              </w:rPr>
            </w:pPr>
            <w:r>
              <w:rPr>
                <w:rFonts w:hint="eastAsia" w:ascii="宋体" w:hAnsi="宋体" w:eastAsia="宋体" w:cs="宋体"/>
                <w:color w:val="auto"/>
                <w:kern w:val="0"/>
                <w:szCs w:val="21"/>
                <w:shd w:val="clear" w:color="auto" w:fill="auto"/>
                <w:lang w:eastAsia="zh-CN"/>
              </w:rPr>
              <w:t>专业</w:t>
            </w:r>
            <w:r>
              <w:rPr>
                <w:rFonts w:hint="eastAsia" w:ascii="宋体" w:hAnsi="宋体" w:eastAsia="宋体" w:cs="宋体"/>
                <w:color w:val="auto"/>
                <w:kern w:val="0"/>
                <w:szCs w:val="21"/>
                <w:shd w:val="clear" w:color="auto" w:fill="auto"/>
              </w:rPr>
              <w:t>版</w:t>
            </w:r>
            <w:r>
              <w:rPr>
                <w:rFonts w:hint="eastAsia" w:ascii="宋体" w:hAnsi="宋体" w:eastAsia="宋体" w:cs="宋体"/>
                <w:color w:val="auto"/>
                <w:kern w:val="0"/>
                <w:szCs w:val="21"/>
                <w:shd w:val="clear" w:color="auto" w:fill="auto"/>
                <w:lang w:eastAsia="zh-CN"/>
              </w:rPr>
              <w:t>（默认含</w:t>
            </w:r>
            <w:r>
              <w:rPr>
                <w:rFonts w:hint="eastAsia" w:ascii="宋体" w:hAnsi="宋体" w:eastAsia="宋体" w:cs="宋体"/>
                <w:color w:val="auto"/>
                <w:kern w:val="0"/>
                <w:szCs w:val="21"/>
                <w:shd w:val="clear" w:color="auto" w:fill="auto"/>
                <w:lang w:val="en-US" w:eastAsia="zh-CN"/>
              </w:rPr>
              <w:t>5个工作空间，40个屏幕空间</w:t>
            </w:r>
            <w:r>
              <w:rPr>
                <w:rFonts w:hint="eastAsia" w:ascii="宋体" w:hAnsi="宋体" w:eastAsia="宋体" w:cs="宋体"/>
                <w:color w:val="auto"/>
                <w:kern w:val="0"/>
                <w:szCs w:val="21"/>
                <w:shd w:val="clear" w:color="auto" w:fill="auto"/>
                <w:lang w:eastAsia="zh-CN"/>
              </w:rPr>
              <w:t>）</w:t>
            </w:r>
            <w:r>
              <w:rPr>
                <w:rFonts w:hint="eastAsia" w:ascii="宋体" w:hAnsi="宋体" w:eastAsia="宋体" w:cs="宋体"/>
                <w:color w:val="auto"/>
                <w:kern w:val="0"/>
                <w:szCs w:val="21"/>
                <w:shd w:val="clear" w:color="auto" w:fill="auto"/>
              </w:rPr>
              <w:t>：根据租户开通</w:t>
            </w:r>
            <w:r>
              <w:rPr>
                <w:rFonts w:hint="eastAsia" w:ascii="宋体" w:hAnsi="宋体" w:eastAsia="宋体" w:cs="宋体"/>
                <w:color w:val="auto"/>
                <w:kern w:val="0"/>
                <w:szCs w:val="21"/>
                <w:shd w:val="clear" w:color="auto" w:fill="auto"/>
                <w:lang w:eastAsia="zh-CN"/>
              </w:rPr>
              <w:t>按月</w:t>
            </w:r>
            <w:r>
              <w:rPr>
                <w:rFonts w:hint="eastAsia" w:ascii="宋体" w:hAnsi="宋体" w:eastAsia="宋体" w:cs="宋体"/>
                <w:color w:val="auto"/>
                <w:kern w:val="0"/>
                <w:szCs w:val="21"/>
                <w:shd w:val="clear" w:color="auto" w:fill="auto"/>
              </w:rPr>
              <w:t>收费</w:t>
            </w:r>
            <w:r>
              <w:rPr>
                <w:rFonts w:hint="eastAsia" w:ascii="宋体" w:hAnsi="宋体" w:eastAsia="宋体" w:cs="宋体"/>
                <w:color w:val="auto"/>
                <w:kern w:val="0"/>
                <w:szCs w:val="21"/>
                <w:shd w:val="clear" w:color="auto" w:fill="auto"/>
                <w:lang w:eastAsia="zh-CN"/>
              </w:rPr>
              <w:t>，每租户</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24000</w:t>
            </w:r>
            <w:r>
              <w:rPr>
                <w:rFonts w:hint="eastAsia" w:ascii="宋体" w:hAnsi="宋体" w:eastAsia="宋体" w:cs="宋体"/>
                <w:color w:val="000000"/>
                <w:kern w:val="0"/>
                <w:szCs w:val="21"/>
                <w:lang w:val="en-US" w:eastAsia="zh-Hans"/>
              </w:rPr>
              <w:t>.</w:t>
            </w:r>
            <w:r>
              <w:rPr>
                <w:rFonts w:hint="eastAsia" w:ascii="宋体" w:hAnsi="宋体" w:eastAsia="宋体" w:cs="宋体"/>
                <w:color w:val="000000"/>
                <w:kern w:val="0"/>
                <w:szCs w:val="21"/>
                <w:lang w:eastAsia="zh-Han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102</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kern w:val="0"/>
                <w:szCs w:val="21"/>
                <w:shd w:val="clear" w:color="auto" w:fill="auto"/>
                <w:lang w:val="en-US" w:eastAsia="zh-CN"/>
              </w:rPr>
            </w:pPr>
          </w:p>
        </w:tc>
        <w:tc>
          <w:tcPr>
            <w:tcW w:w="1721" w:type="pct"/>
            <w:gridSpan w:val="2"/>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lang w:val="en-US" w:eastAsia="zh-CN"/>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szCs w:val="21"/>
                <w:shd w:val="clear" w:color="auto" w:fill="auto"/>
                <w:lang w:eastAsia="zh-CN"/>
              </w:rPr>
            </w:pPr>
            <w:r>
              <w:rPr>
                <w:rFonts w:hint="eastAsia" w:ascii="宋体" w:hAnsi="宋体" w:eastAsia="宋体" w:cs="宋体"/>
                <w:color w:val="auto"/>
                <w:szCs w:val="21"/>
                <w:shd w:val="clear" w:color="auto" w:fill="auto"/>
                <w:lang w:eastAsia="zh-CN"/>
              </w:rPr>
              <w:t>工作空间扩展包，根据数量按月收费，</w:t>
            </w:r>
            <w:r>
              <w:rPr>
                <w:rFonts w:hint="eastAsia" w:ascii="宋体" w:hAnsi="宋体" w:eastAsia="宋体" w:cs="宋体"/>
                <w:color w:val="auto"/>
                <w:szCs w:val="21"/>
                <w:shd w:val="clear" w:color="auto" w:fill="auto"/>
                <w:lang w:val="en-US" w:eastAsia="zh-CN"/>
              </w:rPr>
              <w:t>1</w:t>
            </w:r>
            <w:r>
              <w:rPr>
                <w:rFonts w:hint="eastAsia" w:ascii="宋体" w:hAnsi="宋体" w:eastAsia="宋体" w:cs="宋体"/>
                <w:color w:val="auto"/>
                <w:szCs w:val="21"/>
                <w:shd w:val="clear" w:color="auto" w:fill="auto"/>
                <w:lang w:eastAsia="zh-CN"/>
              </w:rPr>
              <w:t>个工作空间（可添加</w:t>
            </w:r>
            <w:r>
              <w:rPr>
                <w:rFonts w:hint="eastAsia" w:ascii="宋体" w:hAnsi="宋体" w:eastAsia="宋体" w:cs="宋体"/>
                <w:color w:val="auto"/>
                <w:szCs w:val="21"/>
                <w:shd w:val="clear" w:color="auto" w:fill="auto"/>
                <w:lang w:val="en-US" w:eastAsia="zh-CN"/>
              </w:rPr>
              <w:t>10个子账号</w:t>
            </w:r>
            <w:r>
              <w:rPr>
                <w:rFonts w:hint="eastAsia" w:ascii="宋体" w:hAnsi="宋体" w:eastAsia="宋体" w:cs="宋体"/>
                <w:color w:val="auto"/>
                <w:szCs w:val="21"/>
                <w:shd w:val="clear" w:color="auto" w:fill="auto"/>
                <w:lang w:eastAsia="zh-CN"/>
              </w:rPr>
              <w:t>）</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103</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kern w:val="0"/>
                <w:szCs w:val="21"/>
                <w:shd w:val="clear" w:color="auto" w:fill="auto"/>
                <w:lang w:val="en-US" w:eastAsia="zh-CN"/>
              </w:rPr>
            </w:pPr>
          </w:p>
        </w:tc>
        <w:tc>
          <w:tcPr>
            <w:tcW w:w="1721" w:type="pct"/>
            <w:gridSpan w:val="2"/>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lang w:val="en-US" w:eastAsia="zh-CN"/>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szCs w:val="21"/>
                <w:shd w:val="clear" w:color="auto" w:fill="auto"/>
                <w:lang w:eastAsia="zh-CN"/>
              </w:rPr>
            </w:pPr>
            <w:r>
              <w:rPr>
                <w:rFonts w:hint="eastAsia" w:ascii="宋体" w:hAnsi="宋体" w:eastAsia="宋体" w:cs="宋体"/>
                <w:color w:val="auto"/>
                <w:szCs w:val="21"/>
                <w:shd w:val="clear" w:color="auto" w:fill="auto"/>
                <w:lang w:eastAsia="zh-CN"/>
              </w:rPr>
              <w:t>屏幕空间扩展包，根据数量按月收费，</w:t>
            </w:r>
            <w:r>
              <w:rPr>
                <w:rFonts w:hint="eastAsia" w:ascii="宋体" w:hAnsi="宋体" w:eastAsia="宋体" w:cs="宋体"/>
                <w:color w:val="auto"/>
                <w:szCs w:val="21"/>
                <w:shd w:val="clear" w:color="auto" w:fill="auto"/>
                <w:lang w:val="en-US" w:eastAsia="zh-CN"/>
              </w:rPr>
              <w:t>10</w:t>
            </w:r>
            <w:r>
              <w:rPr>
                <w:rFonts w:hint="eastAsia" w:ascii="宋体" w:hAnsi="宋体" w:eastAsia="宋体" w:cs="宋体"/>
                <w:color w:val="auto"/>
                <w:szCs w:val="21"/>
                <w:shd w:val="clear" w:color="auto" w:fill="auto"/>
                <w:lang w:eastAsia="zh-CN"/>
              </w:rPr>
              <w:t>个屏幕空间（可分配到任意工作空间使用）</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104</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kern w:val="0"/>
                <w:szCs w:val="21"/>
                <w:shd w:val="clear" w:color="auto" w:fill="auto"/>
                <w:lang w:val="en-US" w:eastAsia="zh-CN"/>
              </w:rPr>
            </w:pPr>
          </w:p>
        </w:tc>
        <w:tc>
          <w:tcPr>
            <w:tcW w:w="1721" w:type="pct"/>
            <w:gridSpan w:val="2"/>
            <w:vMerge w:val="restart"/>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lang w:val="en-US" w:eastAsia="zh-CN"/>
              </w:rPr>
            </w:pPr>
            <w:r>
              <w:rPr>
                <w:rFonts w:hint="eastAsia" w:ascii="宋体" w:hAnsi="宋体" w:eastAsia="宋体" w:cs="宋体"/>
                <w:color w:val="auto"/>
                <w:szCs w:val="21"/>
                <w:shd w:val="clear" w:color="auto" w:fill="auto"/>
                <w:lang w:val="en-US" w:eastAsia="zh-CN"/>
              </w:rPr>
              <w:t>Quick BI</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szCs w:val="21"/>
                <w:shd w:val="clear" w:color="auto" w:fill="auto"/>
                <w:lang w:val="en-US" w:eastAsia="zh-CN"/>
              </w:rPr>
            </w:pPr>
            <w:r>
              <w:rPr>
                <w:rFonts w:hint="eastAsia" w:ascii="宋体" w:hAnsi="宋体" w:eastAsia="宋体" w:cs="宋体"/>
                <w:color w:val="auto"/>
                <w:szCs w:val="21"/>
                <w:shd w:val="clear" w:color="auto" w:fill="auto"/>
                <w:lang w:eastAsia="zh-CN"/>
              </w:rPr>
              <w:t>按用户账号数计费（用户开通智能</w:t>
            </w:r>
            <w:r>
              <w:rPr>
                <w:rFonts w:hint="eastAsia" w:ascii="宋体" w:hAnsi="宋体" w:eastAsia="宋体" w:cs="宋体"/>
                <w:color w:val="auto"/>
                <w:szCs w:val="21"/>
                <w:shd w:val="clear" w:color="auto" w:fill="auto"/>
                <w:lang w:val="en-US" w:eastAsia="zh-CN"/>
              </w:rPr>
              <w:t>BI功能后，起始用户数量为30，超过30用户后以10用户为一个计价单位</w:t>
            </w:r>
            <w:r>
              <w:rPr>
                <w:rFonts w:hint="eastAsia" w:ascii="宋体" w:hAnsi="宋体" w:eastAsia="宋体" w:cs="宋体"/>
                <w:color w:val="auto"/>
                <w:szCs w:val="21"/>
                <w:shd w:val="clear" w:color="auto" w:fill="auto"/>
                <w:lang w:eastAsia="zh-CN"/>
              </w:rPr>
              <w:t>），初始规格：</w:t>
            </w:r>
            <w:r>
              <w:rPr>
                <w:rFonts w:hint="eastAsia" w:ascii="宋体" w:hAnsi="宋体" w:eastAsia="宋体" w:cs="宋体"/>
                <w:color w:val="auto"/>
                <w:szCs w:val="21"/>
                <w:shd w:val="clear" w:color="auto" w:fill="auto"/>
                <w:lang w:val="en-US" w:eastAsia="zh-CN"/>
              </w:rPr>
              <w:t>30用户</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105</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kern w:val="0"/>
                <w:szCs w:val="21"/>
                <w:shd w:val="clear" w:color="auto" w:fill="auto"/>
                <w:lang w:val="en-US" w:eastAsia="zh-CN"/>
              </w:rPr>
            </w:pPr>
          </w:p>
        </w:tc>
        <w:tc>
          <w:tcPr>
            <w:tcW w:w="1721" w:type="pct"/>
            <w:gridSpan w:val="2"/>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szCs w:val="21"/>
                <w:shd w:val="clear" w:color="auto" w:fill="auto"/>
                <w:lang w:val="en-US" w:eastAsia="zh-CN"/>
              </w:rPr>
            </w:pPr>
            <w:r>
              <w:rPr>
                <w:rFonts w:hint="eastAsia" w:ascii="宋体" w:hAnsi="宋体" w:eastAsia="宋体" w:cs="宋体"/>
                <w:color w:val="auto"/>
                <w:szCs w:val="21"/>
                <w:shd w:val="clear" w:color="auto" w:fill="auto"/>
                <w:lang w:eastAsia="zh-CN"/>
              </w:rPr>
              <w:t>按用户账号数计费，增量包：</w:t>
            </w:r>
            <w:r>
              <w:rPr>
                <w:rFonts w:hint="eastAsia" w:ascii="宋体" w:hAnsi="宋体" w:eastAsia="宋体" w:cs="宋体"/>
                <w:color w:val="auto"/>
                <w:szCs w:val="21"/>
                <w:shd w:val="clear" w:color="auto" w:fill="auto"/>
                <w:lang w:val="en-US" w:eastAsia="zh-CN"/>
              </w:rPr>
              <w:t>10用户</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977.79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247" w:type="pct"/>
            <w:vMerge w:val="restar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106</w:t>
            </w:r>
          </w:p>
        </w:tc>
        <w:tc>
          <w:tcPr>
            <w:tcW w:w="522" w:type="pct"/>
            <w:vMerge w:val="restar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kern w:val="0"/>
                <w:szCs w:val="21"/>
                <w:shd w:val="clear" w:color="auto" w:fill="auto"/>
                <w:lang w:val="en-US" w:eastAsia="zh-CN"/>
              </w:rPr>
            </w:pPr>
            <w:r>
              <w:rPr>
                <w:rFonts w:hint="eastAsia" w:ascii="宋体" w:hAnsi="宋体" w:eastAsia="宋体" w:cs="宋体"/>
                <w:color w:val="auto"/>
                <w:kern w:val="0"/>
                <w:szCs w:val="21"/>
                <w:shd w:val="clear" w:color="auto" w:fill="auto"/>
                <w:lang w:val="en-US" w:eastAsia="zh-CN"/>
              </w:rPr>
              <w:t>安全服务</w:t>
            </w:r>
          </w:p>
        </w:tc>
        <w:tc>
          <w:tcPr>
            <w:tcW w:w="574" w:type="pct"/>
            <w:vMerge w:val="restart"/>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auto"/>
                <w:kern w:val="2"/>
                <w:sz w:val="21"/>
                <w:szCs w:val="21"/>
                <w:shd w:val="clear" w:color="auto" w:fill="auto"/>
                <w:lang w:val="en-US" w:eastAsia="zh-CN" w:bidi="ar-SA"/>
              </w:rPr>
            </w:pPr>
            <w:r>
              <w:rPr>
                <w:rFonts w:hint="eastAsia" w:ascii="宋体" w:hAnsi="宋体" w:eastAsia="宋体" w:cs="宋体"/>
                <w:color w:val="auto"/>
                <w:szCs w:val="21"/>
                <w:shd w:val="clear" w:color="auto" w:fill="auto"/>
              </w:rPr>
              <w:t>下一代防火墙（含传统防火墙、IPS、防病毒网关）</w:t>
            </w:r>
          </w:p>
        </w:tc>
        <w:tc>
          <w:tcPr>
            <w:tcW w:w="1147" w:type="pct"/>
            <w:vMerge w:val="restart"/>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应用层性能支持：200M、500M和1000M；支持静态路由，ECMP等价路由，支持RIPv1/v2，OSPFv2/v3，BGP等动态路由协议，支持多播路由协议，支持路由异常告警功能；提供基本的安全防御；含预警及报表服务。</w:t>
            </w:r>
          </w:p>
        </w:tc>
        <w:tc>
          <w:tcPr>
            <w:tcW w:w="1853" w:type="pct"/>
            <w:noWrap w:val="0"/>
            <w:vAlign w:val="center"/>
          </w:tcPr>
          <w:p>
            <w:pPr>
              <w:keepNext/>
              <w:keepLines/>
              <w:pageBreakBefore w:val="0"/>
              <w:kinsoku/>
              <w:wordWrap w:val="0"/>
              <w:overflowPunct/>
              <w:topLinePunct/>
              <w:bidi w:val="0"/>
              <w:adjustRightInd/>
              <w:snapToGrid/>
              <w:spacing w:line="360" w:lineRule="auto"/>
              <w:ind w:firstLine="0" w:firstLineChars="0"/>
              <w:textAlignment w:val="auto"/>
              <w:outlineLvl w:val="0"/>
              <w:rPr>
                <w:rFonts w:hint="eastAsia" w:ascii="宋体" w:hAnsi="宋体" w:eastAsia="宋体" w:cs="宋体"/>
                <w:color w:val="auto"/>
                <w:kern w:val="0"/>
                <w:szCs w:val="21"/>
                <w:shd w:val="clear" w:color="auto" w:fill="auto"/>
                <w:lang w:val="en-US" w:eastAsia="zh-CN"/>
              </w:rPr>
            </w:pPr>
            <w:r>
              <w:rPr>
                <w:rFonts w:hint="eastAsia" w:ascii="宋体" w:hAnsi="宋体" w:eastAsia="宋体" w:cs="宋体"/>
                <w:sz w:val="21"/>
                <w:szCs w:val="21"/>
                <w:lang w:val="en-US" w:eastAsia="zh-CN"/>
              </w:rPr>
              <w:t>25Mbps</w:t>
            </w:r>
          </w:p>
        </w:tc>
        <w:tc>
          <w:tcPr>
            <w:tcW w:w="655" w:type="pct"/>
            <w:noWrap w:val="0"/>
            <w:vAlign w:val="center"/>
          </w:tcPr>
          <w:p>
            <w:pPr>
              <w:keepNext/>
              <w:keepLines/>
              <w:pageBreakBefore w:val="0"/>
              <w:kinsoku/>
              <w:wordWrap w:val="0"/>
              <w:overflowPunct/>
              <w:topLinePunct/>
              <w:bidi w:val="0"/>
              <w:adjustRightInd/>
              <w:snapToGrid/>
              <w:spacing w:line="360" w:lineRule="auto"/>
              <w:ind w:firstLine="0" w:firstLineChars="0"/>
              <w:jc w:val="center"/>
              <w:textAlignment w:val="auto"/>
              <w:outlineLvl w:val="0"/>
              <w:rPr>
                <w:rFonts w:hint="default" w:ascii="宋体" w:hAnsi="宋体" w:eastAsia="宋体" w:cs="宋体"/>
                <w:color w:val="auto"/>
                <w:kern w:val="0"/>
                <w:szCs w:val="21"/>
                <w:highlight w:val="none"/>
                <w:lang w:val="en-US" w:eastAsia="zh-CN"/>
              </w:rPr>
            </w:pPr>
            <w:r>
              <w:rPr>
                <w:rFonts w:hint="eastAsia" w:ascii="宋体" w:hAnsi="宋体" w:eastAsia="宋体" w:cs="宋体"/>
                <w:sz w:val="21"/>
                <w:szCs w:val="21"/>
                <w:lang w:val="en-US" w:eastAsia="zh-CN"/>
              </w:rPr>
              <w:t>938.00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247" w:type="pct"/>
            <w:vMerge w:val="continue"/>
            <w:noWrap w:val="0"/>
            <w:vAlign w:val="center"/>
          </w:tcPr>
          <w:p>
            <w:pPr>
              <w:pageBreakBefore w:val="0"/>
              <w:widowControl/>
              <w:kinsoku/>
              <w:wordWrap w:val="0"/>
              <w:overflowPunct/>
              <w:topLinePunct/>
              <w:bidi w:val="0"/>
              <w:adjustRightInd/>
              <w:snapToGrid/>
              <w:spacing w:line="360" w:lineRule="auto"/>
            </w:pP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pPr>
          </w:p>
        </w:tc>
        <w:tc>
          <w:tcPr>
            <w:tcW w:w="574" w:type="pct"/>
            <w:vMerge w:val="continue"/>
            <w:noWrap w:val="0"/>
            <w:vAlign w:val="center"/>
          </w:tcPr>
          <w:p>
            <w:pPr>
              <w:pageBreakBefore w:val="0"/>
              <w:widowControl/>
              <w:kinsoku/>
              <w:wordWrap w:val="0"/>
              <w:overflowPunct/>
              <w:topLinePunct/>
              <w:bidi w:val="0"/>
              <w:adjustRightInd/>
              <w:snapToGrid/>
              <w:spacing w:line="360" w:lineRule="auto"/>
              <w:jc w:val="left"/>
              <w:rPr>
                <w:szCs w:val="21"/>
              </w:rPr>
            </w:pPr>
          </w:p>
        </w:tc>
        <w:tc>
          <w:tcPr>
            <w:tcW w:w="1147" w:type="pct"/>
            <w:vMerge w:val="continue"/>
            <w:noWrap w:val="0"/>
            <w:vAlign w:val="center"/>
          </w:tcPr>
          <w:p>
            <w:pPr>
              <w:pageBreakBefore w:val="0"/>
              <w:widowControl/>
              <w:kinsoku/>
              <w:wordWrap w:val="0"/>
              <w:overflowPunct/>
              <w:topLinePunct/>
              <w:bidi w:val="0"/>
              <w:adjustRightInd/>
              <w:snapToGrid/>
              <w:spacing w:line="360" w:lineRule="auto"/>
              <w:jc w:val="left"/>
              <w:rPr>
                <w:szCs w:val="21"/>
              </w:rPr>
            </w:pPr>
          </w:p>
        </w:tc>
        <w:tc>
          <w:tcPr>
            <w:tcW w:w="1853" w:type="pct"/>
            <w:noWrap w:val="0"/>
            <w:vAlign w:val="center"/>
          </w:tcPr>
          <w:p>
            <w:pPr>
              <w:keepNext/>
              <w:keepLines/>
              <w:pageBreakBefore w:val="0"/>
              <w:kinsoku/>
              <w:wordWrap w:val="0"/>
              <w:overflowPunct/>
              <w:topLinePunct/>
              <w:bidi w:val="0"/>
              <w:adjustRightInd/>
              <w:snapToGrid/>
              <w:spacing w:line="360" w:lineRule="auto"/>
              <w:ind w:firstLine="0" w:firstLineChars="0"/>
              <w:textAlignment w:val="auto"/>
              <w:outlineLvl w:val="0"/>
              <w:rPr>
                <w:rFonts w:hint="eastAsia" w:ascii="宋体" w:hAnsi="宋体" w:eastAsia="宋体" w:cs="宋体"/>
                <w:color w:val="auto"/>
                <w:szCs w:val="21"/>
                <w:shd w:val="clear" w:color="auto" w:fill="auto"/>
              </w:rPr>
            </w:pPr>
            <w:r>
              <w:rPr>
                <w:rFonts w:hint="eastAsia" w:ascii="宋体" w:hAnsi="宋体" w:eastAsia="宋体" w:cs="宋体"/>
                <w:sz w:val="21"/>
                <w:szCs w:val="21"/>
                <w:lang w:val="en-US" w:eastAsia="zh-CN"/>
              </w:rPr>
              <w:t>50Mbps</w:t>
            </w:r>
          </w:p>
        </w:tc>
        <w:tc>
          <w:tcPr>
            <w:tcW w:w="655" w:type="pct"/>
            <w:noWrap w:val="0"/>
            <w:vAlign w:val="center"/>
          </w:tcPr>
          <w:p>
            <w:pPr>
              <w:keepNext/>
              <w:keepLines/>
              <w:pageBreakBefore w:val="0"/>
              <w:kinsoku/>
              <w:wordWrap w:val="0"/>
              <w:overflowPunct/>
              <w:topLinePunct/>
              <w:bidi w:val="0"/>
              <w:adjustRightInd/>
              <w:snapToGrid/>
              <w:spacing w:line="360" w:lineRule="auto"/>
              <w:ind w:firstLine="0" w:firstLineChars="0"/>
              <w:jc w:val="center"/>
              <w:textAlignment w:val="auto"/>
              <w:outlineLvl w:val="0"/>
              <w:rPr>
                <w:rFonts w:hint="default" w:ascii="宋体" w:hAnsi="宋体" w:eastAsia="宋体" w:cs="宋体"/>
                <w:color w:val="auto"/>
                <w:szCs w:val="21"/>
                <w:shd w:val="clear" w:color="auto" w:fill="auto"/>
              </w:rPr>
            </w:pPr>
            <w:r>
              <w:rPr>
                <w:rFonts w:hint="eastAsia" w:ascii="宋体" w:hAnsi="宋体" w:eastAsia="宋体" w:cs="宋体"/>
                <w:sz w:val="21"/>
                <w:szCs w:val="21"/>
                <w:lang w:val="en-US" w:eastAsia="zh-CN"/>
              </w:rPr>
              <w:t>1010.00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247" w:type="pct"/>
            <w:vMerge w:val="continue"/>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szCs w:val="21"/>
                <w:shd w:val="clear" w:color="auto" w:fill="auto"/>
              </w:rPr>
            </w:pP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szCs w:val="21"/>
                <w:shd w:val="clear" w:color="auto" w:fill="auto"/>
              </w:rPr>
            </w:pPr>
          </w:p>
        </w:tc>
        <w:tc>
          <w:tcPr>
            <w:tcW w:w="574"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147"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853" w:type="pct"/>
            <w:noWrap w:val="0"/>
            <w:vAlign w:val="center"/>
          </w:tcPr>
          <w:p>
            <w:pPr>
              <w:keepNext/>
              <w:keepLines/>
              <w:pageBreakBefore w:val="0"/>
              <w:kinsoku/>
              <w:wordWrap w:val="0"/>
              <w:overflowPunct/>
              <w:topLinePunct/>
              <w:bidi w:val="0"/>
              <w:adjustRightInd/>
              <w:snapToGrid/>
              <w:spacing w:line="360" w:lineRule="auto"/>
              <w:ind w:firstLine="0" w:firstLineChars="0"/>
              <w:textAlignment w:val="auto"/>
              <w:outlineLvl w:val="0"/>
              <w:rPr>
                <w:rFonts w:hint="eastAsia" w:ascii="宋体" w:hAnsi="宋体" w:eastAsia="宋体" w:cs="宋体"/>
                <w:color w:val="auto"/>
                <w:szCs w:val="21"/>
                <w:shd w:val="clear" w:color="auto" w:fill="auto"/>
              </w:rPr>
            </w:pPr>
            <w:r>
              <w:rPr>
                <w:rFonts w:hint="eastAsia" w:ascii="宋体" w:hAnsi="宋体" w:eastAsia="宋体" w:cs="宋体"/>
                <w:sz w:val="21"/>
                <w:szCs w:val="21"/>
                <w:lang w:val="en-US" w:eastAsia="zh-CN"/>
              </w:rPr>
              <w:t>100Mbps</w:t>
            </w:r>
          </w:p>
        </w:tc>
        <w:tc>
          <w:tcPr>
            <w:tcW w:w="655" w:type="pct"/>
            <w:noWrap w:val="0"/>
            <w:vAlign w:val="center"/>
          </w:tcPr>
          <w:p>
            <w:pPr>
              <w:keepNext/>
              <w:keepLines/>
              <w:pageBreakBefore w:val="0"/>
              <w:kinsoku/>
              <w:wordWrap w:val="0"/>
              <w:overflowPunct/>
              <w:topLinePunct/>
              <w:bidi w:val="0"/>
              <w:adjustRightInd/>
              <w:snapToGrid/>
              <w:spacing w:line="360" w:lineRule="auto"/>
              <w:ind w:firstLine="0" w:firstLineChars="0"/>
              <w:jc w:val="center"/>
              <w:textAlignment w:val="auto"/>
              <w:outlineLvl w:val="0"/>
              <w:rPr>
                <w:rFonts w:hint="default" w:ascii="宋体" w:hAnsi="宋体" w:eastAsia="宋体" w:cs="宋体"/>
                <w:color w:val="auto"/>
                <w:szCs w:val="21"/>
                <w:shd w:val="clear" w:color="auto" w:fill="auto"/>
              </w:rPr>
            </w:pPr>
            <w:r>
              <w:rPr>
                <w:rFonts w:hint="eastAsia" w:ascii="宋体" w:hAnsi="宋体" w:eastAsia="宋体" w:cs="宋体"/>
                <w:sz w:val="21"/>
                <w:szCs w:val="21"/>
                <w:lang w:val="en-US" w:eastAsia="zh-CN"/>
              </w:rPr>
              <w:t>1213.00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247" w:type="pct"/>
            <w:vMerge w:val="continue"/>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szCs w:val="21"/>
                <w:shd w:val="clear" w:color="auto" w:fill="auto"/>
              </w:rPr>
            </w:pP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szCs w:val="21"/>
                <w:shd w:val="clear" w:color="auto" w:fill="auto"/>
              </w:rPr>
            </w:pPr>
          </w:p>
        </w:tc>
        <w:tc>
          <w:tcPr>
            <w:tcW w:w="574"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147"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853" w:type="pct"/>
            <w:noWrap w:val="0"/>
            <w:vAlign w:val="center"/>
          </w:tcPr>
          <w:p>
            <w:pPr>
              <w:keepNext/>
              <w:keepLines/>
              <w:pageBreakBefore w:val="0"/>
              <w:kinsoku/>
              <w:wordWrap w:val="0"/>
              <w:overflowPunct/>
              <w:topLinePunct/>
              <w:bidi w:val="0"/>
              <w:adjustRightInd/>
              <w:snapToGrid/>
              <w:spacing w:line="360" w:lineRule="auto"/>
              <w:ind w:firstLine="0" w:firstLineChars="0"/>
              <w:textAlignment w:val="auto"/>
              <w:outlineLvl w:val="0"/>
              <w:rPr>
                <w:rFonts w:hint="eastAsia" w:ascii="宋体" w:hAnsi="宋体" w:eastAsia="宋体" w:cs="宋体"/>
                <w:color w:val="auto"/>
                <w:szCs w:val="21"/>
                <w:shd w:val="clear" w:color="auto" w:fill="auto"/>
              </w:rPr>
            </w:pPr>
            <w:r>
              <w:rPr>
                <w:rFonts w:hint="eastAsia" w:ascii="宋体" w:hAnsi="宋体" w:eastAsia="宋体" w:cs="宋体"/>
                <w:sz w:val="21"/>
                <w:szCs w:val="21"/>
                <w:lang w:val="en-US" w:eastAsia="zh-CN"/>
              </w:rPr>
              <w:t>200Mbps</w:t>
            </w:r>
          </w:p>
        </w:tc>
        <w:tc>
          <w:tcPr>
            <w:tcW w:w="655" w:type="pct"/>
            <w:noWrap w:val="0"/>
            <w:vAlign w:val="center"/>
          </w:tcPr>
          <w:p>
            <w:pPr>
              <w:keepNext/>
              <w:keepLines/>
              <w:pageBreakBefore w:val="0"/>
              <w:kinsoku/>
              <w:wordWrap w:val="0"/>
              <w:overflowPunct/>
              <w:topLinePunct/>
              <w:bidi w:val="0"/>
              <w:adjustRightInd/>
              <w:snapToGrid/>
              <w:spacing w:line="360" w:lineRule="auto"/>
              <w:ind w:firstLine="0" w:firstLineChars="0"/>
              <w:jc w:val="center"/>
              <w:textAlignment w:val="auto"/>
              <w:outlineLvl w:val="0"/>
              <w:rPr>
                <w:rFonts w:hint="default" w:ascii="宋体" w:hAnsi="宋体" w:eastAsia="宋体" w:cs="宋体"/>
                <w:color w:val="auto"/>
                <w:szCs w:val="21"/>
                <w:shd w:val="clear" w:color="auto" w:fill="auto"/>
              </w:rPr>
            </w:pPr>
            <w:r>
              <w:rPr>
                <w:rFonts w:hint="eastAsia" w:ascii="宋体" w:hAnsi="宋体" w:eastAsia="宋体" w:cs="宋体"/>
                <w:sz w:val="21"/>
                <w:szCs w:val="21"/>
                <w:lang w:val="en-US" w:eastAsia="zh-CN"/>
              </w:rPr>
              <w:t>3214.00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247" w:type="pct"/>
            <w:vMerge w:val="continue"/>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szCs w:val="21"/>
                <w:shd w:val="clear" w:color="auto" w:fill="auto"/>
              </w:rPr>
            </w:pP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szCs w:val="21"/>
                <w:shd w:val="clear" w:color="auto" w:fill="auto"/>
              </w:rPr>
            </w:pPr>
          </w:p>
        </w:tc>
        <w:tc>
          <w:tcPr>
            <w:tcW w:w="574"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147"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853" w:type="pct"/>
            <w:noWrap w:val="0"/>
            <w:vAlign w:val="center"/>
          </w:tcPr>
          <w:p>
            <w:pPr>
              <w:keepNext/>
              <w:keepLines/>
              <w:pageBreakBefore w:val="0"/>
              <w:kinsoku/>
              <w:wordWrap w:val="0"/>
              <w:overflowPunct/>
              <w:topLinePunct/>
              <w:bidi w:val="0"/>
              <w:adjustRightInd/>
              <w:snapToGrid/>
              <w:spacing w:line="360" w:lineRule="auto"/>
              <w:ind w:firstLine="0" w:firstLineChars="0"/>
              <w:textAlignment w:val="auto"/>
              <w:outlineLvl w:val="0"/>
              <w:rPr>
                <w:rFonts w:hint="eastAsia" w:ascii="宋体" w:hAnsi="宋体" w:eastAsia="宋体" w:cs="宋体"/>
                <w:color w:val="auto"/>
                <w:szCs w:val="21"/>
                <w:shd w:val="clear" w:color="auto" w:fill="auto"/>
              </w:rPr>
            </w:pPr>
            <w:r>
              <w:rPr>
                <w:rFonts w:hint="eastAsia" w:ascii="宋体" w:hAnsi="宋体" w:eastAsia="宋体" w:cs="宋体"/>
                <w:sz w:val="21"/>
                <w:szCs w:val="21"/>
                <w:lang w:val="en-US" w:eastAsia="zh-CN"/>
              </w:rPr>
              <w:t>500Mbps</w:t>
            </w:r>
          </w:p>
        </w:tc>
        <w:tc>
          <w:tcPr>
            <w:tcW w:w="655" w:type="pct"/>
            <w:noWrap w:val="0"/>
            <w:vAlign w:val="center"/>
          </w:tcPr>
          <w:p>
            <w:pPr>
              <w:keepNext/>
              <w:keepLines/>
              <w:pageBreakBefore w:val="0"/>
              <w:kinsoku/>
              <w:wordWrap w:val="0"/>
              <w:overflowPunct/>
              <w:topLinePunct/>
              <w:bidi w:val="0"/>
              <w:adjustRightInd/>
              <w:snapToGrid/>
              <w:spacing w:line="360" w:lineRule="auto"/>
              <w:ind w:firstLine="0" w:firstLineChars="0"/>
              <w:jc w:val="center"/>
              <w:textAlignment w:val="auto"/>
              <w:outlineLvl w:val="0"/>
              <w:rPr>
                <w:rFonts w:hint="default" w:ascii="宋体" w:hAnsi="宋体" w:eastAsia="宋体" w:cs="宋体"/>
                <w:color w:val="auto"/>
                <w:szCs w:val="21"/>
                <w:shd w:val="clear" w:color="auto" w:fill="auto"/>
              </w:rPr>
            </w:pPr>
            <w:r>
              <w:rPr>
                <w:rFonts w:hint="eastAsia" w:ascii="宋体" w:hAnsi="宋体" w:eastAsia="宋体" w:cs="宋体"/>
                <w:sz w:val="21"/>
                <w:szCs w:val="21"/>
                <w:lang w:val="en-US" w:eastAsia="zh-CN"/>
              </w:rPr>
              <w:t>6184.00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247" w:type="pct"/>
            <w:vMerge w:val="continue"/>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szCs w:val="21"/>
                <w:shd w:val="clear" w:color="auto" w:fill="auto"/>
              </w:rPr>
            </w:pP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szCs w:val="21"/>
                <w:shd w:val="clear" w:color="auto" w:fill="auto"/>
              </w:rPr>
            </w:pPr>
          </w:p>
        </w:tc>
        <w:tc>
          <w:tcPr>
            <w:tcW w:w="574"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147"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853" w:type="pct"/>
            <w:noWrap w:val="0"/>
            <w:vAlign w:val="center"/>
          </w:tcPr>
          <w:p>
            <w:pPr>
              <w:keepNext/>
              <w:keepLines/>
              <w:pageBreakBefore w:val="0"/>
              <w:kinsoku/>
              <w:wordWrap w:val="0"/>
              <w:overflowPunct/>
              <w:topLinePunct/>
              <w:bidi w:val="0"/>
              <w:adjustRightInd/>
              <w:snapToGrid/>
              <w:spacing w:line="360" w:lineRule="auto"/>
              <w:ind w:firstLine="0" w:firstLineChars="0"/>
              <w:textAlignment w:val="auto"/>
              <w:outlineLvl w:val="0"/>
              <w:rPr>
                <w:rFonts w:hint="eastAsia" w:ascii="宋体" w:hAnsi="宋体" w:eastAsia="宋体" w:cs="宋体"/>
                <w:color w:val="auto"/>
                <w:szCs w:val="21"/>
                <w:shd w:val="clear" w:color="auto" w:fill="auto"/>
              </w:rPr>
            </w:pPr>
            <w:r>
              <w:rPr>
                <w:rFonts w:hint="eastAsia" w:ascii="宋体" w:hAnsi="宋体" w:eastAsia="宋体" w:cs="宋体"/>
                <w:sz w:val="21"/>
                <w:szCs w:val="21"/>
                <w:lang w:val="en-US" w:eastAsia="zh-CN"/>
              </w:rPr>
              <w:t>1000Mbps</w:t>
            </w:r>
          </w:p>
        </w:tc>
        <w:tc>
          <w:tcPr>
            <w:tcW w:w="655" w:type="pct"/>
            <w:noWrap w:val="0"/>
            <w:vAlign w:val="center"/>
          </w:tcPr>
          <w:p>
            <w:pPr>
              <w:keepNext/>
              <w:keepLines/>
              <w:pageBreakBefore w:val="0"/>
              <w:kinsoku/>
              <w:wordWrap w:val="0"/>
              <w:overflowPunct/>
              <w:topLinePunct/>
              <w:bidi w:val="0"/>
              <w:adjustRightInd/>
              <w:snapToGrid/>
              <w:spacing w:line="360" w:lineRule="auto"/>
              <w:ind w:firstLine="0" w:firstLineChars="0"/>
              <w:jc w:val="center"/>
              <w:textAlignment w:val="auto"/>
              <w:outlineLvl w:val="0"/>
              <w:rPr>
                <w:rFonts w:hint="default" w:ascii="宋体" w:hAnsi="宋体" w:eastAsia="宋体" w:cs="宋体"/>
                <w:color w:val="auto"/>
                <w:szCs w:val="21"/>
                <w:shd w:val="clear" w:color="auto" w:fill="auto"/>
              </w:rPr>
            </w:pPr>
            <w:r>
              <w:rPr>
                <w:rFonts w:hint="eastAsia" w:ascii="宋体" w:hAnsi="宋体" w:eastAsia="宋体" w:cs="宋体"/>
                <w:sz w:val="21"/>
                <w:szCs w:val="21"/>
                <w:lang w:val="en-US" w:eastAsia="zh-CN"/>
              </w:rPr>
              <w:t>11519.00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47" w:type="pct"/>
            <w:vMerge w:val="restar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107</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kern w:val="0"/>
                <w:szCs w:val="21"/>
                <w:shd w:val="clear" w:color="auto" w:fill="auto"/>
                <w:lang w:val="en-US" w:eastAsia="zh-CN"/>
              </w:rPr>
            </w:pPr>
          </w:p>
        </w:tc>
        <w:tc>
          <w:tcPr>
            <w:tcW w:w="574" w:type="pct"/>
            <w:vMerge w:val="restart"/>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auto"/>
                <w:kern w:val="2"/>
                <w:sz w:val="21"/>
                <w:szCs w:val="21"/>
                <w:shd w:val="clear" w:color="auto" w:fill="auto"/>
                <w:lang w:val="en-US" w:eastAsia="zh-CN" w:bidi="ar-SA"/>
              </w:rPr>
            </w:pPr>
            <w:r>
              <w:rPr>
                <w:rFonts w:hint="eastAsia" w:ascii="宋体" w:hAnsi="宋体" w:eastAsia="宋体" w:cs="宋体"/>
                <w:sz w:val="21"/>
                <w:szCs w:val="21"/>
                <w:lang w:val="en-US" w:eastAsia="zh-CN"/>
              </w:rPr>
              <w:t>WAF</w:t>
            </w:r>
          </w:p>
        </w:tc>
        <w:tc>
          <w:tcPr>
            <w:tcW w:w="1147" w:type="pct"/>
            <w:vMerge w:val="restart"/>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应用层性能支持：200M、500M和1000M；支持静态路由，ECMP等价路由，支持RIPv1/v2，OSPFv2/v3，BGP等动态路由协议，支持多播路由协议，支持路由异常告警功能；支持Web漏洞扫描功能，可扫描检测网站是否存在SQL注入、XSS、跨站脚本、目录遍历、文件包含、命令执行等脚本漏洞；含预警及报表服务。</w:t>
            </w:r>
          </w:p>
        </w:tc>
        <w:tc>
          <w:tcPr>
            <w:tcW w:w="1853"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auto"/>
                <w:kern w:val="0"/>
                <w:szCs w:val="21"/>
                <w:shd w:val="clear" w:color="auto" w:fill="auto"/>
              </w:rPr>
            </w:pPr>
            <w:r>
              <w:rPr>
                <w:rFonts w:hint="eastAsia" w:ascii="宋体" w:hAnsi="宋体" w:eastAsia="宋体" w:cs="宋体"/>
                <w:i w:val="0"/>
                <w:color w:val="000000"/>
                <w:kern w:val="0"/>
                <w:sz w:val="21"/>
                <w:szCs w:val="21"/>
                <w:u w:val="none"/>
                <w:lang w:val="en-US" w:eastAsia="zh-CN" w:bidi="ar"/>
              </w:rPr>
              <w:t>防护流量25Mbps，HTTP最大新建连接数3000，HTTP最大并发连接数30000</w:t>
            </w:r>
          </w:p>
        </w:tc>
        <w:tc>
          <w:tcPr>
            <w:tcW w:w="655"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default" w:ascii="宋体" w:hAnsi="宋体" w:eastAsia="宋体" w:cs="宋体"/>
                <w:color w:val="auto"/>
                <w:kern w:val="0"/>
                <w:szCs w:val="21"/>
                <w:highlight w:val="none"/>
                <w:lang w:val="en-US" w:eastAsia="zh-CN"/>
              </w:rPr>
            </w:pPr>
            <w:r>
              <w:rPr>
                <w:rFonts w:hint="eastAsia" w:ascii="宋体" w:hAnsi="宋体" w:eastAsia="宋体" w:cs="宋体"/>
                <w:i w:val="0"/>
                <w:color w:val="000000"/>
                <w:kern w:val="0"/>
                <w:sz w:val="21"/>
                <w:szCs w:val="21"/>
                <w:u w:val="none"/>
                <w:lang w:val="en-US" w:eastAsia="zh-CN" w:bidi="ar"/>
              </w:rPr>
              <w:t>938.00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47" w:type="pct"/>
            <w:vMerge w:val="continue"/>
            <w:noWrap w:val="0"/>
            <w:vAlign w:val="center"/>
          </w:tcPr>
          <w:p>
            <w:pPr>
              <w:pageBreakBefore w:val="0"/>
              <w:widowControl/>
              <w:kinsoku/>
              <w:wordWrap w:val="0"/>
              <w:overflowPunct/>
              <w:topLinePunct/>
              <w:bidi w:val="0"/>
              <w:adjustRightInd/>
              <w:snapToGrid/>
              <w:spacing w:line="360" w:lineRule="auto"/>
            </w:pP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pPr>
          </w:p>
        </w:tc>
        <w:tc>
          <w:tcPr>
            <w:tcW w:w="574" w:type="pct"/>
            <w:vMerge w:val="continue"/>
            <w:noWrap w:val="0"/>
            <w:vAlign w:val="center"/>
          </w:tcPr>
          <w:p>
            <w:pPr>
              <w:pageBreakBefore w:val="0"/>
              <w:widowControl/>
              <w:kinsoku/>
              <w:wordWrap w:val="0"/>
              <w:overflowPunct/>
              <w:topLinePunct/>
              <w:bidi w:val="0"/>
              <w:adjustRightInd/>
              <w:snapToGrid/>
              <w:spacing w:line="360" w:lineRule="auto"/>
              <w:jc w:val="left"/>
              <w:rPr>
                <w:szCs w:val="21"/>
              </w:rPr>
            </w:pPr>
          </w:p>
        </w:tc>
        <w:tc>
          <w:tcPr>
            <w:tcW w:w="1147" w:type="pct"/>
            <w:vMerge w:val="continue"/>
            <w:noWrap w:val="0"/>
            <w:vAlign w:val="center"/>
          </w:tcPr>
          <w:p>
            <w:pPr>
              <w:pageBreakBefore w:val="0"/>
              <w:widowControl/>
              <w:kinsoku/>
              <w:wordWrap w:val="0"/>
              <w:overflowPunct/>
              <w:topLinePunct/>
              <w:bidi w:val="0"/>
              <w:adjustRightInd/>
              <w:snapToGrid/>
              <w:spacing w:line="360" w:lineRule="auto"/>
              <w:jc w:val="left"/>
              <w:rPr>
                <w:szCs w:val="21"/>
              </w:rPr>
            </w:pPr>
          </w:p>
        </w:tc>
        <w:tc>
          <w:tcPr>
            <w:tcW w:w="1853"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auto"/>
                <w:szCs w:val="21"/>
                <w:shd w:val="clear" w:color="auto" w:fill="auto"/>
              </w:rPr>
            </w:pPr>
            <w:r>
              <w:rPr>
                <w:rFonts w:hint="eastAsia" w:ascii="宋体" w:hAnsi="宋体" w:eastAsia="宋体" w:cs="宋体"/>
                <w:i w:val="0"/>
                <w:color w:val="000000"/>
                <w:kern w:val="0"/>
                <w:sz w:val="21"/>
                <w:szCs w:val="21"/>
                <w:u w:val="none"/>
                <w:lang w:val="en-US" w:eastAsia="zh-CN" w:bidi="ar"/>
              </w:rPr>
              <w:t>防护流量50Mbps，HTTP最大并发连接数50000，HTTP最大新建数5000</w:t>
            </w:r>
          </w:p>
        </w:tc>
        <w:tc>
          <w:tcPr>
            <w:tcW w:w="655"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default" w:ascii="宋体" w:hAnsi="宋体" w:eastAsia="宋体" w:cs="宋体"/>
                <w:color w:val="auto"/>
                <w:szCs w:val="21"/>
                <w:shd w:val="clear" w:color="auto" w:fill="auto"/>
              </w:rPr>
            </w:pPr>
            <w:r>
              <w:rPr>
                <w:rFonts w:hint="eastAsia" w:ascii="宋体" w:hAnsi="宋体" w:eastAsia="宋体" w:cs="宋体"/>
                <w:i w:val="0"/>
                <w:color w:val="000000"/>
                <w:kern w:val="0"/>
                <w:sz w:val="21"/>
                <w:szCs w:val="21"/>
                <w:u w:val="none"/>
                <w:lang w:val="en-US" w:eastAsia="zh-CN" w:bidi="ar"/>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47" w:type="pct"/>
            <w:vMerge w:val="continue"/>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szCs w:val="21"/>
                <w:shd w:val="clear" w:color="auto" w:fill="auto"/>
              </w:rPr>
            </w:pP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szCs w:val="21"/>
                <w:shd w:val="clear" w:color="auto" w:fill="auto"/>
              </w:rPr>
            </w:pPr>
          </w:p>
        </w:tc>
        <w:tc>
          <w:tcPr>
            <w:tcW w:w="574"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147"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853"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auto"/>
                <w:szCs w:val="21"/>
                <w:shd w:val="clear" w:color="auto" w:fill="auto"/>
              </w:rPr>
            </w:pPr>
            <w:r>
              <w:rPr>
                <w:rFonts w:hint="eastAsia" w:ascii="宋体" w:hAnsi="宋体" w:eastAsia="宋体" w:cs="宋体"/>
                <w:i w:val="0"/>
                <w:color w:val="000000"/>
                <w:kern w:val="0"/>
                <w:sz w:val="21"/>
                <w:szCs w:val="21"/>
                <w:u w:val="none"/>
                <w:lang w:val="en-US" w:eastAsia="zh-CN" w:bidi="ar"/>
              </w:rPr>
              <w:t>防护流量100Mbps、HTTP最大并发数180000、HTTP最大新建数10000</w:t>
            </w:r>
          </w:p>
        </w:tc>
        <w:tc>
          <w:tcPr>
            <w:tcW w:w="655"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default" w:ascii="宋体" w:hAnsi="宋体" w:eastAsia="宋体" w:cs="宋体"/>
                <w:color w:val="auto"/>
                <w:szCs w:val="21"/>
                <w:shd w:val="clear" w:color="auto" w:fill="auto"/>
              </w:rPr>
            </w:pPr>
            <w:r>
              <w:rPr>
                <w:rFonts w:hint="eastAsia" w:ascii="宋体" w:hAnsi="宋体" w:eastAsia="宋体" w:cs="宋体"/>
                <w:i w:val="0"/>
                <w:color w:val="000000"/>
                <w:kern w:val="0"/>
                <w:sz w:val="21"/>
                <w:szCs w:val="21"/>
                <w:u w:val="none"/>
                <w:lang w:val="en-US" w:eastAsia="zh-CN" w:bidi="ar"/>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jc w:val="center"/>
        </w:trPr>
        <w:tc>
          <w:tcPr>
            <w:tcW w:w="247" w:type="pct"/>
            <w:vMerge w:val="continue"/>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szCs w:val="21"/>
                <w:shd w:val="clear" w:color="auto" w:fill="auto"/>
              </w:rPr>
            </w:pP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szCs w:val="21"/>
                <w:shd w:val="clear" w:color="auto" w:fill="auto"/>
              </w:rPr>
            </w:pPr>
          </w:p>
        </w:tc>
        <w:tc>
          <w:tcPr>
            <w:tcW w:w="574"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147"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853"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auto"/>
                <w:szCs w:val="21"/>
                <w:shd w:val="clear" w:color="auto" w:fill="auto"/>
              </w:rPr>
            </w:pPr>
            <w:r>
              <w:rPr>
                <w:rFonts w:hint="eastAsia" w:ascii="宋体" w:hAnsi="宋体" w:eastAsia="宋体" w:cs="宋体"/>
                <w:i w:val="0"/>
                <w:color w:val="000000"/>
                <w:kern w:val="0"/>
                <w:sz w:val="21"/>
                <w:szCs w:val="21"/>
                <w:u w:val="none"/>
                <w:lang w:val="en-US" w:eastAsia="zh-CN" w:bidi="ar"/>
              </w:rPr>
              <w:t>防护流量200Mbps、HTTP最大并发数300000、HTTP最大新建数30000</w:t>
            </w:r>
          </w:p>
        </w:tc>
        <w:tc>
          <w:tcPr>
            <w:tcW w:w="655"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default" w:ascii="宋体" w:hAnsi="宋体" w:eastAsia="宋体" w:cs="宋体"/>
                <w:color w:val="auto"/>
                <w:szCs w:val="21"/>
                <w:shd w:val="clear" w:color="auto" w:fill="auto"/>
              </w:rPr>
            </w:pPr>
            <w:r>
              <w:rPr>
                <w:rFonts w:hint="eastAsia" w:ascii="宋体" w:hAnsi="宋体" w:eastAsia="宋体" w:cs="宋体"/>
                <w:i w:val="0"/>
                <w:color w:val="000000"/>
                <w:kern w:val="0"/>
                <w:sz w:val="21"/>
                <w:szCs w:val="21"/>
                <w:u w:val="none"/>
                <w:lang w:val="en-US" w:eastAsia="zh-CN" w:bidi="ar"/>
              </w:rPr>
              <w:t>4125.00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47" w:type="pct"/>
            <w:vMerge w:val="continue"/>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szCs w:val="21"/>
                <w:shd w:val="clear" w:color="auto" w:fill="auto"/>
              </w:rPr>
            </w:pP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szCs w:val="21"/>
                <w:shd w:val="clear" w:color="auto" w:fill="auto"/>
              </w:rPr>
            </w:pPr>
          </w:p>
        </w:tc>
        <w:tc>
          <w:tcPr>
            <w:tcW w:w="574"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147"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853"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auto"/>
                <w:szCs w:val="21"/>
                <w:shd w:val="clear" w:color="auto" w:fill="auto"/>
              </w:rPr>
            </w:pPr>
            <w:r>
              <w:rPr>
                <w:rFonts w:hint="eastAsia" w:ascii="宋体" w:hAnsi="宋体" w:eastAsia="宋体" w:cs="宋体"/>
                <w:i w:val="0"/>
                <w:color w:val="000000"/>
                <w:kern w:val="0"/>
                <w:sz w:val="21"/>
                <w:szCs w:val="21"/>
                <w:u w:val="none"/>
                <w:lang w:val="en-US" w:eastAsia="zh-CN" w:bidi="ar"/>
              </w:rPr>
              <w:t>防护流量500Mbps、HTTP最大并发数500000、HTTP最大新建数40000</w:t>
            </w:r>
          </w:p>
        </w:tc>
        <w:tc>
          <w:tcPr>
            <w:tcW w:w="655"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default" w:ascii="宋体" w:hAnsi="宋体" w:eastAsia="宋体" w:cs="宋体"/>
                <w:color w:val="auto"/>
                <w:szCs w:val="21"/>
                <w:shd w:val="clear" w:color="auto" w:fill="auto"/>
              </w:rPr>
            </w:pPr>
            <w:r>
              <w:rPr>
                <w:rFonts w:hint="eastAsia" w:ascii="宋体" w:hAnsi="宋体" w:eastAsia="宋体" w:cs="宋体"/>
                <w:i w:val="0"/>
                <w:color w:val="000000"/>
                <w:kern w:val="0"/>
                <w:sz w:val="21"/>
                <w:szCs w:val="21"/>
                <w:u w:val="none"/>
                <w:lang w:val="en-US" w:eastAsia="zh-CN" w:bidi="ar"/>
              </w:rPr>
              <w:t>6250.00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108</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kern w:val="0"/>
                <w:szCs w:val="21"/>
                <w:shd w:val="clear" w:color="auto" w:fill="auto"/>
                <w:lang w:val="en-US" w:eastAsia="zh-CN"/>
              </w:rPr>
            </w:pPr>
          </w:p>
        </w:tc>
        <w:tc>
          <w:tcPr>
            <w:tcW w:w="574" w:type="pct"/>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auto"/>
                <w:kern w:val="2"/>
                <w:sz w:val="21"/>
                <w:szCs w:val="21"/>
                <w:shd w:val="clear" w:color="auto" w:fill="auto"/>
                <w:lang w:val="en-US" w:eastAsia="zh-CN" w:bidi="ar-SA"/>
              </w:rPr>
            </w:pPr>
            <w:r>
              <w:rPr>
                <w:rFonts w:hint="eastAsia" w:ascii="宋体" w:hAnsi="宋体" w:eastAsia="宋体" w:cs="宋体"/>
                <w:color w:val="auto"/>
                <w:szCs w:val="21"/>
                <w:shd w:val="clear" w:color="auto" w:fill="auto"/>
              </w:rPr>
              <w:t>网页防篡改</w:t>
            </w:r>
          </w:p>
        </w:tc>
        <w:tc>
          <w:tcPr>
            <w:tcW w:w="1147" w:type="pct"/>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r>
              <w:rPr>
                <w:rFonts w:hint="eastAsia" w:ascii="宋体" w:hAnsi="宋体" w:cs="宋体"/>
                <w:szCs w:val="21"/>
              </w:rPr>
              <w:t>防止首页或特定的文件防篡改等</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kern w:val="0"/>
                <w:szCs w:val="21"/>
                <w:shd w:val="clear" w:color="auto" w:fill="auto"/>
                <w:lang w:val="en-US" w:eastAsia="zh-CN"/>
              </w:rPr>
            </w:pPr>
            <w:r>
              <w:rPr>
                <w:rFonts w:hint="eastAsia" w:ascii="宋体" w:hAnsi="宋体" w:eastAsia="宋体" w:cs="宋体"/>
                <w:color w:val="auto"/>
                <w:szCs w:val="21"/>
                <w:shd w:val="clear" w:color="auto" w:fill="auto"/>
              </w:rPr>
              <w:t>1个域名</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47" w:type="pct"/>
            <w:vMerge w:val="restar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109</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kern w:val="0"/>
                <w:szCs w:val="21"/>
                <w:shd w:val="clear" w:color="auto" w:fill="auto"/>
                <w:lang w:val="en-US" w:eastAsia="zh-CN"/>
              </w:rPr>
            </w:pPr>
          </w:p>
        </w:tc>
        <w:tc>
          <w:tcPr>
            <w:tcW w:w="574" w:type="pct"/>
            <w:vMerge w:val="restar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kern w:val="0"/>
                <w:szCs w:val="21"/>
                <w:shd w:val="clear" w:color="auto" w:fill="auto"/>
                <w:lang w:eastAsia="zh-CN"/>
              </w:rPr>
            </w:pPr>
            <w:r>
              <w:rPr>
                <w:rFonts w:hint="eastAsia" w:ascii="宋体" w:hAnsi="宋体" w:eastAsia="宋体" w:cs="宋体"/>
                <w:color w:val="auto"/>
                <w:szCs w:val="21"/>
                <w:shd w:val="clear" w:color="auto" w:fill="auto"/>
                <w:lang w:eastAsia="zh-CN"/>
              </w:rPr>
              <w:t>主机安全</w:t>
            </w:r>
          </w:p>
        </w:tc>
        <w:tc>
          <w:tcPr>
            <w:tcW w:w="1147" w:type="pct"/>
            <w:vMerge w:val="restart"/>
            <w:noWrap w:val="0"/>
            <w:vAlign w:val="center"/>
          </w:tcPr>
          <w:p>
            <w:pPr>
              <w:pageBreakBefore w:val="0"/>
              <w:widowControl/>
              <w:kinsoku/>
              <w:wordWrap w:val="0"/>
              <w:overflowPunct/>
              <w:topLinePunct/>
              <w:bidi w:val="0"/>
              <w:adjustRightInd/>
              <w:snapToGrid/>
              <w:spacing w:line="360" w:lineRule="auto"/>
              <w:jc w:val="left"/>
              <w:rPr>
                <w:rFonts w:hint="eastAsia" w:ascii="宋体" w:hAnsi="宋体" w:cs="宋体"/>
                <w:szCs w:val="21"/>
              </w:rPr>
            </w:pPr>
            <w:r>
              <w:rPr>
                <w:rFonts w:hint="eastAsia" w:ascii="宋体" w:hAnsi="宋体" w:cs="宋体"/>
                <w:szCs w:val="21"/>
              </w:rPr>
              <w:t>具备防恶意软件、日志审计、防病毒、资产管理、EDR功能模块；</w:t>
            </w:r>
          </w:p>
          <w:p>
            <w:pPr>
              <w:pageBreakBefore w:val="0"/>
              <w:widowControl/>
              <w:kinsoku/>
              <w:wordWrap w:val="0"/>
              <w:overflowPunct/>
              <w:topLinePunct/>
              <w:bidi w:val="0"/>
              <w:adjustRightInd/>
              <w:snapToGrid/>
              <w:spacing w:line="360" w:lineRule="auto"/>
              <w:jc w:val="left"/>
              <w:rPr>
                <w:rFonts w:hint="eastAsia" w:ascii="宋体" w:hAnsi="宋体" w:cs="宋体"/>
                <w:szCs w:val="21"/>
              </w:rPr>
            </w:pPr>
            <w:r>
              <w:rPr>
                <w:rFonts w:hint="eastAsia" w:ascii="宋体" w:hAnsi="宋体" w:cs="宋体"/>
                <w:szCs w:val="21"/>
              </w:rPr>
              <w:t>支持本地扫描和云安全扫描，具备本地病毒码和云端病毒码，支持实时扫描，预设扫描、手动扫描和快速扫描；</w:t>
            </w:r>
          </w:p>
          <w:p>
            <w:pPr>
              <w:pageBreakBefore w:val="0"/>
              <w:widowControl/>
              <w:kinsoku/>
              <w:wordWrap w:val="0"/>
              <w:overflowPunct/>
              <w:topLinePunct/>
              <w:bidi w:val="0"/>
              <w:adjustRightInd/>
              <w:snapToGrid/>
              <w:spacing w:line="360" w:lineRule="auto"/>
              <w:jc w:val="left"/>
              <w:rPr>
                <w:rFonts w:hint="eastAsia" w:ascii="宋体" w:hAnsi="宋体" w:cs="宋体"/>
                <w:szCs w:val="21"/>
              </w:rPr>
            </w:pPr>
            <w:r>
              <w:rPr>
                <w:rFonts w:hint="eastAsia" w:ascii="宋体" w:hAnsi="宋体" w:cs="宋体"/>
                <w:szCs w:val="21"/>
              </w:rPr>
              <w:t>对病毒的处理措施支持：清除、删除、拒绝访问、隔离、不予处理，系统针对不同的病毒类型提供默认配置，同时支持用户自定义。</w:t>
            </w:r>
          </w:p>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r>
              <w:rPr>
                <w:rFonts w:hint="eastAsia" w:ascii="宋体" w:hAnsi="宋体" w:cs="宋体"/>
                <w:szCs w:val="21"/>
              </w:rPr>
              <w:t>支持通过对操作系统行为高清记录和长期存储，对操作系统、应用软件和账号资产进行动态发现，基于行为规则IOA检测的威胁包括暴力密码破解攻击、WebShell攻击、提权攻击、漏洞攻击和无文件攻击等类型高级威胁进行关联分析及检测，通过绘制进程事件树实现攻击可视化，对受害主机进行远程遏制和修复。</w:t>
            </w:r>
          </w:p>
        </w:tc>
        <w:tc>
          <w:tcPr>
            <w:tcW w:w="1853"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auto"/>
                <w:kern w:val="0"/>
                <w:szCs w:val="21"/>
                <w:shd w:val="clear" w:color="auto" w:fill="auto"/>
                <w:lang w:val="en-US" w:eastAsia="zh-CN"/>
              </w:rPr>
            </w:pPr>
            <w:r>
              <w:rPr>
                <w:rFonts w:hint="eastAsia" w:ascii="宋体" w:hAnsi="宋体" w:eastAsia="宋体" w:cs="宋体"/>
                <w:i w:val="0"/>
                <w:color w:val="000000"/>
                <w:kern w:val="0"/>
                <w:sz w:val="21"/>
                <w:szCs w:val="21"/>
                <w:u w:val="none"/>
                <w:lang w:val="en-US" w:eastAsia="zh-CN" w:bidi="ar"/>
              </w:rPr>
              <w:t>1台服务器</w:t>
            </w:r>
          </w:p>
        </w:tc>
        <w:tc>
          <w:tcPr>
            <w:tcW w:w="655"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default" w:ascii="宋体" w:hAnsi="宋体" w:eastAsia="宋体" w:cs="宋体"/>
                <w:color w:val="auto"/>
                <w:kern w:val="0"/>
                <w:szCs w:val="21"/>
                <w:highlight w:val="none"/>
                <w:lang w:val="en-US" w:eastAsia="zh-CN"/>
              </w:rPr>
            </w:pPr>
            <w:r>
              <w:rPr>
                <w:rFonts w:hint="eastAsia" w:ascii="宋体" w:hAnsi="宋体" w:eastAsia="宋体" w:cs="宋体"/>
                <w:i w:val="0"/>
                <w:color w:val="000000"/>
                <w:kern w:val="0"/>
                <w:sz w:val="21"/>
                <w:szCs w:val="21"/>
                <w:u w:val="none"/>
                <w:lang w:val="en-US" w:eastAsia="zh-CN" w:bidi="ar"/>
              </w:rPr>
              <w:t>188.00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247" w:type="pct"/>
            <w:vMerge w:val="continue"/>
            <w:noWrap w:val="0"/>
            <w:vAlign w:val="center"/>
          </w:tcPr>
          <w:p>
            <w:pPr>
              <w:pageBreakBefore w:val="0"/>
              <w:widowControl/>
              <w:kinsoku/>
              <w:wordWrap w:val="0"/>
              <w:overflowPunct/>
              <w:topLinePunct/>
              <w:bidi w:val="0"/>
              <w:adjustRightInd/>
              <w:snapToGrid/>
              <w:spacing w:line="360" w:lineRule="auto"/>
            </w:pP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pPr>
          </w:p>
        </w:tc>
        <w:tc>
          <w:tcPr>
            <w:tcW w:w="574" w:type="pct"/>
            <w:vMerge w:val="continue"/>
            <w:noWrap w:val="0"/>
            <w:vAlign w:val="center"/>
          </w:tcPr>
          <w:p>
            <w:pPr>
              <w:pageBreakBefore w:val="0"/>
              <w:widowControl/>
              <w:kinsoku/>
              <w:wordWrap w:val="0"/>
              <w:overflowPunct/>
              <w:topLinePunct/>
              <w:bidi w:val="0"/>
              <w:adjustRightInd/>
              <w:snapToGrid/>
              <w:spacing w:line="360" w:lineRule="auto"/>
              <w:jc w:val="left"/>
              <w:rPr>
                <w:szCs w:val="21"/>
              </w:rPr>
            </w:pPr>
          </w:p>
        </w:tc>
        <w:tc>
          <w:tcPr>
            <w:tcW w:w="1147" w:type="pct"/>
            <w:vMerge w:val="continue"/>
            <w:noWrap w:val="0"/>
            <w:vAlign w:val="center"/>
          </w:tcPr>
          <w:p>
            <w:pPr>
              <w:pageBreakBefore w:val="0"/>
              <w:widowControl/>
              <w:kinsoku/>
              <w:wordWrap w:val="0"/>
              <w:overflowPunct/>
              <w:topLinePunct/>
              <w:bidi w:val="0"/>
              <w:adjustRightInd/>
              <w:snapToGrid/>
              <w:spacing w:line="360" w:lineRule="auto"/>
              <w:jc w:val="left"/>
              <w:rPr>
                <w:szCs w:val="21"/>
              </w:rPr>
            </w:pPr>
          </w:p>
        </w:tc>
        <w:tc>
          <w:tcPr>
            <w:tcW w:w="1853"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auto"/>
                <w:szCs w:val="21"/>
                <w:shd w:val="clear" w:color="auto" w:fill="auto"/>
              </w:rPr>
            </w:pPr>
            <w:r>
              <w:rPr>
                <w:rFonts w:hint="eastAsia" w:ascii="宋体" w:hAnsi="宋体" w:eastAsia="宋体" w:cs="宋体"/>
                <w:i w:val="0"/>
                <w:color w:val="000000"/>
                <w:kern w:val="0"/>
                <w:sz w:val="21"/>
                <w:szCs w:val="21"/>
                <w:u w:val="none"/>
                <w:lang w:val="en-US" w:eastAsia="zh-CN" w:bidi="ar"/>
              </w:rPr>
              <w:t>10台服务器</w:t>
            </w:r>
          </w:p>
        </w:tc>
        <w:tc>
          <w:tcPr>
            <w:tcW w:w="655"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default" w:ascii="宋体" w:hAnsi="宋体" w:eastAsia="宋体" w:cs="宋体"/>
                <w:color w:val="auto"/>
                <w:szCs w:val="21"/>
                <w:shd w:val="clear" w:color="auto" w:fill="auto"/>
              </w:rPr>
            </w:pPr>
            <w:r>
              <w:rPr>
                <w:rFonts w:hint="eastAsia" w:ascii="宋体" w:hAnsi="宋体" w:eastAsia="宋体" w:cs="宋体"/>
                <w:i w:val="0"/>
                <w:color w:val="000000"/>
                <w:kern w:val="0"/>
                <w:sz w:val="21"/>
                <w:szCs w:val="21"/>
                <w:u w:val="none"/>
                <w:lang w:val="en-US" w:eastAsia="zh-CN" w:bidi="ar"/>
              </w:rPr>
              <w:t>1250.00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247" w:type="pct"/>
            <w:vMerge w:val="continue"/>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szCs w:val="21"/>
                <w:shd w:val="clear" w:color="auto" w:fill="auto"/>
              </w:rPr>
            </w:pP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szCs w:val="21"/>
                <w:shd w:val="clear" w:color="auto" w:fill="auto"/>
              </w:rPr>
            </w:pPr>
          </w:p>
        </w:tc>
        <w:tc>
          <w:tcPr>
            <w:tcW w:w="574"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147"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853"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auto"/>
                <w:szCs w:val="21"/>
                <w:shd w:val="clear" w:color="auto" w:fill="auto"/>
              </w:rPr>
            </w:pPr>
            <w:r>
              <w:rPr>
                <w:rFonts w:hint="eastAsia" w:ascii="宋体" w:hAnsi="宋体" w:eastAsia="宋体" w:cs="宋体"/>
                <w:i w:val="0"/>
                <w:color w:val="000000"/>
                <w:kern w:val="0"/>
                <w:sz w:val="21"/>
                <w:szCs w:val="21"/>
                <w:u w:val="none"/>
                <w:lang w:val="en-US" w:eastAsia="zh-CN" w:bidi="ar"/>
              </w:rPr>
              <w:t>50台服务器</w:t>
            </w:r>
          </w:p>
        </w:tc>
        <w:tc>
          <w:tcPr>
            <w:tcW w:w="655"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default" w:ascii="宋体" w:hAnsi="宋体" w:eastAsia="宋体" w:cs="宋体"/>
                <w:color w:val="auto"/>
                <w:szCs w:val="21"/>
                <w:shd w:val="clear" w:color="auto" w:fill="auto"/>
              </w:rPr>
            </w:pPr>
            <w:r>
              <w:rPr>
                <w:rFonts w:hint="eastAsia" w:ascii="宋体" w:hAnsi="宋体" w:eastAsia="宋体" w:cs="宋体"/>
                <w:i w:val="0"/>
                <w:color w:val="000000"/>
                <w:kern w:val="0"/>
                <w:sz w:val="21"/>
                <w:szCs w:val="21"/>
                <w:u w:val="none"/>
                <w:lang w:val="en-US" w:eastAsia="zh-CN" w:bidi="ar"/>
              </w:rPr>
              <w:t>5625.00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247" w:type="pct"/>
            <w:vMerge w:val="continue"/>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szCs w:val="21"/>
                <w:shd w:val="clear" w:color="auto" w:fill="auto"/>
              </w:rPr>
            </w:pP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szCs w:val="21"/>
                <w:shd w:val="clear" w:color="auto" w:fill="auto"/>
              </w:rPr>
            </w:pPr>
          </w:p>
        </w:tc>
        <w:tc>
          <w:tcPr>
            <w:tcW w:w="574"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147"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853"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auto"/>
                <w:szCs w:val="21"/>
                <w:shd w:val="clear" w:color="auto" w:fill="auto"/>
              </w:rPr>
            </w:pPr>
            <w:r>
              <w:rPr>
                <w:rFonts w:hint="eastAsia" w:ascii="宋体" w:hAnsi="宋体" w:eastAsia="宋体" w:cs="宋体"/>
                <w:i w:val="0"/>
                <w:color w:val="000000"/>
                <w:kern w:val="0"/>
                <w:sz w:val="21"/>
                <w:szCs w:val="21"/>
                <w:u w:val="none"/>
                <w:lang w:val="en-US" w:eastAsia="zh-CN" w:bidi="ar"/>
              </w:rPr>
              <w:t>200台服务器</w:t>
            </w:r>
          </w:p>
        </w:tc>
        <w:tc>
          <w:tcPr>
            <w:tcW w:w="655"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default" w:ascii="宋体" w:hAnsi="宋体" w:eastAsia="宋体" w:cs="宋体"/>
                <w:color w:val="auto"/>
                <w:szCs w:val="21"/>
                <w:shd w:val="clear" w:color="auto" w:fill="auto"/>
              </w:rPr>
            </w:pPr>
            <w:r>
              <w:rPr>
                <w:rFonts w:hint="eastAsia" w:ascii="宋体" w:hAnsi="宋体" w:eastAsia="宋体" w:cs="宋体"/>
                <w:i w:val="0"/>
                <w:color w:val="000000"/>
                <w:kern w:val="0"/>
                <w:sz w:val="21"/>
                <w:szCs w:val="21"/>
                <w:u w:val="none"/>
                <w:lang w:val="en-US" w:eastAsia="zh-CN" w:bidi="ar"/>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247" w:type="pct"/>
            <w:vMerge w:val="restar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110</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kern w:val="0"/>
                <w:szCs w:val="21"/>
                <w:shd w:val="clear" w:color="auto" w:fill="auto"/>
                <w:lang w:val="en-US" w:eastAsia="zh-CN"/>
              </w:rPr>
            </w:pPr>
          </w:p>
        </w:tc>
        <w:tc>
          <w:tcPr>
            <w:tcW w:w="574" w:type="pct"/>
            <w:vMerge w:val="restart"/>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lang w:val="en-US" w:eastAsia="zh-Hans"/>
              </w:rPr>
              <w:t>数据库审计</w:t>
            </w:r>
          </w:p>
        </w:tc>
        <w:tc>
          <w:tcPr>
            <w:tcW w:w="1147" w:type="pct"/>
            <w:vMerge w:val="restart"/>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lang w:val="en-US" w:eastAsia="zh-Hans"/>
              </w:rPr>
            </w:pPr>
            <w:r>
              <w:rPr>
                <w:rFonts w:hint="eastAsia" w:ascii="宋体" w:hAnsi="宋体" w:cs="宋体"/>
                <w:szCs w:val="21"/>
                <w:lang w:eastAsia="zh-Hans"/>
              </w:rPr>
              <w:t>支持多种数据库类型的审计，支持Oracle数据库审计、SQL-Server数据库审计、DB2数据库审计、MySQL数据等</w:t>
            </w:r>
            <w:r>
              <w:rPr>
                <w:rFonts w:hint="eastAsia" w:ascii="宋体" w:hAnsi="宋体" w:cs="宋体"/>
                <w:szCs w:val="21"/>
              </w:rPr>
              <w:t>。智能解析数据库通信流量，细粒度审计数据库访问行为，通过对数据库全量行为的审计溯源、危险攻击的实时告警、风险语句的智能预警。</w:t>
            </w:r>
          </w:p>
        </w:tc>
        <w:tc>
          <w:tcPr>
            <w:tcW w:w="1853"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auto"/>
                <w:kern w:val="0"/>
                <w:szCs w:val="21"/>
                <w:shd w:val="clear" w:color="auto" w:fill="auto"/>
                <w:lang w:eastAsia="zh-CN"/>
              </w:rPr>
            </w:pPr>
            <w:r>
              <w:rPr>
                <w:rFonts w:hint="eastAsia" w:ascii="宋体" w:hAnsi="宋体" w:eastAsia="宋体" w:cs="宋体"/>
                <w:i w:val="0"/>
                <w:color w:val="000000"/>
                <w:kern w:val="0"/>
                <w:sz w:val="21"/>
                <w:szCs w:val="21"/>
                <w:u w:val="none"/>
                <w:lang w:val="en-US" w:eastAsia="zh-CN" w:bidi="ar"/>
              </w:rPr>
              <w:t>支持1个数据库实例，2000TPS</w:t>
            </w:r>
          </w:p>
        </w:tc>
        <w:tc>
          <w:tcPr>
            <w:tcW w:w="655"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default" w:ascii="宋体" w:hAnsi="宋体" w:eastAsia="宋体" w:cs="宋体"/>
                <w:color w:val="auto"/>
                <w:kern w:val="0"/>
                <w:szCs w:val="21"/>
                <w:highlight w:val="none"/>
                <w:lang w:val="en-US" w:eastAsia="zh-CN"/>
              </w:rPr>
            </w:pPr>
            <w:r>
              <w:rPr>
                <w:rFonts w:hint="eastAsia" w:ascii="宋体" w:hAnsi="宋体" w:eastAsia="宋体" w:cs="宋体"/>
                <w:i w:val="0"/>
                <w:color w:val="000000"/>
                <w:kern w:val="0"/>
                <w:sz w:val="21"/>
                <w:szCs w:val="21"/>
                <w:u w:val="none"/>
                <w:lang w:val="en-US" w:eastAsia="zh-CN" w:bidi="ar"/>
              </w:rPr>
              <w:t>970.00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247" w:type="pct"/>
            <w:vMerge w:val="continue"/>
            <w:noWrap w:val="0"/>
            <w:vAlign w:val="center"/>
          </w:tcPr>
          <w:p>
            <w:pPr>
              <w:pageBreakBefore w:val="0"/>
              <w:widowControl/>
              <w:kinsoku/>
              <w:wordWrap w:val="0"/>
              <w:overflowPunct/>
              <w:topLinePunct/>
              <w:bidi w:val="0"/>
              <w:adjustRightInd/>
              <w:snapToGrid/>
              <w:spacing w:line="360" w:lineRule="auto"/>
            </w:pP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pPr>
          </w:p>
        </w:tc>
        <w:tc>
          <w:tcPr>
            <w:tcW w:w="574" w:type="pct"/>
            <w:vMerge w:val="continue"/>
            <w:noWrap w:val="0"/>
            <w:vAlign w:val="center"/>
          </w:tcPr>
          <w:p>
            <w:pPr>
              <w:pageBreakBefore w:val="0"/>
              <w:widowControl/>
              <w:kinsoku/>
              <w:wordWrap w:val="0"/>
              <w:overflowPunct/>
              <w:topLinePunct/>
              <w:bidi w:val="0"/>
              <w:adjustRightInd/>
              <w:snapToGrid/>
              <w:spacing w:line="360" w:lineRule="auto"/>
              <w:jc w:val="left"/>
              <w:rPr>
                <w:szCs w:val="21"/>
              </w:rPr>
            </w:pPr>
          </w:p>
        </w:tc>
        <w:tc>
          <w:tcPr>
            <w:tcW w:w="1147" w:type="pct"/>
            <w:vMerge w:val="continue"/>
            <w:noWrap w:val="0"/>
            <w:vAlign w:val="center"/>
          </w:tcPr>
          <w:p>
            <w:pPr>
              <w:pageBreakBefore w:val="0"/>
              <w:widowControl/>
              <w:kinsoku/>
              <w:wordWrap w:val="0"/>
              <w:overflowPunct/>
              <w:topLinePunct/>
              <w:bidi w:val="0"/>
              <w:adjustRightInd/>
              <w:snapToGrid/>
              <w:spacing w:line="360" w:lineRule="auto"/>
              <w:jc w:val="left"/>
              <w:rPr>
                <w:szCs w:val="21"/>
              </w:rPr>
            </w:pPr>
          </w:p>
        </w:tc>
        <w:tc>
          <w:tcPr>
            <w:tcW w:w="1853"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auto"/>
                <w:szCs w:val="21"/>
                <w:shd w:val="clear" w:color="auto" w:fill="auto"/>
              </w:rPr>
            </w:pPr>
            <w:r>
              <w:rPr>
                <w:rFonts w:hint="eastAsia" w:ascii="宋体" w:hAnsi="宋体" w:eastAsia="宋体" w:cs="宋体"/>
                <w:i w:val="0"/>
                <w:color w:val="000000"/>
                <w:kern w:val="0"/>
                <w:sz w:val="21"/>
                <w:szCs w:val="21"/>
                <w:u w:val="none"/>
                <w:lang w:val="en-US" w:eastAsia="zh-CN" w:bidi="ar"/>
              </w:rPr>
              <w:t>支持2个数据库实例，2000TPS</w:t>
            </w:r>
          </w:p>
        </w:tc>
        <w:tc>
          <w:tcPr>
            <w:tcW w:w="655"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default" w:ascii="宋体" w:hAnsi="宋体" w:eastAsia="宋体" w:cs="宋体"/>
                <w:color w:val="auto"/>
                <w:szCs w:val="21"/>
                <w:shd w:val="clear" w:color="auto" w:fill="auto"/>
              </w:rPr>
            </w:pPr>
            <w:r>
              <w:rPr>
                <w:rFonts w:hint="eastAsia" w:ascii="宋体" w:hAnsi="宋体" w:eastAsia="宋体" w:cs="宋体"/>
                <w:i w:val="0"/>
                <w:color w:val="000000"/>
                <w:kern w:val="0"/>
                <w:sz w:val="21"/>
                <w:szCs w:val="21"/>
                <w:u w:val="none"/>
                <w:lang w:val="en-US" w:eastAsia="zh-CN" w:bidi="ar"/>
              </w:rPr>
              <w:t>1819.00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247" w:type="pct"/>
            <w:vMerge w:val="continue"/>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szCs w:val="21"/>
                <w:shd w:val="clear" w:color="auto" w:fill="auto"/>
              </w:rPr>
            </w:pP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szCs w:val="21"/>
                <w:shd w:val="clear" w:color="auto" w:fill="auto"/>
              </w:rPr>
            </w:pPr>
          </w:p>
        </w:tc>
        <w:tc>
          <w:tcPr>
            <w:tcW w:w="574"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147"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853"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auto"/>
                <w:szCs w:val="21"/>
                <w:shd w:val="clear" w:color="auto" w:fill="auto"/>
              </w:rPr>
            </w:pPr>
            <w:r>
              <w:rPr>
                <w:rFonts w:hint="eastAsia" w:ascii="宋体" w:hAnsi="宋体" w:eastAsia="宋体" w:cs="宋体"/>
                <w:i w:val="0"/>
                <w:color w:val="000000"/>
                <w:kern w:val="0"/>
                <w:sz w:val="21"/>
                <w:szCs w:val="21"/>
                <w:u w:val="none"/>
                <w:lang w:val="en-US" w:eastAsia="zh-CN" w:bidi="ar"/>
              </w:rPr>
              <w:t>支持4个数据库实例，4000TPS</w:t>
            </w:r>
          </w:p>
        </w:tc>
        <w:tc>
          <w:tcPr>
            <w:tcW w:w="655"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default" w:ascii="宋体" w:hAnsi="宋体" w:eastAsia="宋体" w:cs="宋体"/>
                <w:color w:val="auto"/>
                <w:szCs w:val="21"/>
                <w:shd w:val="clear" w:color="auto" w:fill="auto"/>
              </w:rPr>
            </w:pPr>
            <w:r>
              <w:rPr>
                <w:rFonts w:hint="eastAsia" w:ascii="宋体" w:hAnsi="宋体" w:eastAsia="宋体" w:cs="宋体"/>
                <w:i w:val="0"/>
                <w:color w:val="000000"/>
                <w:kern w:val="0"/>
                <w:sz w:val="21"/>
                <w:szCs w:val="21"/>
                <w:u w:val="none"/>
                <w:lang w:val="en-US" w:eastAsia="zh-CN" w:bidi="ar"/>
              </w:rPr>
              <w:t>3031.00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247" w:type="pct"/>
            <w:vMerge w:val="continue"/>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szCs w:val="21"/>
                <w:shd w:val="clear" w:color="auto" w:fill="auto"/>
              </w:rPr>
            </w:pP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szCs w:val="21"/>
                <w:shd w:val="clear" w:color="auto" w:fill="auto"/>
              </w:rPr>
            </w:pPr>
          </w:p>
        </w:tc>
        <w:tc>
          <w:tcPr>
            <w:tcW w:w="574"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147"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p>
        </w:tc>
        <w:tc>
          <w:tcPr>
            <w:tcW w:w="1853"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auto"/>
                <w:szCs w:val="21"/>
                <w:shd w:val="clear" w:color="auto" w:fill="auto"/>
              </w:rPr>
            </w:pPr>
            <w:r>
              <w:rPr>
                <w:rFonts w:hint="eastAsia" w:ascii="宋体" w:hAnsi="宋体" w:eastAsia="宋体" w:cs="宋体"/>
                <w:i w:val="0"/>
                <w:color w:val="000000"/>
                <w:kern w:val="0"/>
                <w:sz w:val="21"/>
                <w:szCs w:val="21"/>
                <w:u w:val="none"/>
                <w:lang w:val="en-US" w:eastAsia="zh-CN" w:bidi="ar"/>
              </w:rPr>
              <w:t>支持8个数据库实例，16000TPS</w:t>
            </w:r>
          </w:p>
        </w:tc>
        <w:tc>
          <w:tcPr>
            <w:tcW w:w="655"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eastAsia" w:ascii="宋体" w:hAnsi="宋体" w:eastAsia="宋体" w:cs="宋体"/>
                <w:color w:val="auto"/>
                <w:szCs w:val="21"/>
                <w:shd w:val="clear" w:color="auto" w:fill="auto"/>
              </w:rPr>
            </w:pPr>
            <w:r>
              <w:rPr>
                <w:rFonts w:hint="eastAsia" w:ascii="宋体" w:hAnsi="宋体" w:eastAsia="宋体" w:cs="宋体"/>
                <w:i w:val="0"/>
                <w:color w:val="000000"/>
                <w:kern w:val="0"/>
                <w:sz w:val="21"/>
                <w:szCs w:val="21"/>
                <w:u w:val="none"/>
                <w:lang w:val="en-US" w:eastAsia="zh-CN" w:bidi="ar"/>
              </w:rPr>
              <w:t>4375.00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111</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kern w:val="0"/>
                <w:szCs w:val="21"/>
                <w:shd w:val="clear" w:color="auto" w:fill="auto"/>
                <w:lang w:val="en-US" w:eastAsia="zh-CN"/>
              </w:rPr>
            </w:pPr>
          </w:p>
        </w:tc>
        <w:tc>
          <w:tcPr>
            <w:tcW w:w="574" w:type="pct"/>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lang w:val="en-US" w:eastAsia="zh-CN"/>
              </w:rPr>
            </w:pPr>
            <w:r>
              <w:rPr>
                <w:rFonts w:hint="eastAsia" w:ascii="宋体" w:hAnsi="宋体" w:eastAsia="宋体" w:cs="宋体"/>
                <w:color w:val="auto"/>
                <w:szCs w:val="21"/>
                <w:shd w:val="clear" w:color="auto" w:fill="auto"/>
                <w:lang w:val="en-US" w:eastAsia="zh-Hans"/>
              </w:rPr>
              <w:t>VPN安全接入</w:t>
            </w:r>
          </w:p>
        </w:tc>
        <w:tc>
          <w:tcPr>
            <w:tcW w:w="1147" w:type="pct"/>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lang w:val="en-US" w:eastAsia="zh-Hans"/>
              </w:rPr>
            </w:pPr>
            <w:r>
              <w:rPr>
                <w:rFonts w:hint="eastAsia" w:ascii="宋体" w:hAnsi="宋体" w:eastAsia="宋体" w:cs="宋体"/>
                <w:color w:val="auto"/>
                <w:szCs w:val="21"/>
                <w:shd w:val="clear" w:color="auto" w:fill="auto"/>
                <w:lang w:val="en-US" w:eastAsia="zh-Hans"/>
              </w:rPr>
              <w:t>提供SSL VPN或IPSEC VPN接入服务</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auto"/>
                <w:szCs w:val="21"/>
                <w:shd w:val="clear" w:color="auto" w:fill="auto"/>
                <w:lang w:val="en-US" w:eastAsia="zh-CN"/>
              </w:rPr>
            </w:pPr>
            <w:r>
              <w:rPr>
                <w:rFonts w:hint="eastAsia" w:ascii="宋体" w:hAnsi="宋体" w:eastAsia="宋体" w:cs="宋体"/>
                <w:color w:val="auto"/>
                <w:szCs w:val="21"/>
                <w:shd w:val="clear" w:color="auto" w:fill="auto"/>
              </w:rPr>
              <w:t>每个并发接入授权</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247" w:type="pct"/>
            <w:vMerge w:val="restar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112</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574" w:type="pct"/>
            <w:vMerge w:val="restar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kern w:val="2"/>
                <w:sz w:val="21"/>
                <w:szCs w:val="21"/>
                <w:shd w:val="clear" w:color="auto" w:fill="auto"/>
                <w:lang w:val="en-US" w:eastAsia="zh-Hans" w:bidi="ar-SA"/>
              </w:rPr>
            </w:pPr>
            <w:r>
              <w:rPr>
                <w:rFonts w:hint="eastAsia" w:ascii="宋体" w:hAnsi="宋体" w:eastAsia="宋体" w:cs="宋体"/>
                <w:color w:val="auto"/>
                <w:szCs w:val="21"/>
                <w:shd w:val="clear" w:color="auto" w:fill="auto"/>
                <w:lang w:val="en-US" w:eastAsia="zh-Hans"/>
              </w:rPr>
              <w:t>运维审计（堡垒机）</w:t>
            </w:r>
          </w:p>
        </w:tc>
        <w:tc>
          <w:tcPr>
            <w:tcW w:w="1147" w:type="pct"/>
            <w:vMerge w:val="restar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lang w:val="en-US" w:eastAsia="zh-Hans"/>
              </w:rPr>
            </w:pPr>
            <w:r>
              <w:rPr>
                <w:rFonts w:hint="eastAsia" w:ascii="宋体" w:hAnsi="宋体" w:cs="宋体"/>
                <w:szCs w:val="21"/>
                <w:lang w:eastAsia="zh-Hans"/>
              </w:rPr>
              <w:t>针对RDP、VNC、X11等图形终端操作的连接情况进行记录及审计；记录发生时间、发生地址、服务端IP、客户端IP、操作指令、返回信息、操作备注、客户端端口、服务器端口、运维用户帐号、运维用户姓名、审批用户帐号、审批用户姓名、服务器用户名等信息；针对RDP、VNC、X11等图形终端操作的连接情况进行记录及审计，并支持保存审计日志（视频）180天以上。</w:t>
            </w:r>
          </w:p>
        </w:tc>
        <w:tc>
          <w:tcPr>
            <w:tcW w:w="1853"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1个资产授权</w:t>
            </w:r>
          </w:p>
        </w:tc>
        <w:tc>
          <w:tcPr>
            <w:tcW w:w="655"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default" w:ascii="宋体" w:hAnsi="宋体" w:eastAsia="宋体" w:cs="宋体"/>
                <w:color w:val="auto"/>
                <w:kern w:val="0"/>
                <w:szCs w:val="21"/>
                <w:highlight w:val="none"/>
                <w:lang w:val="en-US" w:eastAsia="zh-CN"/>
              </w:rPr>
            </w:pPr>
            <w:r>
              <w:rPr>
                <w:rFonts w:hint="eastAsia" w:ascii="宋体" w:hAnsi="宋体" w:eastAsia="宋体" w:cs="宋体"/>
                <w:i w:val="0"/>
                <w:color w:val="000000"/>
                <w:kern w:val="0"/>
                <w:sz w:val="21"/>
                <w:szCs w:val="21"/>
                <w:u w:val="none"/>
                <w:lang w:val="en-US" w:eastAsia="zh-CN" w:bidi="ar"/>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247" w:type="pct"/>
            <w:vMerge w:val="continue"/>
            <w:noWrap w:val="0"/>
            <w:vAlign w:val="center"/>
          </w:tcPr>
          <w:p>
            <w:pPr>
              <w:pageBreakBefore w:val="0"/>
              <w:widowControl/>
              <w:kinsoku/>
              <w:wordWrap w:val="0"/>
              <w:overflowPunct/>
              <w:topLinePunct/>
              <w:bidi w:val="0"/>
              <w:adjustRightInd/>
              <w:snapToGrid/>
              <w:spacing w:line="360" w:lineRule="auto"/>
            </w:pP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pPr>
          </w:p>
        </w:tc>
        <w:tc>
          <w:tcPr>
            <w:tcW w:w="574" w:type="pct"/>
            <w:vMerge w:val="continue"/>
            <w:noWrap w:val="0"/>
            <w:vAlign w:val="center"/>
          </w:tcPr>
          <w:p>
            <w:pPr>
              <w:pageBreakBefore w:val="0"/>
              <w:widowControl/>
              <w:kinsoku/>
              <w:wordWrap w:val="0"/>
              <w:overflowPunct/>
              <w:topLinePunct/>
              <w:bidi w:val="0"/>
              <w:adjustRightInd/>
              <w:snapToGrid/>
              <w:spacing w:line="360" w:lineRule="auto"/>
              <w:jc w:val="left"/>
              <w:rPr>
                <w:szCs w:val="21"/>
              </w:rPr>
            </w:pPr>
          </w:p>
        </w:tc>
        <w:tc>
          <w:tcPr>
            <w:tcW w:w="1147" w:type="pct"/>
            <w:vMerge w:val="continue"/>
            <w:noWrap w:val="0"/>
            <w:vAlign w:val="center"/>
          </w:tcPr>
          <w:p>
            <w:pPr>
              <w:pageBreakBefore w:val="0"/>
              <w:widowControl/>
              <w:kinsoku/>
              <w:wordWrap w:val="0"/>
              <w:overflowPunct/>
              <w:topLinePunct/>
              <w:bidi w:val="0"/>
              <w:adjustRightInd/>
              <w:snapToGrid/>
              <w:spacing w:line="360" w:lineRule="auto"/>
              <w:jc w:val="left"/>
              <w:rPr>
                <w:szCs w:val="21"/>
              </w:rPr>
            </w:pPr>
          </w:p>
        </w:tc>
        <w:tc>
          <w:tcPr>
            <w:tcW w:w="1853"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10个资产授权</w:t>
            </w:r>
          </w:p>
        </w:tc>
        <w:tc>
          <w:tcPr>
            <w:tcW w:w="655"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default" w:ascii="宋体" w:hAnsi="宋体" w:eastAsia="宋体"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668.00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247" w:type="pct"/>
            <w:vMerge w:val="continue"/>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lang w:eastAsia="zh-CN"/>
              </w:rPr>
            </w:pP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lang w:eastAsia="zh-CN"/>
              </w:rPr>
            </w:pPr>
          </w:p>
        </w:tc>
        <w:tc>
          <w:tcPr>
            <w:tcW w:w="574"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lang w:eastAsia="zh-CN"/>
              </w:rPr>
            </w:pPr>
          </w:p>
        </w:tc>
        <w:tc>
          <w:tcPr>
            <w:tcW w:w="1147"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lang w:eastAsia="zh-CN"/>
              </w:rPr>
            </w:pPr>
          </w:p>
        </w:tc>
        <w:tc>
          <w:tcPr>
            <w:tcW w:w="1853"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20个资产授权</w:t>
            </w:r>
          </w:p>
        </w:tc>
        <w:tc>
          <w:tcPr>
            <w:tcW w:w="655"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default" w:ascii="宋体" w:hAnsi="宋体" w:eastAsia="宋体"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1213.00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247" w:type="pct"/>
            <w:vMerge w:val="continue"/>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lang w:eastAsia="zh-CN"/>
              </w:rPr>
            </w:pP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lang w:eastAsia="zh-CN"/>
              </w:rPr>
            </w:pPr>
          </w:p>
        </w:tc>
        <w:tc>
          <w:tcPr>
            <w:tcW w:w="574"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lang w:eastAsia="zh-CN"/>
              </w:rPr>
            </w:pPr>
          </w:p>
        </w:tc>
        <w:tc>
          <w:tcPr>
            <w:tcW w:w="1147"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lang w:eastAsia="zh-CN"/>
              </w:rPr>
            </w:pPr>
          </w:p>
        </w:tc>
        <w:tc>
          <w:tcPr>
            <w:tcW w:w="1853"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50个资产授权</w:t>
            </w:r>
          </w:p>
        </w:tc>
        <w:tc>
          <w:tcPr>
            <w:tcW w:w="655"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default" w:ascii="宋体" w:hAnsi="宋体" w:eastAsia="宋体"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2123.00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247" w:type="pct"/>
            <w:vMerge w:val="continue"/>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lang w:eastAsia="zh-CN"/>
              </w:rPr>
            </w:pP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lang w:eastAsia="zh-CN"/>
              </w:rPr>
            </w:pPr>
          </w:p>
        </w:tc>
        <w:tc>
          <w:tcPr>
            <w:tcW w:w="574"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lang w:eastAsia="zh-CN"/>
              </w:rPr>
            </w:pPr>
          </w:p>
        </w:tc>
        <w:tc>
          <w:tcPr>
            <w:tcW w:w="1147"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lang w:eastAsia="zh-CN"/>
              </w:rPr>
            </w:pPr>
          </w:p>
        </w:tc>
        <w:tc>
          <w:tcPr>
            <w:tcW w:w="1853"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100资产授权</w:t>
            </w:r>
          </w:p>
        </w:tc>
        <w:tc>
          <w:tcPr>
            <w:tcW w:w="655"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default" w:ascii="宋体" w:hAnsi="宋体" w:eastAsia="宋体"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3536.00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247" w:type="pct"/>
            <w:vMerge w:val="continue"/>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lang w:eastAsia="zh-CN"/>
              </w:rPr>
            </w:pP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lang w:eastAsia="zh-CN"/>
              </w:rPr>
            </w:pPr>
          </w:p>
        </w:tc>
        <w:tc>
          <w:tcPr>
            <w:tcW w:w="574"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lang w:eastAsia="zh-CN"/>
              </w:rPr>
            </w:pPr>
          </w:p>
        </w:tc>
        <w:tc>
          <w:tcPr>
            <w:tcW w:w="1147"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lang w:eastAsia="zh-CN"/>
              </w:rPr>
            </w:pPr>
          </w:p>
        </w:tc>
        <w:tc>
          <w:tcPr>
            <w:tcW w:w="1853"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200个资产授权</w:t>
            </w:r>
          </w:p>
        </w:tc>
        <w:tc>
          <w:tcPr>
            <w:tcW w:w="655"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default" w:ascii="宋体" w:hAnsi="宋体" w:eastAsia="宋体" w:cs="宋体"/>
                <w:color w:val="000000"/>
                <w:kern w:val="0"/>
                <w:szCs w:val="21"/>
                <w:lang w:eastAsia="zh-CN"/>
              </w:rPr>
            </w:pPr>
            <w:r>
              <w:rPr>
                <w:rFonts w:hint="eastAsia" w:ascii="宋体" w:hAnsi="宋体" w:eastAsia="宋体" w:cs="宋体"/>
                <w:i w:val="0"/>
                <w:color w:val="000000"/>
                <w:kern w:val="0"/>
                <w:sz w:val="21"/>
                <w:szCs w:val="21"/>
                <w:u w:val="none"/>
                <w:lang w:val="en-US" w:eastAsia="zh-CN" w:bidi="ar"/>
              </w:rPr>
              <w:t>4548.00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247" w:type="pct"/>
            <w:vMerge w:val="restar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113</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highlight w:val="none"/>
              </w:rPr>
            </w:pPr>
          </w:p>
        </w:tc>
        <w:tc>
          <w:tcPr>
            <w:tcW w:w="574" w:type="pct"/>
            <w:vMerge w:val="restar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kern w:val="2"/>
                <w:sz w:val="21"/>
                <w:szCs w:val="21"/>
                <w:highlight w:val="none"/>
                <w:shd w:val="clear" w:color="auto" w:fill="auto"/>
                <w:lang w:val="en-US" w:eastAsia="zh-Hans" w:bidi="ar-SA"/>
              </w:rPr>
            </w:pPr>
            <w:r>
              <w:rPr>
                <w:rFonts w:hint="eastAsia" w:ascii="宋体" w:hAnsi="宋体" w:eastAsia="宋体" w:cs="宋体"/>
                <w:color w:val="auto"/>
                <w:szCs w:val="21"/>
                <w:highlight w:val="none"/>
                <w:shd w:val="clear" w:color="auto" w:fill="auto"/>
                <w:lang w:val="en-US" w:eastAsia="zh-CN"/>
              </w:rPr>
              <w:t>综合</w:t>
            </w:r>
            <w:r>
              <w:rPr>
                <w:rFonts w:hint="eastAsia" w:ascii="宋体" w:hAnsi="宋体" w:eastAsia="宋体" w:cs="宋体"/>
                <w:color w:val="auto"/>
                <w:szCs w:val="21"/>
                <w:highlight w:val="none"/>
                <w:shd w:val="clear" w:color="auto" w:fill="auto"/>
                <w:lang w:val="en-US" w:eastAsia="zh-Hans"/>
              </w:rPr>
              <w:t>日志审计</w:t>
            </w:r>
          </w:p>
        </w:tc>
        <w:tc>
          <w:tcPr>
            <w:tcW w:w="1147" w:type="pct"/>
            <w:vMerge w:val="restar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highlight w:val="none"/>
                <w:shd w:val="clear" w:color="auto" w:fill="auto"/>
                <w:lang w:val="en-US" w:eastAsia="zh-Hans"/>
              </w:rPr>
            </w:pPr>
            <w:r>
              <w:rPr>
                <w:rFonts w:hint="eastAsia" w:ascii="宋体" w:hAnsi="宋体" w:cs="宋体"/>
                <w:szCs w:val="21"/>
                <w:highlight w:val="none"/>
                <w:lang w:eastAsia="zh-Hans"/>
              </w:rPr>
              <w:t>系统支持从不同设备或系统中所获得的各类日志、事件中抽取相关片段准确和完整地映射至安全事件的标准字段；对安全事件重新定级。能根据统一的安全策略，按照安全设备识别名、事件类别、事件级别等所有可能的条件及各种条件的组合对事件严重级别进行重定义；含运维及报表服务</w:t>
            </w:r>
            <w:r>
              <w:rPr>
                <w:rFonts w:hint="eastAsia" w:ascii="宋体" w:hAnsi="宋体" w:cs="宋体"/>
                <w:szCs w:val="21"/>
                <w:highlight w:val="none"/>
              </w:rPr>
              <w:t>，</w:t>
            </w:r>
            <w:r>
              <w:rPr>
                <w:rFonts w:hint="eastAsia" w:ascii="宋体" w:hAnsi="宋体" w:cs="宋体"/>
                <w:szCs w:val="21"/>
                <w:highlight w:val="none"/>
                <w:lang w:eastAsia="zh-Hans"/>
              </w:rPr>
              <w:t>支持自定义存储周期和日志保存时长；支持180天以上的保存时长自定义配置；支持存储空间监控，存储日志达到上限时告警响应。</w:t>
            </w:r>
          </w:p>
        </w:tc>
        <w:tc>
          <w:tcPr>
            <w:tcW w:w="1853"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10个资产授权</w:t>
            </w:r>
          </w:p>
        </w:tc>
        <w:tc>
          <w:tcPr>
            <w:tcW w:w="655"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default" w:ascii="宋体" w:hAnsi="宋体" w:eastAsia="宋体" w:cs="宋体"/>
                <w:color w:val="auto"/>
                <w:kern w:val="0"/>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1031.00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247" w:type="pct"/>
            <w:vMerge w:val="continue"/>
            <w:noWrap w:val="0"/>
            <w:vAlign w:val="center"/>
          </w:tcPr>
          <w:p>
            <w:pPr>
              <w:pageBreakBefore w:val="0"/>
              <w:widowControl/>
              <w:kinsoku/>
              <w:wordWrap w:val="0"/>
              <w:overflowPunct/>
              <w:topLinePunct/>
              <w:bidi w:val="0"/>
              <w:adjustRightInd/>
              <w:snapToGrid/>
              <w:spacing w:line="360" w:lineRule="auto"/>
            </w:pP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pPr>
          </w:p>
        </w:tc>
        <w:tc>
          <w:tcPr>
            <w:tcW w:w="574" w:type="pct"/>
            <w:vMerge w:val="continue"/>
            <w:noWrap w:val="0"/>
            <w:vAlign w:val="center"/>
          </w:tcPr>
          <w:p>
            <w:pPr>
              <w:pageBreakBefore w:val="0"/>
              <w:widowControl/>
              <w:kinsoku/>
              <w:wordWrap w:val="0"/>
              <w:overflowPunct/>
              <w:topLinePunct/>
              <w:bidi w:val="0"/>
              <w:adjustRightInd/>
              <w:snapToGrid/>
              <w:spacing w:line="360" w:lineRule="auto"/>
              <w:jc w:val="left"/>
              <w:rPr>
                <w:szCs w:val="21"/>
              </w:rPr>
            </w:pPr>
          </w:p>
        </w:tc>
        <w:tc>
          <w:tcPr>
            <w:tcW w:w="1147" w:type="pct"/>
            <w:vMerge w:val="continue"/>
            <w:noWrap w:val="0"/>
            <w:vAlign w:val="center"/>
          </w:tcPr>
          <w:p>
            <w:pPr>
              <w:pageBreakBefore w:val="0"/>
              <w:widowControl/>
              <w:kinsoku/>
              <w:wordWrap w:val="0"/>
              <w:overflowPunct/>
              <w:topLinePunct/>
              <w:bidi w:val="0"/>
              <w:adjustRightInd/>
              <w:snapToGrid/>
              <w:spacing w:line="360" w:lineRule="auto"/>
              <w:jc w:val="left"/>
              <w:rPr>
                <w:szCs w:val="21"/>
              </w:rPr>
            </w:pPr>
          </w:p>
        </w:tc>
        <w:tc>
          <w:tcPr>
            <w:tcW w:w="1853"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000000"/>
                <w:kern w:val="0"/>
                <w:szCs w:val="21"/>
              </w:rPr>
            </w:pPr>
            <w:r>
              <w:rPr>
                <w:rFonts w:hint="eastAsia" w:ascii="宋体" w:hAnsi="宋体" w:eastAsia="宋体" w:cs="宋体"/>
                <w:i w:val="0"/>
                <w:color w:val="000000"/>
                <w:kern w:val="0"/>
                <w:sz w:val="21"/>
                <w:szCs w:val="21"/>
                <w:u w:val="none"/>
                <w:lang w:val="en-US" w:eastAsia="zh-CN" w:bidi="ar"/>
              </w:rPr>
              <w:t>20个资产授权</w:t>
            </w:r>
          </w:p>
        </w:tc>
        <w:tc>
          <w:tcPr>
            <w:tcW w:w="655"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default" w:ascii="宋体" w:hAnsi="宋体" w:eastAsia="宋体" w:cs="宋体"/>
                <w:color w:val="000000"/>
                <w:kern w:val="0"/>
                <w:szCs w:val="21"/>
              </w:rPr>
            </w:pPr>
            <w:r>
              <w:rPr>
                <w:rFonts w:hint="eastAsia" w:ascii="宋体" w:hAnsi="宋体" w:eastAsia="宋体" w:cs="宋体"/>
                <w:i w:val="0"/>
                <w:color w:val="000000"/>
                <w:kern w:val="0"/>
                <w:sz w:val="21"/>
                <w:szCs w:val="21"/>
                <w:u w:val="none"/>
                <w:lang w:val="en-US" w:eastAsia="zh-CN" w:bidi="ar"/>
              </w:rPr>
              <w:t>1638.00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247" w:type="pct"/>
            <w:vMerge w:val="continue"/>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574"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147"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000000"/>
                <w:kern w:val="0"/>
                <w:szCs w:val="21"/>
              </w:rPr>
            </w:pPr>
            <w:r>
              <w:rPr>
                <w:rFonts w:hint="eastAsia" w:ascii="宋体" w:hAnsi="宋体" w:eastAsia="宋体" w:cs="宋体"/>
                <w:i w:val="0"/>
                <w:color w:val="000000"/>
                <w:kern w:val="0"/>
                <w:sz w:val="21"/>
                <w:szCs w:val="21"/>
                <w:u w:val="none"/>
                <w:lang w:val="en-US" w:eastAsia="zh-CN" w:bidi="ar"/>
              </w:rPr>
              <w:t>50个资产授权</w:t>
            </w:r>
          </w:p>
        </w:tc>
        <w:tc>
          <w:tcPr>
            <w:tcW w:w="655"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default" w:ascii="宋体" w:hAnsi="宋体" w:eastAsia="宋体" w:cs="宋体"/>
                <w:color w:val="000000"/>
                <w:kern w:val="0"/>
                <w:szCs w:val="21"/>
              </w:rPr>
            </w:pPr>
            <w:r>
              <w:rPr>
                <w:rFonts w:hint="eastAsia" w:ascii="宋体" w:hAnsi="宋体" w:eastAsia="宋体" w:cs="宋体"/>
                <w:i w:val="0"/>
                <w:color w:val="000000"/>
                <w:kern w:val="0"/>
                <w:sz w:val="21"/>
                <w:szCs w:val="21"/>
                <w:u w:val="none"/>
                <w:lang w:val="en-US" w:eastAsia="zh-CN" w:bidi="ar"/>
              </w:rPr>
              <w:t>2668.00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247" w:type="pct"/>
            <w:vMerge w:val="continue"/>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574"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147"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000000"/>
                <w:kern w:val="0"/>
                <w:szCs w:val="21"/>
              </w:rPr>
            </w:pPr>
            <w:r>
              <w:rPr>
                <w:rFonts w:hint="eastAsia" w:ascii="宋体" w:hAnsi="宋体" w:eastAsia="宋体" w:cs="宋体"/>
                <w:i w:val="0"/>
                <w:color w:val="000000"/>
                <w:kern w:val="0"/>
                <w:sz w:val="21"/>
                <w:szCs w:val="21"/>
                <w:u w:val="none"/>
                <w:lang w:val="en-US" w:eastAsia="zh-CN" w:bidi="ar"/>
              </w:rPr>
              <w:t>100个资产授权</w:t>
            </w:r>
          </w:p>
        </w:tc>
        <w:tc>
          <w:tcPr>
            <w:tcW w:w="655"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default" w:ascii="宋体" w:hAnsi="宋体" w:eastAsia="宋体" w:cs="宋体"/>
                <w:color w:val="000000"/>
                <w:kern w:val="0"/>
                <w:szCs w:val="21"/>
              </w:rPr>
            </w:pPr>
            <w:r>
              <w:rPr>
                <w:rFonts w:hint="eastAsia" w:ascii="宋体" w:hAnsi="宋体" w:eastAsia="宋体" w:cs="宋体"/>
                <w:i w:val="0"/>
                <w:color w:val="000000"/>
                <w:kern w:val="0"/>
                <w:sz w:val="21"/>
                <w:szCs w:val="21"/>
                <w:u w:val="none"/>
                <w:lang w:val="en-US" w:eastAsia="zh-CN" w:bidi="ar"/>
              </w:rPr>
              <w:t>4486.00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9" w:hRule="atLeast"/>
          <w:jc w:val="center"/>
        </w:trPr>
        <w:tc>
          <w:tcPr>
            <w:tcW w:w="247" w:type="pct"/>
            <w:vMerge w:val="continue"/>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574"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147"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3"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000000"/>
                <w:kern w:val="0"/>
                <w:szCs w:val="21"/>
              </w:rPr>
            </w:pPr>
            <w:r>
              <w:rPr>
                <w:rFonts w:hint="eastAsia" w:ascii="宋体" w:hAnsi="宋体" w:eastAsia="宋体" w:cs="宋体"/>
                <w:i w:val="0"/>
                <w:color w:val="000000"/>
                <w:kern w:val="0"/>
                <w:sz w:val="21"/>
                <w:szCs w:val="21"/>
                <w:u w:val="none"/>
                <w:lang w:val="en-US" w:eastAsia="zh-CN" w:bidi="ar"/>
              </w:rPr>
              <w:t>200个资产授权</w:t>
            </w:r>
          </w:p>
        </w:tc>
        <w:tc>
          <w:tcPr>
            <w:tcW w:w="655"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default" w:ascii="宋体" w:hAnsi="宋体" w:eastAsia="宋体" w:cs="宋体"/>
                <w:color w:val="000000"/>
                <w:kern w:val="0"/>
                <w:szCs w:val="21"/>
              </w:rPr>
            </w:pPr>
            <w:r>
              <w:rPr>
                <w:rFonts w:hint="eastAsia" w:ascii="宋体" w:hAnsi="宋体" w:eastAsia="宋体" w:cs="宋体"/>
                <w:i w:val="0"/>
                <w:color w:val="000000"/>
                <w:kern w:val="0"/>
                <w:sz w:val="21"/>
                <w:szCs w:val="21"/>
                <w:u w:val="none"/>
                <w:lang w:val="en-US" w:eastAsia="zh-CN" w:bidi="ar"/>
              </w:rPr>
              <w:t>5820.00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5"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114</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highlight w:val="none"/>
              </w:rPr>
            </w:pPr>
          </w:p>
        </w:tc>
        <w:tc>
          <w:tcPr>
            <w:tcW w:w="574" w:type="pc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highlight w:val="none"/>
                <w:lang w:val="en-US" w:eastAsia="zh-Hans"/>
              </w:rPr>
            </w:pPr>
            <w:r>
              <w:rPr>
                <w:rFonts w:hint="eastAsia" w:ascii="宋体" w:hAnsi="宋体" w:eastAsia="宋体" w:cs="宋体"/>
                <w:color w:val="000000"/>
                <w:kern w:val="0"/>
                <w:szCs w:val="21"/>
                <w:highlight w:val="none"/>
                <w:lang w:val="en-US" w:eastAsia="zh-Hans"/>
              </w:rPr>
              <w:t>态势感知</w:t>
            </w:r>
          </w:p>
        </w:tc>
        <w:tc>
          <w:tcPr>
            <w:tcW w:w="1147" w:type="pc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highlight w:val="none"/>
                <w:lang w:val="en-US" w:eastAsia="zh-Hans"/>
              </w:rPr>
            </w:pPr>
            <w:r>
              <w:rPr>
                <w:rFonts w:hint="eastAsia" w:ascii="宋体" w:hAnsi="宋体" w:cs="宋体"/>
                <w:color w:val="000000"/>
                <w:kern w:val="0"/>
                <w:szCs w:val="21"/>
                <w:highlight w:val="none"/>
                <w:lang w:eastAsia="zh-Hans"/>
              </w:rPr>
              <w:t>管理所有安全设备及部分网络设备；对安全设备和部分网络设备进行统一管理、状态监控、策略下发，实现全局网络安全态势感知。态势感知在集中管理所有安全组件日志数据的基础上，综合运用攻击地图、安全拓扑等可视化技术手段，对云中及网络资产的安全风险、攻击威胁的分布、趋势、来源进行综合的感知呈现，为总体把握安全态势提供有力支撑，且能为各部门提供提供安全态势大屏，推送告警等信息。</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按照每个使用单位收费</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115</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highlight w:val="none"/>
              </w:rPr>
            </w:pPr>
          </w:p>
        </w:tc>
        <w:tc>
          <w:tcPr>
            <w:tcW w:w="1721" w:type="pct"/>
            <w:gridSpan w:val="2"/>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eastAsia="zh-CN"/>
              </w:rPr>
              <w:t>数据备份</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根据备份空间的大小按月计费</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GB</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116</w:t>
            </w:r>
          </w:p>
        </w:tc>
        <w:tc>
          <w:tcPr>
            <w:tcW w:w="522" w:type="pct"/>
            <w:vMerge w:val="restar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Cs w:val="21"/>
                <w:highlight w:val="none"/>
              </w:rPr>
              <w:t>平台服务</w:t>
            </w:r>
          </w:p>
        </w:tc>
        <w:tc>
          <w:tcPr>
            <w:tcW w:w="1721" w:type="pct"/>
            <w:gridSpan w:val="2"/>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Cs w:val="21"/>
                <w:highlight w:val="none"/>
                <w:lang w:eastAsia="zh-CN"/>
              </w:rPr>
              <w:t>云管平台（云控制台）系统对接服务</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Cs w:val="21"/>
                <w:highlight w:val="none"/>
              </w:rPr>
              <w:t>云管平台</w:t>
            </w:r>
            <w:r>
              <w:rPr>
                <w:rFonts w:hint="eastAsia" w:ascii="宋体" w:hAnsi="宋体" w:eastAsia="宋体" w:cs="宋体"/>
                <w:color w:val="000000"/>
                <w:kern w:val="0"/>
                <w:szCs w:val="21"/>
                <w:highlight w:val="none"/>
                <w:lang w:eastAsia="zh-CN"/>
              </w:rPr>
              <w:t>（云控制台）与</w:t>
            </w:r>
            <w:r>
              <w:rPr>
                <w:rFonts w:hint="eastAsia" w:ascii="宋体" w:hAnsi="宋体" w:eastAsia="宋体" w:cs="宋体"/>
                <w:color w:val="000000"/>
                <w:kern w:val="0"/>
                <w:szCs w:val="21"/>
                <w:highlight w:val="none"/>
                <w:lang w:val="en-US" w:eastAsia="zh-CN"/>
              </w:rPr>
              <w:t>IRS及其他系统对接</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117</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highlight w:val="none"/>
                <w:lang w:val="en-US" w:eastAsia="zh-CN"/>
              </w:rPr>
            </w:pPr>
          </w:p>
        </w:tc>
        <w:tc>
          <w:tcPr>
            <w:tcW w:w="1721" w:type="pct"/>
            <w:gridSpan w:val="2"/>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平台</w:t>
            </w:r>
            <w:r>
              <w:rPr>
                <w:rFonts w:hint="eastAsia" w:ascii="宋体" w:hAnsi="宋体" w:eastAsia="宋体" w:cs="宋体"/>
                <w:color w:val="000000"/>
                <w:kern w:val="0"/>
                <w:szCs w:val="21"/>
                <w:highlight w:val="none"/>
                <w:lang w:val="en-US" w:eastAsia="zh-Hans"/>
              </w:rPr>
              <w:t>密码</w:t>
            </w:r>
            <w:r>
              <w:rPr>
                <w:rFonts w:hint="eastAsia" w:ascii="宋体" w:hAnsi="宋体" w:eastAsia="宋体" w:cs="宋体"/>
                <w:color w:val="000000"/>
                <w:kern w:val="0"/>
                <w:szCs w:val="21"/>
                <w:highlight w:val="none"/>
                <w:lang w:val="en-US" w:eastAsia="zh-CN"/>
              </w:rPr>
              <w:t>测评</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eastAsia="zh-CN"/>
              </w:rPr>
              <w:t>根据国家密码管理局应发的《信息安全等级保护商用密码管理办法实施意见》要求，需要组织国家密码管理部门指定测评机构对平台进行密码测评</w:t>
            </w:r>
            <w:r>
              <w:rPr>
                <w:rFonts w:hint="eastAsia" w:ascii="宋体" w:hAnsi="宋体" w:eastAsia="宋体" w:cs="宋体"/>
                <w:color w:val="000000"/>
                <w:kern w:val="0"/>
                <w:sz w:val="21"/>
                <w:szCs w:val="21"/>
                <w:highlight w:val="none"/>
                <w:lang w:val="en-US" w:eastAsia="zh-CN" w:bidi="ar-SA"/>
              </w:rPr>
              <w:t>，单位：一套</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highlight w:val="none"/>
                <w:lang w:val="en-US" w:eastAsia="zh-Hans"/>
              </w:rPr>
            </w:pPr>
            <w:r>
              <w:rPr>
                <w:rFonts w:hint="eastAsia" w:ascii="宋体" w:hAnsi="宋体" w:eastAsia="宋体" w:cs="宋体"/>
                <w:color w:val="000000"/>
                <w:kern w:val="0"/>
                <w:szCs w:val="21"/>
                <w:highlight w:val="no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7"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118</w:t>
            </w:r>
          </w:p>
        </w:tc>
        <w:tc>
          <w:tcPr>
            <w:tcW w:w="522"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highlight w:val="none"/>
                <w:lang w:val="en-US" w:eastAsia="zh-CN"/>
              </w:rPr>
            </w:pPr>
          </w:p>
        </w:tc>
        <w:tc>
          <w:tcPr>
            <w:tcW w:w="1721" w:type="pct"/>
            <w:gridSpan w:val="2"/>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云计算安全评估</w:t>
            </w:r>
          </w:p>
        </w:tc>
        <w:tc>
          <w:tcPr>
            <w:tcW w:w="1853"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根据国家网信办、工信部等四部委关于《云计算服务安全评估办法》要求，完成云平台的安全评估服务</w:t>
            </w:r>
          </w:p>
        </w:tc>
        <w:tc>
          <w:tcPr>
            <w:tcW w:w="655"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83000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000" w:type="pct"/>
            <w:gridSpan w:val="6"/>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注：</w:t>
            </w:r>
            <w:r>
              <w:rPr>
                <w:rFonts w:hint="eastAsia" w:ascii="宋体" w:hAnsi="宋体" w:eastAsia="宋体" w:cs="宋体"/>
                <w:color w:val="000000"/>
                <w:kern w:val="0"/>
                <w:szCs w:val="21"/>
                <w:lang w:eastAsia="zh-CN"/>
              </w:rPr>
              <w:t>采购用户按实际需求采购，云供应商须按需提供。</w:t>
            </w:r>
          </w:p>
        </w:tc>
      </w:tr>
    </w:tbl>
    <w:p>
      <w:pPr>
        <w:pStyle w:val="3"/>
        <w:pageBreakBefore w:val="0"/>
        <w:kinsoku/>
        <w:wordWrap w:val="0"/>
        <w:overflowPunct/>
        <w:topLinePunct/>
        <w:bidi w:val="0"/>
        <w:adjustRightInd/>
        <w:snapToGrid/>
        <w:rPr>
          <w:rFonts w:hint="eastAsia"/>
        </w:rPr>
      </w:pPr>
    </w:p>
    <w:p>
      <w:pPr>
        <w:pageBreakBefore w:val="0"/>
        <w:numPr>
          <w:ilvl w:val="0"/>
          <w:numId w:val="2"/>
        </w:numPr>
        <w:kinsoku/>
        <w:wordWrap w:val="0"/>
        <w:overflowPunct/>
        <w:topLinePunct/>
        <w:bidi w:val="0"/>
        <w:adjustRightInd/>
        <w:snapToGrid/>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政务云国产化资源</w:t>
      </w:r>
    </w:p>
    <w:tbl>
      <w:tblPr>
        <w:tblStyle w:val="15"/>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831"/>
        <w:gridCol w:w="2851"/>
        <w:gridCol w:w="3149"/>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tblHeader/>
          <w:jc w:val="center"/>
        </w:trPr>
        <w:tc>
          <w:tcPr>
            <w:tcW w:w="311"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490"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服务类别</w:t>
            </w:r>
          </w:p>
        </w:tc>
        <w:tc>
          <w:tcPr>
            <w:tcW w:w="1682" w:type="pc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服务名称</w:t>
            </w:r>
          </w:p>
        </w:tc>
        <w:tc>
          <w:tcPr>
            <w:tcW w:w="1858"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采购规格（单位）</w:t>
            </w:r>
          </w:p>
        </w:tc>
        <w:tc>
          <w:tcPr>
            <w:tcW w:w="657" w:type="pct"/>
            <w:noWrap w:val="0"/>
            <w:vAlign w:val="center"/>
          </w:tcPr>
          <w:p>
            <w:pPr>
              <w:pageBreakBefore w:val="0"/>
              <w:kinsoku/>
              <w:wordWrap w:val="0"/>
              <w:overflowPunct/>
              <w:topLinePunct/>
              <w:bidi w:val="0"/>
              <w:adjustRightInd/>
              <w:snapToGrid/>
              <w:spacing w:line="360" w:lineRule="auto"/>
              <w:rPr>
                <w:rFonts w:hint="eastAsia" w:ascii="宋体" w:hAnsi="宋体" w:eastAsia="宋体" w:cs="宋体"/>
                <w:szCs w:val="21"/>
              </w:rPr>
            </w:pPr>
          </w:p>
          <w:p>
            <w:pPr>
              <w:pageBreakBefore w:val="0"/>
              <w:widowControl/>
              <w:kinsoku/>
              <w:wordWrap w:val="0"/>
              <w:overflowPunct/>
              <w:topLinePunct/>
              <w:bidi w:val="0"/>
              <w:adjustRightInd/>
              <w:snapToGrid/>
              <w:spacing w:line="36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eastAsia="zh-CN"/>
              </w:rPr>
              <w:t>最高限价</w:t>
            </w:r>
            <w:r>
              <w:rPr>
                <w:rFonts w:hint="eastAsia" w:ascii="宋体" w:hAnsi="宋体" w:eastAsia="宋体" w:cs="宋体"/>
                <w:b/>
                <w:bCs/>
                <w:color w:val="000000"/>
                <w:kern w:val="0"/>
                <w:szCs w:val="21"/>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p>
        </w:tc>
        <w:tc>
          <w:tcPr>
            <w:tcW w:w="490" w:type="pct"/>
            <w:vMerge w:val="restar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计算服务</w:t>
            </w:r>
          </w:p>
        </w:tc>
        <w:tc>
          <w:tcPr>
            <w:tcW w:w="1682" w:type="pct"/>
            <w:vMerge w:val="restar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云服务器</w:t>
            </w: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一</w:t>
            </w:r>
            <w:r>
              <w:rPr>
                <w:rFonts w:hint="eastAsia" w:ascii="宋体" w:hAnsi="宋体" w:eastAsia="宋体" w:cs="宋体"/>
                <w:color w:val="000000"/>
                <w:kern w:val="0"/>
                <w:szCs w:val="21"/>
              </w:rPr>
              <w:t>核，</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GB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一</w:t>
            </w:r>
            <w:r>
              <w:rPr>
                <w:rFonts w:hint="eastAsia" w:ascii="宋体" w:hAnsi="宋体" w:eastAsia="宋体" w:cs="宋体"/>
                <w:color w:val="000000"/>
                <w:kern w:val="0"/>
                <w:szCs w:val="21"/>
              </w:rPr>
              <w:t>核，</w:t>
            </w: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GB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216.08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lang w:eastAsia="zh-CN"/>
              </w:rPr>
            </w:pPr>
            <w:r>
              <w:rPr>
                <w:rFonts w:hint="eastAsia" w:ascii="宋体" w:hAnsi="宋体" w:eastAsia="宋体" w:cs="宋体"/>
                <w:color w:val="000000"/>
                <w:szCs w:val="21"/>
                <w:lang w:val="en-US" w:eastAsia="zh-CN"/>
              </w:rPr>
              <w:t>3</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两核，4GB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4</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两核，8GB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524.4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5</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四核，8GB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535.62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6</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四核，16GB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826.48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7</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八核，16GB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1071.44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8</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八核，32GB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1652.96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9</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十六核，32GB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3443.56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10</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十六核，64GB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4749.32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11</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vMerge w:val="continue"/>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三十二核，64GB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6887.12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12</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三十二核，128GB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9498.2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13</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noWrap w:val="0"/>
            <w:vAlign w:val="center"/>
          </w:tcPr>
          <w:p>
            <w:pPr>
              <w:pageBreakBefore w:val="0"/>
              <w:widowControl/>
              <w:kinsoku/>
              <w:wordWrap w:val="0"/>
              <w:overflowPunct/>
              <w:topLinePunct/>
              <w:bidi w:val="0"/>
              <w:adjustRightInd/>
              <w:snapToGrid/>
              <w:spacing w:line="360" w:lineRule="auto"/>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块存储</w:t>
            </w:r>
            <w:r>
              <w:rPr>
                <w:rFonts w:hint="eastAsia" w:ascii="宋体" w:hAnsi="宋体" w:eastAsia="宋体" w:cs="宋体"/>
                <w:color w:val="000000"/>
                <w:kern w:val="0"/>
                <w:szCs w:val="21"/>
                <w:lang w:val="en-US" w:eastAsia="zh-CN"/>
              </w:rPr>
              <w:t>-高效云盘</w:t>
            </w: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以100GB为单价，每100G</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14</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块存储</w:t>
            </w:r>
            <w:r>
              <w:rPr>
                <w:rFonts w:hint="eastAsia" w:ascii="宋体" w:hAnsi="宋体" w:eastAsia="宋体" w:cs="宋体"/>
                <w:color w:val="000000"/>
                <w:kern w:val="0"/>
                <w:szCs w:val="21"/>
                <w:lang w:val="en-US" w:eastAsia="zh-CN"/>
              </w:rPr>
              <w:t>-SSD云盘</w:t>
            </w: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以10GB为单价，每10GB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15</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快照</w:t>
            </w: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根据快照所占的存储空间大小按月计费，每GB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311" w:type="pct"/>
            <w:vMerge w:val="restar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16</w:t>
            </w:r>
          </w:p>
        </w:tc>
        <w:tc>
          <w:tcPr>
            <w:tcW w:w="490" w:type="pct"/>
            <w:vMerge w:val="restar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r>
              <w:rPr>
                <w:rFonts w:hint="eastAsia" w:asciiTheme="minorEastAsia" w:hAnsiTheme="minorEastAsia" w:cstheme="minorEastAsia"/>
                <w:kern w:val="0"/>
                <w:sz w:val="22"/>
                <w:szCs w:val="22"/>
                <w:lang w:eastAsia="zh-CN"/>
              </w:rPr>
              <w:t>负载均衡（</w:t>
            </w:r>
            <w:r>
              <w:rPr>
                <w:rFonts w:hint="eastAsia" w:asciiTheme="minorEastAsia" w:hAnsiTheme="minorEastAsia" w:cstheme="minorEastAsia"/>
                <w:kern w:val="0"/>
                <w:sz w:val="22"/>
                <w:szCs w:val="22"/>
                <w:lang w:val="en-US" w:eastAsia="zh-CN"/>
              </w:rPr>
              <w:t>SLB</w:t>
            </w:r>
            <w:r>
              <w:rPr>
                <w:rFonts w:hint="eastAsia" w:asciiTheme="minorEastAsia" w:hAnsiTheme="minorEastAsia" w:cstheme="minorEastAsia"/>
                <w:kern w:val="0"/>
                <w:sz w:val="22"/>
                <w:szCs w:val="22"/>
                <w:lang w:eastAsia="zh-CN"/>
              </w:rPr>
              <w:t>）</w:t>
            </w:r>
          </w:p>
        </w:tc>
        <w:tc>
          <w:tcPr>
            <w:tcW w:w="1682" w:type="pct"/>
            <w:vMerge w:val="restart"/>
            <w:noWrap w:val="0"/>
            <w:vAlign w:val="center"/>
          </w:tcPr>
          <w:p>
            <w:pPr>
              <w:pageBreakBefore w:val="0"/>
              <w:widowControl/>
              <w:kinsoku/>
              <w:wordWrap w:val="0"/>
              <w:overflowPunct/>
              <w:topLinePunct/>
              <w:bidi w:val="0"/>
              <w:adjustRightInd/>
              <w:snapToGrid/>
              <w:spacing w:line="360" w:lineRule="auto"/>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根据实例类型数量+公网 IP 数计费</w:t>
            </w:r>
            <w:r>
              <w:rPr>
                <w:rFonts w:hint="eastAsia" w:ascii="宋体" w:hAnsi="宋体" w:eastAsia="宋体" w:cs="宋体"/>
                <w:color w:val="000000"/>
                <w:kern w:val="0"/>
                <w:szCs w:val="21"/>
                <w:lang w:val="en-US" w:eastAsia="zh-CN"/>
              </w:rPr>
              <w:t>标准IP地址或互联网地址</w:t>
            </w:r>
          </w:p>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同城容灾互联服务</w:t>
            </w: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lang w:eastAsia="zh-CN"/>
              </w:rPr>
            </w:pPr>
            <w:r>
              <w:rPr>
                <w:rFonts w:hint="eastAsia" w:asciiTheme="minorEastAsia" w:hAnsiTheme="minorEastAsia" w:eastAsiaTheme="minorEastAsia" w:cstheme="minorEastAsia"/>
                <w:kern w:val="0"/>
                <w:sz w:val="22"/>
                <w:szCs w:val="22"/>
                <w:lang w:bidi="ar"/>
              </w:rPr>
              <w:t>标准型</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Theme="minorEastAsia" w:hAnsiTheme="minorEastAsia" w:cstheme="minorEastAsia"/>
                <w:kern w:val="0"/>
                <w:sz w:val="22"/>
                <w:szCs w:val="22"/>
                <w:lang w:val="en-US" w:eastAsia="zh-CN" w:bidi="ar"/>
              </w:rPr>
              <w:t>70.06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311" w:type="pct"/>
            <w:vMerge w:val="continue"/>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lang w:val="en-US" w:eastAsia="zh-Hans"/>
              </w:rPr>
            </w:pP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lang w:eastAsia="zh-CN"/>
              </w:rPr>
            </w:pPr>
            <w:r>
              <w:rPr>
                <w:rFonts w:hint="eastAsia" w:asciiTheme="minorEastAsia" w:hAnsiTheme="minorEastAsia" w:eastAsiaTheme="minorEastAsia" w:cstheme="minorEastAsia"/>
                <w:kern w:val="0"/>
                <w:sz w:val="22"/>
                <w:szCs w:val="22"/>
                <w:lang w:bidi="ar"/>
              </w:rPr>
              <w:t>公网 IP 数：个</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Theme="minorEastAsia" w:hAnsiTheme="minorEastAsia" w:cstheme="minorEastAsia"/>
                <w:sz w:val="22"/>
                <w:szCs w:val="22"/>
                <w:lang w:val="en-US" w:eastAsia="zh-CN"/>
              </w:rPr>
              <w:t>24.48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17</w:t>
            </w:r>
          </w:p>
        </w:tc>
        <w:tc>
          <w:tcPr>
            <w:tcW w:w="490" w:type="pct"/>
            <w:vMerge w:val="restar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存储服务</w:t>
            </w:r>
          </w:p>
        </w:tc>
        <w:tc>
          <w:tcPr>
            <w:tcW w:w="1682" w:type="pc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对象存储(OSS)</w:t>
            </w: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根据</w:t>
            </w:r>
            <w:r>
              <w:rPr>
                <w:rFonts w:hint="eastAsia" w:ascii="宋体" w:hAnsi="宋体" w:eastAsia="宋体" w:cs="宋体"/>
                <w:color w:val="000000"/>
                <w:kern w:val="0"/>
                <w:szCs w:val="21"/>
                <w:lang w:val="en-US" w:eastAsia="zh-Hans"/>
              </w:rPr>
              <w:t>开通的存储容量按月计费</w:t>
            </w:r>
            <w:r>
              <w:rPr>
                <w:rFonts w:hint="eastAsia" w:ascii="宋体" w:hAnsi="宋体" w:eastAsia="宋体" w:cs="宋体"/>
                <w:color w:val="000000"/>
                <w:kern w:val="0"/>
                <w:szCs w:val="21"/>
                <w:lang w:eastAsia="zh-Hans"/>
              </w:rPr>
              <w:t>，1GB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18</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lang w:val="en-US" w:eastAsia="zh-Hans"/>
              </w:rPr>
            </w:pPr>
            <w:r>
              <w:rPr>
                <w:rFonts w:hint="eastAsia" w:ascii="宋体" w:hAnsi="宋体" w:eastAsia="宋体" w:cs="宋体"/>
                <w:color w:val="000000"/>
                <w:kern w:val="0"/>
                <w:szCs w:val="21"/>
                <w:lang w:val="en-US" w:eastAsia="zh-Hans"/>
              </w:rPr>
              <w:t>文件存储</w:t>
            </w:r>
            <w:r>
              <w:rPr>
                <w:rFonts w:hint="eastAsia" w:ascii="宋体" w:hAnsi="宋体" w:eastAsia="宋体" w:cs="宋体"/>
                <w:color w:val="000000"/>
                <w:kern w:val="0"/>
                <w:szCs w:val="21"/>
                <w:lang w:eastAsia="zh-Hans"/>
              </w:rPr>
              <w:t>(NAS)</w:t>
            </w: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根据</w:t>
            </w:r>
            <w:r>
              <w:rPr>
                <w:rFonts w:hint="eastAsia" w:ascii="宋体" w:hAnsi="宋体" w:eastAsia="宋体" w:cs="宋体"/>
                <w:color w:val="000000"/>
                <w:kern w:val="0"/>
                <w:szCs w:val="21"/>
                <w:lang w:val="en-US" w:eastAsia="zh-Hans"/>
              </w:rPr>
              <w:t>开通的存储容量按月计费</w:t>
            </w:r>
            <w:r>
              <w:rPr>
                <w:rFonts w:hint="eastAsia" w:ascii="宋体" w:hAnsi="宋体" w:eastAsia="宋体" w:cs="宋体"/>
                <w:color w:val="000000"/>
                <w:kern w:val="0"/>
                <w:szCs w:val="21"/>
                <w:lang w:eastAsia="zh-Hans"/>
              </w:rPr>
              <w:t>，1GB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19</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快照</w:t>
            </w: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根据快照所占的存储空间大小按月计费，每TB容量，1TB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20</w:t>
            </w:r>
          </w:p>
        </w:tc>
        <w:tc>
          <w:tcPr>
            <w:tcW w:w="490" w:type="pct"/>
            <w:vMerge w:val="restar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数据库服务</w:t>
            </w:r>
          </w:p>
        </w:tc>
        <w:tc>
          <w:tcPr>
            <w:tcW w:w="1682" w:type="pc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云数据库存储空间</w:t>
            </w: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以100GB为单价，每100G</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21</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vMerge w:val="restar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分布式关系型数据库</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入门版</w:t>
            </w: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8核16GB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3609.4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22</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8核32GB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3871382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23</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16核32GB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8565.2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24</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32核64GB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16671.56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25</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vMerge w:val="restar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分布式关系型数据库</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标准版</w:t>
            </w: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16核32GB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8689.74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26</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vMerge w:val="continue"/>
            <w:noWrap w:val="0"/>
            <w:vAlign w:val="top"/>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16核64GB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10171.18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27</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vMerge w:val="continue"/>
            <w:noWrap w:val="0"/>
            <w:vAlign w:val="top"/>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32核64GB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17169.72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28</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32核128GB</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20193.78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29</w:t>
            </w:r>
          </w:p>
        </w:tc>
        <w:tc>
          <w:tcPr>
            <w:tcW w:w="490" w:type="pct"/>
            <w:vMerge w:val="restar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网络服务</w:t>
            </w:r>
          </w:p>
        </w:tc>
        <w:tc>
          <w:tcPr>
            <w:tcW w:w="1682" w:type="pc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负载均衡</w:t>
            </w: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私网负载均衡租用，按实例个数计费</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szCs w:val="21"/>
                <w:lang w:val="en-US" w:eastAsia="zh-CN"/>
              </w:rPr>
            </w:pPr>
            <w:r>
              <w:rPr>
                <w:rFonts w:hint="default" w:ascii="宋体" w:hAnsi="宋体" w:eastAsia="宋体" w:cs="宋体"/>
                <w:szCs w:val="21"/>
                <w:lang w:val="en-US" w:eastAsia="zh-CN"/>
              </w:rPr>
              <w:t>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30</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rPr>
            </w:pPr>
          </w:p>
        </w:tc>
        <w:tc>
          <w:tcPr>
            <w:tcW w:w="1682" w:type="pc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专有网络服务</w:t>
            </w: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按每个VPC实例计算</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lang w:val="en-US" w:eastAsia="zh-CN"/>
              </w:rPr>
            </w:pPr>
            <w:r>
              <w:rPr>
                <w:rFonts w:hint="default" w:ascii="宋体" w:hAnsi="宋体" w:eastAsia="宋体" w:cs="宋体"/>
                <w:color w:val="000000"/>
                <w:kern w:val="0"/>
                <w:sz w:val="18"/>
                <w:szCs w:val="18"/>
                <w:lang w:val="en-US" w:eastAsia="zh-CN"/>
              </w:rPr>
              <w:t>43.70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311" w:type="pct"/>
            <w:vMerge w:val="restar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31</w:t>
            </w:r>
          </w:p>
        </w:tc>
        <w:tc>
          <w:tcPr>
            <w:tcW w:w="490" w:type="pct"/>
            <w:vMerge w:val="restar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auto"/>
                <w:kern w:val="0"/>
                <w:szCs w:val="21"/>
                <w:shd w:val="clear" w:color="auto" w:fill="auto"/>
                <w:lang w:val="en-US" w:eastAsia="zh-CN"/>
              </w:rPr>
            </w:pPr>
            <w:r>
              <w:rPr>
                <w:rFonts w:hint="eastAsia" w:ascii="宋体" w:hAnsi="宋体" w:eastAsia="宋体" w:cs="宋体"/>
                <w:color w:val="auto"/>
                <w:kern w:val="0"/>
                <w:szCs w:val="21"/>
                <w:shd w:val="clear" w:color="auto" w:fill="auto"/>
                <w:lang w:val="en-US" w:eastAsia="zh-CN"/>
              </w:rPr>
              <w:t>迁移服务</w:t>
            </w:r>
          </w:p>
        </w:tc>
        <w:tc>
          <w:tcPr>
            <w:tcW w:w="1682" w:type="pct"/>
            <w:vMerge w:val="restart"/>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根据实例个数按月计费</w:t>
            </w:r>
          </w:p>
        </w:tc>
        <w:tc>
          <w:tcPr>
            <w:tcW w:w="1858" w:type="pct"/>
            <w:noWrap w:val="0"/>
            <w:vAlign w:val="center"/>
          </w:tcPr>
          <w:p>
            <w:pPr>
              <w:keepNext/>
              <w:keepLines/>
              <w:pageBreakBefore w:val="0"/>
              <w:kinsoku/>
              <w:wordWrap w:val="0"/>
              <w:overflowPunct/>
              <w:topLinePunct/>
              <w:bidi w:val="0"/>
              <w:adjustRightInd/>
              <w:snapToGrid/>
              <w:spacing w:line="360" w:lineRule="auto"/>
              <w:ind w:firstLine="0" w:firstLineChars="0"/>
              <w:textAlignment w:val="auto"/>
              <w:outlineLvl w:val="0"/>
              <w:rPr>
                <w:rFonts w:hint="eastAsia" w:ascii="宋体" w:hAnsi="宋体" w:eastAsia="宋体" w:cs="宋体"/>
                <w:color w:val="auto"/>
                <w:kern w:val="0"/>
                <w:szCs w:val="21"/>
                <w:shd w:val="clear" w:color="auto" w:fill="auto"/>
                <w:lang w:val="en-US" w:eastAsia="zh-CN"/>
              </w:rPr>
            </w:pPr>
            <w:r>
              <w:rPr>
                <w:rFonts w:hint="eastAsia" w:asciiTheme="minorEastAsia" w:hAnsiTheme="minorEastAsia" w:eastAsiaTheme="minorEastAsia" w:cstheme="minorEastAsia"/>
                <w:kern w:val="0"/>
                <w:sz w:val="22"/>
                <w:szCs w:val="22"/>
              </w:rPr>
              <w:t>迁移服务数据同步 （软件版）</w:t>
            </w:r>
          </w:p>
        </w:tc>
        <w:tc>
          <w:tcPr>
            <w:tcW w:w="657" w:type="pct"/>
            <w:noWrap w:val="0"/>
            <w:vAlign w:val="center"/>
          </w:tcPr>
          <w:p>
            <w:pPr>
              <w:keepNext/>
              <w:keepLines/>
              <w:pageBreakBefore w:val="0"/>
              <w:kinsoku/>
              <w:wordWrap w:val="0"/>
              <w:overflowPunct/>
              <w:topLinePunct/>
              <w:bidi w:val="0"/>
              <w:adjustRightInd/>
              <w:snapToGrid/>
              <w:spacing w:line="360" w:lineRule="auto"/>
              <w:ind w:firstLine="0" w:firstLineChars="0"/>
              <w:jc w:val="center"/>
              <w:textAlignment w:val="auto"/>
              <w:outlineLvl w:val="0"/>
              <w:rPr>
                <w:rFonts w:hint="default" w:ascii="宋体" w:hAnsi="宋体" w:eastAsia="宋体" w:cs="宋体"/>
                <w:color w:val="auto"/>
                <w:kern w:val="0"/>
                <w:szCs w:val="21"/>
                <w:highlight w:val="none"/>
                <w:lang w:val="en-US" w:eastAsia="zh-CN"/>
              </w:rPr>
            </w:pPr>
            <w:r>
              <w:rPr>
                <w:rFonts w:hint="eastAsia" w:asciiTheme="minorEastAsia" w:hAnsiTheme="minorEastAsia" w:eastAsiaTheme="minorEastAsia" w:cstheme="minorEastAsia"/>
                <w:kern w:val="0"/>
                <w:sz w:val="22"/>
                <w:szCs w:val="22"/>
              </w:rPr>
              <w:t>28543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311" w:type="pct"/>
            <w:vMerge w:val="continue"/>
            <w:noWrap w:val="0"/>
            <w:vAlign w:val="center"/>
          </w:tcPr>
          <w:p>
            <w:pPr>
              <w:pageBreakBefore w:val="0"/>
              <w:widowControl/>
              <w:kinsoku/>
              <w:wordWrap w:val="0"/>
              <w:overflowPunct/>
              <w:topLinePunct/>
              <w:bidi w:val="0"/>
              <w:adjustRightInd/>
              <w:snapToGrid/>
              <w:spacing w:line="360" w:lineRule="auto"/>
            </w:pP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pPr>
          </w:p>
        </w:tc>
        <w:tc>
          <w:tcPr>
            <w:tcW w:w="1682" w:type="pct"/>
            <w:vMerge w:val="continue"/>
            <w:noWrap w:val="0"/>
            <w:vAlign w:val="center"/>
          </w:tcPr>
          <w:p>
            <w:pPr>
              <w:pageBreakBefore w:val="0"/>
              <w:widowControl/>
              <w:kinsoku/>
              <w:wordWrap w:val="0"/>
              <w:overflowPunct/>
              <w:topLinePunct/>
              <w:bidi w:val="0"/>
              <w:adjustRightInd/>
              <w:snapToGrid/>
              <w:spacing w:line="360" w:lineRule="auto"/>
              <w:jc w:val="left"/>
              <w:rPr>
                <w:szCs w:val="21"/>
              </w:rPr>
            </w:pPr>
          </w:p>
        </w:tc>
        <w:tc>
          <w:tcPr>
            <w:tcW w:w="1858" w:type="pct"/>
            <w:noWrap w:val="0"/>
            <w:vAlign w:val="center"/>
          </w:tcPr>
          <w:p>
            <w:pPr>
              <w:keepNext/>
              <w:keepLines/>
              <w:pageBreakBefore w:val="0"/>
              <w:kinsoku/>
              <w:wordWrap w:val="0"/>
              <w:overflowPunct/>
              <w:topLinePunct/>
              <w:bidi w:val="0"/>
              <w:adjustRightInd/>
              <w:snapToGrid/>
              <w:spacing w:line="360" w:lineRule="auto"/>
              <w:ind w:firstLine="0" w:firstLineChars="0"/>
              <w:textAlignment w:val="auto"/>
              <w:outlineLvl w:val="0"/>
              <w:rPr>
                <w:rFonts w:hint="eastAsia" w:ascii="宋体" w:hAnsi="宋体" w:eastAsia="宋体" w:cs="宋体"/>
                <w:color w:val="auto"/>
                <w:szCs w:val="21"/>
                <w:shd w:val="clear" w:color="auto" w:fill="auto"/>
              </w:rPr>
            </w:pPr>
            <w:r>
              <w:rPr>
                <w:rFonts w:hint="eastAsia" w:asciiTheme="minorEastAsia" w:hAnsiTheme="minorEastAsia" w:eastAsiaTheme="minorEastAsia" w:cstheme="minorEastAsia"/>
                <w:kern w:val="0"/>
                <w:sz w:val="22"/>
                <w:szCs w:val="22"/>
              </w:rPr>
              <w:t>迁移服务数据同步 （标准版）2节点</w:t>
            </w:r>
          </w:p>
        </w:tc>
        <w:tc>
          <w:tcPr>
            <w:tcW w:w="657" w:type="pct"/>
            <w:noWrap w:val="0"/>
            <w:vAlign w:val="center"/>
          </w:tcPr>
          <w:p>
            <w:pPr>
              <w:keepNext/>
              <w:keepLines/>
              <w:pageBreakBefore w:val="0"/>
              <w:kinsoku/>
              <w:wordWrap w:val="0"/>
              <w:overflowPunct/>
              <w:topLinePunct/>
              <w:bidi w:val="0"/>
              <w:adjustRightInd/>
              <w:snapToGrid/>
              <w:spacing w:line="360" w:lineRule="auto"/>
              <w:ind w:firstLine="0" w:firstLineChars="0"/>
              <w:jc w:val="center"/>
              <w:textAlignment w:val="auto"/>
              <w:outlineLvl w:val="0"/>
              <w:rPr>
                <w:rFonts w:hint="default" w:ascii="宋体" w:hAnsi="宋体" w:eastAsia="宋体" w:cs="宋体"/>
                <w:color w:val="auto"/>
                <w:szCs w:val="21"/>
                <w:shd w:val="clear" w:color="auto" w:fill="auto"/>
              </w:rPr>
            </w:pPr>
            <w:r>
              <w:rPr>
                <w:rFonts w:hint="eastAsia" w:asciiTheme="minorEastAsia" w:hAnsiTheme="minorEastAsia" w:eastAsiaTheme="minorEastAsia" w:cstheme="minorEastAsia"/>
                <w:kern w:val="0"/>
                <w:sz w:val="22"/>
                <w:szCs w:val="22"/>
              </w:rPr>
              <w:t>44468.6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32</w:t>
            </w:r>
          </w:p>
        </w:tc>
        <w:tc>
          <w:tcPr>
            <w:tcW w:w="490" w:type="pct"/>
            <w:vMerge w:val="restar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安全服务</w:t>
            </w:r>
          </w:p>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kern w:val="2"/>
                <w:sz w:val="21"/>
                <w:szCs w:val="21"/>
                <w:shd w:val="clear" w:color="auto" w:fill="auto"/>
                <w:lang w:val="en-US" w:eastAsia="zh-Hans" w:bidi="ar-SA"/>
              </w:rPr>
            </w:pPr>
          </w:p>
        </w:tc>
        <w:tc>
          <w:tcPr>
            <w:tcW w:w="1682" w:type="pct"/>
            <w:vMerge w:val="restar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szCs w:val="21"/>
                <w:shd w:val="clear" w:color="auto" w:fill="auto"/>
                <w:lang w:val="en-US" w:eastAsia="zh-Hans"/>
              </w:rPr>
            </w:pPr>
            <w:r>
              <w:rPr>
                <w:rFonts w:hint="eastAsia" w:ascii="宋体" w:hAnsi="宋体" w:eastAsia="宋体" w:cs="宋体"/>
                <w:color w:val="auto"/>
                <w:szCs w:val="21"/>
                <w:shd w:val="clear" w:color="auto" w:fill="auto"/>
                <w:lang w:val="en-US" w:eastAsia="zh-Hans"/>
              </w:rPr>
              <w:t>堡垒机</w:t>
            </w:r>
          </w:p>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kern w:val="2"/>
                <w:sz w:val="21"/>
                <w:szCs w:val="21"/>
                <w:shd w:val="clear" w:color="auto" w:fill="auto"/>
                <w:lang w:val="en-US" w:eastAsia="zh-CN" w:bidi="ar-SA"/>
              </w:rPr>
            </w:pPr>
          </w:p>
        </w:tc>
        <w:tc>
          <w:tcPr>
            <w:tcW w:w="1858"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1个资产授权</w:t>
            </w:r>
          </w:p>
        </w:tc>
        <w:tc>
          <w:tcPr>
            <w:tcW w:w="657"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color w:val="000000"/>
                <w:kern w:val="0"/>
                <w:sz w:val="21"/>
                <w:szCs w:val="21"/>
                <w:u w:val="none"/>
                <w:lang w:val="en-US" w:eastAsia="zh-CN" w:bidi="ar"/>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33</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highlight w:val="none"/>
              </w:rPr>
            </w:pPr>
          </w:p>
        </w:tc>
        <w:tc>
          <w:tcPr>
            <w:tcW w:w="1682"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Theme="minorEastAsia" w:hAnsiTheme="minorEastAsia" w:cstheme="minorEastAsia"/>
                <w:kern w:val="0"/>
                <w:sz w:val="22"/>
                <w:szCs w:val="22"/>
                <w:lang w:val="en-US" w:eastAsia="zh-CN"/>
              </w:rPr>
            </w:pPr>
          </w:p>
        </w:tc>
        <w:tc>
          <w:tcPr>
            <w:tcW w:w="1858"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10个资产授权</w:t>
            </w:r>
          </w:p>
        </w:tc>
        <w:tc>
          <w:tcPr>
            <w:tcW w:w="657"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668.00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34</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kern w:val="2"/>
                <w:sz w:val="21"/>
                <w:szCs w:val="21"/>
                <w:shd w:val="clear" w:color="auto" w:fill="auto"/>
                <w:lang w:val="en-US" w:eastAsia="zh-Hans" w:bidi="ar-SA"/>
              </w:rPr>
            </w:pPr>
          </w:p>
        </w:tc>
        <w:tc>
          <w:tcPr>
            <w:tcW w:w="1682"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auto"/>
                <w:kern w:val="2"/>
                <w:sz w:val="21"/>
                <w:szCs w:val="21"/>
                <w:shd w:val="clear" w:color="auto" w:fill="auto"/>
                <w:lang w:val="en-US" w:eastAsia="zh-CN" w:bidi="ar-SA"/>
              </w:rPr>
            </w:pPr>
          </w:p>
        </w:tc>
        <w:tc>
          <w:tcPr>
            <w:tcW w:w="1858"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20个资产授权</w:t>
            </w:r>
          </w:p>
        </w:tc>
        <w:tc>
          <w:tcPr>
            <w:tcW w:w="657"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1213.00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35</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highlight w:val="none"/>
              </w:rPr>
            </w:pPr>
          </w:p>
        </w:tc>
        <w:tc>
          <w:tcPr>
            <w:tcW w:w="1682"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Theme="minorEastAsia" w:hAnsiTheme="minorEastAsia" w:cstheme="minorEastAsia"/>
                <w:kern w:val="0"/>
                <w:sz w:val="22"/>
                <w:szCs w:val="22"/>
                <w:lang w:val="en-US" w:eastAsia="zh-CN"/>
              </w:rPr>
            </w:pPr>
          </w:p>
        </w:tc>
        <w:tc>
          <w:tcPr>
            <w:tcW w:w="1858"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50个资产授权</w:t>
            </w:r>
          </w:p>
        </w:tc>
        <w:tc>
          <w:tcPr>
            <w:tcW w:w="657"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2123.00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36</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highlight w:val="none"/>
              </w:rPr>
            </w:pPr>
          </w:p>
        </w:tc>
        <w:tc>
          <w:tcPr>
            <w:tcW w:w="1682"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Theme="minorEastAsia" w:hAnsiTheme="minorEastAsia" w:cstheme="minorEastAsia"/>
                <w:kern w:val="0"/>
                <w:sz w:val="22"/>
                <w:szCs w:val="22"/>
                <w:lang w:val="en-US" w:eastAsia="zh-CN"/>
              </w:rPr>
            </w:pPr>
          </w:p>
        </w:tc>
        <w:tc>
          <w:tcPr>
            <w:tcW w:w="1858"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100资产授权</w:t>
            </w:r>
          </w:p>
        </w:tc>
        <w:tc>
          <w:tcPr>
            <w:tcW w:w="657"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3536.00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37</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highlight w:val="none"/>
              </w:rPr>
            </w:pPr>
          </w:p>
        </w:tc>
        <w:tc>
          <w:tcPr>
            <w:tcW w:w="1682"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Theme="minorEastAsia" w:hAnsiTheme="minorEastAsia" w:cstheme="minorEastAsia"/>
                <w:kern w:val="0"/>
                <w:sz w:val="22"/>
                <w:szCs w:val="22"/>
                <w:lang w:val="en-US" w:eastAsia="zh-CN"/>
              </w:rPr>
            </w:pPr>
          </w:p>
        </w:tc>
        <w:tc>
          <w:tcPr>
            <w:tcW w:w="1858"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both"/>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200个资产授权</w:t>
            </w:r>
          </w:p>
        </w:tc>
        <w:tc>
          <w:tcPr>
            <w:tcW w:w="657" w:type="pct"/>
            <w:noWrap w:val="0"/>
            <w:vAlign w:val="center"/>
          </w:tcPr>
          <w:p>
            <w:pPr>
              <w:keepNext w:val="0"/>
              <w:keepLines w:val="0"/>
              <w:pageBreakBefore w:val="0"/>
              <w:widowControl/>
              <w:suppressLineNumbers w:val="0"/>
              <w:kinsoku/>
              <w:wordWrap w:val="0"/>
              <w:overflowPunct/>
              <w:topLinePunct/>
              <w:bidi w:val="0"/>
              <w:adjustRightInd/>
              <w:snapToGrid/>
              <w:spacing w:line="360" w:lineRule="auto"/>
              <w:ind w:firstLine="0" w:firstLineChars="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4548.00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38</w:t>
            </w:r>
          </w:p>
        </w:tc>
        <w:tc>
          <w:tcPr>
            <w:tcW w:w="490" w:type="pct"/>
            <w:vMerge w:val="restart"/>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Cs w:val="21"/>
                <w:highlight w:val="none"/>
              </w:rPr>
              <w:t>平台服务</w:t>
            </w:r>
          </w:p>
        </w:tc>
        <w:tc>
          <w:tcPr>
            <w:tcW w:w="1682" w:type="pct"/>
            <w:vMerge w:val="restar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highlight w:val="none"/>
                <w:lang w:eastAsia="zh-CN"/>
              </w:rPr>
            </w:pPr>
            <w:r>
              <w:rPr>
                <w:rFonts w:hint="eastAsia" w:asciiTheme="minorEastAsia" w:hAnsiTheme="minorEastAsia" w:cstheme="minorEastAsia"/>
                <w:kern w:val="0"/>
                <w:sz w:val="22"/>
                <w:szCs w:val="22"/>
                <w:lang w:val="en-US" w:eastAsia="zh-CN"/>
              </w:rPr>
              <w:t>政务云（国产化）</w:t>
            </w:r>
            <w:r>
              <w:rPr>
                <w:rFonts w:hint="eastAsia" w:asciiTheme="minorEastAsia" w:hAnsiTheme="minorEastAsia" w:eastAsiaTheme="minorEastAsia" w:cstheme="minorEastAsia"/>
                <w:kern w:val="0"/>
                <w:sz w:val="22"/>
                <w:szCs w:val="22"/>
              </w:rPr>
              <w:t>云平台应用软件</w:t>
            </w: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highlight w:val="none"/>
              </w:rPr>
            </w:pPr>
            <w:r>
              <w:rPr>
                <w:rFonts w:hint="eastAsia" w:asciiTheme="minorEastAsia" w:hAnsiTheme="minorEastAsia" w:eastAsiaTheme="minorEastAsia" w:cstheme="minorEastAsia"/>
                <w:kern w:val="0"/>
                <w:sz w:val="22"/>
                <w:szCs w:val="22"/>
              </w:rPr>
              <w:t>数据库：按套/月</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auto"/>
                <w:kern w:val="0"/>
                <w:szCs w:val="21"/>
                <w:highlight w:val="none"/>
                <w:lang w:val="en-US" w:eastAsia="zh-CN"/>
              </w:rPr>
            </w:pPr>
            <w:r>
              <w:rPr>
                <w:rFonts w:hint="eastAsia" w:asciiTheme="minorEastAsia" w:hAnsiTheme="minorEastAsia" w:eastAsiaTheme="minorEastAsia" w:cstheme="minorEastAsia"/>
                <w:kern w:val="0"/>
                <w:sz w:val="22"/>
                <w:szCs w:val="22"/>
                <w:lang w:bidi="ar"/>
              </w:rPr>
              <w:t>1740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39</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highlight w:val="none"/>
              </w:rPr>
            </w:pPr>
          </w:p>
        </w:tc>
        <w:tc>
          <w:tcPr>
            <w:tcW w:w="1682"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Theme="minorEastAsia" w:hAnsiTheme="minorEastAsia" w:cstheme="minorEastAsia"/>
                <w:kern w:val="0"/>
                <w:sz w:val="22"/>
                <w:szCs w:val="22"/>
                <w:lang w:val="en-US" w:eastAsia="zh-CN"/>
              </w:rPr>
            </w:pP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highlight w:val="none"/>
              </w:rPr>
            </w:pPr>
            <w:r>
              <w:rPr>
                <w:rFonts w:hint="eastAsia" w:asciiTheme="minorEastAsia" w:hAnsiTheme="minorEastAsia" w:eastAsiaTheme="minorEastAsia" w:cstheme="minorEastAsia"/>
                <w:kern w:val="0"/>
                <w:sz w:val="22"/>
                <w:szCs w:val="22"/>
              </w:rPr>
              <w:t>操作系统：按套/月</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auto"/>
                <w:kern w:val="0"/>
                <w:szCs w:val="21"/>
                <w:highlight w:val="none"/>
                <w:lang w:val="en-US" w:eastAsia="zh-CN"/>
              </w:rPr>
            </w:pPr>
            <w:r>
              <w:rPr>
                <w:rFonts w:hint="eastAsia" w:asciiTheme="minorEastAsia" w:hAnsiTheme="minorEastAsia" w:eastAsiaTheme="minorEastAsia" w:cstheme="minorEastAsia"/>
                <w:kern w:val="0"/>
                <w:sz w:val="22"/>
                <w:szCs w:val="22"/>
                <w:lang w:bidi="ar"/>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40</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Cs w:val="21"/>
                <w:highlight w:val="none"/>
              </w:rPr>
            </w:pPr>
          </w:p>
        </w:tc>
        <w:tc>
          <w:tcPr>
            <w:tcW w:w="1682"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Theme="minorEastAsia" w:hAnsiTheme="minorEastAsia" w:cstheme="minorEastAsia"/>
                <w:kern w:val="0"/>
                <w:sz w:val="22"/>
                <w:szCs w:val="22"/>
                <w:lang w:val="en-US" w:eastAsia="zh-CN"/>
              </w:rPr>
            </w:pP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highlight w:val="none"/>
              </w:rPr>
            </w:pPr>
            <w:r>
              <w:rPr>
                <w:rFonts w:hint="eastAsia" w:asciiTheme="minorEastAsia" w:hAnsiTheme="minorEastAsia" w:eastAsiaTheme="minorEastAsia" w:cstheme="minorEastAsia"/>
                <w:kern w:val="0"/>
                <w:sz w:val="22"/>
                <w:szCs w:val="22"/>
              </w:rPr>
              <w:t>中间件：按套/月</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auto"/>
                <w:kern w:val="0"/>
                <w:szCs w:val="21"/>
                <w:highlight w:val="none"/>
                <w:lang w:val="en-US" w:eastAsia="zh-CN"/>
              </w:rPr>
            </w:pPr>
            <w:r>
              <w:rPr>
                <w:rFonts w:hint="eastAsia" w:asciiTheme="minorEastAsia" w:hAnsiTheme="minorEastAsia" w:eastAsiaTheme="minorEastAsia" w:cstheme="minorEastAsia"/>
                <w:kern w:val="0"/>
                <w:sz w:val="22"/>
                <w:szCs w:val="22"/>
                <w:lang w:bidi="ar"/>
              </w:rPr>
              <w:t>724.71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41</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center"/>
              <w:rPr>
                <w:rFonts w:hint="eastAsia" w:ascii="宋体" w:hAnsi="宋体" w:eastAsia="宋体" w:cs="宋体"/>
                <w:color w:val="000000"/>
                <w:kern w:val="0"/>
                <w:sz w:val="21"/>
                <w:szCs w:val="21"/>
                <w:highlight w:val="none"/>
                <w:lang w:val="en-US" w:eastAsia="zh-CN" w:bidi="ar-SA"/>
              </w:rPr>
            </w:pPr>
          </w:p>
        </w:tc>
        <w:tc>
          <w:tcPr>
            <w:tcW w:w="1682" w:type="pc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Cs w:val="21"/>
                <w:highlight w:val="none"/>
                <w:lang w:eastAsia="zh-CN"/>
              </w:rPr>
              <w:t>云管平台（云控制台）系统对接服务</w:t>
            </w: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Cs w:val="21"/>
                <w:highlight w:val="none"/>
              </w:rPr>
              <w:t>云管平台</w:t>
            </w:r>
            <w:r>
              <w:rPr>
                <w:rFonts w:hint="eastAsia" w:ascii="宋体" w:hAnsi="宋体" w:eastAsia="宋体" w:cs="宋体"/>
                <w:color w:val="000000"/>
                <w:kern w:val="0"/>
                <w:szCs w:val="21"/>
                <w:highlight w:val="none"/>
                <w:lang w:eastAsia="zh-CN"/>
              </w:rPr>
              <w:t>（云控制台）与</w:t>
            </w:r>
            <w:r>
              <w:rPr>
                <w:rFonts w:hint="eastAsia" w:ascii="宋体" w:hAnsi="宋体" w:eastAsia="宋体" w:cs="宋体"/>
                <w:color w:val="000000"/>
                <w:kern w:val="0"/>
                <w:szCs w:val="21"/>
                <w:highlight w:val="none"/>
                <w:lang w:val="en-US" w:eastAsia="zh-CN"/>
              </w:rPr>
              <w:t>IRS及其他系统对接</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42</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highlight w:val="none"/>
                <w:lang w:val="en-US" w:eastAsia="zh-CN"/>
              </w:rPr>
            </w:pPr>
          </w:p>
        </w:tc>
        <w:tc>
          <w:tcPr>
            <w:tcW w:w="1682" w:type="pc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平台</w:t>
            </w:r>
            <w:r>
              <w:rPr>
                <w:rFonts w:hint="eastAsia" w:ascii="宋体" w:hAnsi="宋体" w:eastAsia="宋体" w:cs="宋体"/>
                <w:color w:val="000000"/>
                <w:kern w:val="0"/>
                <w:szCs w:val="21"/>
                <w:highlight w:val="none"/>
                <w:lang w:val="en-US" w:eastAsia="zh-Hans"/>
              </w:rPr>
              <w:t>密码</w:t>
            </w:r>
            <w:r>
              <w:rPr>
                <w:rFonts w:hint="eastAsia" w:ascii="宋体" w:hAnsi="宋体" w:eastAsia="宋体" w:cs="宋体"/>
                <w:color w:val="000000"/>
                <w:kern w:val="0"/>
                <w:szCs w:val="21"/>
                <w:highlight w:val="none"/>
                <w:lang w:val="en-US" w:eastAsia="zh-CN"/>
              </w:rPr>
              <w:t>测评</w:t>
            </w: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lang w:eastAsia="zh-CN"/>
              </w:rPr>
              <w:t>根据国家密码管理局应发的《信息安全等级保护商用密码管理办法实施意见》要求，需要组织国家密码管理部门指定测评机构对平台进行密码测评</w:t>
            </w:r>
            <w:r>
              <w:rPr>
                <w:rFonts w:hint="eastAsia" w:ascii="宋体" w:hAnsi="宋体" w:eastAsia="宋体" w:cs="宋体"/>
                <w:color w:val="000000"/>
                <w:kern w:val="0"/>
                <w:sz w:val="21"/>
                <w:szCs w:val="21"/>
                <w:highlight w:val="none"/>
                <w:lang w:val="en-US" w:eastAsia="zh-CN" w:bidi="ar-SA"/>
              </w:rPr>
              <w:t>，单位：一套</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highlight w:val="none"/>
                <w:lang w:val="en-US" w:eastAsia="zh-Hans"/>
              </w:rPr>
            </w:pPr>
            <w:r>
              <w:rPr>
                <w:rFonts w:hint="eastAsia" w:ascii="宋体" w:hAnsi="宋体" w:eastAsia="宋体" w:cs="宋体"/>
                <w:color w:val="000000"/>
                <w:kern w:val="0"/>
                <w:szCs w:val="21"/>
                <w:highlight w:val="no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311" w:type="pct"/>
            <w:noWrap w:val="0"/>
            <w:vAlign w:val="center"/>
          </w:tcPr>
          <w:p>
            <w:pPr>
              <w:pageBreakBefore w:val="0"/>
              <w:kinsoku/>
              <w:wordWrap w:val="0"/>
              <w:overflowPunct/>
              <w:topLinePunct/>
              <w:bidi w:val="0"/>
              <w:adjustRightInd/>
              <w:snapToGrid/>
              <w:spacing w:line="360" w:lineRule="auto"/>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43</w:t>
            </w:r>
          </w:p>
        </w:tc>
        <w:tc>
          <w:tcPr>
            <w:tcW w:w="490" w:type="pct"/>
            <w:vMerge w:val="continue"/>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highlight w:val="none"/>
                <w:lang w:val="en-US" w:eastAsia="zh-CN"/>
              </w:rPr>
            </w:pPr>
          </w:p>
        </w:tc>
        <w:tc>
          <w:tcPr>
            <w:tcW w:w="1682" w:type="pct"/>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云计算安全评估</w:t>
            </w:r>
          </w:p>
        </w:tc>
        <w:tc>
          <w:tcPr>
            <w:tcW w:w="1858" w:type="pct"/>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根据国家网信办、工信部等四部委关于《云计算服务安全评估办法》要求，完成云平台的安全评估服务</w:t>
            </w:r>
          </w:p>
        </w:tc>
        <w:tc>
          <w:tcPr>
            <w:tcW w:w="657" w:type="pct"/>
            <w:noWrap w:val="0"/>
            <w:vAlign w:val="center"/>
          </w:tcPr>
          <w:p>
            <w:pPr>
              <w:pageBreakBefore w:val="0"/>
              <w:widowControl/>
              <w:kinsoku/>
              <w:wordWrap w:val="0"/>
              <w:overflowPunct/>
              <w:topLinePunct/>
              <w:bidi w:val="0"/>
              <w:adjustRightInd/>
              <w:snapToGrid/>
              <w:spacing w:line="360" w:lineRule="auto"/>
              <w:jc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83000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5000" w:type="pct"/>
            <w:gridSpan w:val="5"/>
            <w:noWrap w:val="0"/>
            <w:vAlign w:val="center"/>
          </w:tcPr>
          <w:p>
            <w:pPr>
              <w:pageBreakBefore w:val="0"/>
              <w:widowControl/>
              <w:kinsoku/>
              <w:wordWrap w:val="0"/>
              <w:overflowPunct/>
              <w:topLinePunct/>
              <w:bidi w:val="0"/>
              <w:adjustRightInd/>
              <w:snapToGrid/>
              <w:spacing w:line="360" w:lineRule="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注：</w:t>
            </w:r>
            <w:r>
              <w:rPr>
                <w:rFonts w:hint="eastAsia" w:ascii="宋体" w:hAnsi="宋体" w:eastAsia="宋体" w:cs="宋体"/>
                <w:color w:val="000000"/>
                <w:kern w:val="0"/>
                <w:szCs w:val="21"/>
                <w:lang w:eastAsia="zh-CN"/>
              </w:rPr>
              <w:t>采购用户按实际需求采购，云供应商须按需提供。</w:t>
            </w:r>
          </w:p>
        </w:tc>
      </w:tr>
    </w:tbl>
    <w:p>
      <w:pPr>
        <w:pageBreakBefore w:val="0"/>
        <w:numPr>
          <w:ilvl w:val="-1"/>
          <w:numId w:val="0"/>
        </w:numPr>
        <w:kinsoku/>
        <w:wordWrap w:val="0"/>
        <w:overflowPunct/>
        <w:topLinePunct/>
        <w:bidi w:val="0"/>
        <w:adjustRightInd/>
        <w:snapToGrid/>
        <w:spacing w:line="560" w:lineRule="exact"/>
        <w:ind w:firstLine="0" w:firstLineChars="0"/>
        <w:jc w:val="left"/>
        <w:rPr>
          <w:rFonts w:hint="default" w:ascii="仿宋_GB2312" w:hAnsi="仿宋_GB2312" w:eastAsia="仿宋_GB2312" w:cs="仿宋_GB2312"/>
          <w:sz w:val="28"/>
          <w:szCs w:val="28"/>
          <w:lang w:val="en-US" w:eastAsia="zh-CN"/>
        </w:rPr>
      </w:pPr>
    </w:p>
    <w:p>
      <w:pPr>
        <w:pageBreakBefore w:val="0"/>
        <w:kinsoku/>
        <w:wordWrap w:val="0"/>
        <w:overflowPunct/>
        <w:topLinePunct/>
        <w:bidi w:val="0"/>
        <w:adjustRightInd/>
        <w:snapToGrid/>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商务技术要求</w:t>
      </w:r>
    </w:p>
    <w:p>
      <w:pPr>
        <w:pageBreakBefore w:val="0"/>
        <w:kinsoku/>
        <w:wordWrap w:val="0"/>
        <w:overflowPunct/>
        <w:topLinePunct/>
        <w:bidi w:val="0"/>
        <w:adjustRightInd/>
        <w:snapToGrid/>
        <w:spacing w:line="360" w:lineRule="auto"/>
        <w:ind w:firstLine="420"/>
        <w:rPr>
          <w:rFonts w:hint="eastAsia" w:ascii="宋体" w:hAnsi="宋体" w:eastAsia="宋体" w:cs="宋体"/>
          <w:b/>
          <w:bCs w:val="0"/>
          <w:sz w:val="21"/>
          <w:szCs w:val="21"/>
          <w:u w:val="none"/>
          <w:lang w:eastAsia="zh-CN"/>
        </w:rPr>
      </w:pPr>
      <w:r>
        <w:rPr>
          <w:rFonts w:hint="eastAsia" w:ascii="宋体" w:hAnsi="宋体" w:eastAsia="宋体" w:cs="宋体"/>
          <w:b/>
          <w:bCs w:val="0"/>
          <w:sz w:val="21"/>
          <w:szCs w:val="21"/>
          <w:u w:val="none"/>
        </w:rPr>
        <w:t>1．</w:t>
      </w:r>
      <w:r>
        <w:rPr>
          <w:rFonts w:hint="eastAsia" w:ascii="宋体" w:hAnsi="宋体" w:eastAsia="宋体" w:cs="宋体"/>
          <w:b/>
          <w:bCs w:val="0"/>
          <w:sz w:val="21"/>
          <w:szCs w:val="21"/>
          <w:u w:val="none"/>
          <w:lang w:eastAsia="zh-CN"/>
        </w:rPr>
        <w:t>计算服务</w:t>
      </w:r>
    </w:p>
    <w:p>
      <w:pPr>
        <w:pageBreakBefore w:val="0"/>
        <w:kinsoku/>
        <w:wordWrap w:val="0"/>
        <w:overflowPunct/>
        <w:topLinePunct/>
        <w:bidi w:val="0"/>
        <w:adjustRightInd/>
        <w:snapToGrid/>
        <w:spacing w:line="360" w:lineRule="auto"/>
        <w:ind w:firstLine="42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w:t>
      </w:r>
      <w:r>
        <w:rPr>
          <w:rFonts w:hint="eastAsia" w:ascii="宋体" w:hAnsi="宋体" w:eastAsia="宋体" w:cs="宋体"/>
          <w:b w:val="0"/>
          <w:bCs/>
          <w:color w:val="000000"/>
          <w:kern w:val="0"/>
          <w:szCs w:val="21"/>
        </w:rPr>
        <w:t>云服务器</w:t>
      </w:r>
      <w:r>
        <w:rPr>
          <w:rFonts w:hint="eastAsia" w:ascii="宋体" w:hAnsi="宋体" w:eastAsia="宋体" w:cs="宋体"/>
          <w:b w:val="0"/>
          <w:bCs/>
          <w:sz w:val="21"/>
          <w:szCs w:val="21"/>
          <w:u w:val="none"/>
        </w:rPr>
        <w:t>ECS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指标项</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sz w:val="21"/>
                <w:szCs w:val="21"/>
                <w:u w:val="none"/>
              </w:rPr>
            </w:pPr>
            <w:r>
              <w:rPr>
                <w:rFonts w:hint="eastAsia" w:ascii="宋体" w:hAnsi="宋体" w:eastAsia="宋体" w:cs="宋体"/>
                <w:sz w:val="21"/>
                <w:szCs w:val="21"/>
                <w:u w:val="none"/>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服务标准</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仿宋" w:hAnsi="仿宋" w:eastAsia="仿宋" w:cs="仿宋"/>
                <w:kern w:val="2"/>
                <w:sz w:val="21"/>
                <w:szCs w:val="21"/>
                <w:highlight w:val="none"/>
                <w:lang w:val="en-US" w:eastAsia="zh-CN" w:bidi="ar-SA"/>
              </w:rPr>
              <w:t>△</w:t>
            </w:r>
            <w:r>
              <w:rPr>
                <w:rFonts w:hint="eastAsia" w:ascii="宋体" w:hAnsi="宋体" w:eastAsia="宋体" w:cs="宋体"/>
                <w:sz w:val="21"/>
                <w:szCs w:val="21"/>
                <w:highlight w:val="none"/>
                <w:u w:val="none"/>
              </w:rPr>
              <w:t>根据用户的需求动态的创建和分配计算资源与存储资源，云主机CPU核数可选范围1-32核，1-128G内存。（提供截图证明）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服务特性</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云主机创建。创建后，云主机已包含有操作系统，可立即使用，从创建到启动在5分钟以内。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仿宋" w:hAnsi="仿宋" w:eastAsia="仿宋" w:cs="仿宋"/>
                <w:kern w:val="2"/>
                <w:sz w:val="21"/>
                <w:szCs w:val="21"/>
                <w:highlight w:val="none"/>
                <w:lang w:val="en-US" w:eastAsia="zh-CN" w:bidi="ar-SA"/>
              </w:rPr>
              <w:t>△</w:t>
            </w:r>
            <w:r>
              <w:rPr>
                <w:rFonts w:hint="eastAsia" w:ascii="宋体" w:hAnsi="宋体" w:eastAsia="宋体" w:cs="宋体"/>
                <w:sz w:val="21"/>
                <w:szCs w:val="21"/>
                <w:u w:val="none"/>
              </w:rPr>
              <w:t>云服务器提供快照制作，快照回滚，自定义image，动态升级</w:t>
            </w:r>
            <w:r>
              <w:rPr>
                <w:rFonts w:hint="eastAsia" w:ascii="宋体" w:hAnsi="宋体" w:eastAsia="宋体" w:cs="宋体"/>
                <w:sz w:val="21"/>
                <w:szCs w:val="21"/>
                <w:highlight w:val="none"/>
                <w:u w:val="none"/>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故障切换，在线迁移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网络组隔离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防ARP欺骗，自定义防火墙功能，支持防DDos攻击，具备提供流量清洗服务能力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分布式文件存储，云主机数据在云计算平台有三份（含）以上数据拷贝，单份数据损坏对云主机使用没任何影响，且一份数据损坏后，后台系统会自动拷贝，使数据始终保证三重备份。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服务能力</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内存可选范围1-128G;内存性能不低于物理内存性能。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支持故障切换，动态迁移，多数据备份等，可以达到99.9%的可用性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操作系统</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提供主流的WINDOWS、LINUX等操作系统，且均具备正版授权。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主机磁盘</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仿宋" w:hAnsi="仿宋" w:eastAsia="仿宋" w:cs="仿宋"/>
                <w:kern w:val="2"/>
                <w:sz w:val="21"/>
                <w:szCs w:val="21"/>
                <w:lang w:val="en-US" w:eastAsia="zh-CN" w:bidi="ar-SA"/>
              </w:rPr>
              <w:t>△</w:t>
            </w:r>
            <w:r>
              <w:rPr>
                <w:rFonts w:hint="eastAsia" w:ascii="宋体" w:hAnsi="宋体" w:eastAsia="宋体" w:cs="宋体"/>
                <w:sz w:val="21"/>
                <w:szCs w:val="21"/>
                <w:highlight w:val="none"/>
                <w:u w:val="none"/>
              </w:rPr>
              <w:t>提供高效云盘（提供截图证明）</w:t>
            </w:r>
          </w:p>
        </w:tc>
      </w:tr>
    </w:tbl>
    <w:p>
      <w:pPr>
        <w:pageBreakBefore w:val="0"/>
        <w:numPr>
          <w:ilvl w:val="0"/>
          <w:numId w:val="3"/>
        </w:numPr>
        <w:kinsoku/>
        <w:wordWrap w:val="0"/>
        <w:overflowPunct/>
        <w:topLinePunct/>
        <w:bidi w:val="0"/>
        <w:adjustRightInd/>
        <w:snapToGrid/>
        <w:spacing w:line="360" w:lineRule="auto"/>
        <w:ind w:firstLine="42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GPU云服务器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指标项</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sz w:val="21"/>
                <w:szCs w:val="21"/>
                <w:u w:val="none"/>
              </w:rPr>
            </w:pPr>
            <w:r>
              <w:rPr>
                <w:rFonts w:hint="eastAsia" w:ascii="宋体" w:hAnsi="宋体" w:eastAsia="宋体" w:cs="宋体"/>
                <w:sz w:val="21"/>
                <w:szCs w:val="21"/>
                <w:u w:val="none"/>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功能指标</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1）支持NVIDIA P100 GPU或NVIDIA Turing架构的Tesla T4 GPU</w:t>
            </w:r>
            <w:r>
              <w:rPr>
                <w:rFonts w:hint="eastAsia" w:ascii="宋体" w:hAnsi="宋体" w:eastAsia="宋体" w:cs="宋体"/>
                <w:sz w:val="21"/>
                <w:szCs w:val="21"/>
                <w:u w:val="none"/>
                <w:lang w:eastAsia="zh-CN"/>
              </w:rPr>
              <w:t>，</w:t>
            </w:r>
            <w:r>
              <w:rPr>
                <w:rFonts w:hint="eastAsia" w:ascii="宋体" w:hAnsi="宋体" w:eastAsia="宋体" w:cs="宋体"/>
                <w:color w:val="000000"/>
                <w:kern w:val="0"/>
                <w:szCs w:val="21"/>
                <w:lang w:val="en-US" w:eastAsia="zh-CN"/>
              </w:rPr>
              <w:t>或同等性能及以上其他处理器</w:t>
            </w:r>
            <w:r>
              <w:rPr>
                <w:rFonts w:hint="eastAsia" w:ascii="宋体" w:hAnsi="宋体" w:eastAsia="宋体" w:cs="宋体"/>
                <w:sz w:val="21"/>
                <w:szCs w:val="21"/>
                <w:u w:val="none"/>
              </w:rPr>
              <w:t>，显存16GB，单实例最高支持1 / 2 个GPU;</w:t>
            </w:r>
          </w:p>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2）支持将一个或多个GPU用直通虚拟化透传给云主机;</w:t>
            </w:r>
          </w:p>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3）支持SRIOV单根IO虚拟化;</w:t>
            </w:r>
          </w:p>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4）支持Linux和Windows操作系统下的深度学习与图形图像处理。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兼容性/开放性</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支持各种主流的操作系统，包括 Windows Server、Ubuntu、CentOS、Debian、SUSE、FreeBSD、CoreOS等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可靠性指标</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自身管理节点支持分布式架构，保证管控节点的高可靠和高性能。</w:t>
            </w:r>
          </w:p>
        </w:tc>
      </w:tr>
    </w:tbl>
    <w:p>
      <w:pPr>
        <w:pStyle w:val="4"/>
        <w:pageBreakBefore w:val="0"/>
        <w:numPr>
          <w:ilvl w:val="0"/>
          <w:numId w:val="0"/>
        </w:numPr>
        <w:kinsoku/>
        <w:wordWrap w:val="0"/>
        <w:overflowPunct/>
        <w:topLinePunct/>
        <w:bidi w:val="0"/>
        <w:adjustRightInd/>
        <w:snapToGrid/>
        <w:spacing w:line="360" w:lineRule="auto"/>
        <w:ind w:firstLine="420" w:firstLineChars="200"/>
        <w:rPr>
          <w:rFonts w:hint="eastAsia"/>
        </w:rPr>
      </w:pP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lang w:val="en-US" w:eastAsia="zh-CN"/>
        </w:rPr>
        <w:t>3</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块存储-高效云盘</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指标项</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sz w:val="21"/>
                <w:szCs w:val="21"/>
                <w:u w:val="none"/>
              </w:rPr>
            </w:pPr>
            <w:r>
              <w:rPr>
                <w:rFonts w:hint="eastAsia" w:ascii="宋体" w:hAnsi="宋体" w:eastAsia="宋体" w:cs="宋体"/>
                <w:sz w:val="21"/>
                <w:szCs w:val="21"/>
                <w:u w:val="none"/>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功能指标</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1）支持通过块存储访问协议对外提供云盘功能，支持格式化、挂载及执行I/O操作；</w:t>
            </w:r>
          </w:p>
          <w:p>
            <w:pPr>
              <w:pageBreakBefore w:val="0"/>
              <w:kinsoku/>
              <w:wordWrap w:val="0"/>
              <w:overflowPunct/>
              <w:topLinePunct/>
              <w:bidi w:val="0"/>
              <w:adjustRightInd/>
              <w:snapToGrid/>
              <w:spacing w:line="360" w:lineRule="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2）支持云盘多挂载功能，单块云盘可以同时挂载到不少于4台云服务器上；</w:t>
            </w:r>
          </w:p>
          <w:p>
            <w:pPr>
              <w:pageBreakBefore w:val="0"/>
              <w:kinsoku/>
              <w:wordWrap w:val="0"/>
              <w:overflowPunct/>
              <w:topLinePunct/>
              <w:bidi w:val="0"/>
              <w:adjustRightInd/>
              <w:snapToGrid/>
              <w:spacing w:line="360" w:lineRule="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3）支持云盘快照功能，通过有计划地对磁盘创建快照从而实现保留某一个或者多个时间点的磁盘数据拷贝；</w:t>
            </w:r>
          </w:p>
          <w:p>
            <w:pPr>
              <w:pageBreakBefore w:val="0"/>
              <w:kinsoku/>
              <w:wordWrap w:val="0"/>
              <w:overflowPunct/>
              <w:topLinePunct/>
              <w:bidi w:val="0"/>
              <w:adjustRightInd/>
              <w:snapToGrid/>
              <w:spacing w:line="360" w:lineRule="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4）支持自动快照策略，单个云盘支持不少于64个快照；</w:t>
            </w:r>
          </w:p>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5）支持镜像功能，可以使用快照创建自定义镜像；支持使用自定义镜像创建多台具有相同操作系统和数据环境信息的实例；</w:t>
            </w:r>
          </w:p>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6）支持云盘加密功能，采用256位强密码进行数据加密。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兼容性/开放性</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1）兼容通用X86架构服务器；</w:t>
            </w:r>
          </w:p>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2）支持计算存储融合部署架构和计算存储分离部署架构；</w:t>
            </w:r>
          </w:p>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3）支持Linux、Windows等主流操作系统。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性能指标</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1）单盘存储IOPS性能不低于5000；</w:t>
            </w:r>
          </w:p>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2）单盘存储吞吐性能不低于140MB/s;</w:t>
            </w:r>
          </w:p>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3）单台云服务器支持挂载云盘数量不低于16个；</w:t>
            </w:r>
          </w:p>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4）单盘容量不低于32TB。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Cs w:val="21"/>
              </w:rPr>
              <w:t>安全性</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Cs w:val="21"/>
                <w:lang w:eastAsia="zh-CN"/>
              </w:rPr>
            </w:pPr>
            <w:r>
              <w:rPr>
                <w:rFonts w:hint="eastAsia" w:ascii="宋体" w:hAnsi="宋体" w:eastAsia="宋体" w:cs="宋体"/>
                <w:szCs w:val="21"/>
              </w:rPr>
              <w:t>1）支持多Master节点部署，保证服务高可用；</w:t>
            </w:r>
          </w:p>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Cs w:val="21"/>
              </w:rPr>
              <w:t>2）支持多副本冗余机制，保证业务数据的可靠性。</w:t>
            </w:r>
          </w:p>
        </w:tc>
      </w:tr>
    </w:tbl>
    <w:p>
      <w:pPr>
        <w:pStyle w:val="4"/>
        <w:pageBreakBefore w:val="0"/>
        <w:numPr>
          <w:ilvl w:val="0"/>
          <w:numId w:val="0"/>
        </w:numPr>
        <w:kinsoku/>
        <w:wordWrap w:val="0"/>
        <w:overflowPunct/>
        <w:topLinePunct/>
        <w:bidi w:val="0"/>
        <w:adjustRightInd/>
        <w:snapToGrid/>
        <w:spacing w:line="360" w:lineRule="auto"/>
        <w:ind w:firstLine="420" w:firstLineChars="200"/>
        <w:rPr>
          <w:rFonts w:hint="eastAsia" w:ascii="宋体" w:hAnsi="宋体" w:eastAsia="宋体" w:cs="宋体"/>
          <w:b w:val="0"/>
          <w:bCs/>
          <w:sz w:val="21"/>
          <w:szCs w:val="21"/>
          <w:u w:val="none"/>
        </w:rPr>
      </w:pP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lang w:val="en-US" w:eastAsia="zh-CN"/>
        </w:rPr>
        <w:t>4</w:t>
      </w:r>
      <w:r>
        <w:rPr>
          <w:rFonts w:hint="eastAsia" w:ascii="宋体" w:hAnsi="宋体" w:eastAsia="宋体" w:cs="宋体"/>
          <w:b w:val="0"/>
          <w:bCs/>
          <w:sz w:val="21"/>
          <w:szCs w:val="21"/>
          <w:u w:val="none"/>
          <w:lang w:eastAsia="zh-CN"/>
        </w:rPr>
        <w:t>）</w:t>
      </w:r>
      <w:r>
        <w:rPr>
          <w:rFonts w:hint="eastAsia" w:ascii="宋体" w:hAnsi="宋体" w:eastAsia="宋体" w:cs="宋体"/>
          <w:b w:val="0"/>
          <w:bCs/>
          <w:sz w:val="21"/>
          <w:szCs w:val="21"/>
          <w:u w:val="none"/>
        </w:rPr>
        <w:t>块存储-SSD云盘</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7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指标项</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sz w:val="21"/>
                <w:szCs w:val="21"/>
                <w:u w:val="none"/>
              </w:rPr>
            </w:pPr>
            <w:r>
              <w:rPr>
                <w:rFonts w:hint="eastAsia" w:ascii="宋体" w:hAnsi="宋体" w:eastAsia="宋体" w:cs="宋体"/>
                <w:sz w:val="21"/>
                <w:szCs w:val="21"/>
                <w:u w:val="none"/>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功能指标</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1）通过块存储访问协议，对外提供云盘功能，客户可以像使用物理硬盘一样来使用，可以格式化，可以挂载，可以执行I/O操作；</w:t>
            </w:r>
          </w:p>
          <w:p>
            <w:pPr>
              <w:pageBreakBefore w:val="0"/>
              <w:kinsoku/>
              <w:wordWrap w:val="0"/>
              <w:overflowPunct/>
              <w:topLinePunct/>
              <w:bidi w:val="0"/>
              <w:adjustRightInd/>
              <w:snapToGrid/>
              <w:spacing w:line="360" w:lineRule="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2）支持云盘多挂载功能，单块云盘可以同时挂载到不少于4台云服务器上；</w:t>
            </w:r>
          </w:p>
          <w:p>
            <w:pPr>
              <w:pageBreakBefore w:val="0"/>
              <w:kinsoku/>
              <w:wordWrap w:val="0"/>
              <w:overflowPunct/>
              <w:topLinePunct/>
              <w:bidi w:val="0"/>
              <w:adjustRightInd/>
              <w:snapToGrid/>
              <w:spacing w:line="360" w:lineRule="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3）提供云盘快照功能，通过创建快照，有计划地对磁盘创建快照，客户可以保留某一个或者多个时间点的磁盘数据拷贝，从而保证业务可持续运行；</w:t>
            </w:r>
          </w:p>
          <w:p>
            <w:pPr>
              <w:pageBreakBefore w:val="0"/>
              <w:kinsoku/>
              <w:wordWrap w:val="0"/>
              <w:overflowPunct/>
              <w:topLinePunct/>
              <w:bidi w:val="0"/>
              <w:adjustRightInd/>
              <w:snapToGrid/>
              <w:spacing w:line="360" w:lineRule="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4）支持自动快照策略，单个云盘支持不少于64个快照；</w:t>
            </w:r>
          </w:p>
          <w:p>
            <w:pPr>
              <w:pageBreakBefore w:val="0"/>
              <w:kinsoku/>
              <w:wordWrap w:val="0"/>
              <w:overflowPunct/>
              <w:topLinePunct/>
              <w:bidi w:val="0"/>
              <w:adjustRightInd/>
              <w:snapToGrid/>
              <w:spacing w:line="360" w:lineRule="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5）提供镜像功能，可以使用快照创建自定义镜像，将云盘的操作系统、数据环境信息完整的包含在镜像中。然后使用自定义镜像创建多台具有相同操作系统和数据环境信息的实例，非常方便的复制；</w:t>
            </w:r>
          </w:p>
          <w:p>
            <w:pPr>
              <w:pageBreakBefore w:val="0"/>
              <w:kinsoku/>
              <w:wordWrap w:val="0"/>
              <w:overflowPunct/>
              <w:topLinePunct/>
              <w:bidi w:val="0"/>
              <w:adjustRightInd/>
              <w:snapToGrid/>
              <w:spacing w:line="360" w:lineRule="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6）支持云盘加密功能，采用256位强密码进行数据加密。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兼容性/开放性</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1）兼容通用X86架构服务器；</w:t>
            </w:r>
          </w:p>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2）支持计算存储融合部署架构和计算存储分离部署架构；</w:t>
            </w:r>
          </w:p>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3）支持Linux、Windows等主流操作系统；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性能指标</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1）单盘存储IOPS性能不低于20000；</w:t>
            </w:r>
          </w:p>
          <w:p>
            <w:pPr>
              <w:pageBreakBefore w:val="0"/>
              <w:kinsoku/>
              <w:wordWrap w:val="0"/>
              <w:overflowPunct/>
              <w:topLinePunct/>
              <w:bidi w:val="0"/>
              <w:adjustRightInd/>
              <w:snapToGrid/>
              <w:spacing w:line="360" w:lineRule="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2）单盘存储吞吐性能不低于300MB/s;</w:t>
            </w:r>
          </w:p>
          <w:p>
            <w:pPr>
              <w:pageBreakBefore w:val="0"/>
              <w:kinsoku/>
              <w:wordWrap w:val="0"/>
              <w:overflowPunct/>
              <w:topLinePunct/>
              <w:bidi w:val="0"/>
              <w:adjustRightInd/>
              <w:snapToGrid/>
              <w:spacing w:line="360" w:lineRule="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3）单台云服务器支持挂载云盘数量不低于16个；</w:t>
            </w:r>
          </w:p>
          <w:p>
            <w:pPr>
              <w:pageBreakBefore w:val="0"/>
              <w:kinsoku/>
              <w:wordWrap w:val="0"/>
              <w:overflowPunct/>
              <w:topLinePunct/>
              <w:bidi w:val="0"/>
              <w:adjustRightInd/>
              <w:snapToGrid/>
              <w:spacing w:line="360" w:lineRule="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4）单盘容量不低于32TB。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rPr>
              <w:t>安全性</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eastAsia="宋体"/>
                <w:lang w:eastAsia="zh-CN"/>
              </w:rPr>
            </w:pPr>
            <w:r>
              <w:rPr>
                <w:rFonts w:hint="eastAsia"/>
              </w:rPr>
              <w:t>1）支持多Master节点部署，保证服务高可用；</w:t>
            </w:r>
          </w:p>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rPr>
              <w:t>2）支持多副本冗余机制，保证业务数据的可靠性。</w:t>
            </w:r>
          </w:p>
        </w:tc>
      </w:tr>
    </w:tbl>
    <w:p>
      <w:pPr>
        <w:pageBreakBefore w:val="0"/>
        <w:kinsoku/>
        <w:wordWrap w:val="0"/>
        <w:overflowPunct/>
        <w:topLinePunct/>
        <w:bidi w:val="0"/>
        <w:adjustRightInd/>
        <w:snapToGrid/>
        <w:spacing w:line="360" w:lineRule="auto"/>
        <w:rPr>
          <w:rFonts w:hint="eastAsia"/>
        </w:rPr>
      </w:pPr>
    </w:p>
    <w:p>
      <w:pPr>
        <w:pageBreakBefore w:val="0"/>
        <w:kinsoku/>
        <w:wordWrap w:val="0"/>
        <w:overflowPunct/>
        <w:topLinePunct/>
        <w:bidi w:val="0"/>
        <w:adjustRightInd/>
        <w:snapToGrid/>
        <w:spacing w:line="360" w:lineRule="auto"/>
        <w:ind w:firstLine="420"/>
        <w:rPr>
          <w:rFonts w:hint="eastAsia" w:ascii="宋体" w:hAnsi="宋体" w:eastAsia="宋体" w:cs="宋体"/>
          <w:b/>
          <w:sz w:val="21"/>
          <w:szCs w:val="21"/>
          <w:u w:val="none"/>
        </w:rPr>
      </w:pPr>
      <w:r>
        <w:rPr>
          <w:rFonts w:hint="default" w:ascii="宋体" w:hAnsi="宋体" w:eastAsia="宋体" w:cs="宋体"/>
          <w:b/>
          <w:bCs w:val="0"/>
          <w:sz w:val="21"/>
          <w:szCs w:val="21"/>
          <w:u w:val="none"/>
          <w:lang w:val="en" w:eastAsia="zh-CN"/>
        </w:rPr>
        <w:t>2</w:t>
      </w:r>
      <w:r>
        <w:rPr>
          <w:rFonts w:hint="eastAsia" w:ascii="宋体" w:hAnsi="宋体" w:eastAsia="宋体" w:cs="宋体"/>
          <w:b/>
          <w:bCs w:val="0"/>
          <w:sz w:val="21"/>
          <w:szCs w:val="21"/>
          <w:u w:val="none"/>
        </w:rPr>
        <w:t>．</w:t>
      </w:r>
      <w:r>
        <w:rPr>
          <w:rFonts w:hint="eastAsia" w:ascii="宋体" w:hAnsi="宋体" w:eastAsia="宋体" w:cs="宋体"/>
          <w:b/>
          <w:bCs w:val="0"/>
          <w:sz w:val="21"/>
          <w:szCs w:val="21"/>
          <w:u w:val="none"/>
          <w:lang w:eastAsia="zh-CN"/>
        </w:rPr>
        <w:t>存储</w:t>
      </w:r>
      <w:r>
        <w:rPr>
          <w:rFonts w:hint="eastAsia" w:ascii="宋体" w:hAnsi="宋体" w:eastAsia="宋体" w:cs="宋体"/>
          <w:b/>
          <w:bCs w:val="0"/>
          <w:sz w:val="21"/>
          <w:szCs w:val="21"/>
          <w:u w:val="none"/>
        </w:rPr>
        <w:t>服务</w:t>
      </w:r>
    </w:p>
    <w:p>
      <w:pPr>
        <w:pageBreakBefore w:val="0"/>
        <w:kinsoku/>
        <w:wordWrap w:val="0"/>
        <w:overflowPunct/>
        <w:topLinePunct/>
        <w:bidi w:val="0"/>
        <w:adjustRightInd/>
        <w:snapToGrid/>
        <w:spacing w:line="360" w:lineRule="auto"/>
        <w:ind w:firstLine="42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w:t>
      </w:r>
      <w:r>
        <w:rPr>
          <w:rFonts w:hint="eastAsia" w:ascii="宋体" w:hAnsi="宋体" w:eastAsia="宋体" w:cs="宋体"/>
          <w:b w:val="0"/>
          <w:bCs w:val="0"/>
          <w:sz w:val="21"/>
          <w:szCs w:val="21"/>
          <w:u w:val="none"/>
          <w:lang w:val="en-US" w:eastAsia="zh-CN"/>
        </w:rPr>
        <w:t>1</w:t>
      </w:r>
      <w:r>
        <w:rPr>
          <w:rFonts w:hint="eastAsia" w:ascii="宋体" w:hAnsi="宋体" w:eastAsia="宋体" w:cs="宋体"/>
          <w:b w:val="0"/>
          <w:bCs w:val="0"/>
          <w:sz w:val="21"/>
          <w:szCs w:val="21"/>
          <w:u w:val="none"/>
        </w:rPr>
        <w:t>）对象存储（OSS）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7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指标项</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sz w:val="21"/>
                <w:szCs w:val="21"/>
                <w:u w:val="none"/>
              </w:rPr>
            </w:pPr>
            <w:r>
              <w:rPr>
                <w:rFonts w:hint="eastAsia" w:ascii="宋体" w:hAnsi="宋体" w:eastAsia="宋体" w:cs="宋体"/>
                <w:sz w:val="21"/>
                <w:szCs w:val="21"/>
                <w:u w:val="none"/>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rPr>
              <w:t>功能指标</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1） 图片处理服务: 支持获取图片信息、图片格式转换、图片缩放、裁剪、旋转、图片添加图片、文字、图文混合水印、自定义图片处理样式、通过管道顺序调用多种图片处理等功能；</w:t>
            </w:r>
          </w:p>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2）支持创建/删除/列举资源实例。支持静态网站托管、防盗链、访问日志、跨域访问;</w:t>
            </w:r>
          </w:p>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3）支持对象简单上传/表单上传/追加上传/下载/删除/列举/复制，生命周期管理等功能。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Cs w:val="21"/>
              </w:rPr>
              <w:t>兼容性/开放性</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Cs w:val="21"/>
              </w:rPr>
              <w:t>支持RESTful API接口、S3接口标准。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rPr>
              <w:t>性能指标</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1）吞吐量：单数据节点支持读1.5GB/s、写400MB/s（三副本）；</w:t>
            </w:r>
          </w:p>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2） 平均延时：在4K文件大小读写时，写平均延时不大于10ms、读平均延时不大于2.5ms；</w:t>
            </w:r>
          </w:p>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3）系统无节点上限。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rPr>
            </w:pPr>
            <w:r>
              <w:rPr>
                <w:rFonts w:hint="eastAsia"/>
              </w:rPr>
              <w:t>安全性</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highlight w:val="none"/>
                <w:u w:val="none"/>
              </w:rPr>
            </w:pPr>
            <w:r>
              <w:rPr>
                <w:rFonts w:hint="eastAsia" w:ascii="仿宋" w:hAnsi="仿宋" w:eastAsia="仿宋" w:cs="仿宋"/>
                <w:kern w:val="2"/>
                <w:sz w:val="21"/>
                <w:szCs w:val="21"/>
                <w:highlight w:val="none"/>
                <w:lang w:val="en-US" w:eastAsia="zh-CN" w:bidi="ar-SA"/>
              </w:rPr>
              <w:t>△</w:t>
            </w:r>
            <w:r>
              <w:rPr>
                <w:rFonts w:hint="eastAsia" w:ascii="宋体" w:hAnsi="宋体" w:eastAsia="宋体" w:cs="宋体"/>
                <w:sz w:val="21"/>
                <w:szCs w:val="21"/>
                <w:highlight w:val="none"/>
                <w:u w:val="none"/>
              </w:rPr>
              <w:t>支持权限认证、服务器端和客户端加密、传输加密HTTPS（提供截图证明）。</w:t>
            </w:r>
          </w:p>
        </w:tc>
      </w:tr>
    </w:tbl>
    <w:p>
      <w:pPr>
        <w:pageBreakBefore w:val="0"/>
        <w:kinsoku/>
        <w:wordWrap w:val="0"/>
        <w:overflowPunct/>
        <w:topLinePunct/>
        <w:bidi w:val="0"/>
        <w:adjustRightInd/>
        <w:snapToGrid/>
        <w:spacing w:line="360" w:lineRule="auto"/>
        <w:ind w:firstLine="42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w:t>
      </w:r>
      <w:r>
        <w:rPr>
          <w:rFonts w:hint="eastAsia" w:ascii="宋体" w:hAnsi="宋体" w:eastAsia="宋体" w:cs="宋体"/>
          <w:b w:val="0"/>
          <w:bCs w:val="0"/>
          <w:sz w:val="21"/>
          <w:szCs w:val="21"/>
          <w:u w:val="none"/>
          <w:lang w:val="en-US" w:eastAsia="zh-CN"/>
        </w:rPr>
        <w:t>2</w:t>
      </w:r>
      <w:r>
        <w:rPr>
          <w:rFonts w:hint="eastAsia" w:ascii="宋体" w:hAnsi="宋体" w:eastAsia="宋体" w:cs="宋体"/>
          <w:b w:val="0"/>
          <w:bCs w:val="0"/>
          <w:sz w:val="21"/>
          <w:szCs w:val="21"/>
          <w:u w:val="none"/>
        </w:rPr>
        <w:t>）文件存储（NAS）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7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指标项</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sz w:val="21"/>
                <w:szCs w:val="21"/>
                <w:u w:val="none"/>
              </w:rPr>
            </w:pPr>
            <w:r>
              <w:rPr>
                <w:rFonts w:hint="eastAsia" w:ascii="宋体" w:hAnsi="宋体" w:eastAsia="宋体" w:cs="宋体"/>
                <w:sz w:val="21"/>
                <w:szCs w:val="21"/>
                <w:u w:val="none"/>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rPr>
              <w:t>功能指标</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1）系统架构无单节点故障;</w:t>
            </w:r>
          </w:p>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2) 支持节点线性扩展(元数据同步扩展，容量/文件数无上限)；</w:t>
            </w:r>
          </w:p>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3) 支持典型场景针对优化(如非编/基因/渲染)。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Cs w:val="21"/>
              </w:rPr>
              <w:t>兼容性/开放性</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Cs w:val="21"/>
                <w:highlight w:val="none"/>
              </w:rPr>
            </w:pPr>
            <w:r>
              <w:rPr>
                <w:rFonts w:hint="eastAsia" w:ascii="宋体" w:hAnsi="宋体" w:eastAsia="宋体" w:cs="宋体"/>
                <w:szCs w:val="21"/>
                <w:highlight w:val="none"/>
              </w:rPr>
              <w:t>1）支持标准posix；</w:t>
            </w:r>
          </w:p>
          <w:p>
            <w:pPr>
              <w:pageBreakBefore w:val="0"/>
              <w:kinsoku/>
              <w:wordWrap w:val="0"/>
              <w:overflowPunct/>
              <w:topLinePunct/>
              <w:bidi w:val="0"/>
              <w:adjustRightInd/>
              <w:snapToGrid/>
              <w:spacing w:line="360" w:lineRule="auto"/>
              <w:rPr>
                <w:rFonts w:hint="eastAsia" w:ascii="宋体" w:hAnsi="宋体" w:eastAsia="宋体" w:cs="宋体"/>
                <w:szCs w:val="21"/>
                <w:highlight w:val="none"/>
              </w:rPr>
            </w:pPr>
            <w:r>
              <w:rPr>
                <w:rFonts w:hint="eastAsia" w:ascii="宋体" w:hAnsi="宋体" w:eastAsia="宋体" w:cs="宋体"/>
                <w:szCs w:val="21"/>
                <w:highlight w:val="none"/>
              </w:rPr>
              <w:t>2）支持nfs3.0/4.0接口标准；</w:t>
            </w:r>
          </w:p>
          <w:p>
            <w:pPr>
              <w:pageBreakBefore w:val="0"/>
              <w:kinsoku/>
              <w:wordWrap w:val="0"/>
              <w:overflowPunct/>
              <w:topLinePunct/>
              <w:bidi w:val="0"/>
              <w:adjustRightInd/>
              <w:snapToGrid/>
              <w:spacing w:line="360" w:lineRule="auto"/>
              <w:rPr>
                <w:rFonts w:hint="eastAsia" w:ascii="宋体" w:hAnsi="宋体" w:eastAsia="宋体" w:cs="宋体"/>
                <w:szCs w:val="21"/>
                <w:highlight w:val="none"/>
              </w:rPr>
            </w:pPr>
            <w:r>
              <w:rPr>
                <w:rFonts w:hint="eastAsia" w:ascii="宋体" w:hAnsi="宋体" w:eastAsia="宋体" w:cs="宋体"/>
                <w:szCs w:val="21"/>
                <w:highlight w:val="none"/>
              </w:rPr>
              <w:t>3）支持smb2.0/3.0接口标准；</w:t>
            </w:r>
          </w:p>
          <w:p>
            <w:pPr>
              <w:pageBreakBefore w:val="0"/>
              <w:kinsoku/>
              <w:wordWrap w:val="0"/>
              <w:overflowPunct/>
              <w:topLinePunct/>
              <w:bidi w:val="0"/>
              <w:adjustRightInd/>
              <w:snapToGrid/>
              <w:spacing w:line="360" w:lineRule="auto"/>
              <w:rPr>
                <w:rFonts w:hint="eastAsia" w:ascii="宋体" w:hAnsi="宋体" w:eastAsia="宋体" w:cs="宋体"/>
                <w:sz w:val="21"/>
                <w:szCs w:val="21"/>
                <w:highlight w:val="none"/>
                <w:u w:val="none"/>
              </w:rPr>
            </w:pPr>
            <w:r>
              <w:rPr>
                <w:rFonts w:hint="eastAsia" w:ascii="宋体" w:hAnsi="宋体" w:eastAsia="宋体" w:cs="宋体"/>
                <w:szCs w:val="21"/>
                <w:highlight w:val="none"/>
              </w:rPr>
              <w:t>4）支持ftp；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rPr>
              <w:t>性能指标</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1）吞吐量：单数据节点读可达1.5GB/s、写可达1.5GB/s，单目录吞吐量 20GB；</w:t>
            </w:r>
          </w:p>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2）平均延时：在4K文件大小读写时，写不大于3ms、读不大于1ms；</w:t>
            </w:r>
          </w:p>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3）系统无节点上限，支持一万客户端并发访问。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rPr>
            </w:pPr>
            <w:r>
              <w:rPr>
                <w:rFonts w:hint="eastAsia"/>
              </w:rPr>
              <w:t>安全性</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支持权限认证、服务器端加密。</w:t>
            </w:r>
          </w:p>
        </w:tc>
      </w:tr>
    </w:tbl>
    <w:p>
      <w:pPr>
        <w:pageBreakBefore w:val="0"/>
        <w:kinsoku/>
        <w:wordWrap w:val="0"/>
        <w:overflowPunct/>
        <w:topLinePunct/>
        <w:bidi w:val="0"/>
        <w:adjustRightInd/>
        <w:snapToGrid/>
        <w:spacing w:line="360" w:lineRule="auto"/>
        <w:ind w:firstLine="420"/>
        <w:rPr>
          <w:rFonts w:hint="eastAsia" w:ascii="宋体" w:hAnsi="宋体" w:eastAsia="宋体" w:cs="宋体"/>
          <w:b w:val="0"/>
          <w:bCs/>
          <w:sz w:val="21"/>
          <w:szCs w:val="21"/>
          <w:u w:val="none"/>
        </w:rPr>
      </w:pPr>
      <w:r>
        <w:rPr>
          <w:rFonts w:hint="default" w:ascii="宋体" w:hAnsi="宋体" w:eastAsia="宋体" w:cs="宋体"/>
          <w:b/>
          <w:bCs w:val="0"/>
          <w:sz w:val="21"/>
          <w:szCs w:val="21"/>
          <w:u w:val="none"/>
          <w:lang w:val="en"/>
        </w:rPr>
        <w:t>3</w:t>
      </w:r>
      <w:r>
        <w:rPr>
          <w:rFonts w:hint="eastAsia" w:ascii="宋体" w:hAnsi="宋体" w:eastAsia="宋体" w:cs="宋体"/>
          <w:b/>
          <w:bCs w:val="0"/>
          <w:sz w:val="21"/>
          <w:szCs w:val="21"/>
          <w:u w:val="none"/>
        </w:rPr>
        <w:t>．数据库服务</w:t>
      </w:r>
    </w:p>
    <w:p>
      <w:pPr>
        <w:pageBreakBefore w:val="0"/>
        <w:kinsoku/>
        <w:wordWrap w:val="0"/>
        <w:overflowPunct/>
        <w:topLinePunct/>
        <w:bidi w:val="0"/>
        <w:adjustRightInd/>
        <w:snapToGrid/>
        <w:spacing w:line="360" w:lineRule="auto"/>
        <w:ind w:firstLine="42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（1）</w:t>
      </w:r>
      <w:r>
        <w:rPr>
          <w:rFonts w:hint="default" w:ascii="宋体" w:hAnsi="宋体" w:eastAsia="宋体" w:cs="宋体"/>
          <w:b w:val="0"/>
          <w:bCs/>
          <w:sz w:val="21"/>
          <w:szCs w:val="21"/>
          <w:u w:val="none"/>
          <w:lang w:val="en"/>
        </w:rPr>
        <w:t>云</w:t>
      </w:r>
      <w:r>
        <w:rPr>
          <w:rFonts w:hint="eastAsia" w:ascii="宋体" w:hAnsi="宋体" w:eastAsia="宋体" w:cs="宋体"/>
          <w:b w:val="0"/>
          <w:bCs/>
          <w:sz w:val="21"/>
          <w:szCs w:val="21"/>
          <w:u w:val="none"/>
        </w:rPr>
        <w:t>Mysql\SQLServer数据库</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7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指标项</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sz w:val="21"/>
                <w:szCs w:val="21"/>
                <w:u w:val="none"/>
              </w:rPr>
            </w:pPr>
            <w:r>
              <w:rPr>
                <w:rFonts w:hint="eastAsia" w:ascii="宋体" w:hAnsi="宋体" w:eastAsia="宋体" w:cs="宋体"/>
                <w:sz w:val="21"/>
                <w:szCs w:val="21"/>
                <w:u w:val="none"/>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0" w:type="auto"/>
            <w:vMerge w:val="restart"/>
            <w:tcBorders>
              <w:top w:val="single" w:color="auto" w:sz="4" w:space="0"/>
              <w:left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rPr>
              <w:t>功能指标</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基于高效的调度、备份、HA控制、在线迁移以及监控系统，为用户提供为专业的云数据库服务。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支持关系型数据库的基本功能，并进行优化服务。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highlight w:val="none"/>
                <w:u w:val="none"/>
              </w:rPr>
            </w:pPr>
            <w:r>
              <w:rPr>
                <w:rFonts w:hint="eastAsia" w:ascii="仿宋" w:hAnsi="仿宋" w:eastAsia="仿宋" w:cs="仿宋"/>
                <w:kern w:val="2"/>
                <w:sz w:val="21"/>
                <w:szCs w:val="21"/>
                <w:highlight w:val="none"/>
                <w:lang w:val="en-US" w:eastAsia="zh-CN" w:bidi="ar-SA"/>
              </w:rPr>
              <w:t>△</w:t>
            </w:r>
            <w:r>
              <w:rPr>
                <w:rFonts w:hint="eastAsia" w:ascii="宋体" w:hAnsi="宋体" w:eastAsia="宋体" w:cs="宋体"/>
                <w:sz w:val="21"/>
                <w:szCs w:val="21"/>
                <w:highlight w:val="none"/>
                <w:u w:val="none"/>
              </w:rPr>
              <w:t>支持MsSqlserver、Mysql等主流关系型数据库。（提供截图证明）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仿宋" w:hAnsi="仿宋" w:eastAsia="仿宋" w:cs="仿宋"/>
                <w:kern w:val="2"/>
                <w:sz w:val="21"/>
                <w:szCs w:val="21"/>
                <w:highlight w:val="none"/>
                <w:lang w:val="en-US" w:eastAsia="zh-CN" w:bidi="ar-SA"/>
              </w:rPr>
              <w:t>△</w:t>
            </w:r>
            <w:r>
              <w:rPr>
                <w:rFonts w:hint="eastAsia" w:ascii="宋体" w:hAnsi="宋体" w:eastAsia="宋体" w:cs="宋体"/>
                <w:sz w:val="21"/>
                <w:szCs w:val="21"/>
                <w:u w:val="none"/>
              </w:rPr>
              <w:t>单数据库实例内存可达96G，并发连接数可达24000。</w:t>
            </w:r>
            <w:r>
              <w:rPr>
                <w:rFonts w:hint="eastAsia" w:ascii="宋体" w:hAnsi="宋体" w:eastAsia="宋体" w:cs="宋体"/>
                <w:sz w:val="21"/>
                <w:szCs w:val="21"/>
                <w:highlight w:val="none"/>
                <w:u w:val="none"/>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MsSqlserver单数据库实例可创建的数据库数量达20个，用户数达20个。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Mysql单数据库实例可创建的数据库数量达200个，用户数达50个。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仿宋" w:hAnsi="仿宋" w:eastAsia="仿宋" w:cs="仿宋"/>
                <w:kern w:val="2"/>
                <w:sz w:val="21"/>
                <w:szCs w:val="21"/>
                <w:highlight w:val="none"/>
                <w:lang w:val="en-US" w:eastAsia="zh-CN" w:bidi="ar-SA"/>
              </w:rPr>
              <w:t>△</w:t>
            </w:r>
            <w:r>
              <w:rPr>
                <w:rFonts w:hint="eastAsia" w:ascii="宋体" w:hAnsi="宋体" w:eastAsia="宋体" w:cs="宋体"/>
                <w:sz w:val="21"/>
                <w:szCs w:val="21"/>
                <w:u w:val="none"/>
              </w:rPr>
              <w:t>每份数据都保留两份并可实时切换。</w:t>
            </w:r>
            <w:r>
              <w:rPr>
                <w:rFonts w:hint="eastAsia" w:ascii="宋体" w:hAnsi="宋体" w:eastAsia="宋体" w:cs="宋体"/>
                <w:sz w:val="21"/>
                <w:szCs w:val="21"/>
                <w:highlight w:val="none"/>
                <w:u w:val="none"/>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支持数据库在线升级、云内动态迁移、故障自动切换，实现业务秒级无缝切换，不中断用户服务。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扩展功能</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按需开通，即开即用，按需计费，为用户提供方便的Web管理界面。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仿宋" w:hAnsi="仿宋" w:eastAsia="仿宋" w:cs="仿宋"/>
                <w:kern w:val="2"/>
                <w:sz w:val="21"/>
                <w:szCs w:val="21"/>
                <w:highlight w:val="none"/>
                <w:lang w:val="en-US" w:eastAsia="zh-CN" w:bidi="ar-SA"/>
              </w:rPr>
              <w:t>△</w:t>
            </w:r>
            <w:r>
              <w:rPr>
                <w:rFonts w:hint="eastAsia" w:ascii="宋体" w:hAnsi="宋体" w:eastAsia="宋体" w:cs="宋体"/>
                <w:sz w:val="21"/>
                <w:szCs w:val="21"/>
                <w:u w:val="none"/>
              </w:rPr>
              <w:t>随着用户数和访问量的变化，可以弹性的调整数据库的规格，包含内存、连接数、IOPS、存储容量等，调整时服务不间断。</w:t>
            </w:r>
            <w:r>
              <w:rPr>
                <w:rFonts w:hint="eastAsia" w:ascii="宋体" w:hAnsi="宋体" w:cs="宋体"/>
                <w:szCs w:val="21"/>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ascii="宋体" w:hAnsi="宋体" w:eastAsia="宋体" w:cs="宋体"/>
                <w:sz w:val="21"/>
                <w:szCs w:val="21"/>
                <w:u w:val="none"/>
              </w:rPr>
              <w:t>提供数据导入、导出工具，方便用户进行数据迁移。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ascii="宋体" w:hAnsi="宋体" w:eastAsia="宋体" w:cs="宋体"/>
                <w:sz w:val="21"/>
                <w:szCs w:val="21"/>
                <w:u w:val="none"/>
              </w:rPr>
              <w:t>提供日志记录功能，包括错误日志、操作日志、访问日志等，可追查访问来源以及进行多维度的统计分析。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支持具备自主知识产权的国产数据库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安全性</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支持IP授权访问。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云服务端提供加密用户身份验证，提供不同的访问权限控制。</w:t>
            </w:r>
          </w:p>
        </w:tc>
      </w:tr>
    </w:tbl>
    <w:p>
      <w:pPr>
        <w:pageBreakBefore w:val="0"/>
        <w:kinsoku/>
        <w:wordWrap w:val="0"/>
        <w:overflowPunct/>
        <w:topLinePunct/>
        <w:bidi w:val="0"/>
        <w:adjustRightInd/>
        <w:snapToGrid/>
        <w:spacing w:line="360" w:lineRule="auto"/>
        <w:rPr>
          <w:rFonts w:hint="eastAsia" w:ascii="宋体" w:hAnsi="宋体" w:eastAsia="宋体" w:cs="宋体"/>
          <w:b/>
          <w:sz w:val="21"/>
          <w:szCs w:val="21"/>
          <w:u w:val="none"/>
        </w:rPr>
      </w:pPr>
    </w:p>
    <w:p>
      <w:pPr>
        <w:pageBreakBefore w:val="0"/>
        <w:numPr>
          <w:ilvl w:val="0"/>
          <w:numId w:val="0"/>
        </w:numPr>
        <w:kinsoku/>
        <w:wordWrap w:val="0"/>
        <w:overflowPunct/>
        <w:topLinePunct/>
        <w:bidi w:val="0"/>
        <w:adjustRightInd/>
        <w:snapToGrid/>
        <w:spacing w:line="360" w:lineRule="auto"/>
        <w:ind w:left="420" w:leftChars="0"/>
        <w:rPr>
          <w:rFonts w:hint="eastAsia" w:ascii="宋体" w:hAnsi="宋体" w:eastAsia="宋体" w:cs="宋体"/>
          <w:b w:val="0"/>
          <w:bCs/>
          <w:sz w:val="21"/>
          <w:szCs w:val="21"/>
          <w:u w:val="none"/>
        </w:rPr>
      </w:pPr>
      <w:r>
        <w:rPr>
          <w:rFonts w:hint="default" w:ascii="宋体" w:hAnsi="宋体" w:eastAsia="宋体" w:cs="宋体"/>
          <w:b w:val="0"/>
          <w:bCs/>
          <w:sz w:val="21"/>
          <w:szCs w:val="21"/>
          <w:u w:val="none"/>
          <w:lang w:val="en"/>
        </w:rPr>
        <w:t>（2）</w:t>
      </w:r>
      <w:r>
        <w:rPr>
          <w:rFonts w:hint="eastAsia" w:ascii="宋体" w:hAnsi="宋体" w:eastAsia="宋体" w:cs="宋体"/>
          <w:b w:val="0"/>
          <w:bCs/>
          <w:sz w:val="21"/>
          <w:szCs w:val="21"/>
          <w:u w:val="none"/>
        </w:rPr>
        <w:t>云数据库Redis版</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0" w:type="auto"/>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ascii="宋体" w:hAnsi="宋体" w:eastAsia="宋体" w:cs="宋体"/>
                <w:sz w:val="21"/>
                <w:szCs w:val="21"/>
                <w:u w:val="none"/>
              </w:rPr>
              <w:t>指标项</w:t>
            </w:r>
          </w:p>
        </w:tc>
        <w:tc>
          <w:tcPr>
            <w:tcW w:w="0" w:type="auto"/>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sz w:val="21"/>
                <w:szCs w:val="21"/>
                <w:u w:val="none"/>
              </w:rPr>
            </w:pPr>
            <w:r>
              <w:rPr>
                <w:rFonts w:hint="eastAsia" w:ascii="宋体" w:hAnsi="宋体" w:eastAsia="宋体" w:cs="宋体"/>
                <w:sz w:val="21"/>
                <w:szCs w:val="21"/>
                <w:u w:val="none"/>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rPr>
              <w:t>功能指标</w:t>
            </w:r>
          </w:p>
        </w:tc>
        <w:tc>
          <w:tcPr>
            <w:tcW w:w="0" w:type="auto"/>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ascii="宋体" w:hAnsi="宋体" w:eastAsia="宋体" w:cs="宋体"/>
                <w:sz w:val="21"/>
                <w:szCs w:val="21"/>
                <w:u w:val="none"/>
              </w:rPr>
              <w:t>1)支持高可用/集群模式，性能可线性提升；</w:t>
            </w:r>
          </w:p>
          <w:p>
            <w:pPr>
              <w:pageBreakBefore w:val="0"/>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ascii="宋体" w:hAnsi="宋体" w:eastAsia="宋体" w:cs="宋体"/>
                <w:sz w:val="21"/>
                <w:szCs w:val="21"/>
                <w:u w:val="none"/>
              </w:rPr>
              <w:t>2)支持内存+硬盘的持久化存储方式；</w:t>
            </w:r>
          </w:p>
          <w:p>
            <w:pPr>
              <w:pageBreakBefore w:val="0"/>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ascii="宋体" w:hAnsi="宋体" w:eastAsia="宋体" w:cs="宋体"/>
                <w:sz w:val="21"/>
                <w:szCs w:val="21"/>
                <w:u w:val="none"/>
              </w:rPr>
              <w:t>3)基于事件通知机制解耦消息发布者和消息订阅者之间的耦合，实现消息发布及订阅（PUB/SUB）功能；</w:t>
            </w:r>
          </w:p>
          <w:p>
            <w:pPr>
              <w:pageBreakBefore w:val="0"/>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ascii="宋体" w:hAnsi="宋体" w:eastAsia="宋体" w:cs="宋体"/>
                <w:sz w:val="21"/>
                <w:szCs w:val="21"/>
                <w:u w:val="none"/>
              </w:rPr>
              <w:t>4)提供分钟级别的监控功能；</w:t>
            </w:r>
          </w:p>
          <w:p>
            <w:pPr>
              <w:pageBreakBefore w:val="0"/>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ascii="宋体" w:hAnsi="宋体" w:eastAsia="宋体" w:cs="宋体"/>
                <w:sz w:val="21"/>
                <w:szCs w:val="21"/>
                <w:u w:val="none"/>
              </w:rPr>
              <w:t>5)支持虚拟专有网络，可支持指定虚拟网络创建数据库实例；</w:t>
            </w:r>
          </w:p>
          <w:p>
            <w:pPr>
              <w:pageBreakBefore w:val="0"/>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ascii="宋体" w:hAnsi="宋体" w:eastAsia="宋体" w:cs="宋体"/>
                <w:sz w:val="21"/>
                <w:szCs w:val="21"/>
                <w:u w:val="none"/>
              </w:rPr>
              <w:t>6)支持在线平滑升降级，计算能力、内存容量和总IO带宽同步线性扩容。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rPr>
              <w:t>兼容性/开放性</w:t>
            </w:r>
          </w:p>
        </w:tc>
        <w:tc>
          <w:tcPr>
            <w:tcW w:w="0" w:type="auto"/>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rPr>
              <w:t>兼容主流如Redis/Memcache协议。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0" w:type="auto"/>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rPr>
              <w:t>性能指标</w:t>
            </w:r>
          </w:p>
        </w:tc>
        <w:tc>
          <w:tcPr>
            <w:tcW w:w="0" w:type="auto"/>
            <w:noWrap w:val="0"/>
            <w:vAlign w:val="center"/>
          </w:tcPr>
          <w:p>
            <w:pPr>
              <w:pageBreakBefore w:val="0"/>
              <w:kinsoku/>
              <w:wordWrap w:val="0"/>
              <w:overflowPunct/>
              <w:topLinePunct/>
              <w:bidi w:val="0"/>
              <w:adjustRightInd/>
              <w:snapToGrid/>
              <w:spacing w:line="360" w:lineRule="auto"/>
              <w:jc w:val="left"/>
              <w:rPr>
                <w:rFonts w:hint="eastAsia"/>
              </w:rPr>
            </w:pPr>
            <w:r>
              <w:rPr>
                <w:rFonts w:hint="eastAsia"/>
              </w:rPr>
              <w:t>1）非集群版本QPS大于80000，集群版本节点数乘以80000。</w:t>
            </w:r>
          </w:p>
          <w:p>
            <w:pPr>
              <w:pageBreakBefore w:val="0"/>
              <w:kinsoku/>
              <w:wordWrap w:val="0"/>
              <w:overflowPunct/>
              <w:topLinePunct/>
              <w:bidi w:val="0"/>
              <w:adjustRightInd/>
              <w:snapToGrid/>
              <w:spacing w:line="360" w:lineRule="auto"/>
              <w:jc w:val="left"/>
              <w:rPr>
                <w:rFonts w:hint="eastAsia"/>
              </w:rPr>
            </w:pPr>
            <w:r>
              <w:rPr>
                <w:rFonts w:hint="eastAsia" w:ascii="仿宋" w:hAnsi="仿宋" w:eastAsia="仿宋" w:cs="仿宋"/>
                <w:kern w:val="2"/>
                <w:sz w:val="21"/>
                <w:szCs w:val="21"/>
                <w:highlight w:val="none"/>
                <w:lang w:val="en-US" w:eastAsia="zh-CN" w:bidi="ar-SA"/>
              </w:rPr>
              <w:t>△</w:t>
            </w:r>
            <w:r>
              <w:rPr>
                <w:rFonts w:hint="eastAsia"/>
              </w:rPr>
              <w:t>2）redis标准版最大连接数不低于20000，集群版最大连接数不低于</w:t>
            </w:r>
            <w:r>
              <w:rPr>
                <w:rFonts w:hint="eastAsia"/>
                <w:lang w:val="en-US" w:eastAsia="zh-CN"/>
              </w:rPr>
              <w:t>8</w:t>
            </w:r>
            <w:r>
              <w:rPr>
                <w:rFonts w:hint="eastAsia"/>
              </w:rPr>
              <w:t>0000.</w:t>
            </w:r>
          </w:p>
          <w:p>
            <w:pPr>
              <w:pageBreakBefore w:val="0"/>
              <w:kinsoku/>
              <w:wordWrap w:val="0"/>
              <w:overflowPunct/>
              <w:topLinePunct/>
              <w:bidi w:val="0"/>
              <w:adjustRightInd/>
              <w:snapToGrid/>
              <w:spacing w:line="360" w:lineRule="auto"/>
              <w:jc w:val="left"/>
              <w:rPr>
                <w:rFonts w:hint="eastAsia"/>
              </w:rPr>
            </w:pPr>
            <w:r>
              <w:rPr>
                <w:rFonts w:hint="eastAsia"/>
                <w:lang w:val="en-US" w:eastAsia="zh-CN"/>
              </w:rPr>
              <w:t>3</w:t>
            </w:r>
            <w:r>
              <w:rPr>
                <w:rFonts w:hint="eastAsia"/>
              </w:rPr>
              <w:t>）memchache最大连接数不低于160000.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0" w:type="auto"/>
            <w:noWrap w:val="0"/>
            <w:vAlign w:val="center"/>
          </w:tcPr>
          <w:p>
            <w:pPr>
              <w:pageBreakBefore w:val="0"/>
              <w:kinsoku/>
              <w:wordWrap w:val="0"/>
              <w:overflowPunct/>
              <w:topLinePunct/>
              <w:bidi w:val="0"/>
              <w:adjustRightInd/>
              <w:snapToGrid/>
              <w:spacing w:line="360" w:lineRule="auto"/>
              <w:jc w:val="left"/>
              <w:rPr>
                <w:rFonts w:hint="eastAsia"/>
              </w:rPr>
            </w:pPr>
            <w:r>
              <w:rPr>
                <w:rFonts w:hint="eastAsia"/>
              </w:rPr>
              <w:t>安全性</w:t>
            </w:r>
          </w:p>
        </w:tc>
        <w:tc>
          <w:tcPr>
            <w:tcW w:w="0" w:type="auto"/>
            <w:noWrap w:val="0"/>
            <w:vAlign w:val="center"/>
          </w:tcPr>
          <w:p>
            <w:pPr>
              <w:pageBreakBefore w:val="0"/>
              <w:kinsoku/>
              <w:wordWrap w:val="0"/>
              <w:overflowPunct/>
              <w:topLinePunct/>
              <w:bidi w:val="0"/>
              <w:adjustRightInd/>
              <w:snapToGrid/>
              <w:spacing w:line="360" w:lineRule="auto"/>
              <w:rPr>
                <w:rFonts w:hint="eastAsia"/>
              </w:rPr>
            </w:pPr>
            <w:r>
              <w:rPr>
                <w:rFonts w:hint="eastAsia"/>
              </w:rPr>
              <w:t>必须有完善用户账号控制策略和白名单策略，提高数据库集群的安全性。</w:t>
            </w:r>
          </w:p>
          <w:p>
            <w:pPr>
              <w:pageBreakBefore w:val="0"/>
              <w:kinsoku/>
              <w:wordWrap w:val="0"/>
              <w:overflowPunct/>
              <w:topLinePunct/>
              <w:bidi w:val="0"/>
              <w:adjustRightInd/>
              <w:snapToGrid/>
              <w:spacing w:line="360" w:lineRule="auto"/>
            </w:pPr>
            <w:r>
              <w:rPr>
                <w:rFonts w:hint="eastAsia"/>
              </w:rPr>
              <w:t>备注：</w:t>
            </w:r>
          </w:p>
          <w:p>
            <w:pPr>
              <w:pageBreakBefore w:val="0"/>
              <w:kinsoku/>
              <w:wordWrap w:val="0"/>
              <w:overflowPunct/>
              <w:topLinePunct/>
              <w:bidi w:val="0"/>
              <w:adjustRightInd/>
              <w:snapToGrid/>
              <w:spacing w:line="360" w:lineRule="auto"/>
            </w:pPr>
            <w:r>
              <w:rPr>
                <w:rFonts w:hint="eastAsia"/>
              </w:rPr>
              <w:t xml:space="preserve">集群版：群（cluster）实例采用分布式架构，每个节点都采用一主一从的高可用架构，自动容灾切换，故障迁移，多种集群规格可适配不同的业务压力，无限扩展数据库性能。 </w:t>
            </w:r>
          </w:p>
          <w:p>
            <w:pPr>
              <w:pageBreakBefore w:val="0"/>
              <w:kinsoku/>
              <w:wordWrap w:val="0"/>
              <w:overflowPunct/>
              <w:topLinePunct/>
              <w:bidi w:val="0"/>
              <w:adjustRightInd/>
              <w:snapToGrid/>
              <w:spacing w:line="360" w:lineRule="auto"/>
              <w:jc w:val="left"/>
              <w:rPr>
                <w:rFonts w:hint="eastAsia"/>
                <w:lang w:val="en-US" w:eastAsia="zh-CN"/>
              </w:rPr>
            </w:pPr>
            <w:r>
              <w:rPr>
                <w:rFonts w:hint="eastAsia"/>
              </w:rPr>
              <w:t>标准版：即主从高配版，系统工作是主节点和备节点的数据实时同步，主节点故障时系统自动秒级切换到，被节点接管业务，全程自动且对业务无影响，主备架构保障系统服务具有高可用性。</w:t>
            </w:r>
          </w:p>
        </w:tc>
      </w:tr>
    </w:tbl>
    <w:p>
      <w:pPr>
        <w:pageBreakBefore w:val="0"/>
        <w:kinsoku/>
        <w:wordWrap w:val="0"/>
        <w:overflowPunct/>
        <w:topLinePunct/>
        <w:bidi w:val="0"/>
        <w:adjustRightInd/>
        <w:snapToGrid/>
        <w:spacing w:line="360" w:lineRule="auto"/>
        <w:ind w:firstLine="420"/>
        <w:rPr>
          <w:rFonts w:hint="eastAsia" w:ascii="宋体" w:hAnsi="宋体" w:eastAsia="宋体" w:cs="宋体"/>
          <w:b w:val="0"/>
          <w:bCs/>
          <w:sz w:val="21"/>
          <w:szCs w:val="21"/>
          <w:u w:val="none"/>
        </w:rPr>
      </w:pPr>
    </w:p>
    <w:p>
      <w:pPr>
        <w:pageBreakBefore w:val="0"/>
        <w:kinsoku/>
        <w:wordWrap w:val="0"/>
        <w:overflowPunct/>
        <w:topLinePunct/>
        <w:bidi w:val="0"/>
        <w:adjustRightInd/>
        <w:snapToGrid/>
        <w:spacing w:line="360" w:lineRule="auto"/>
        <w:ind w:firstLine="42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w:t>
      </w:r>
      <w:r>
        <w:rPr>
          <w:rFonts w:hint="default" w:ascii="宋体" w:hAnsi="宋体" w:eastAsia="宋体" w:cs="宋体"/>
          <w:b w:val="0"/>
          <w:bCs/>
          <w:sz w:val="21"/>
          <w:szCs w:val="21"/>
          <w:u w:val="none"/>
          <w:lang w:val="en"/>
        </w:rPr>
        <w:t>3</w:t>
      </w:r>
      <w:r>
        <w:rPr>
          <w:rFonts w:hint="eastAsia" w:ascii="宋体" w:hAnsi="宋体" w:eastAsia="宋体" w:cs="宋体"/>
          <w:b w:val="0"/>
          <w:bCs/>
          <w:sz w:val="21"/>
          <w:szCs w:val="21"/>
          <w:u w:val="none"/>
        </w:rPr>
        <w:t>）分布式关系型数据库（DRDS）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7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0" w:type="auto"/>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ascii="宋体" w:hAnsi="宋体" w:eastAsia="宋体" w:cs="宋体"/>
                <w:sz w:val="21"/>
                <w:szCs w:val="21"/>
                <w:u w:val="none"/>
              </w:rPr>
              <w:t>指标项</w:t>
            </w:r>
          </w:p>
        </w:tc>
        <w:tc>
          <w:tcPr>
            <w:tcW w:w="0" w:type="auto"/>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sz w:val="21"/>
                <w:szCs w:val="21"/>
                <w:u w:val="none"/>
              </w:rPr>
            </w:pPr>
            <w:r>
              <w:rPr>
                <w:rFonts w:hint="eastAsia" w:ascii="宋体" w:hAnsi="宋体" w:eastAsia="宋体" w:cs="宋体"/>
                <w:sz w:val="21"/>
                <w:szCs w:val="21"/>
                <w:u w:val="none"/>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0" w:type="auto"/>
            <w:vMerge w:val="restart"/>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基本功能/性能</w:t>
            </w:r>
          </w:p>
        </w:tc>
        <w:tc>
          <w:tcPr>
            <w:tcW w:w="0" w:type="auto"/>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strike/>
                <w:sz w:val="21"/>
                <w:szCs w:val="21"/>
                <w:u w:val="none"/>
              </w:rPr>
            </w:pPr>
            <w:r>
              <w:rPr>
                <w:rFonts w:hint="eastAsia" w:ascii="宋体" w:hAnsi="宋体" w:eastAsia="宋体" w:cs="宋体"/>
                <w:sz w:val="21"/>
                <w:szCs w:val="21"/>
                <w:u w:val="none"/>
              </w:rPr>
              <w:t>兼容MYSQL协议和语法，支持自动化水平拆分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vMerge w:val="continue"/>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sz w:val="21"/>
                <w:szCs w:val="21"/>
                <w:u w:val="none"/>
              </w:rPr>
            </w:pPr>
          </w:p>
        </w:tc>
        <w:tc>
          <w:tcPr>
            <w:tcW w:w="0" w:type="auto"/>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ascii="宋体" w:hAnsi="宋体" w:eastAsia="宋体" w:cs="宋体"/>
                <w:sz w:val="21"/>
                <w:szCs w:val="21"/>
                <w:u w:val="none"/>
              </w:rPr>
              <w:t>支持在线平滑扩缩容，服务能力线性扩展，透明读写分离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vMerge w:val="continue"/>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sz w:val="21"/>
                <w:szCs w:val="21"/>
                <w:u w:val="none"/>
              </w:rPr>
            </w:pPr>
          </w:p>
        </w:tc>
        <w:tc>
          <w:tcPr>
            <w:tcW w:w="0" w:type="auto"/>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ascii="宋体" w:hAnsi="宋体" w:eastAsia="宋体" w:cs="宋体"/>
                <w:sz w:val="21"/>
                <w:szCs w:val="21"/>
                <w:u w:val="none"/>
              </w:rPr>
              <w:t>客户端支持：DRDS兼容数据库登录协议，支持Workbench ，Navicat ， SQLyog 等客户端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vMerge w:val="continue"/>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sz w:val="21"/>
                <w:szCs w:val="21"/>
                <w:u w:val="none"/>
              </w:rPr>
            </w:pPr>
          </w:p>
        </w:tc>
        <w:tc>
          <w:tcPr>
            <w:tcW w:w="0" w:type="auto"/>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ascii="宋体" w:hAnsi="宋体" w:eastAsia="宋体" w:cs="宋体"/>
                <w:sz w:val="21"/>
                <w:szCs w:val="21"/>
                <w:u w:val="none"/>
              </w:rPr>
              <w:t>提供的分布式数据库事务套件，实现最终一致性事务支持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vMerge w:val="continue"/>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sz w:val="21"/>
                <w:szCs w:val="21"/>
                <w:u w:val="none"/>
              </w:rPr>
            </w:pPr>
          </w:p>
        </w:tc>
        <w:tc>
          <w:tcPr>
            <w:tcW w:w="0" w:type="auto"/>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ascii="宋体" w:hAnsi="宋体" w:eastAsia="宋体" w:cs="宋体"/>
                <w:sz w:val="21"/>
                <w:szCs w:val="21"/>
                <w:u w:val="none"/>
              </w:rPr>
              <w:t>支持外部数据源的增量和全量导入，帮助用户实现数据库平滑上云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0" w:type="auto"/>
            <w:vMerge w:val="continue"/>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sz w:val="21"/>
                <w:szCs w:val="21"/>
                <w:u w:val="none"/>
              </w:rPr>
            </w:pPr>
          </w:p>
        </w:tc>
        <w:tc>
          <w:tcPr>
            <w:tcW w:w="0" w:type="auto"/>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ascii="宋体" w:hAnsi="宋体" w:eastAsia="宋体" w:cs="宋体"/>
                <w:sz w:val="21"/>
                <w:szCs w:val="21"/>
                <w:u w:val="none"/>
              </w:rPr>
              <w:t>支持分库分表按照逻辑库表导出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vMerge w:val="continue"/>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sz w:val="21"/>
                <w:szCs w:val="21"/>
                <w:u w:val="none"/>
              </w:rPr>
            </w:pPr>
          </w:p>
        </w:tc>
        <w:tc>
          <w:tcPr>
            <w:tcW w:w="0" w:type="auto"/>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ascii="宋体" w:hAnsi="宋体" w:eastAsia="宋体" w:cs="宋体"/>
                <w:sz w:val="21"/>
                <w:szCs w:val="21"/>
                <w:u w:val="none"/>
              </w:rPr>
              <w:t>提供show slow ，show node show datasource trace等丰富命令帮助迅速定位慢SQL问题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vMerge w:val="continue"/>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sz w:val="21"/>
                <w:szCs w:val="21"/>
                <w:u w:val="none"/>
              </w:rPr>
            </w:pPr>
          </w:p>
        </w:tc>
        <w:tc>
          <w:tcPr>
            <w:tcW w:w="0" w:type="auto"/>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ascii="宋体" w:hAnsi="宋体" w:eastAsia="宋体" w:cs="宋体"/>
                <w:sz w:val="21"/>
                <w:szCs w:val="21"/>
                <w:u w:val="none"/>
              </w:rPr>
              <w:t>支持自动化数据拆分，支持字符串，日期，数字的多种拆分方案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vMerge w:val="continue"/>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sz w:val="21"/>
                <w:szCs w:val="21"/>
                <w:u w:val="none"/>
              </w:rPr>
            </w:pPr>
          </w:p>
        </w:tc>
        <w:tc>
          <w:tcPr>
            <w:tcW w:w="0" w:type="auto"/>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ascii="宋体" w:hAnsi="宋体" w:eastAsia="宋体" w:cs="宋体"/>
                <w:sz w:val="21"/>
                <w:szCs w:val="21"/>
                <w:u w:val="none"/>
              </w:rPr>
              <w:t>提供完整的数据库运维监控系统，对数据库IOPS，TPS，CPU实时监控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0" w:type="auto"/>
            <w:vMerge w:val="restart"/>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服务安全</w:t>
            </w:r>
          </w:p>
        </w:tc>
        <w:tc>
          <w:tcPr>
            <w:tcW w:w="0" w:type="auto"/>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ascii="宋体" w:hAnsi="宋体" w:eastAsia="宋体" w:cs="宋体"/>
                <w:sz w:val="21"/>
                <w:szCs w:val="21"/>
                <w:u w:val="none"/>
              </w:rPr>
              <w:t>采用分布式集群服务，无服务单点故障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vMerge w:val="continue"/>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sz w:val="21"/>
                <w:szCs w:val="21"/>
                <w:u w:val="none"/>
              </w:rPr>
            </w:pPr>
          </w:p>
        </w:tc>
        <w:tc>
          <w:tcPr>
            <w:tcW w:w="0" w:type="auto"/>
            <w:noWrap w:val="0"/>
            <w:vAlign w:val="center"/>
          </w:tcPr>
          <w:p>
            <w:pPr>
              <w:pageBreakBefore w:val="0"/>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ascii="宋体" w:hAnsi="宋体" w:eastAsia="宋体" w:cs="宋体"/>
                <w:sz w:val="21"/>
                <w:szCs w:val="21"/>
                <w:u w:val="none"/>
              </w:rPr>
              <w:t>支持存储层RDS白名单自动维护，通过白名单保证访问安全</w:t>
            </w:r>
          </w:p>
        </w:tc>
      </w:tr>
    </w:tbl>
    <w:p>
      <w:pPr>
        <w:pStyle w:val="4"/>
        <w:pageBreakBefore w:val="0"/>
        <w:numPr>
          <w:ilvl w:val="0"/>
          <w:numId w:val="0"/>
        </w:numPr>
        <w:kinsoku/>
        <w:wordWrap w:val="0"/>
        <w:overflowPunct/>
        <w:topLinePunct/>
        <w:bidi w:val="0"/>
        <w:adjustRightInd/>
        <w:snapToGrid/>
        <w:spacing w:line="360" w:lineRule="auto"/>
        <w:rPr>
          <w:rFonts w:hint="eastAsia"/>
        </w:rPr>
      </w:pPr>
    </w:p>
    <w:p>
      <w:pPr>
        <w:pageBreakBefore w:val="0"/>
        <w:numPr>
          <w:ilvl w:val="0"/>
          <w:numId w:val="0"/>
        </w:numPr>
        <w:kinsoku/>
        <w:wordWrap w:val="0"/>
        <w:overflowPunct/>
        <w:topLinePunct/>
        <w:bidi w:val="0"/>
        <w:adjustRightInd/>
        <w:snapToGrid/>
        <w:spacing w:line="360" w:lineRule="auto"/>
        <w:ind w:firstLine="420"/>
        <w:rPr>
          <w:rFonts w:hint="eastAsia" w:ascii="宋体" w:hAnsi="宋体" w:eastAsia="宋体" w:cs="宋体"/>
          <w:b/>
          <w:bCs/>
          <w:szCs w:val="21"/>
          <w:u w:val="none"/>
        </w:rPr>
      </w:pPr>
      <w:r>
        <w:rPr>
          <w:rFonts w:hint="eastAsia" w:ascii="宋体" w:hAnsi="宋体" w:eastAsia="宋体" w:cs="宋体"/>
          <w:b/>
          <w:bCs/>
          <w:szCs w:val="21"/>
          <w:u w:val="none"/>
          <w:lang w:val="en-US" w:eastAsia="zh-CN"/>
        </w:rPr>
        <w:t xml:space="preserve">4. </w:t>
      </w:r>
      <w:r>
        <w:rPr>
          <w:rFonts w:hint="eastAsia" w:ascii="宋体" w:hAnsi="宋体" w:eastAsia="宋体" w:cs="宋体"/>
          <w:b/>
          <w:bCs/>
          <w:szCs w:val="21"/>
          <w:u w:val="none"/>
        </w:rPr>
        <w:t>网络服务</w:t>
      </w:r>
    </w:p>
    <w:p>
      <w:pPr>
        <w:pageBreakBefore w:val="0"/>
        <w:kinsoku/>
        <w:wordWrap w:val="0"/>
        <w:overflowPunct/>
        <w:topLinePunct/>
        <w:bidi w:val="0"/>
        <w:adjustRightInd/>
        <w:snapToGrid/>
        <w:spacing w:line="360" w:lineRule="auto"/>
        <w:ind w:firstLine="420" w:firstLineChars="200"/>
        <w:rPr>
          <w:rFonts w:hint="eastAsia" w:ascii="宋体" w:hAnsi="宋体" w:eastAsia="宋体" w:cs="宋体"/>
          <w:b w:val="0"/>
          <w:bCs w:val="0"/>
          <w:sz w:val="21"/>
          <w:szCs w:val="21"/>
          <w:u w:val="none"/>
        </w:rPr>
      </w:pPr>
      <w:r>
        <w:rPr>
          <w:rFonts w:hint="eastAsia" w:ascii="宋体" w:hAnsi="宋体" w:eastAsia="宋体" w:cs="宋体"/>
          <w:b w:val="0"/>
          <w:bCs w:val="0"/>
          <w:szCs w:val="21"/>
          <w:u w:val="none"/>
        </w:rPr>
        <w:t>（1）</w:t>
      </w:r>
      <w:r>
        <w:rPr>
          <w:rFonts w:hint="eastAsia" w:ascii="宋体" w:hAnsi="宋体" w:eastAsia="宋体" w:cs="宋体"/>
          <w:b w:val="0"/>
          <w:bCs w:val="0"/>
          <w:sz w:val="21"/>
          <w:szCs w:val="21"/>
          <w:u w:val="none"/>
        </w:rPr>
        <w:t>负载均衡(SLB)</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7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指标项</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sz w:val="21"/>
                <w:szCs w:val="21"/>
                <w:u w:val="none"/>
              </w:rPr>
            </w:pPr>
            <w:r>
              <w:rPr>
                <w:rFonts w:hint="eastAsia" w:ascii="宋体" w:hAnsi="宋体" w:eastAsia="宋体" w:cs="宋体"/>
                <w:sz w:val="21"/>
                <w:szCs w:val="21"/>
                <w:u w:val="none"/>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负载均衡</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仿宋" w:hAnsi="仿宋" w:eastAsia="仿宋" w:cs="仿宋"/>
                <w:kern w:val="2"/>
                <w:sz w:val="21"/>
                <w:szCs w:val="21"/>
                <w:highlight w:val="none"/>
                <w:lang w:val="en-US" w:eastAsia="zh-CN" w:bidi="ar-SA"/>
              </w:rPr>
              <w:t>△</w:t>
            </w:r>
            <w:r>
              <w:rPr>
                <w:rFonts w:hint="eastAsia" w:ascii="宋体" w:hAnsi="宋体" w:eastAsia="宋体" w:cs="宋体"/>
                <w:sz w:val="21"/>
                <w:szCs w:val="21"/>
                <w:u w:val="none"/>
              </w:rPr>
              <w:t>协议支持：提供四层(TCP协议和UDP协议)和七层(HTTP和HTTPS协议)的负载均衡服务。</w:t>
            </w:r>
            <w:r>
              <w:rPr>
                <w:rFonts w:hint="eastAsia" w:ascii="宋体" w:hAnsi="宋体" w:cs="宋体"/>
                <w:szCs w:val="21"/>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健康检查：提供后端ECS实例的健康检查。负载均衡服务会自动屏蔽异常状态的ECS实例,待该ECS实例恢复正常后自动解除屏蔽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采用集群部署,可实现会话同步,以消除服务器单点,提升冗余,保证服务的稳定性。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highlight w:val="none"/>
                <w:u w:val="none"/>
              </w:rPr>
            </w:pPr>
            <w:r>
              <w:rPr>
                <w:rFonts w:hint="eastAsia" w:ascii="仿宋" w:hAnsi="仿宋" w:eastAsia="仿宋" w:cs="仿宋"/>
                <w:kern w:val="2"/>
                <w:sz w:val="21"/>
                <w:szCs w:val="21"/>
                <w:highlight w:val="none"/>
                <w:lang w:val="en-US" w:eastAsia="zh-CN" w:bidi="ar-SA"/>
              </w:rPr>
              <w:t>△</w:t>
            </w:r>
            <w:r>
              <w:rPr>
                <w:rFonts w:hint="eastAsia" w:ascii="宋体" w:hAnsi="宋体" w:eastAsia="宋体" w:cs="宋体"/>
                <w:sz w:val="21"/>
                <w:szCs w:val="21"/>
                <w:highlight w:val="none"/>
                <w:u w:val="none"/>
              </w:rPr>
              <w:t>调度算法:支持轮询、最小连接数两种调度算法: • 轮询:按照访问次数依次将外部请求依序分发到后端ECS实例上。 • 最小连接数:连接数越小的后端服务器被轮询到的次数(概率)也越高</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证书管理：针对HTTPS协议,提供统一的证书管理服务。证书无需上传到后端ECS实例,解密处理在负载均衡上进行,降低后端ECS实例的CPU开销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回话保持：提供会话保持功能。在会话的生命周期内,可以将同一客户端的请求转发到同一台后端ECS实例上。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仿宋" w:hAnsi="仿宋" w:eastAsia="仿宋" w:cs="仿宋"/>
                <w:kern w:val="2"/>
                <w:sz w:val="21"/>
                <w:szCs w:val="21"/>
                <w:highlight w:val="none"/>
                <w:lang w:val="en-US" w:eastAsia="zh-CN" w:bidi="ar-SA"/>
              </w:rPr>
              <w:t>△</w:t>
            </w:r>
            <w:r>
              <w:rPr>
                <w:rFonts w:hint="eastAsia" w:ascii="宋体" w:hAnsi="宋体" w:eastAsia="宋体" w:cs="宋体"/>
                <w:sz w:val="21"/>
                <w:szCs w:val="21"/>
                <w:u w:val="none"/>
              </w:rPr>
              <w:t>访问控制：支持白名单访问控制。通过添加负载均衡监听的访问白名单,仅允许特定IP访问负载均衡服务。</w:t>
            </w:r>
            <w:r>
              <w:rPr>
                <w:rFonts w:hint="eastAsia" w:ascii="宋体" w:hAnsi="宋体" w:eastAsia="宋体" w:cs="宋体"/>
                <w:sz w:val="21"/>
                <w:szCs w:val="21"/>
                <w:highlight w:val="none"/>
                <w:u w:val="none"/>
              </w:rPr>
              <w:t>（提供截图证明）</w:t>
            </w:r>
          </w:p>
        </w:tc>
      </w:tr>
    </w:tbl>
    <w:p>
      <w:pPr>
        <w:pageBreakBefore w:val="0"/>
        <w:kinsoku/>
        <w:wordWrap w:val="0"/>
        <w:overflowPunct/>
        <w:topLinePunct/>
        <w:bidi w:val="0"/>
        <w:adjustRightInd/>
        <w:snapToGrid/>
        <w:spacing w:line="360" w:lineRule="auto"/>
        <w:ind w:firstLine="420" w:firstLineChars="200"/>
        <w:rPr>
          <w:rFonts w:hint="eastAsia" w:ascii="宋体" w:hAnsi="宋体" w:eastAsia="宋体" w:cs="宋体"/>
          <w:szCs w:val="21"/>
          <w:u w:val="none"/>
        </w:rPr>
      </w:pPr>
      <w:r>
        <w:rPr>
          <w:rFonts w:hint="eastAsia" w:ascii="宋体" w:hAnsi="宋体" w:eastAsia="宋体" w:cs="宋体"/>
          <w:szCs w:val="21"/>
          <w:u w:val="none"/>
        </w:rPr>
        <w:t>（2）虚拟专有网络</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7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指标项</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sz w:val="21"/>
                <w:szCs w:val="21"/>
                <w:u w:val="none"/>
              </w:rPr>
            </w:pPr>
            <w:r>
              <w:rPr>
                <w:rFonts w:hint="eastAsia" w:ascii="宋体" w:hAnsi="宋体" w:eastAsia="宋体" w:cs="宋体"/>
                <w:sz w:val="21"/>
                <w:szCs w:val="21"/>
                <w:u w:val="none"/>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服务标准</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在所提供的云平台构建出一个隔离的网络环境，客户完全掌控自己的虚拟网络，包括选择自有IP地址范围、划分网段、配置路由表和网关等。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服务特性</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使用隧道技术达到与传统VLAN相同隔离效果，广播域隔离在实例网卡级别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按需配置网络设置、软件定义网络，管理操作实时生效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lang w:eastAsia="zh-CN"/>
              </w:rPr>
            </w:pPr>
            <w:r>
              <w:rPr>
                <w:rFonts w:hint="eastAsia" w:ascii="宋体" w:hAnsi="宋体" w:eastAsia="宋体" w:cs="宋体"/>
                <w:sz w:val="21"/>
                <w:szCs w:val="21"/>
                <w:u w:val="none"/>
              </w:rPr>
              <w:t xml:space="preserve">灵活的访问控制规则，满足政务、金融用户的安全隔离规范 </w:t>
            </w:r>
          </w:p>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可通过RAM实现对网络的权限管理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lang w:eastAsia="zh-CN"/>
              </w:rPr>
            </w:pPr>
            <w:r>
              <w:rPr>
                <w:rFonts w:hint="eastAsia" w:ascii="宋体" w:hAnsi="宋体" w:eastAsia="宋体" w:cs="宋体"/>
                <w:sz w:val="21"/>
                <w:szCs w:val="21"/>
                <w:u w:val="none"/>
              </w:rPr>
              <w:t>支持使用高速通道实现跨地域/跨用户的内网互通和物理专线接入</w:t>
            </w:r>
          </w:p>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支持使用NAT网关进行DNAT/SNAT转发；。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通过NAT网关支持灵活的DNAT/SNAT转发，支持多IP共享带宽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left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ascii="宋体" w:hAnsi="宋体" w:eastAsia="宋体" w:cs="宋体"/>
                <w:sz w:val="21"/>
                <w:szCs w:val="21"/>
                <w:u w:val="none"/>
              </w:rPr>
              <w:t>服务能力</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可以通过交换机将专有网络的私有 IP 地址划分成一个或多个子网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根据业务需求配置虚拟路由器的路由规则，管理专有网络流量的转发路径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vMerge w:val="continue"/>
            <w:tcBorders>
              <w:left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仿宋" w:hAnsi="仿宋" w:eastAsia="仿宋" w:cs="仿宋"/>
                <w:kern w:val="2"/>
                <w:sz w:val="21"/>
                <w:szCs w:val="21"/>
                <w:lang w:val="en-US" w:eastAsia="zh-CN" w:bidi="ar-SA"/>
              </w:rPr>
              <w:t>△</w:t>
            </w:r>
            <w:r>
              <w:rPr>
                <w:rFonts w:hint="eastAsia" w:ascii="宋体" w:hAnsi="宋体" w:eastAsia="宋体" w:cs="宋体"/>
                <w:sz w:val="21"/>
                <w:szCs w:val="21"/>
                <w:highlight w:val="none"/>
                <w:u w:val="none"/>
              </w:rPr>
              <w:t>可以使用NAT网关作为VPC的公网网关，实现 SNAT / DNAT / 共享带宽</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支持自建VPN网关，弹性公网IP</w:t>
            </w:r>
          </w:p>
        </w:tc>
      </w:tr>
    </w:tbl>
    <w:p>
      <w:pPr>
        <w:pageBreakBefore w:val="0"/>
        <w:kinsoku/>
        <w:wordWrap w:val="0"/>
        <w:overflowPunct/>
        <w:topLinePunct/>
        <w:bidi w:val="0"/>
        <w:adjustRightInd/>
        <w:snapToGrid/>
        <w:spacing w:line="360" w:lineRule="auto"/>
        <w:ind w:firstLine="420"/>
        <w:rPr>
          <w:rFonts w:hint="eastAsia" w:ascii="宋体" w:hAnsi="宋体" w:eastAsia="宋体" w:cs="宋体"/>
          <w:b/>
          <w:bCs/>
          <w:sz w:val="21"/>
          <w:szCs w:val="21"/>
          <w:u w:val="none"/>
        </w:rPr>
      </w:pPr>
      <w:r>
        <w:rPr>
          <w:rFonts w:hint="eastAsia" w:ascii="宋体" w:hAnsi="宋体" w:eastAsia="宋体" w:cs="宋体"/>
          <w:b/>
          <w:bCs/>
          <w:sz w:val="21"/>
          <w:szCs w:val="21"/>
          <w:u w:val="none"/>
        </w:rPr>
        <w:t>5.</w:t>
      </w:r>
      <w:r>
        <w:rPr>
          <w:rFonts w:hint="eastAsia" w:ascii="宋体" w:hAnsi="宋体" w:eastAsia="宋体" w:cs="宋体"/>
          <w:b/>
          <w:bCs/>
          <w:sz w:val="21"/>
          <w:szCs w:val="21"/>
          <w:u w:val="none"/>
          <w:lang w:val="en-US" w:eastAsia="zh-CN"/>
        </w:rPr>
        <w:t xml:space="preserve"> </w:t>
      </w:r>
      <w:r>
        <w:rPr>
          <w:rFonts w:hint="eastAsia" w:ascii="宋体" w:hAnsi="宋体" w:eastAsia="宋体" w:cs="宋体"/>
          <w:b/>
          <w:bCs/>
          <w:sz w:val="21"/>
          <w:szCs w:val="21"/>
          <w:u w:val="none"/>
        </w:rPr>
        <w:t>大数据能力服务</w:t>
      </w:r>
    </w:p>
    <w:p>
      <w:pPr>
        <w:pageBreakBefore w:val="0"/>
        <w:kinsoku/>
        <w:wordWrap w:val="0"/>
        <w:overflowPunct/>
        <w:topLinePunct/>
        <w:bidi w:val="0"/>
        <w:adjustRightInd/>
        <w:snapToGrid/>
        <w:spacing w:line="360" w:lineRule="auto"/>
        <w:ind w:firstLine="420"/>
        <w:outlineLvl w:val="2"/>
        <w:rPr>
          <w:rFonts w:hint="eastAsia" w:ascii="宋体" w:hAnsi="宋体" w:eastAsia="宋体" w:cs="宋体"/>
          <w:b w:val="0"/>
          <w:bCs w:val="0"/>
          <w:color w:val="000000"/>
          <w:szCs w:val="21"/>
        </w:rPr>
      </w:pP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zh-TW" w:eastAsia="zh-TW"/>
        </w:rPr>
        <w:t>大数据计算服务</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Layout w:type="autofit"/>
        <w:tblCellMar>
          <w:top w:w="0" w:type="dxa"/>
          <w:left w:w="0" w:type="dxa"/>
          <w:bottom w:w="0" w:type="dxa"/>
          <w:right w:w="0" w:type="dxa"/>
        </w:tblCellMar>
      </w:tblPr>
      <w:tblGrid>
        <w:gridCol w:w="370"/>
        <w:gridCol w:w="1013"/>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694" w:hRule="atLeast"/>
        </w:trPr>
        <w:tc>
          <w:tcPr>
            <w:tcW w:w="0" w:type="auto"/>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zh-TW" w:eastAsia="zh-TW"/>
              </w:rPr>
              <w:t>指标项</w:t>
            </w:r>
          </w:p>
        </w:tc>
        <w:tc>
          <w:tcPr>
            <w:tcW w:w="1070"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zh-TW" w:eastAsia="zh-TW"/>
              </w:rPr>
              <w:t>指标子项</w:t>
            </w:r>
          </w:p>
        </w:tc>
        <w:tc>
          <w:tcPr>
            <w:tcW w:w="7636"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sz w:val="21"/>
                <w:szCs w:val="21"/>
                <w:u w:val="none"/>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1140" w:hRule="atLeast"/>
        </w:trPr>
        <w:tc>
          <w:tcPr>
            <w:tcW w:w="0" w:type="auto"/>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总体要求</w:t>
            </w:r>
          </w:p>
        </w:tc>
        <w:tc>
          <w:tcPr>
            <w:tcW w:w="1070"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p>
        </w:tc>
        <w:tc>
          <w:tcPr>
            <w:tcW w:w="7636"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大数据计算服务是一种快速、完全托管的</w:t>
            </w:r>
            <w:r>
              <w:rPr>
                <w:rFonts w:hint="eastAsia" w:ascii="宋体" w:hAnsi="宋体" w:eastAsia="宋体" w:cs="宋体"/>
                <w:color w:val="000000"/>
                <w:kern w:val="0"/>
                <w:sz w:val="21"/>
                <w:szCs w:val="21"/>
              </w:rPr>
              <w:t xml:space="preserve">PB/EB </w:t>
            </w:r>
            <w:r>
              <w:rPr>
                <w:rFonts w:hint="eastAsia" w:ascii="宋体" w:hAnsi="宋体" w:eastAsia="宋体" w:cs="宋体"/>
                <w:color w:val="000000"/>
                <w:kern w:val="0"/>
                <w:sz w:val="21"/>
                <w:szCs w:val="21"/>
                <w:lang w:val="zh-TW" w:eastAsia="zh-TW"/>
              </w:rPr>
              <w:t>级数据仓库服务。大数据计算服务提供完善的数据导入方案以及多种经典的分布式计算模型，能够更快速的解决海量数据计算问题。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649" w:hRule="atLeast"/>
        </w:trPr>
        <w:tc>
          <w:tcPr>
            <w:tcW w:w="0" w:type="auto"/>
            <w:vMerge w:val="restart"/>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功能指标</w:t>
            </w:r>
          </w:p>
        </w:tc>
        <w:tc>
          <w:tcPr>
            <w:tcW w:w="1070"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功能特性</w:t>
            </w:r>
          </w:p>
        </w:tc>
        <w:tc>
          <w:tcPr>
            <w:tcW w:w="7636"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提供完整</w:t>
            </w:r>
            <w:r>
              <w:rPr>
                <w:rFonts w:hint="eastAsia" w:ascii="宋体" w:hAnsi="宋体" w:eastAsia="宋体" w:cs="宋体"/>
                <w:color w:val="000000"/>
                <w:kern w:val="0"/>
                <w:sz w:val="21"/>
                <w:szCs w:val="21"/>
              </w:rPr>
              <w:t>RESTful API</w:t>
            </w:r>
            <w:r>
              <w:rPr>
                <w:rFonts w:hint="eastAsia" w:ascii="宋体" w:hAnsi="宋体" w:eastAsia="宋体" w:cs="宋体"/>
                <w:color w:val="000000"/>
                <w:kern w:val="0"/>
                <w:sz w:val="21"/>
                <w:szCs w:val="21"/>
                <w:lang w:val="zh-TW" w:eastAsia="zh-TW"/>
              </w:rPr>
              <w:t>的方式提供离线数据处理服务，提供</w:t>
            </w:r>
            <w:r>
              <w:rPr>
                <w:rFonts w:hint="eastAsia" w:ascii="宋体" w:hAnsi="宋体" w:eastAsia="宋体" w:cs="宋体"/>
                <w:color w:val="000000"/>
                <w:kern w:val="0"/>
                <w:sz w:val="21"/>
                <w:szCs w:val="21"/>
              </w:rPr>
              <w:t>JAVA SDK</w:t>
            </w:r>
            <w:r>
              <w:rPr>
                <w:rFonts w:hint="eastAsia" w:ascii="宋体" w:hAnsi="宋体" w:eastAsia="宋体" w:cs="宋体"/>
                <w:color w:val="000000"/>
                <w:kern w:val="0"/>
                <w:sz w:val="21"/>
                <w:szCs w:val="21"/>
                <w:lang w:val="zh-TW" w:eastAsia="zh-TW"/>
              </w:rPr>
              <w:t xml:space="preserve">， </w:t>
            </w:r>
            <w:r>
              <w:rPr>
                <w:rFonts w:hint="eastAsia" w:ascii="宋体" w:hAnsi="宋体" w:eastAsia="宋体" w:cs="宋体"/>
                <w:color w:val="000000"/>
                <w:kern w:val="0"/>
                <w:sz w:val="21"/>
                <w:szCs w:val="21"/>
              </w:rPr>
              <w:t>Python SDK</w:t>
            </w:r>
            <w:r>
              <w:rPr>
                <w:rFonts w:hint="eastAsia" w:ascii="宋体" w:hAnsi="宋体" w:eastAsia="宋体" w:cs="宋体"/>
                <w:color w:val="000000"/>
                <w:kern w:val="0"/>
                <w:sz w:val="21"/>
                <w:szCs w:val="21"/>
                <w:lang w:val="zh-TW" w:eastAsia="zh-TW"/>
              </w:rPr>
              <w:t>，等编程接口，支持</w:t>
            </w:r>
            <w:r>
              <w:rPr>
                <w:rFonts w:hint="eastAsia" w:ascii="宋体" w:hAnsi="宋体" w:eastAsia="宋体" w:cs="宋体"/>
                <w:color w:val="000000"/>
                <w:kern w:val="0"/>
                <w:sz w:val="21"/>
                <w:szCs w:val="21"/>
              </w:rPr>
              <w:t>JDBC</w:t>
            </w:r>
            <w:r>
              <w:rPr>
                <w:rFonts w:hint="eastAsia" w:ascii="宋体" w:hAnsi="宋体" w:eastAsia="宋体" w:cs="宋体"/>
                <w:color w:val="000000"/>
                <w:kern w:val="0"/>
                <w:sz w:val="21"/>
                <w:szCs w:val="21"/>
                <w:lang w:val="zh-TW" w:eastAsia="zh-TW"/>
              </w:rPr>
              <w:t>接口等系列用户开发工具和接口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1474" w:hRule="atLeast"/>
        </w:trPr>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p>
        </w:tc>
        <w:tc>
          <w:tcPr>
            <w:tcW w:w="1070"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功能特性</w:t>
            </w:r>
          </w:p>
        </w:tc>
        <w:tc>
          <w:tcPr>
            <w:tcW w:w="7636"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提供离线任务管理、监控告警的功能，任务运维管理支持两种模式可供用户选择，包括列表模式和</w:t>
            </w:r>
            <w:r>
              <w:rPr>
                <w:rFonts w:hint="eastAsia" w:ascii="宋体" w:hAnsi="宋体" w:eastAsia="宋体" w:cs="宋体"/>
                <w:color w:val="000000"/>
                <w:kern w:val="0"/>
                <w:sz w:val="21"/>
                <w:szCs w:val="21"/>
              </w:rPr>
              <w:t>DAG</w:t>
            </w:r>
            <w:r>
              <w:rPr>
                <w:rFonts w:hint="eastAsia" w:ascii="宋体" w:hAnsi="宋体" w:eastAsia="宋体" w:cs="宋体"/>
                <w:color w:val="000000"/>
                <w:kern w:val="0"/>
                <w:sz w:val="21"/>
                <w:szCs w:val="21"/>
                <w:lang w:val="zh-TW" w:eastAsia="zh-TW"/>
              </w:rPr>
              <w:t>模式。监控告警是调度任务的监控保障系统，支持基线告警和自定义告警两种方式。当任务出现错误或者延迟产出的时候，系统会通过预定义的方式告知用户任务状态。用户可以按照自己定义的规则来配置告警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426" w:hRule="atLeast"/>
        </w:trPr>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p>
        </w:tc>
        <w:tc>
          <w:tcPr>
            <w:tcW w:w="1070"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功能特性</w:t>
            </w:r>
          </w:p>
        </w:tc>
        <w:tc>
          <w:tcPr>
            <w:tcW w:w="7636"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支持</w:t>
            </w:r>
            <w:r>
              <w:rPr>
                <w:rFonts w:hint="eastAsia" w:ascii="宋体" w:hAnsi="宋体" w:eastAsia="宋体" w:cs="宋体"/>
                <w:color w:val="000000"/>
                <w:kern w:val="0"/>
                <w:sz w:val="21"/>
                <w:szCs w:val="21"/>
              </w:rPr>
              <w:t>MapReduce</w:t>
            </w:r>
            <w:r>
              <w:rPr>
                <w:rFonts w:hint="eastAsia" w:ascii="宋体" w:hAnsi="宋体" w:eastAsia="宋体" w:cs="宋体"/>
                <w:color w:val="000000"/>
                <w:kern w:val="0"/>
                <w:sz w:val="21"/>
                <w:szCs w:val="21"/>
                <w:lang w:val="zh-TW" w:eastAsia="zh-TW"/>
              </w:rPr>
              <w:t>类型的分布式计算任务，支持</w:t>
            </w:r>
            <w:r>
              <w:rPr>
                <w:rFonts w:hint="eastAsia" w:ascii="宋体" w:hAnsi="宋体" w:eastAsia="宋体" w:cs="宋体"/>
                <w:color w:val="000000"/>
                <w:kern w:val="0"/>
                <w:sz w:val="21"/>
                <w:szCs w:val="21"/>
              </w:rPr>
              <w:t>DAG</w:t>
            </w:r>
            <w:r>
              <w:rPr>
                <w:rFonts w:hint="eastAsia" w:ascii="宋体" w:hAnsi="宋体" w:eastAsia="宋体" w:cs="宋体"/>
                <w:color w:val="000000"/>
                <w:kern w:val="0"/>
                <w:sz w:val="21"/>
                <w:szCs w:val="21"/>
                <w:lang w:val="zh-TW" w:eastAsia="zh-TW"/>
              </w:rPr>
              <w:t>模式的作业处理方式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585" w:hRule="atLeast"/>
        </w:trPr>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p>
        </w:tc>
        <w:tc>
          <w:tcPr>
            <w:tcW w:w="1070"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功能特性</w:t>
            </w:r>
          </w:p>
        </w:tc>
        <w:tc>
          <w:tcPr>
            <w:tcW w:w="7636"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支持作业优先级设置功能，可支持</w:t>
            </w:r>
            <w:r>
              <w:rPr>
                <w:rFonts w:hint="eastAsia" w:ascii="宋体" w:hAnsi="宋体" w:eastAsia="宋体" w:cs="宋体"/>
                <w:color w:val="000000"/>
                <w:kern w:val="0"/>
                <w:sz w:val="21"/>
                <w:szCs w:val="21"/>
              </w:rPr>
              <w:t>9</w:t>
            </w:r>
            <w:r>
              <w:rPr>
                <w:rFonts w:hint="eastAsia" w:ascii="宋体" w:hAnsi="宋体" w:eastAsia="宋体" w:cs="宋体"/>
                <w:color w:val="000000"/>
                <w:kern w:val="0"/>
                <w:sz w:val="21"/>
                <w:szCs w:val="21"/>
                <w:lang w:val="zh-TW" w:eastAsia="zh-TW"/>
              </w:rPr>
              <w:t>级优先级设置，在作业任务资源分配优先级上进行细粒度控制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302" w:hRule="atLeast"/>
        </w:trPr>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p>
        </w:tc>
        <w:tc>
          <w:tcPr>
            <w:tcW w:w="1070"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功能特性</w:t>
            </w:r>
          </w:p>
        </w:tc>
        <w:tc>
          <w:tcPr>
            <w:tcW w:w="7636"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支持原生</w:t>
            </w:r>
            <w:r>
              <w:rPr>
                <w:rFonts w:hint="eastAsia" w:ascii="宋体" w:hAnsi="宋体" w:eastAsia="宋体" w:cs="宋体"/>
                <w:color w:val="000000"/>
                <w:kern w:val="0"/>
                <w:sz w:val="21"/>
                <w:szCs w:val="21"/>
              </w:rPr>
              <w:t>Apache Spark</w:t>
            </w:r>
            <w:r>
              <w:rPr>
                <w:rFonts w:hint="eastAsia" w:ascii="宋体" w:hAnsi="宋体" w:eastAsia="宋体" w:cs="宋体"/>
                <w:color w:val="000000"/>
                <w:kern w:val="0"/>
                <w:sz w:val="21"/>
                <w:szCs w:val="21"/>
                <w:lang w:val="zh-TW" w:eastAsia="zh-TW"/>
              </w:rPr>
              <w:t>编程接口，用户可以使用</w:t>
            </w:r>
            <w:r>
              <w:rPr>
                <w:rFonts w:hint="eastAsia" w:ascii="宋体" w:hAnsi="宋体" w:eastAsia="宋体" w:cs="宋体"/>
                <w:color w:val="000000"/>
                <w:kern w:val="0"/>
                <w:sz w:val="21"/>
                <w:szCs w:val="21"/>
              </w:rPr>
              <w:t>Spark</w:t>
            </w:r>
            <w:r>
              <w:rPr>
                <w:rFonts w:hint="eastAsia" w:ascii="宋体" w:hAnsi="宋体" w:eastAsia="宋体" w:cs="宋体"/>
                <w:color w:val="000000"/>
                <w:kern w:val="0"/>
                <w:sz w:val="21"/>
                <w:szCs w:val="21"/>
                <w:lang w:val="zh-TW" w:eastAsia="zh-TW"/>
              </w:rPr>
              <w:t>接口进行编程处理存储在大数据计算服务中的数据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280" w:hRule="atLeast"/>
        </w:trPr>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p>
        </w:tc>
        <w:tc>
          <w:tcPr>
            <w:tcW w:w="1070"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功能特性</w:t>
            </w:r>
          </w:p>
        </w:tc>
        <w:tc>
          <w:tcPr>
            <w:tcW w:w="7636"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支持多种计算框架如</w:t>
            </w:r>
            <w:r>
              <w:rPr>
                <w:rFonts w:hint="eastAsia" w:ascii="宋体" w:hAnsi="宋体" w:eastAsia="宋体" w:cs="宋体"/>
                <w:color w:val="000000"/>
                <w:kern w:val="0"/>
                <w:sz w:val="21"/>
                <w:szCs w:val="21"/>
              </w:rPr>
              <w:t>SQL</w:t>
            </w:r>
            <w:r>
              <w:rPr>
                <w:rFonts w:hint="eastAsia" w:ascii="宋体" w:hAnsi="宋体" w:eastAsia="宋体" w:cs="宋体"/>
                <w:color w:val="000000"/>
                <w:kern w:val="0"/>
                <w:sz w:val="21"/>
                <w:szCs w:val="21"/>
                <w:lang w:val="zh-TW" w:eastAsia="zh-TW"/>
              </w:rPr>
              <w:t xml:space="preserve">， </w:t>
            </w:r>
            <w:r>
              <w:rPr>
                <w:rFonts w:hint="eastAsia" w:ascii="宋体" w:hAnsi="宋体" w:eastAsia="宋体" w:cs="宋体"/>
                <w:color w:val="000000"/>
                <w:kern w:val="0"/>
                <w:sz w:val="21"/>
                <w:szCs w:val="21"/>
              </w:rPr>
              <w:t>MapReduce</w:t>
            </w:r>
            <w:r>
              <w:rPr>
                <w:rFonts w:hint="eastAsia" w:ascii="宋体" w:hAnsi="宋体" w:eastAsia="宋体" w:cs="宋体"/>
                <w:color w:val="000000"/>
                <w:kern w:val="0"/>
                <w:sz w:val="21"/>
                <w:szCs w:val="21"/>
                <w:lang w:val="zh-TW" w:eastAsia="zh-TW"/>
              </w:rPr>
              <w:t xml:space="preserve">， </w:t>
            </w:r>
            <w:r>
              <w:rPr>
                <w:rFonts w:hint="eastAsia" w:ascii="宋体" w:hAnsi="宋体" w:eastAsia="宋体" w:cs="宋体"/>
                <w:color w:val="000000"/>
                <w:kern w:val="0"/>
                <w:sz w:val="21"/>
                <w:szCs w:val="21"/>
              </w:rPr>
              <w:t xml:space="preserve">Spark </w:t>
            </w:r>
            <w:r>
              <w:rPr>
                <w:rFonts w:hint="eastAsia" w:ascii="宋体" w:hAnsi="宋体" w:eastAsia="宋体" w:cs="宋体"/>
                <w:color w:val="000000"/>
                <w:kern w:val="0"/>
                <w:sz w:val="21"/>
                <w:szCs w:val="21"/>
                <w:lang w:val="zh-TW" w:eastAsia="zh-TW"/>
              </w:rPr>
              <w:t>，</w:t>
            </w:r>
            <w:r>
              <w:rPr>
                <w:rFonts w:hint="eastAsia" w:ascii="宋体" w:hAnsi="宋体" w:eastAsia="宋体" w:cs="宋体"/>
                <w:color w:val="000000"/>
                <w:kern w:val="0"/>
                <w:sz w:val="21"/>
                <w:szCs w:val="21"/>
              </w:rPr>
              <w:t>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700" w:hRule="atLeast"/>
        </w:trPr>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p>
        </w:tc>
        <w:tc>
          <w:tcPr>
            <w:tcW w:w="1070"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功能特性</w:t>
            </w:r>
          </w:p>
        </w:tc>
        <w:tc>
          <w:tcPr>
            <w:tcW w:w="7636"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遵循</w:t>
            </w:r>
            <w:r>
              <w:rPr>
                <w:rFonts w:hint="eastAsia" w:ascii="宋体" w:hAnsi="宋体" w:eastAsia="宋体" w:cs="宋体"/>
                <w:color w:val="000000"/>
                <w:kern w:val="0"/>
                <w:sz w:val="21"/>
                <w:szCs w:val="21"/>
              </w:rPr>
              <w:t>SQL92</w:t>
            </w:r>
            <w:r>
              <w:rPr>
                <w:rFonts w:hint="eastAsia" w:ascii="宋体" w:hAnsi="宋体" w:eastAsia="宋体" w:cs="宋体"/>
                <w:color w:val="000000"/>
                <w:kern w:val="0"/>
                <w:sz w:val="21"/>
                <w:szCs w:val="21"/>
                <w:lang w:val="zh-TW" w:eastAsia="zh-TW"/>
              </w:rPr>
              <w:t>规范并做了优化与提升，做到</w:t>
            </w:r>
            <w:r>
              <w:rPr>
                <w:rFonts w:hint="eastAsia" w:ascii="宋体" w:hAnsi="宋体" w:eastAsia="宋体" w:cs="宋体"/>
                <w:color w:val="000000"/>
                <w:kern w:val="0"/>
                <w:sz w:val="21"/>
                <w:szCs w:val="21"/>
              </w:rPr>
              <w:t>SQL</w:t>
            </w:r>
            <w:r>
              <w:rPr>
                <w:rFonts w:hint="eastAsia" w:ascii="宋体" w:hAnsi="宋体" w:eastAsia="宋体" w:cs="宋体"/>
                <w:color w:val="000000"/>
                <w:kern w:val="0"/>
                <w:sz w:val="21"/>
                <w:szCs w:val="21"/>
                <w:lang w:val="zh-TW" w:eastAsia="zh-TW"/>
              </w:rPr>
              <w:t>可编程化，编程模型的扩展和增强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188" w:hRule="atLeast"/>
        </w:trPr>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p>
        </w:tc>
        <w:tc>
          <w:tcPr>
            <w:tcW w:w="1070"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数据管理</w:t>
            </w:r>
          </w:p>
        </w:tc>
        <w:tc>
          <w:tcPr>
            <w:tcW w:w="7636"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支持分区级别的数据生命周期管理功能，过期数据系统自动清理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525" w:hRule="atLeast"/>
        </w:trPr>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p>
        </w:tc>
        <w:tc>
          <w:tcPr>
            <w:tcW w:w="1070"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功能特性</w:t>
            </w:r>
          </w:p>
        </w:tc>
        <w:tc>
          <w:tcPr>
            <w:tcW w:w="7636"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highlight w:val="none"/>
                <w:lang w:eastAsia="zh-CN"/>
              </w:rPr>
            </w:pPr>
            <w:r>
              <w:rPr>
                <w:rFonts w:hint="eastAsia" w:ascii="仿宋" w:hAnsi="仿宋" w:eastAsia="仿宋" w:cs="仿宋"/>
                <w:kern w:val="2"/>
                <w:sz w:val="21"/>
                <w:szCs w:val="21"/>
                <w:highlight w:val="none"/>
                <w:lang w:val="en-US" w:eastAsia="zh-CN" w:bidi="ar-SA"/>
              </w:rPr>
              <w:t>△</w:t>
            </w:r>
            <w:r>
              <w:rPr>
                <w:rFonts w:hint="eastAsia" w:ascii="宋体" w:hAnsi="宋体" w:eastAsia="宋体" w:cs="宋体"/>
                <w:color w:val="000000"/>
                <w:kern w:val="0"/>
                <w:sz w:val="21"/>
                <w:szCs w:val="21"/>
                <w:highlight w:val="none"/>
                <w:lang w:val="zh-TW" w:eastAsia="zh-TW"/>
              </w:rPr>
              <w:t>支持超大规模的</w:t>
            </w:r>
            <w:r>
              <w:rPr>
                <w:rFonts w:hint="eastAsia" w:ascii="宋体" w:hAnsi="宋体" w:eastAsia="宋体" w:cs="宋体"/>
                <w:color w:val="000000"/>
                <w:kern w:val="0"/>
                <w:sz w:val="21"/>
                <w:szCs w:val="21"/>
                <w:highlight w:val="none"/>
              </w:rPr>
              <w:t>MapReduce</w:t>
            </w:r>
            <w:r>
              <w:rPr>
                <w:rFonts w:hint="eastAsia" w:ascii="宋体" w:hAnsi="宋体" w:eastAsia="宋体" w:cs="宋体"/>
                <w:color w:val="000000"/>
                <w:kern w:val="0"/>
                <w:sz w:val="21"/>
                <w:szCs w:val="21"/>
                <w:highlight w:val="none"/>
                <w:lang w:val="zh-TW" w:eastAsia="zh-TW"/>
              </w:rPr>
              <w:t>计算，可支持最大</w:t>
            </w:r>
            <w:r>
              <w:rPr>
                <w:rFonts w:hint="eastAsia" w:ascii="宋体" w:hAnsi="宋体" w:eastAsia="宋体" w:cs="宋体"/>
                <w:color w:val="000000"/>
                <w:kern w:val="0"/>
                <w:sz w:val="21"/>
                <w:szCs w:val="21"/>
                <w:highlight w:val="none"/>
              </w:rPr>
              <w:t>Mapper</w:t>
            </w:r>
            <w:r>
              <w:rPr>
                <w:rFonts w:hint="eastAsia" w:ascii="宋体" w:hAnsi="宋体" w:eastAsia="宋体" w:cs="宋体"/>
                <w:color w:val="000000"/>
                <w:kern w:val="0"/>
                <w:sz w:val="21"/>
                <w:szCs w:val="21"/>
                <w:highlight w:val="none"/>
                <w:lang w:val="zh-TW" w:eastAsia="zh-TW"/>
              </w:rPr>
              <w:t>个数为</w:t>
            </w:r>
            <w:r>
              <w:rPr>
                <w:rFonts w:hint="eastAsia" w:ascii="宋体" w:hAnsi="宋体" w:eastAsia="宋体" w:cs="宋体"/>
                <w:color w:val="000000"/>
                <w:kern w:val="0"/>
                <w:sz w:val="21"/>
                <w:szCs w:val="21"/>
                <w:highlight w:val="none"/>
              </w:rPr>
              <w:t>10</w:t>
            </w:r>
            <w:r>
              <w:rPr>
                <w:rFonts w:hint="eastAsia" w:ascii="宋体" w:hAnsi="宋体" w:eastAsia="宋体" w:cs="宋体"/>
                <w:color w:val="000000"/>
                <w:kern w:val="0"/>
                <w:sz w:val="21"/>
                <w:szCs w:val="21"/>
                <w:highlight w:val="none"/>
                <w:lang w:val="zh-TW" w:eastAsia="zh-TW"/>
              </w:rPr>
              <w:t>万，最大</w:t>
            </w:r>
            <w:r>
              <w:rPr>
                <w:rFonts w:hint="eastAsia" w:ascii="宋体" w:hAnsi="宋体" w:eastAsia="宋体" w:cs="宋体"/>
                <w:color w:val="000000"/>
                <w:kern w:val="0"/>
                <w:sz w:val="21"/>
                <w:szCs w:val="21"/>
                <w:highlight w:val="none"/>
              </w:rPr>
              <w:t>Reduce</w:t>
            </w:r>
            <w:r>
              <w:rPr>
                <w:rFonts w:hint="eastAsia" w:ascii="宋体" w:hAnsi="宋体" w:eastAsia="宋体" w:cs="宋体"/>
                <w:color w:val="000000"/>
                <w:kern w:val="0"/>
                <w:sz w:val="21"/>
                <w:szCs w:val="21"/>
                <w:highlight w:val="none"/>
                <w:lang w:val="zh-TW" w:eastAsia="zh-TW"/>
              </w:rPr>
              <w:t>个数为</w:t>
            </w:r>
            <w:r>
              <w:rPr>
                <w:rFonts w:hint="eastAsia" w:ascii="宋体" w:hAnsi="宋体" w:eastAsia="宋体" w:cs="宋体"/>
                <w:color w:val="000000"/>
                <w:kern w:val="0"/>
                <w:sz w:val="21"/>
                <w:szCs w:val="21"/>
                <w:highlight w:val="none"/>
              </w:rPr>
              <w:t>1000</w:t>
            </w:r>
            <w:r>
              <w:rPr>
                <w:rFonts w:hint="eastAsia" w:ascii="宋体" w:hAnsi="宋体" w:eastAsia="宋体" w:cs="宋体"/>
                <w:color w:val="000000"/>
                <w:kern w:val="0"/>
                <w:sz w:val="21"/>
                <w:szCs w:val="21"/>
                <w:highlight w:val="none"/>
                <w:lang w:val="zh-TW" w:eastAsia="zh-TW"/>
              </w:rPr>
              <w:t>，最大</w:t>
            </w:r>
            <w:r>
              <w:rPr>
                <w:rFonts w:hint="eastAsia" w:ascii="宋体" w:hAnsi="宋体" w:eastAsia="宋体" w:cs="宋体"/>
                <w:color w:val="000000"/>
                <w:kern w:val="0"/>
                <w:sz w:val="21"/>
                <w:szCs w:val="21"/>
                <w:highlight w:val="none"/>
              </w:rPr>
              <w:t>Join</w:t>
            </w:r>
            <w:r>
              <w:rPr>
                <w:rFonts w:hint="eastAsia" w:ascii="宋体" w:hAnsi="宋体" w:eastAsia="宋体" w:cs="宋体"/>
                <w:color w:val="000000"/>
                <w:kern w:val="0"/>
                <w:sz w:val="21"/>
                <w:szCs w:val="21"/>
                <w:highlight w:val="none"/>
                <w:lang w:val="zh-TW" w:eastAsia="zh-TW"/>
              </w:rPr>
              <w:t>个数</w:t>
            </w: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zh-TW" w:eastAsia="zh-TW"/>
              </w:rPr>
              <w:t>万，需提供权威机构测评报告</w:t>
            </w:r>
            <w:r>
              <w:rPr>
                <w:rFonts w:hint="eastAsia" w:ascii="宋体" w:hAnsi="宋体" w:eastAsia="宋体" w:cs="宋体"/>
                <w:color w:val="000000"/>
                <w:kern w:val="0"/>
                <w:sz w:val="21"/>
                <w:szCs w:val="21"/>
                <w:highlight w:val="none"/>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1120" w:hRule="atLeast"/>
        </w:trPr>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p>
        </w:tc>
        <w:tc>
          <w:tcPr>
            <w:tcW w:w="1070"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承载规模</w:t>
            </w:r>
          </w:p>
        </w:tc>
        <w:tc>
          <w:tcPr>
            <w:tcW w:w="7636"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highlight w:val="none"/>
                <w:lang w:eastAsia="zh-CN"/>
              </w:rPr>
            </w:pPr>
            <w:r>
              <w:rPr>
                <w:rFonts w:hint="eastAsia" w:ascii="仿宋" w:hAnsi="仿宋" w:eastAsia="仿宋" w:cs="仿宋"/>
                <w:kern w:val="2"/>
                <w:sz w:val="21"/>
                <w:szCs w:val="21"/>
                <w:highlight w:val="none"/>
                <w:lang w:val="en-US" w:eastAsia="zh-CN" w:bidi="ar-SA"/>
              </w:rPr>
              <w:t>△</w:t>
            </w:r>
            <w:r>
              <w:rPr>
                <w:rFonts w:hint="eastAsia" w:ascii="宋体" w:hAnsi="宋体" w:eastAsia="宋体" w:cs="宋体"/>
                <w:color w:val="000000"/>
                <w:kern w:val="0"/>
                <w:sz w:val="21"/>
                <w:szCs w:val="21"/>
                <w:highlight w:val="none"/>
                <w:lang w:val="zh-TW" w:eastAsia="zh-TW"/>
              </w:rPr>
              <w:t>单集群可支持项目空间不少于</w:t>
            </w:r>
            <w:r>
              <w:rPr>
                <w:rFonts w:hint="eastAsia" w:ascii="宋体" w:hAnsi="宋体" w:eastAsia="宋体" w:cs="宋体"/>
                <w:color w:val="000000"/>
                <w:kern w:val="0"/>
                <w:sz w:val="21"/>
                <w:szCs w:val="21"/>
                <w:highlight w:val="none"/>
              </w:rPr>
              <w:t>300PB</w:t>
            </w:r>
            <w:r>
              <w:rPr>
                <w:rFonts w:hint="eastAsia" w:ascii="宋体" w:hAnsi="宋体" w:eastAsia="宋体" w:cs="宋体"/>
                <w:color w:val="000000"/>
                <w:kern w:val="0"/>
                <w:sz w:val="21"/>
                <w:szCs w:val="21"/>
                <w:highlight w:val="none"/>
                <w:lang w:val="zh-TW" w:eastAsia="zh-TW"/>
              </w:rPr>
              <w:t>数据量；单表可支持不少于</w:t>
            </w:r>
            <w:r>
              <w:rPr>
                <w:rFonts w:hint="eastAsia" w:ascii="宋体" w:hAnsi="宋体" w:eastAsia="宋体" w:cs="宋体"/>
                <w:color w:val="000000"/>
                <w:kern w:val="0"/>
                <w:sz w:val="21"/>
                <w:szCs w:val="21"/>
                <w:highlight w:val="none"/>
              </w:rPr>
              <w:t>10PB</w:t>
            </w:r>
            <w:r>
              <w:rPr>
                <w:rFonts w:hint="eastAsia" w:ascii="宋体" w:hAnsi="宋体" w:eastAsia="宋体" w:cs="宋体"/>
                <w:color w:val="000000"/>
                <w:kern w:val="0"/>
                <w:sz w:val="21"/>
                <w:szCs w:val="21"/>
                <w:highlight w:val="none"/>
                <w:lang w:val="zh-TW" w:eastAsia="zh-TW"/>
              </w:rPr>
              <w:t>数据量</w:t>
            </w:r>
            <w:r>
              <w:rPr>
                <w:rFonts w:hint="eastAsia" w:ascii="宋体" w:hAnsi="宋体" w:eastAsia="宋体" w:cs="宋体"/>
                <w:color w:val="000000"/>
                <w:kern w:val="0"/>
                <w:sz w:val="21"/>
                <w:szCs w:val="21"/>
                <w:highlight w:val="none"/>
              </w:rPr>
              <w:t xml:space="preserve">, </w:t>
            </w:r>
            <w:r>
              <w:rPr>
                <w:rFonts w:hint="eastAsia" w:ascii="宋体" w:hAnsi="宋体" w:eastAsia="宋体" w:cs="宋体"/>
                <w:color w:val="000000"/>
                <w:kern w:val="0"/>
                <w:sz w:val="21"/>
                <w:szCs w:val="21"/>
                <w:highlight w:val="none"/>
                <w:lang w:val="zh-TW" w:eastAsia="zh-TW"/>
              </w:rPr>
              <w:t>单表可支持超过</w:t>
            </w:r>
            <w:r>
              <w:rPr>
                <w:rFonts w:hint="eastAsia" w:ascii="宋体" w:hAnsi="宋体" w:eastAsia="宋体" w:cs="宋体"/>
                <w:color w:val="000000"/>
                <w:kern w:val="0"/>
                <w:sz w:val="21"/>
                <w:szCs w:val="21"/>
                <w:highlight w:val="none"/>
              </w:rPr>
              <w:t>50000</w:t>
            </w:r>
            <w:r>
              <w:rPr>
                <w:rFonts w:hint="eastAsia" w:ascii="宋体" w:hAnsi="宋体" w:eastAsia="宋体" w:cs="宋体"/>
                <w:color w:val="000000"/>
                <w:kern w:val="0"/>
                <w:sz w:val="21"/>
                <w:szCs w:val="21"/>
                <w:highlight w:val="none"/>
                <w:lang w:val="zh-TW" w:eastAsia="zh-TW"/>
              </w:rPr>
              <w:t>个分区。需提供权威机构测评报告</w:t>
            </w:r>
            <w:r>
              <w:rPr>
                <w:rFonts w:hint="eastAsia" w:ascii="宋体" w:hAnsi="宋体" w:eastAsia="宋体" w:cs="宋体"/>
                <w:color w:val="000000"/>
                <w:kern w:val="0"/>
                <w:sz w:val="21"/>
                <w:szCs w:val="21"/>
                <w:highlight w:val="none"/>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700" w:hRule="atLeast"/>
        </w:trPr>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p>
        </w:tc>
        <w:tc>
          <w:tcPr>
            <w:tcW w:w="1070"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承载规模</w:t>
            </w:r>
          </w:p>
        </w:tc>
        <w:tc>
          <w:tcPr>
            <w:tcW w:w="7636"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highlight w:val="none"/>
                <w:lang w:eastAsia="zh-CN"/>
              </w:rPr>
            </w:pPr>
            <w:r>
              <w:rPr>
                <w:rFonts w:hint="eastAsia" w:ascii="仿宋" w:hAnsi="仿宋" w:eastAsia="仿宋" w:cs="仿宋"/>
                <w:kern w:val="2"/>
                <w:sz w:val="21"/>
                <w:szCs w:val="21"/>
                <w:highlight w:val="none"/>
                <w:lang w:val="en-US" w:eastAsia="zh-CN" w:bidi="ar-SA"/>
              </w:rPr>
              <w:t>△</w:t>
            </w:r>
            <w:r>
              <w:rPr>
                <w:rFonts w:hint="eastAsia" w:ascii="宋体" w:hAnsi="宋体" w:eastAsia="宋体" w:cs="宋体"/>
                <w:color w:val="000000"/>
                <w:kern w:val="0"/>
                <w:sz w:val="21"/>
                <w:szCs w:val="21"/>
                <w:highlight w:val="none"/>
                <w:lang w:val="zh-TW" w:eastAsia="zh-TW"/>
              </w:rPr>
              <w:t xml:space="preserve">最高可支持单表万亿条记录的多表关联分析；单个项目空间可支持不少于 </w:t>
            </w:r>
            <w:r>
              <w:rPr>
                <w:rFonts w:hint="eastAsia" w:ascii="宋体" w:hAnsi="宋体" w:eastAsia="宋体" w:cs="宋体"/>
                <w:color w:val="000000"/>
                <w:kern w:val="0"/>
                <w:sz w:val="21"/>
                <w:szCs w:val="21"/>
                <w:highlight w:val="none"/>
              </w:rPr>
              <w:t>40000</w:t>
            </w:r>
            <w:r>
              <w:rPr>
                <w:rFonts w:hint="eastAsia" w:ascii="宋体" w:hAnsi="宋体" w:eastAsia="宋体" w:cs="宋体"/>
                <w:color w:val="000000"/>
                <w:kern w:val="0"/>
                <w:sz w:val="21"/>
                <w:szCs w:val="21"/>
                <w:highlight w:val="none"/>
                <w:lang w:val="zh-TW" w:eastAsia="zh-TW"/>
              </w:rPr>
              <w:t>张表，需提供权威机构测评报告</w:t>
            </w:r>
            <w:r>
              <w:rPr>
                <w:rFonts w:hint="eastAsia" w:ascii="宋体" w:hAnsi="宋体" w:eastAsia="宋体" w:cs="宋体"/>
                <w:color w:val="000000"/>
                <w:kern w:val="0"/>
                <w:sz w:val="21"/>
                <w:szCs w:val="21"/>
                <w:highlight w:val="none"/>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700" w:hRule="atLeast"/>
        </w:trPr>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p>
        </w:tc>
        <w:tc>
          <w:tcPr>
            <w:tcW w:w="1070"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承载规模</w:t>
            </w:r>
          </w:p>
        </w:tc>
        <w:tc>
          <w:tcPr>
            <w:tcW w:w="7636"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highlight w:val="none"/>
                <w:lang w:eastAsia="zh-CN"/>
              </w:rPr>
            </w:pPr>
            <w:r>
              <w:rPr>
                <w:rFonts w:hint="eastAsia" w:ascii="仿宋" w:hAnsi="仿宋" w:eastAsia="仿宋" w:cs="仿宋"/>
                <w:kern w:val="2"/>
                <w:sz w:val="21"/>
                <w:szCs w:val="21"/>
                <w:highlight w:val="none"/>
                <w:lang w:val="en-US" w:eastAsia="zh-CN" w:bidi="ar-SA"/>
              </w:rPr>
              <w:t>△</w:t>
            </w:r>
            <w:r>
              <w:rPr>
                <w:rFonts w:hint="eastAsia" w:ascii="宋体" w:hAnsi="宋体" w:eastAsia="宋体" w:cs="宋体"/>
                <w:color w:val="000000"/>
                <w:kern w:val="0"/>
                <w:sz w:val="21"/>
                <w:szCs w:val="21"/>
                <w:highlight w:val="none"/>
                <w:lang w:val="zh-TW" w:eastAsia="zh-TW"/>
              </w:rPr>
              <w:t>用户服务实例和资源管理基于项目空间隔离，可支持不少于</w:t>
            </w:r>
            <w:r>
              <w:rPr>
                <w:rFonts w:hint="eastAsia" w:ascii="宋体" w:hAnsi="宋体" w:eastAsia="宋体" w:cs="宋体"/>
                <w:color w:val="000000"/>
                <w:kern w:val="0"/>
                <w:sz w:val="21"/>
                <w:szCs w:val="21"/>
                <w:highlight w:val="none"/>
              </w:rPr>
              <w:t>10000</w:t>
            </w:r>
            <w:r>
              <w:rPr>
                <w:rFonts w:hint="eastAsia" w:ascii="宋体" w:hAnsi="宋体" w:eastAsia="宋体" w:cs="宋体"/>
                <w:color w:val="000000"/>
                <w:kern w:val="0"/>
                <w:sz w:val="21"/>
                <w:szCs w:val="21"/>
                <w:highlight w:val="none"/>
                <w:lang w:val="zh-TW" w:eastAsia="zh-TW"/>
              </w:rPr>
              <w:t>个用户项目空间。需提供权威机构测评报告</w:t>
            </w:r>
            <w:r>
              <w:rPr>
                <w:rFonts w:hint="eastAsia" w:ascii="宋体" w:hAnsi="宋体" w:eastAsia="宋体" w:cs="宋体"/>
                <w:color w:val="000000"/>
                <w:kern w:val="0"/>
                <w:sz w:val="21"/>
                <w:szCs w:val="21"/>
                <w:highlight w:val="none"/>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626" w:hRule="atLeast"/>
        </w:trPr>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p>
        </w:tc>
        <w:tc>
          <w:tcPr>
            <w:tcW w:w="1070"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数据管理</w:t>
            </w:r>
          </w:p>
        </w:tc>
        <w:tc>
          <w:tcPr>
            <w:tcW w:w="7636"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支持高效数据压缩存储，压缩效率和数据格式相关，最低压缩比为</w:t>
            </w: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zh-TW" w:eastAsia="zh-TW"/>
              </w:rPr>
              <w:t>，对冷数据支持归档操作，可节约存储约</w:t>
            </w:r>
            <w:r>
              <w:rPr>
                <w:rFonts w:hint="eastAsia" w:ascii="宋体" w:hAnsi="宋体" w:eastAsia="宋体" w:cs="宋体"/>
                <w:color w:val="000000"/>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718" w:hRule="atLeast"/>
        </w:trPr>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p>
        </w:tc>
        <w:tc>
          <w:tcPr>
            <w:tcW w:w="1070"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节点调度</w:t>
            </w:r>
          </w:p>
        </w:tc>
        <w:tc>
          <w:tcPr>
            <w:tcW w:w="7636"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zh-TW" w:eastAsia="zh-TW"/>
              </w:rPr>
              <w:t>超大规模节点调度能力，具备</w:t>
            </w:r>
            <w:r>
              <w:rPr>
                <w:rFonts w:hint="eastAsia" w:ascii="宋体" w:hAnsi="宋体" w:eastAsia="宋体" w:cs="宋体"/>
                <w:color w:val="000000"/>
                <w:kern w:val="0"/>
                <w:sz w:val="21"/>
                <w:szCs w:val="21"/>
                <w:highlight w:val="none"/>
              </w:rPr>
              <w:t>30000</w:t>
            </w:r>
            <w:r>
              <w:rPr>
                <w:rFonts w:hint="eastAsia" w:ascii="宋体" w:hAnsi="宋体" w:eastAsia="宋体" w:cs="宋体"/>
                <w:color w:val="000000"/>
                <w:kern w:val="0"/>
                <w:sz w:val="21"/>
                <w:szCs w:val="21"/>
                <w:highlight w:val="none"/>
                <w:lang w:val="zh-TW" w:eastAsia="zh-TW"/>
              </w:rPr>
              <w:t>节点以上调度能力。为保证大数据集群具有高可扩展性。需提供权威机构测评报告</w:t>
            </w:r>
            <w:r>
              <w:rPr>
                <w:rFonts w:hint="eastAsia" w:ascii="宋体" w:hAnsi="宋体" w:eastAsia="宋体" w:cs="宋体"/>
                <w:color w:val="000000"/>
                <w:kern w:val="0"/>
                <w:sz w:val="21"/>
                <w:szCs w:val="21"/>
                <w:highlight w:val="none"/>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1006" w:hRule="atLeast"/>
        </w:trPr>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p>
        </w:tc>
        <w:tc>
          <w:tcPr>
            <w:tcW w:w="1070"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集群规模</w:t>
            </w:r>
          </w:p>
        </w:tc>
        <w:tc>
          <w:tcPr>
            <w:tcW w:w="7636"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highlight w:val="none"/>
                <w:lang w:eastAsia="zh-CN"/>
              </w:rPr>
            </w:pPr>
            <w:r>
              <w:rPr>
                <w:rFonts w:hint="eastAsia" w:ascii="仿宋" w:hAnsi="仿宋" w:eastAsia="仿宋" w:cs="仿宋"/>
                <w:kern w:val="2"/>
                <w:sz w:val="21"/>
                <w:szCs w:val="21"/>
                <w:highlight w:val="none"/>
                <w:lang w:val="en-US" w:eastAsia="zh-CN" w:bidi="ar-SA"/>
              </w:rPr>
              <w:t>△</w:t>
            </w:r>
            <w:r>
              <w:rPr>
                <w:rFonts w:hint="eastAsia" w:ascii="宋体" w:hAnsi="宋体" w:eastAsia="宋体" w:cs="宋体"/>
                <w:color w:val="000000"/>
                <w:kern w:val="0"/>
                <w:sz w:val="21"/>
                <w:szCs w:val="21"/>
                <w:highlight w:val="none"/>
                <w:lang w:val="zh-TW" w:eastAsia="zh-TW"/>
              </w:rPr>
              <w:t>采用分布式计算框架提供大规模数据存储与计算，可按需扩容。大数据计算平台能力单集群可达到</w:t>
            </w:r>
            <w:r>
              <w:rPr>
                <w:rFonts w:hint="eastAsia" w:ascii="宋体" w:hAnsi="宋体" w:eastAsia="宋体" w:cs="宋体"/>
                <w:color w:val="000000"/>
                <w:kern w:val="0"/>
                <w:sz w:val="21"/>
                <w:szCs w:val="21"/>
                <w:highlight w:val="none"/>
              </w:rPr>
              <w:t>10000</w:t>
            </w:r>
            <w:r>
              <w:rPr>
                <w:rFonts w:hint="eastAsia" w:ascii="宋体" w:hAnsi="宋体" w:eastAsia="宋体" w:cs="宋体"/>
                <w:color w:val="000000"/>
                <w:kern w:val="0"/>
                <w:sz w:val="21"/>
                <w:szCs w:val="21"/>
                <w:highlight w:val="none"/>
                <w:lang w:val="zh-TW" w:eastAsia="zh-TW"/>
              </w:rPr>
              <w:t>台物理服务器并行作业，同一套服务支持调度多集群，需提供权威机构测评报告</w:t>
            </w:r>
            <w:r>
              <w:rPr>
                <w:rFonts w:hint="eastAsia" w:ascii="宋体" w:hAnsi="宋体" w:eastAsia="宋体" w:cs="宋体"/>
                <w:color w:val="000000"/>
                <w:kern w:val="0"/>
                <w:sz w:val="21"/>
                <w:szCs w:val="21"/>
                <w:highlight w:val="none"/>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930" w:hRule="atLeast"/>
        </w:trPr>
        <w:tc>
          <w:tcPr>
            <w:tcW w:w="0" w:type="auto"/>
            <w:vMerge w:val="restart"/>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安全性</w:t>
            </w:r>
          </w:p>
        </w:tc>
        <w:tc>
          <w:tcPr>
            <w:tcW w:w="1070"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p>
        </w:tc>
        <w:tc>
          <w:tcPr>
            <w:tcW w:w="7636"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具备完善的权限认证与隔离机制，保障用户数据的私密性，支持多粒度的数据授权访问；针对高敏感数据可设置数据保护模式避免数据流出，限制用户项目空间内数据流出。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p>
        </w:tc>
        <w:tc>
          <w:tcPr>
            <w:tcW w:w="1070"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left"/>
              <w:rPr>
                <w:rFonts w:hint="eastAsia" w:ascii="宋体" w:hAnsi="宋体" w:eastAsia="宋体" w:cs="宋体"/>
                <w:color w:val="000000"/>
                <w:kern w:val="0"/>
                <w:sz w:val="21"/>
                <w:szCs w:val="21"/>
              </w:rPr>
            </w:pPr>
          </w:p>
        </w:tc>
        <w:tc>
          <w:tcPr>
            <w:tcW w:w="7636" w:type="dxa"/>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支持标准加密算法</w:t>
            </w:r>
            <w:r>
              <w:rPr>
                <w:rFonts w:hint="eastAsia" w:ascii="宋体" w:hAnsi="宋体" w:eastAsia="宋体" w:cs="宋体"/>
                <w:color w:val="000000"/>
                <w:kern w:val="0"/>
                <w:sz w:val="21"/>
                <w:szCs w:val="21"/>
              </w:rPr>
              <w:t>AES</w:t>
            </w:r>
            <w:r>
              <w:rPr>
                <w:rFonts w:hint="eastAsia" w:ascii="宋体" w:hAnsi="宋体" w:eastAsia="宋体" w:cs="宋体"/>
                <w:color w:val="000000"/>
                <w:kern w:val="0"/>
                <w:sz w:val="21"/>
                <w:szCs w:val="21"/>
                <w:lang w:val="zh-TW" w:eastAsia="zh-TW"/>
              </w:rPr>
              <w:t>、国密算法</w:t>
            </w:r>
            <w:r>
              <w:rPr>
                <w:rFonts w:hint="eastAsia" w:ascii="宋体" w:hAnsi="宋体" w:eastAsia="宋体" w:cs="宋体"/>
                <w:color w:val="000000"/>
                <w:kern w:val="0"/>
                <w:sz w:val="21"/>
                <w:szCs w:val="21"/>
              </w:rPr>
              <w:t>SM4</w:t>
            </w:r>
            <w:r>
              <w:rPr>
                <w:rFonts w:hint="eastAsia" w:ascii="宋体" w:hAnsi="宋体" w:eastAsia="宋体" w:cs="宋体"/>
                <w:color w:val="000000"/>
                <w:kern w:val="0"/>
                <w:sz w:val="21"/>
                <w:szCs w:val="21"/>
                <w:lang w:val="zh-TW" w:eastAsia="zh-TW"/>
              </w:rPr>
              <w:t>的加密能力，支持服务自动生成加密密钥方式和用户自定义加密密钥方式</w:t>
            </w:r>
          </w:p>
        </w:tc>
      </w:tr>
    </w:tbl>
    <w:p>
      <w:pPr>
        <w:pageBreakBefore w:val="0"/>
        <w:kinsoku/>
        <w:wordWrap w:val="0"/>
        <w:overflowPunct/>
        <w:topLinePunct/>
        <w:bidi w:val="0"/>
        <w:adjustRightInd/>
        <w:snapToGrid/>
        <w:spacing w:line="360" w:lineRule="auto"/>
        <w:ind w:firstLine="420" w:firstLineChars="200"/>
        <w:rPr>
          <w:rFonts w:hint="eastAsia" w:ascii="宋体" w:hAnsi="宋体" w:eastAsia="宋体" w:cs="宋体"/>
          <w:b w:val="0"/>
          <w:bCs w:val="0"/>
          <w:szCs w:val="21"/>
          <w:u w:val="none"/>
          <w:lang w:eastAsia="zh-CN"/>
        </w:rPr>
      </w:pPr>
    </w:p>
    <w:p>
      <w:pPr>
        <w:pageBreakBefore w:val="0"/>
        <w:kinsoku/>
        <w:wordWrap w:val="0"/>
        <w:overflowPunct/>
        <w:topLinePunct/>
        <w:bidi w:val="0"/>
        <w:adjustRightInd/>
        <w:snapToGrid/>
        <w:spacing w:line="360" w:lineRule="auto"/>
        <w:ind w:firstLine="420" w:firstLineChars="200"/>
        <w:rPr>
          <w:rFonts w:hint="eastAsia"/>
          <w:b w:val="0"/>
          <w:bCs w:val="0"/>
        </w:rPr>
      </w:pPr>
      <w:r>
        <w:rPr>
          <w:rFonts w:hint="eastAsia" w:ascii="宋体" w:hAnsi="宋体" w:eastAsia="宋体" w:cs="宋体"/>
          <w:b w:val="0"/>
          <w:bCs w:val="0"/>
          <w:szCs w:val="21"/>
          <w:u w:val="none"/>
          <w:lang w:eastAsia="zh-CN"/>
        </w:rPr>
        <w:t>（</w:t>
      </w:r>
      <w:r>
        <w:rPr>
          <w:rFonts w:hint="eastAsia" w:ascii="宋体" w:hAnsi="宋体" w:eastAsia="宋体" w:cs="宋体"/>
          <w:b w:val="0"/>
          <w:bCs w:val="0"/>
          <w:szCs w:val="21"/>
          <w:u w:val="none"/>
          <w:lang w:val="en-US" w:eastAsia="zh-CN"/>
        </w:rPr>
        <w:t>2</w:t>
      </w:r>
      <w:r>
        <w:rPr>
          <w:rFonts w:hint="eastAsia" w:ascii="宋体" w:hAnsi="宋体" w:eastAsia="宋体" w:cs="宋体"/>
          <w:b w:val="0"/>
          <w:bCs w:val="0"/>
          <w:szCs w:val="21"/>
          <w:u w:val="none"/>
          <w:lang w:eastAsia="zh-CN"/>
        </w:rPr>
        <w:t>）</w:t>
      </w:r>
      <w:r>
        <w:rPr>
          <w:rFonts w:hint="eastAsia"/>
          <w:b w:val="0"/>
          <w:bCs w:val="0"/>
        </w:rPr>
        <w:t>机器学习（PAI）</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7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指标项</w:t>
            </w:r>
          </w:p>
        </w:tc>
        <w:tc>
          <w:tcPr>
            <w:tcW w:w="82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sz w:val="21"/>
                <w:szCs w:val="21"/>
                <w:u w:val="none"/>
              </w:rPr>
            </w:pPr>
            <w:r>
              <w:rPr>
                <w:rFonts w:hint="eastAsia" w:ascii="宋体" w:hAnsi="宋体" w:eastAsia="宋体" w:cs="宋体"/>
                <w:sz w:val="21"/>
                <w:szCs w:val="21"/>
                <w:u w:val="none"/>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rPr>
              <w:t>功能指标</w:t>
            </w:r>
          </w:p>
        </w:tc>
        <w:tc>
          <w:tcPr>
            <w:tcW w:w="82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val="0"/>
              <w:autoSpaceDN w:val="0"/>
              <w:bidi w:val="0"/>
              <w:adjustRightInd/>
              <w:snapToGrid/>
              <w:spacing w:line="360" w:lineRule="auto"/>
              <w:jc w:val="left"/>
              <w:rPr>
                <w:rFonts w:hint="eastAsia" w:eastAsia="宋体"/>
                <w:lang w:eastAsia="zh-CN"/>
              </w:rPr>
            </w:pPr>
            <w:r>
              <w:rPr>
                <w:rFonts w:hint="eastAsia"/>
              </w:rPr>
              <w:t>1）源／目标：要求具备读写大数据平台服务数据表的能力；</w:t>
            </w:r>
          </w:p>
          <w:p>
            <w:pPr>
              <w:pageBreakBefore w:val="0"/>
              <w:kinsoku/>
              <w:wordWrap w:val="0"/>
              <w:overflowPunct/>
              <w:topLinePunct/>
              <w:autoSpaceDE w:val="0"/>
              <w:autoSpaceDN w:val="0"/>
              <w:bidi w:val="0"/>
              <w:adjustRightInd/>
              <w:snapToGrid/>
              <w:spacing w:line="360" w:lineRule="auto"/>
              <w:jc w:val="left"/>
              <w:rPr>
                <w:rFonts w:hint="eastAsia" w:eastAsia="宋体"/>
                <w:lang w:eastAsia="zh-CN"/>
              </w:rPr>
            </w:pPr>
            <w:r>
              <w:rPr>
                <w:rFonts w:hint="eastAsia"/>
              </w:rPr>
              <w:t>2）数据预处理：具备加权采样、随机采样、过滤与映射、分层采样的采样与过滤功能，具备拆分、UNION的数据合并功能，具备标准化和归一化的功能；</w:t>
            </w:r>
          </w:p>
          <w:p>
            <w:pPr>
              <w:pageBreakBefore w:val="0"/>
              <w:kinsoku/>
              <w:wordWrap w:val="0"/>
              <w:overflowPunct/>
              <w:topLinePunct/>
              <w:autoSpaceDE w:val="0"/>
              <w:autoSpaceDN w:val="0"/>
              <w:bidi w:val="0"/>
              <w:adjustRightInd/>
              <w:snapToGrid/>
              <w:spacing w:line="360" w:lineRule="auto"/>
              <w:jc w:val="left"/>
              <w:rPr>
                <w:rFonts w:hint="eastAsia" w:eastAsia="宋体"/>
                <w:lang w:eastAsia="zh-CN"/>
              </w:rPr>
            </w:pPr>
            <w:r>
              <w:rPr>
                <w:rFonts w:hint="eastAsia"/>
              </w:rPr>
              <w:t>3）特征工程：具备主成分分析PCA的特征变换功能，具备线性特征重要性、随机森林特征重要性的特征重要性评估功能；</w:t>
            </w:r>
          </w:p>
          <w:p>
            <w:pPr>
              <w:pageBreakBefore w:val="0"/>
              <w:kinsoku/>
              <w:wordWrap w:val="0"/>
              <w:overflowPunct/>
              <w:topLinePunct/>
              <w:autoSpaceDE w:val="0"/>
              <w:autoSpaceDN w:val="0"/>
              <w:bidi w:val="0"/>
              <w:adjustRightInd/>
              <w:snapToGrid/>
              <w:spacing w:line="360" w:lineRule="auto"/>
              <w:jc w:val="left"/>
              <w:rPr>
                <w:rFonts w:hint="eastAsia" w:eastAsia="宋体"/>
                <w:lang w:eastAsia="zh-CN"/>
              </w:rPr>
            </w:pPr>
            <w:r>
              <w:rPr>
                <w:rFonts w:hint="eastAsia"/>
              </w:rPr>
              <w:t>4）统计分析：具备百分位、全表统计、皮尔森系数、直方图、散点图、相关系数矩阵的统计分析功能；</w:t>
            </w:r>
          </w:p>
          <w:p>
            <w:pPr>
              <w:pageBreakBefore w:val="0"/>
              <w:kinsoku/>
              <w:wordWrap w:val="0"/>
              <w:overflowPunct/>
              <w:topLinePunct/>
              <w:autoSpaceDE w:val="0"/>
              <w:autoSpaceDN w:val="0"/>
              <w:bidi w:val="0"/>
              <w:adjustRightInd/>
              <w:snapToGrid/>
              <w:spacing w:line="360" w:lineRule="auto"/>
              <w:jc w:val="left"/>
              <w:rPr>
                <w:rFonts w:hint="eastAsia" w:eastAsia="宋体"/>
                <w:lang w:eastAsia="zh-CN"/>
              </w:rPr>
            </w:pPr>
            <w:r>
              <w:rPr>
                <w:rFonts w:hint="eastAsia"/>
              </w:rPr>
              <w:t>5）机器学习：具备线性支持向量机、逻辑回归二分类、GBDT二分类的二分类功能，具备逻辑回归多分类、随机森林、朴素贝叶斯的多分类功能，具备GBDT回归的回归功能，具备K均值聚类的聚类功能，具备二分类评估、多分类评估、回归模型评估、聚类模型评估、混淆矩阵的评估功能；具备预测功能，具备协同过滤etrec的关联推荐功能；</w:t>
            </w:r>
          </w:p>
          <w:p>
            <w:pPr>
              <w:pageBreakBefore w:val="0"/>
              <w:kinsoku/>
              <w:wordWrap w:val="0"/>
              <w:overflowPunct/>
              <w:topLinePunct/>
              <w:autoSpaceDE w:val="0"/>
              <w:autoSpaceDN w:val="0"/>
              <w:bidi w:val="0"/>
              <w:adjustRightInd/>
              <w:snapToGrid/>
              <w:spacing w:line="360" w:lineRule="auto"/>
              <w:jc w:val="left"/>
              <w:rPr>
                <w:rFonts w:hint="eastAsia" w:eastAsiaTheme="minorEastAsia"/>
                <w:lang w:eastAsia="zh-CN"/>
              </w:rPr>
            </w:pPr>
            <w:r>
              <w:rPr>
                <w:rFonts w:hint="eastAsia"/>
              </w:rPr>
              <w:t>6）文本分析：具备分词、词频统计、TF-IDF统计、PLDA、Word2Vec、三元组转KV、文本摘要、关键词提取、句子拆分的文本分析功能；</w:t>
            </w:r>
          </w:p>
          <w:p>
            <w:pPr>
              <w:pageBreakBefore w:val="0"/>
              <w:kinsoku/>
              <w:wordWrap w:val="0"/>
              <w:overflowPunct/>
              <w:topLinePunct/>
              <w:autoSpaceDE w:val="0"/>
              <w:autoSpaceDN w:val="0"/>
              <w:bidi w:val="0"/>
              <w:adjustRightInd/>
              <w:snapToGrid/>
              <w:spacing w:line="360" w:lineRule="auto"/>
              <w:jc w:val="left"/>
              <w:rPr>
                <w:rFonts w:hint="eastAsia" w:ascii="宋体" w:hAnsi="宋体" w:eastAsia="宋体" w:cs="宋体"/>
                <w:sz w:val="21"/>
                <w:szCs w:val="21"/>
                <w:u w:val="none"/>
              </w:rPr>
            </w:pPr>
            <w:r>
              <w:rPr>
                <w:rFonts w:hint="eastAsia"/>
              </w:rPr>
              <w:t>7）网络分析：具有K-Core、单源最短路径(SSSP)、PageRank、标签传播聚类(LabelPropagationClustering)、标签传播分类(LabelPropagationClassification)、Modularity、最大联通子图(maximalConnectedComponent)、点聚类系数(nodeDensity)、边聚类系数(edgeDensity)、计数三角形(triangleCount)、树深度(treeDepth)指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65" w:type="dxa"/>
            <w:tcBorders>
              <w:top w:val="single" w:color="auto" w:sz="4" w:space="0"/>
              <w:left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rPr>
              <w:t>性能指标</w:t>
            </w:r>
          </w:p>
        </w:tc>
        <w:tc>
          <w:tcPr>
            <w:tcW w:w="82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rPr>
              <w:t>支持至少PB级数据的挖掘、建模和预测。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65" w:type="dxa"/>
            <w:tcBorders>
              <w:left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rPr>
              <w:t>可靠性指标</w:t>
            </w:r>
          </w:p>
        </w:tc>
        <w:tc>
          <w:tcPr>
            <w:tcW w:w="82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rPr>
              <w:t>采用三副本技术，并将数据副本文件保存在不同机架上；采用全冗余架构，无单点故障。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65" w:type="dxa"/>
            <w:tcBorders>
              <w:left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rPr>
            </w:pPr>
            <w:r>
              <w:rPr>
                <w:rFonts w:hint="eastAsia"/>
              </w:rPr>
              <w:t>安全性</w:t>
            </w:r>
          </w:p>
        </w:tc>
        <w:tc>
          <w:tcPr>
            <w:tcW w:w="82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rPr>
            </w:pPr>
            <w:r>
              <w:rPr>
                <w:rFonts w:hint="eastAsia"/>
              </w:rPr>
              <w:t>具备完善的权限认证与隔离机制，保障用户数据的私密性。</w:t>
            </w:r>
          </w:p>
        </w:tc>
      </w:tr>
    </w:tbl>
    <w:p>
      <w:pPr>
        <w:pageBreakBefore w:val="0"/>
        <w:kinsoku/>
        <w:wordWrap w:val="0"/>
        <w:overflowPunct/>
        <w:topLinePunct/>
        <w:bidi w:val="0"/>
        <w:adjustRightInd/>
        <w:snapToGrid/>
        <w:spacing w:line="360" w:lineRule="auto"/>
        <w:rPr>
          <w:rFonts w:hint="eastAsia" w:ascii="宋体" w:hAnsi="宋体" w:eastAsia="宋体" w:cs="宋体"/>
          <w:b w:val="0"/>
          <w:bCs w:val="0"/>
          <w:szCs w:val="21"/>
          <w:u w:val="none"/>
          <w:lang w:eastAsia="zh-CN"/>
        </w:rPr>
      </w:pPr>
    </w:p>
    <w:p>
      <w:pPr>
        <w:pageBreakBefore w:val="0"/>
        <w:kinsoku/>
        <w:wordWrap w:val="0"/>
        <w:overflowPunct/>
        <w:topLinePunct/>
        <w:bidi w:val="0"/>
        <w:adjustRightInd/>
        <w:snapToGrid/>
        <w:spacing w:line="360" w:lineRule="auto"/>
        <w:ind w:firstLine="420" w:firstLineChars="200"/>
        <w:rPr>
          <w:rFonts w:hint="eastAsia" w:ascii="宋体" w:hAnsi="宋体" w:eastAsia="宋体" w:cs="宋体"/>
          <w:b w:val="0"/>
          <w:bCs w:val="0"/>
          <w:sz w:val="21"/>
          <w:szCs w:val="21"/>
          <w:u w:val="none"/>
        </w:rPr>
      </w:pPr>
      <w:r>
        <w:rPr>
          <w:rFonts w:hint="eastAsia" w:ascii="宋体" w:hAnsi="宋体" w:eastAsia="宋体" w:cs="宋体"/>
          <w:b w:val="0"/>
          <w:bCs w:val="0"/>
          <w:szCs w:val="21"/>
          <w:u w:val="none"/>
          <w:lang w:eastAsia="zh-CN"/>
        </w:rPr>
        <w:t>（</w:t>
      </w:r>
      <w:r>
        <w:rPr>
          <w:rFonts w:hint="eastAsia" w:ascii="宋体" w:hAnsi="宋体" w:eastAsia="宋体" w:cs="宋体"/>
          <w:b w:val="0"/>
          <w:bCs w:val="0"/>
          <w:szCs w:val="21"/>
          <w:u w:val="none"/>
          <w:lang w:val="en-US" w:eastAsia="zh-CN"/>
        </w:rPr>
        <w:t>3</w:t>
      </w:r>
      <w:r>
        <w:rPr>
          <w:rFonts w:hint="eastAsia" w:ascii="宋体" w:hAnsi="宋体" w:eastAsia="宋体" w:cs="宋体"/>
          <w:b w:val="0"/>
          <w:bCs w:val="0"/>
          <w:szCs w:val="21"/>
          <w:u w:val="none"/>
          <w:lang w:eastAsia="zh-CN"/>
        </w:rPr>
        <w:t>）</w:t>
      </w:r>
      <w:r>
        <w:rPr>
          <w:rFonts w:hint="eastAsia" w:ascii="宋体" w:hAnsi="宋体" w:eastAsia="宋体" w:cs="宋体"/>
          <w:b w:val="0"/>
          <w:bCs w:val="0"/>
          <w:sz w:val="21"/>
          <w:szCs w:val="21"/>
          <w:u w:val="none"/>
        </w:rPr>
        <w:t>大数据开发套件Dataworks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7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指标项</w:t>
            </w:r>
          </w:p>
        </w:tc>
        <w:tc>
          <w:tcPr>
            <w:tcW w:w="81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sz w:val="21"/>
                <w:szCs w:val="21"/>
                <w:u w:val="none"/>
              </w:rPr>
            </w:pPr>
            <w:r>
              <w:rPr>
                <w:rFonts w:hint="eastAsia" w:ascii="宋体" w:hAnsi="宋体" w:eastAsia="宋体" w:cs="宋体"/>
                <w:sz w:val="21"/>
                <w:szCs w:val="21"/>
                <w:u w:val="none"/>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服务标准</w:t>
            </w:r>
          </w:p>
        </w:tc>
        <w:tc>
          <w:tcPr>
            <w:tcW w:w="81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val="0"/>
              <w:autoSpaceDN w:val="0"/>
              <w:bidi w:val="0"/>
              <w:adjustRightInd/>
              <w:snapToGrid/>
              <w:spacing w:line="360" w:lineRule="auto"/>
              <w:jc w:val="left"/>
              <w:rPr>
                <w:rFonts w:hint="eastAsia" w:ascii="宋体" w:hAnsi="宋体" w:eastAsia="宋体" w:cs="宋体"/>
                <w:sz w:val="21"/>
                <w:szCs w:val="21"/>
                <w:u w:val="none"/>
              </w:rPr>
            </w:pPr>
            <w:r>
              <w:rPr>
                <w:rFonts w:hint="eastAsia" w:ascii="宋体" w:hAnsi="宋体" w:eastAsia="宋体" w:cs="宋体"/>
                <w:sz w:val="21"/>
                <w:szCs w:val="21"/>
                <w:u w:val="none"/>
              </w:rPr>
              <w:t>提供数据集成、开发、治理、服务、质量、安全等全套数据研发工作。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40" w:type="dxa"/>
            <w:vMerge w:val="restart"/>
            <w:tcBorders>
              <w:top w:val="single" w:color="auto" w:sz="4" w:space="0"/>
              <w:left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服务特性</w:t>
            </w:r>
          </w:p>
        </w:tc>
        <w:tc>
          <w:tcPr>
            <w:tcW w:w="81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万亿级数据JOIN，百万级并发Job，作业I/O可达PB级/天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40" w:type="dxa"/>
            <w:vMerge w:val="continue"/>
            <w:tcBorders>
              <w:left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81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离线调度支持百万级任务量，实时监控告警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40" w:type="dxa"/>
            <w:vMerge w:val="continue"/>
            <w:tcBorders>
              <w:left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81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提供功能强大易用的SQL、MR引擎，兼容大部分标准SQL语法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40" w:type="dxa"/>
            <w:vMerge w:val="continue"/>
            <w:tcBorders>
              <w:left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81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val="0"/>
              <w:autoSpaceDN w:val="0"/>
              <w:bidi w:val="0"/>
              <w:adjustRightInd/>
              <w:snapToGrid/>
              <w:spacing w:line="360" w:lineRule="auto"/>
              <w:jc w:val="left"/>
              <w:rPr>
                <w:rFonts w:hint="eastAsia" w:ascii="宋体" w:hAnsi="宋体" w:eastAsia="宋体" w:cs="宋体"/>
                <w:sz w:val="21"/>
                <w:szCs w:val="21"/>
                <w:u w:val="none"/>
              </w:rPr>
            </w:pPr>
            <w:r>
              <w:rPr>
                <w:rFonts w:hint="eastAsia" w:ascii="宋体" w:hAnsi="宋体" w:eastAsia="宋体" w:cs="宋体"/>
                <w:sz w:val="21"/>
                <w:szCs w:val="21"/>
                <w:u w:val="none"/>
              </w:rPr>
              <w:t>采用三重备份、读写请求鉴权、应用沙箱、系统沙箱等多层次数据存储和访问安全机制保护您的数据，确保不丢失、不泄露、不被窃取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40" w:type="dxa"/>
            <w:vMerge w:val="continue"/>
            <w:tcBorders>
              <w:left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81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提供数据从集成、加工、管理、监控、输出服务的全流程所有功能,</w:t>
            </w:r>
            <w:r>
              <w:rPr>
                <w:rFonts w:hint="eastAsia" w:ascii="宋体" w:hAnsi="宋体" w:eastAsia="宋体" w:cs="宋体"/>
                <w:b/>
                <w:bCs/>
                <w:kern w:val="0"/>
                <w:sz w:val="21"/>
                <w:szCs w:val="21"/>
                <w:u w:val="none"/>
              </w:rPr>
              <w:t xml:space="preserve"> </w:t>
            </w:r>
            <w:r>
              <w:rPr>
                <w:rFonts w:hint="eastAsia" w:ascii="宋体" w:hAnsi="宋体" w:eastAsia="宋体" w:cs="宋体"/>
                <w:sz w:val="21"/>
                <w:szCs w:val="21"/>
                <w:u w:val="none"/>
              </w:rPr>
              <w:t>提供可视化工作流程设计器功能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40" w:type="dxa"/>
            <w:vMerge w:val="restart"/>
            <w:tcBorders>
              <w:left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r>
              <w:rPr>
                <w:rFonts w:hint="eastAsia" w:ascii="宋体" w:hAnsi="宋体" w:eastAsia="宋体" w:cs="宋体"/>
                <w:sz w:val="21"/>
                <w:szCs w:val="21"/>
                <w:u w:val="none"/>
              </w:rPr>
              <w:t>服务能力</w:t>
            </w:r>
          </w:p>
        </w:tc>
        <w:tc>
          <w:tcPr>
            <w:tcW w:w="81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DataWorks支持400对异构数据源的离线同步，支持分钟、小时、天、周和月多种调度周期配置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40" w:type="dxa"/>
            <w:vMerge w:val="continue"/>
            <w:tcBorders>
              <w:left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81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autoSpaceDE w:val="0"/>
              <w:autoSpaceDN w:val="0"/>
              <w:bidi w:val="0"/>
              <w:adjustRightInd/>
              <w:snapToGrid/>
              <w:spacing w:line="360" w:lineRule="auto"/>
              <w:jc w:val="left"/>
              <w:rPr>
                <w:rFonts w:hint="default" w:ascii="宋体" w:hAnsi="宋体" w:eastAsia="宋体" w:cs="宋体"/>
                <w:sz w:val="21"/>
                <w:szCs w:val="21"/>
                <w:u w:val="none"/>
                <w:lang w:val="en"/>
              </w:rPr>
            </w:pPr>
            <w:r>
              <w:rPr>
                <w:rFonts w:hint="eastAsia" w:ascii="仿宋" w:hAnsi="仿宋" w:eastAsia="仿宋" w:cs="仿宋"/>
                <w:kern w:val="2"/>
                <w:sz w:val="21"/>
                <w:szCs w:val="21"/>
                <w:highlight w:val="none"/>
                <w:lang w:val="en-US" w:eastAsia="zh-CN" w:bidi="ar-SA"/>
              </w:rPr>
              <w:t>△</w:t>
            </w:r>
            <w:r>
              <w:rPr>
                <w:rFonts w:hint="eastAsia" w:ascii="宋体" w:hAnsi="宋体" w:eastAsia="宋体" w:cs="宋体"/>
                <w:sz w:val="21"/>
                <w:szCs w:val="21"/>
                <w:u w:val="none"/>
              </w:rPr>
              <w:t>多租户模型确保您的数据被安全隔离，以租户为单位进行统⼀的权限管控、数据管理、调度资源管理和成员管理工作</w:t>
            </w:r>
            <w:r>
              <w:rPr>
                <w:rFonts w:hint="eastAsia" w:ascii="宋体" w:hAnsi="宋体" w:eastAsia="宋体" w:cs="宋体"/>
                <w:sz w:val="21"/>
                <w:szCs w:val="21"/>
                <w:u w:val="none"/>
                <w:lang w:val="en" w:eastAsia="zh-CN"/>
              </w:rPr>
              <w:t>。</w:t>
            </w:r>
            <w:r>
              <w:rPr>
                <w:rFonts w:hint="eastAsia" w:ascii="宋体" w:hAnsi="宋体" w:cs="宋体"/>
                <w:szCs w:val="21"/>
              </w:rPr>
              <w:t>（提供截图证明）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0" w:type="dxa"/>
            <w:vMerge w:val="continue"/>
            <w:tcBorders>
              <w:left w:val="single" w:color="auto" w:sz="4" w:space="0"/>
              <w:right w:val="single" w:color="auto" w:sz="4" w:space="0"/>
            </w:tcBorders>
            <w:noWrap w:val="0"/>
            <w:vAlign w:val="center"/>
          </w:tcPr>
          <w:p>
            <w:pPr>
              <w:pageBreakBefore w:val="0"/>
              <w:widowControl/>
              <w:kinsoku/>
              <w:wordWrap w:val="0"/>
              <w:overflowPunct/>
              <w:topLinePunct/>
              <w:bidi w:val="0"/>
              <w:adjustRightInd/>
              <w:snapToGrid/>
              <w:spacing w:line="360" w:lineRule="auto"/>
              <w:jc w:val="left"/>
              <w:rPr>
                <w:rFonts w:hint="eastAsia" w:ascii="宋体" w:hAnsi="宋体" w:eastAsia="宋体" w:cs="宋体"/>
                <w:sz w:val="21"/>
                <w:szCs w:val="21"/>
                <w:u w:val="none"/>
              </w:rPr>
            </w:pPr>
          </w:p>
        </w:tc>
        <w:tc>
          <w:tcPr>
            <w:tcW w:w="81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支持多种异构数据源、离线数据、实时数据的质量校验、通知、管理</w:t>
            </w:r>
          </w:p>
        </w:tc>
      </w:tr>
    </w:tbl>
    <w:p>
      <w:pPr>
        <w:pageBreakBefore w:val="0"/>
        <w:numPr>
          <w:ilvl w:val="0"/>
          <w:numId w:val="0"/>
        </w:numPr>
        <w:kinsoku/>
        <w:wordWrap w:val="0"/>
        <w:overflowPunct/>
        <w:topLinePunct/>
        <w:bidi w:val="0"/>
        <w:adjustRightInd/>
        <w:snapToGrid/>
        <w:spacing w:line="360" w:lineRule="auto"/>
        <w:ind w:firstLine="420" w:firstLineChars="200"/>
        <w:outlineLvl w:val="2"/>
        <w:rPr>
          <w:rFonts w:hint="eastAsia"/>
          <w:b w:val="0"/>
          <w:bCs w:val="0"/>
        </w:rPr>
      </w:pP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4</w:t>
      </w:r>
      <w:r>
        <w:rPr>
          <w:rFonts w:hint="eastAsia" w:ascii="宋体" w:hAnsi="宋体" w:eastAsia="宋体" w:cs="宋体"/>
          <w:b w:val="0"/>
          <w:bCs w:val="0"/>
          <w:color w:val="000000"/>
          <w:sz w:val="21"/>
          <w:szCs w:val="21"/>
          <w:lang w:eastAsia="zh-CN"/>
        </w:rPr>
        <w:t>）</w:t>
      </w:r>
      <w:r>
        <w:rPr>
          <w:rFonts w:hint="eastAsia"/>
          <w:b w:val="0"/>
          <w:bCs w:val="0"/>
        </w:rPr>
        <w:t>DataV</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7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ascii="宋体" w:hAnsi="宋体" w:eastAsia="宋体" w:cs="宋体"/>
                <w:sz w:val="21"/>
                <w:szCs w:val="21"/>
                <w:u w:val="none"/>
              </w:rPr>
              <w:t>指标项</w:t>
            </w:r>
          </w:p>
        </w:tc>
        <w:tc>
          <w:tcPr>
            <w:tcW w:w="81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jc w:val="center"/>
              <w:rPr>
                <w:rFonts w:hint="eastAsia" w:ascii="宋体" w:hAnsi="宋体" w:eastAsia="宋体" w:cs="宋体"/>
                <w:sz w:val="21"/>
                <w:szCs w:val="21"/>
                <w:u w:val="none"/>
              </w:rPr>
            </w:pPr>
            <w:r>
              <w:rPr>
                <w:rFonts w:hint="eastAsia" w:ascii="宋体" w:hAnsi="宋体" w:eastAsia="宋体" w:cs="宋体"/>
                <w:sz w:val="21"/>
                <w:szCs w:val="21"/>
                <w:u w:val="none"/>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rPr>
                <w:rFonts w:hint="eastAsia" w:ascii="宋体" w:hAnsi="宋体" w:eastAsia="宋体" w:cs="宋体"/>
                <w:sz w:val="21"/>
                <w:szCs w:val="21"/>
                <w:u w:val="none"/>
              </w:rPr>
            </w:pPr>
            <w:r>
              <w:rPr>
                <w:rFonts w:hint="eastAsia"/>
              </w:rPr>
              <w:t>功能指标</w:t>
            </w:r>
          </w:p>
        </w:tc>
        <w:tc>
          <w:tcPr>
            <w:tcW w:w="81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bidi w:val="0"/>
              <w:adjustRightInd/>
              <w:snapToGrid/>
              <w:spacing w:line="360" w:lineRule="auto"/>
            </w:pPr>
            <w:r>
              <w:rPr>
                <w:rFonts w:hint="eastAsia"/>
              </w:rPr>
              <w:t>1）支持控制台管理，如项目分组管理、大屏排序管理、大屏搜索管理；</w:t>
            </w:r>
          </w:p>
          <w:p>
            <w:pPr>
              <w:pageBreakBefore w:val="0"/>
              <w:kinsoku/>
              <w:wordWrap w:val="0"/>
              <w:overflowPunct/>
              <w:topLinePunct/>
              <w:bidi w:val="0"/>
              <w:adjustRightInd/>
              <w:snapToGrid/>
              <w:spacing w:line="360" w:lineRule="auto"/>
            </w:pPr>
            <w:r>
              <w:rPr>
                <w:rFonts w:hint="eastAsia"/>
              </w:rPr>
              <w:t>2）支持工作空间管理和配置，添加RAM子账号；</w:t>
            </w:r>
          </w:p>
          <w:p>
            <w:pPr>
              <w:pageBreakBefore w:val="0"/>
              <w:kinsoku/>
              <w:wordWrap w:val="0"/>
              <w:overflowPunct/>
              <w:topLinePunct/>
              <w:bidi w:val="0"/>
              <w:adjustRightInd/>
              <w:snapToGrid/>
              <w:spacing w:line="360" w:lineRule="auto"/>
            </w:pPr>
            <w:r>
              <w:t>3</w:t>
            </w:r>
            <w:r>
              <w:rPr>
                <w:rFonts w:hint="eastAsia"/>
              </w:rPr>
              <w:t>）支持可视化应用管理，如模板化创建、支持编辑、删除、发布等操作；</w:t>
            </w:r>
          </w:p>
          <w:p>
            <w:pPr>
              <w:pageBreakBefore w:val="0"/>
              <w:kinsoku/>
              <w:wordWrap w:val="0"/>
              <w:overflowPunct/>
              <w:topLinePunct/>
              <w:bidi w:val="0"/>
              <w:adjustRightInd/>
              <w:snapToGrid/>
              <w:spacing w:line="360" w:lineRule="auto"/>
            </w:pPr>
            <w:r>
              <w:t>4</w:t>
            </w:r>
            <w:r>
              <w:rPr>
                <w:rFonts w:hint="eastAsia"/>
              </w:rPr>
              <w:t>）支持画布编辑：组件拖拽、组件缩放、组件旋转，图层管理，滤镜配置和画布图层搜索；</w:t>
            </w:r>
          </w:p>
          <w:p>
            <w:pPr>
              <w:pageBreakBefore w:val="0"/>
              <w:kinsoku/>
              <w:wordWrap w:val="0"/>
              <w:overflowPunct/>
              <w:topLinePunct/>
              <w:bidi w:val="0"/>
              <w:adjustRightInd/>
              <w:snapToGrid/>
              <w:spacing w:line="360" w:lineRule="auto"/>
            </w:pPr>
            <w:r>
              <w:t>5</w:t>
            </w:r>
            <w:r>
              <w:rPr>
                <w:rFonts w:hint="eastAsia"/>
              </w:rPr>
              <w:t>）支持数据源管理，支持多种数据源，如CSV文件、静态JSON、AnalyticDB。RDS MySQL、RDS PostgreSQL、RDS SQLServer、SQLServer；</w:t>
            </w:r>
          </w:p>
          <w:p>
            <w:pPr>
              <w:pageBreakBefore w:val="0"/>
              <w:kinsoku/>
              <w:wordWrap w:val="0"/>
              <w:overflowPunct/>
              <w:topLinePunct/>
              <w:bidi w:val="0"/>
              <w:adjustRightInd/>
              <w:snapToGrid/>
              <w:spacing w:line="360" w:lineRule="auto"/>
            </w:pPr>
            <w:r>
              <w:rPr>
                <w:rFonts w:hint="eastAsia"/>
              </w:rPr>
              <w:t>6）支持蓝图编辑器管理；</w:t>
            </w:r>
          </w:p>
          <w:p>
            <w:pPr>
              <w:pageBreakBefore w:val="0"/>
              <w:kinsoku/>
              <w:wordWrap w:val="0"/>
              <w:overflowPunct/>
              <w:topLinePunct/>
              <w:bidi w:val="0"/>
              <w:adjustRightInd/>
              <w:snapToGrid/>
              <w:spacing w:line="360" w:lineRule="auto"/>
            </w:pPr>
            <w:r>
              <w:t>7</w:t>
            </w:r>
            <w:r>
              <w:rPr>
                <w:rFonts w:hint="eastAsia"/>
              </w:rPr>
              <w:t>）支持各种图表组件，如柱状图、折线、饼图、3D平面世界地图、基础平面地图、3D组件模块等；</w:t>
            </w:r>
          </w:p>
          <w:p>
            <w:pPr>
              <w:pageBreakBefore w:val="0"/>
              <w:kinsoku/>
              <w:wordWrap w:val="0"/>
              <w:overflowPunct/>
              <w:topLinePunct/>
              <w:autoSpaceDE w:val="0"/>
              <w:autoSpaceDN w:val="0"/>
              <w:bidi w:val="0"/>
              <w:adjustRightInd/>
              <w:snapToGrid/>
              <w:spacing w:line="360" w:lineRule="auto"/>
              <w:jc w:val="left"/>
              <w:rPr>
                <w:rFonts w:hint="eastAsia" w:ascii="宋体" w:hAnsi="宋体" w:eastAsia="宋体" w:cs="宋体"/>
                <w:sz w:val="21"/>
                <w:szCs w:val="21"/>
                <w:u w:val="none"/>
              </w:rPr>
            </w:pPr>
            <w:r>
              <w:t>8</w:t>
            </w:r>
            <w:r>
              <w:rPr>
                <w:rFonts w:hint="eastAsia"/>
              </w:rPr>
              <w:t>）支持模板大屏管理。</w:t>
            </w:r>
          </w:p>
        </w:tc>
      </w:tr>
    </w:tbl>
    <w:p>
      <w:pPr>
        <w:pStyle w:val="4"/>
        <w:pageBreakBefore w:val="0"/>
        <w:kinsoku/>
        <w:wordWrap w:val="0"/>
        <w:overflowPunct/>
        <w:topLinePunct/>
        <w:bidi w:val="0"/>
        <w:adjustRightInd/>
        <w:snapToGrid/>
        <w:spacing w:line="360" w:lineRule="auto"/>
        <w:ind w:left="0" w:leftChars="0" w:firstLine="0" w:firstLineChars="0"/>
        <w:rPr>
          <w:rFonts w:hint="eastAsia"/>
        </w:rPr>
      </w:pPr>
    </w:p>
    <w:p>
      <w:pPr>
        <w:pageBreakBefore w:val="0"/>
        <w:kinsoku/>
        <w:wordWrap w:val="0"/>
        <w:overflowPunct/>
        <w:topLinePunct/>
        <w:bidi w:val="0"/>
        <w:adjustRightInd/>
        <w:snapToGrid/>
        <w:spacing w:line="360" w:lineRule="auto"/>
        <w:ind w:firstLine="420"/>
        <w:outlineLvl w:val="2"/>
        <w:rPr>
          <w:rFonts w:hint="eastAsia"/>
        </w:rPr>
      </w:pP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Quick BI</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Layout w:type="autofit"/>
        <w:tblCellMar>
          <w:top w:w="0" w:type="dxa"/>
          <w:left w:w="0" w:type="dxa"/>
          <w:bottom w:w="0" w:type="dxa"/>
          <w:right w:w="0" w:type="dxa"/>
        </w:tblCellMar>
      </w:tblPr>
      <w:tblGrid>
        <w:gridCol w:w="537"/>
        <w:gridCol w:w="593"/>
        <w:gridCol w:w="7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694" w:hRule="atLeast"/>
        </w:trPr>
        <w:tc>
          <w:tcPr>
            <w:tcW w:w="0" w:type="auto"/>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zh-TW" w:eastAsia="zh-TW"/>
              </w:rPr>
              <w:t>指标项</w:t>
            </w:r>
          </w:p>
        </w:tc>
        <w:tc>
          <w:tcPr>
            <w:tcW w:w="0" w:type="auto"/>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zh-TW" w:eastAsia="zh-TW"/>
              </w:rPr>
              <w:t>指标子项</w:t>
            </w:r>
          </w:p>
        </w:tc>
        <w:tc>
          <w:tcPr>
            <w:tcW w:w="0" w:type="auto"/>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jc w:val="center"/>
              <w:rPr>
                <w:rFonts w:hint="eastAsia" w:ascii="宋体" w:hAnsi="宋体" w:eastAsia="宋体" w:cs="宋体"/>
                <w:b w:val="0"/>
                <w:bCs w:val="0"/>
                <w:color w:val="000000"/>
                <w:kern w:val="0"/>
                <w:sz w:val="21"/>
                <w:szCs w:val="21"/>
              </w:rPr>
            </w:pPr>
            <w:r>
              <w:rPr>
                <w:rFonts w:hint="eastAsia" w:ascii="宋体" w:hAnsi="宋体" w:eastAsia="宋体" w:cs="宋体"/>
                <w:sz w:val="21"/>
                <w:szCs w:val="21"/>
                <w:u w:val="none"/>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90" w:hRule="atLeast"/>
        </w:trPr>
        <w:tc>
          <w:tcPr>
            <w:tcW w:w="0" w:type="auto"/>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总体要求</w:t>
            </w:r>
          </w:p>
        </w:tc>
        <w:tc>
          <w:tcPr>
            <w:tcW w:w="0" w:type="auto"/>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p>
        </w:tc>
        <w:tc>
          <w:tcPr>
            <w:tcW w:w="0" w:type="auto"/>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可以提供海量数据实时在线分析服务，支持拖拽式操作和丰富的可视化效果，帮助客户完成数据分析、业务数据探查、报表制作等工作。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1075" w:hRule="atLeast"/>
        </w:trPr>
        <w:tc>
          <w:tcPr>
            <w:tcW w:w="0" w:type="auto"/>
            <w:vMerge w:val="restart"/>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功能要求</w:t>
            </w:r>
          </w:p>
        </w:tc>
        <w:tc>
          <w:tcPr>
            <w:tcW w:w="0" w:type="auto"/>
            <w:vMerge w:val="restart"/>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可视化分析</w:t>
            </w:r>
          </w:p>
        </w:tc>
        <w:tc>
          <w:tcPr>
            <w:tcW w:w="0" w:type="auto"/>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支持</w:t>
            </w:r>
            <w:r>
              <w:rPr>
                <w:rFonts w:hint="eastAsia" w:ascii="宋体" w:hAnsi="宋体" w:eastAsia="宋体" w:cs="宋体"/>
                <w:color w:val="000000"/>
                <w:kern w:val="0"/>
                <w:sz w:val="21"/>
                <w:szCs w:val="21"/>
              </w:rPr>
              <w:t>37</w:t>
            </w:r>
            <w:r>
              <w:rPr>
                <w:rFonts w:hint="eastAsia" w:ascii="宋体" w:hAnsi="宋体" w:eastAsia="宋体" w:cs="宋体"/>
                <w:color w:val="000000"/>
                <w:kern w:val="0"/>
                <w:sz w:val="21"/>
                <w:szCs w:val="21"/>
                <w:lang w:val="zh-TW" w:eastAsia="zh-TW"/>
              </w:rPr>
              <w:t>种图表。包含线图、面积图、柱图、堆积柱状图、条形图、瀑布图、组合图、饼图、交叉表、色彩地图、指标看板、仪表盘、散点图、漏斗图、雷达图、矩阵树图、词云图、桑基图等图表组件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227" w:hRule="atLeast"/>
        </w:trPr>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p>
        </w:tc>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p>
        </w:tc>
        <w:tc>
          <w:tcPr>
            <w:tcW w:w="0" w:type="auto"/>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支持下钻、联动、跳转、辅助线、趋势线、预测线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1120" w:hRule="atLeast"/>
        </w:trPr>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p>
        </w:tc>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p>
        </w:tc>
        <w:tc>
          <w:tcPr>
            <w:tcW w:w="0" w:type="auto"/>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支持将仪表板拖拽式组装为数据门户，支持内嵌链接， 支持模板和菜单栏的基础设置。数据门户不仅可以引用数据分析软件中的数据结果，同时也支持外挂链接。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280" w:hRule="atLeast"/>
        </w:trPr>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p>
        </w:tc>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p>
        </w:tc>
        <w:tc>
          <w:tcPr>
            <w:tcW w:w="0" w:type="auto"/>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支持电子表格，兼容</w:t>
            </w:r>
            <w:r>
              <w:rPr>
                <w:rFonts w:hint="eastAsia" w:ascii="宋体" w:hAnsi="宋体" w:eastAsia="宋体" w:cs="宋体"/>
                <w:color w:val="000000"/>
                <w:kern w:val="0"/>
                <w:sz w:val="21"/>
                <w:szCs w:val="21"/>
              </w:rPr>
              <w:t>Excel</w:t>
            </w:r>
            <w:r>
              <w:rPr>
                <w:rFonts w:hint="eastAsia" w:ascii="宋体" w:hAnsi="宋体" w:eastAsia="宋体" w:cs="宋体"/>
                <w:color w:val="000000"/>
                <w:kern w:val="0"/>
                <w:sz w:val="21"/>
                <w:szCs w:val="21"/>
                <w:lang w:val="zh-TW" w:eastAsia="zh-TW"/>
              </w:rPr>
              <w:t>函数</w:t>
            </w:r>
            <w:r>
              <w:rPr>
                <w:rFonts w:hint="eastAsia" w:ascii="宋体" w:hAnsi="宋体" w:eastAsia="宋体" w:cs="宋体"/>
                <w:color w:val="000000"/>
                <w:kern w:val="0"/>
                <w:sz w:val="21"/>
                <w:szCs w:val="21"/>
              </w:rPr>
              <w:t>380</w:t>
            </w:r>
            <w:r>
              <w:rPr>
                <w:rFonts w:hint="eastAsia" w:ascii="宋体" w:hAnsi="宋体" w:eastAsia="宋体" w:cs="宋体"/>
                <w:color w:val="000000"/>
                <w:kern w:val="0"/>
                <w:sz w:val="21"/>
                <w:szCs w:val="21"/>
                <w:lang w:val="zh-TW" w:eastAsia="zh-TW"/>
              </w:rPr>
              <w:t>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281" w:hRule="atLeast"/>
        </w:trPr>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p>
        </w:tc>
        <w:tc>
          <w:tcPr>
            <w:tcW w:w="0" w:type="auto"/>
            <w:vMerge w:val="restart"/>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平台管理</w:t>
            </w:r>
          </w:p>
        </w:tc>
        <w:tc>
          <w:tcPr>
            <w:tcW w:w="0" w:type="auto"/>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支持多工作空间权限、报表权限、数据权限、多门户权限可单独授权。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700" w:hRule="atLeast"/>
        </w:trPr>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p>
        </w:tc>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p>
        </w:tc>
        <w:tc>
          <w:tcPr>
            <w:tcW w:w="0" w:type="auto"/>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支持通过</w:t>
            </w:r>
            <w:r>
              <w:rPr>
                <w:rFonts w:hint="eastAsia" w:ascii="宋体" w:hAnsi="宋体" w:eastAsia="宋体" w:cs="宋体"/>
                <w:color w:val="000000"/>
                <w:kern w:val="0"/>
                <w:sz w:val="21"/>
                <w:szCs w:val="21"/>
              </w:rPr>
              <w:t>signature</w:t>
            </w:r>
            <w:r>
              <w:rPr>
                <w:rFonts w:hint="eastAsia" w:ascii="宋体" w:hAnsi="宋体" w:eastAsia="宋体" w:cs="宋体"/>
                <w:color w:val="000000"/>
                <w:kern w:val="0"/>
                <w:sz w:val="21"/>
                <w:szCs w:val="21"/>
                <w:lang w:val="zh-TW" w:eastAsia="zh-TW"/>
              </w:rPr>
              <w:t>方式嵌入，安全性高，有独立的报表内嵌管理。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436" w:hRule="atLeast"/>
        </w:trPr>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p>
        </w:tc>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p>
        </w:tc>
        <w:tc>
          <w:tcPr>
            <w:tcW w:w="0" w:type="auto"/>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有工作空间概念，不同开发者之间开发独立，协同编辑是接力方式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1003" w:hRule="atLeast"/>
        </w:trPr>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p>
        </w:tc>
        <w:tc>
          <w:tcPr>
            <w:tcW w:w="0" w:type="auto"/>
            <w:vMerge w:val="restart"/>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数据建模</w:t>
            </w:r>
          </w:p>
        </w:tc>
        <w:tc>
          <w:tcPr>
            <w:tcW w:w="0" w:type="auto"/>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 xml:space="preserve">支持各类自定义 </w:t>
            </w:r>
            <w:r>
              <w:rPr>
                <w:rFonts w:hint="eastAsia" w:ascii="宋体" w:hAnsi="宋体" w:eastAsia="宋体" w:cs="宋体"/>
                <w:color w:val="000000"/>
                <w:kern w:val="0"/>
                <w:sz w:val="21"/>
                <w:szCs w:val="21"/>
              </w:rPr>
              <w:t xml:space="preserve">SQL </w:t>
            </w:r>
            <w:r>
              <w:rPr>
                <w:rFonts w:hint="eastAsia" w:ascii="宋体" w:hAnsi="宋体" w:eastAsia="宋体" w:cs="宋体"/>
                <w:color w:val="000000"/>
                <w:kern w:val="0"/>
                <w:sz w:val="21"/>
                <w:szCs w:val="21"/>
                <w:lang w:val="zh-TW" w:eastAsia="zh-TW"/>
              </w:rPr>
              <w:t xml:space="preserve">功能。数据建模负责数据源的 </w:t>
            </w:r>
            <w:r>
              <w:rPr>
                <w:rFonts w:hint="eastAsia" w:ascii="宋体" w:hAnsi="宋体" w:eastAsia="宋体" w:cs="宋体"/>
                <w:color w:val="000000"/>
                <w:kern w:val="0"/>
                <w:sz w:val="21"/>
                <w:szCs w:val="21"/>
              </w:rPr>
              <w:t xml:space="preserve">OLAP </w:t>
            </w:r>
            <w:r>
              <w:rPr>
                <w:rFonts w:hint="eastAsia" w:ascii="宋体" w:hAnsi="宋体" w:eastAsia="宋体" w:cs="宋体"/>
                <w:color w:val="000000"/>
                <w:kern w:val="0"/>
                <w:sz w:val="21"/>
                <w:szCs w:val="21"/>
                <w:lang w:val="zh-TW" w:eastAsia="zh-TW"/>
              </w:rPr>
              <w:t>建模过程，将数据源转化为多维分析模型，支持维度（包括 日期型维度、地理位置型维度）、度量、星型拓扑模型等标准语义，并支持计算字段功能，允许用户使用当前数据源的</w:t>
            </w:r>
            <w:r>
              <w:rPr>
                <w:rFonts w:hint="eastAsia" w:ascii="宋体" w:hAnsi="宋体" w:eastAsia="宋体" w:cs="宋体"/>
                <w:color w:val="000000"/>
                <w:kern w:val="0"/>
                <w:sz w:val="21"/>
                <w:szCs w:val="21"/>
              </w:rPr>
              <w:t>SQL</w:t>
            </w:r>
            <w:r>
              <w:rPr>
                <w:rFonts w:hint="eastAsia" w:ascii="宋体" w:hAnsi="宋体" w:eastAsia="宋体" w:cs="宋体"/>
                <w:color w:val="000000"/>
                <w:kern w:val="0"/>
                <w:sz w:val="21"/>
                <w:szCs w:val="21"/>
                <w:lang w:val="zh-TW" w:eastAsia="zh-TW"/>
              </w:rPr>
              <w:t>语法对维度和度量进行二次加工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DD4E9"/>
          <w:tblCellMar>
            <w:top w:w="0" w:type="dxa"/>
            <w:left w:w="0" w:type="dxa"/>
            <w:bottom w:w="0" w:type="dxa"/>
            <w:right w:w="0" w:type="dxa"/>
          </w:tblCellMar>
        </w:tblPrEx>
        <w:trPr>
          <w:trHeight w:val="243" w:hRule="atLeast"/>
        </w:trPr>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p>
        </w:tc>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p>
        </w:tc>
        <w:tc>
          <w:tcPr>
            <w:tcW w:w="0" w:type="auto"/>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支持文件夹的新建、删除、重命名；支持数据集的新建、删除、编辑、新建仪表盘、新建电子表格、移动、复制等功能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0" w:type="auto"/>
            <w:vMerge w:val="continue"/>
            <w:shd w:val="clear" w:color="auto" w:fill="auto"/>
            <w:noWrap w:val="0"/>
            <w:vAlign w:val="top"/>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p>
        </w:tc>
        <w:tc>
          <w:tcPr>
            <w:tcW w:w="0" w:type="auto"/>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数据接入</w:t>
            </w:r>
          </w:p>
        </w:tc>
        <w:tc>
          <w:tcPr>
            <w:tcW w:w="0" w:type="auto"/>
            <w:shd w:val="clear" w:color="auto" w:fill="auto"/>
            <w:noWrap w:val="0"/>
            <w:tcMar>
              <w:top w:w="80" w:type="dxa"/>
              <w:left w:w="80" w:type="dxa"/>
              <w:bottom w:w="80" w:type="dxa"/>
              <w:right w:w="80" w:type="dxa"/>
            </w:tcMar>
            <w:vAlign w:val="center"/>
          </w:tcPr>
          <w:p>
            <w:pPr>
              <w:pageBreakBefore w:val="0"/>
              <w:kinsoku/>
              <w:wordWrap w:val="0"/>
              <w:overflowPunct/>
              <w:topLinePunct/>
              <w:bidi w:val="0"/>
              <w:adjustRightInd/>
              <w:snapToGrid/>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TW" w:eastAsia="zh-TW"/>
              </w:rPr>
              <w:t>支持常规关系型数据库和</w:t>
            </w:r>
            <w:r>
              <w:rPr>
                <w:rFonts w:hint="eastAsia" w:ascii="宋体" w:hAnsi="宋体" w:eastAsia="宋体" w:cs="宋体"/>
                <w:color w:val="000000"/>
                <w:kern w:val="0"/>
                <w:sz w:val="21"/>
                <w:szCs w:val="21"/>
              </w:rPr>
              <w:t>hadoop</w:t>
            </w:r>
            <w:r>
              <w:rPr>
                <w:rFonts w:hint="eastAsia" w:ascii="宋体" w:hAnsi="宋体" w:eastAsia="宋体" w:cs="宋体"/>
                <w:color w:val="000000"/>
                <w:kern w:val="0"/>
                <w:sz w:val="21"/>
                <w:szCs w:val="21"/>
                <w:lang w:val="zh-TW" w:eastAsia="zh-TW"/>
              </w:rPr>
              <w:t>生态的数据库：包括</w:t>
            </w:r>
            <w:r>
              <w:rPr>
                <w:rFonts w:hint="eastAsia" w:ascii="宋体" w:hAnsi="宋体" w:eastAsia="宋体" w:cs="宋体"/>
                <w:color w:val="000000"/>
                <w:kern w:val="0"/>
                <w:sz w:val="21"/>
                <w:szCs w:val="21"/>
              </w:rPr>
              <w:t>Oracle</w:t>
            </w:r>
            <w:r>
              <w:rPr>
                <w:rFonts w:hint="eastAsia" w:ascii="宋体" w:hAnsi="宋体" w:eastAsia="宋体" w:cs="宋体"/>
                <w:color w:val="000000"/>
                <w:kern w:val="0"/>
                <w:sz w:val="21"/>
                <w:szCs w:val="21"/>
                <w:lang w:val="zh-TW" w:eastAsia="zh-TW"/>
              </w:rPr>
              <w:t>、</w:t>
            </w:r>
            <w:r>
              <w:rPr>
                <w:rFonts w:hint="eastAsia" w:ascii="宋体" w:hAnsi="宋体" w:eastAsia="宋体" w:cs="宋体"/>
                <w:color w:val="000000"/>
                <w:kern w:val="0"/>
                <w:sz w:val="21"/>
                <w:szCs w:val="21"/>
              </w:rPr>
              <w:t>MySQL</w:t>
            </w:r>
            <w:r>
              <w:rPr>
                <w:rFonts w:hint="eastAsia" w:ascii="宋体" w:hAnsi="宋体" w:eastAsia="宋体" w:cs="宋体"/>
                <w:color w:val="000000"/>
                <w:kern w:val="0"/>
                <w:sz w:val="21"/>
                <w:szCs w:val="21"/>
                <w:lang w:val="zh-TW" w:eastAsia="zh-TW"/>
              </w:rPr>
              <w:t>、</w:t>
            </w:r>
            <w:r>
              <w:rPr>
                <w:rFonts w:hint="eastAsia" w:ascii="宋体" w:hAnsi="宋体" w:eastAsia="宋体" w:cs="宋体"/>
                <w:color w:val="000000"/>
                <w:kern w:val="0"/>
                <w:sz w:val="21"/>
                <w:szCs w:val="21"/>
              </w:rPr>
              <w:t>SQL Server</w:t>
            </w:r>
            <w:r>
              <w:rPr>
                <w:rFonts w:hint="eastAsia" w:ascii="宋体" w:hAnsi="宋体" w:eastAsia="宋体" w:cs="宋体"/>
                <w:color w:val="000000"/>
                <w:kern w:val="0"/>
                <w:sz w:val="21"/>
                <w:szCs w:val="21"/>
                <w:lang w:val="zh-TW" w:eastAsia="zh-TW"/>
              </w:rPr>
              <w:t>、</w:t>
            </w:r>
            <w:r>
              <w:rPr>
                <w:rFonts w:hint="eastAsia" w:ascii="宋体" w:hAnsi="宋体" w:eastAsia="宋体" w:cs="宋体"/>
                <w:color w:val="000000"/>
                <w:kern w:val="0"/>
                <w:sz w:val="21"/>
                <w:szCs w:val="21"/>
              </w:rPr>
              <w:t>PostgreSQL</w:t>
            </w:r>
            <w:r>
              <w:rPr>
                <w:rFonts w:hint="eastAsia" w:ascii="宋体" w:hAnsi="宋体" w:eastAsia="宋体" w:cs="宋体"/>
                <w:color w:val="000000"/>
                <w:kern w:val="0"/>
                <w:sz w:val="21"/>
                <w:szCs w:val="21"/>
                <w:lang w:val="zh-TW" w:eastAsia="zh-TW"/>
              </w:rPr>
              <w:t>、</w:t>
            </w:r>
            <w:r>
              <w:rPr>
                <w:rFonts w:hint="eastAsia" w:ascii="宋体" w:hAnsi="宋体" w:eastAsia="宋体" w:cs="宋体"/>
                <w:color w:val="000000"/>
                <w:kern w:val="0"/>
                <w:sz w:val="21"/>
                <w:szCs w:val="21"/>
              </w:rPr>
              <w:t>Presto</w:t>
            </w:r>
            <w:r>
              <w:rPr>
                <w:rFonts w:hint="eastAsia" w:ascii="宋体" w:hAnsi="宋体" w:eastAsia="宋体" w:cs="宋体"/>
                <w:color w:val="000000"/>
                <w:kern w:val="0"/>
                <w:sz w:val="21"/>
                <w:szCs w:val="21"/>
                <w:lang w:val="zh-TW" w:eastAsia="zh-TW"/>
              </w:rPr>
              <w:t>、</w:t>
            </w:r>
            <w:r>
              <w:rPr>
                <w:rFonts w:hint="eastAsia" w:ascii="宋体" w:hAnsi="宋体" w:eastAsia="宋体" w:cs="宋体"/>
                <w:color w:val="000000"/>
                <w:kern w:val="0"/>
                <w:sz w:val="21"/>
                <w:szCs w:val="21"/>
              </w:rPr>
              <w:t>ClickHouse</w:t>
            </w:r>
            <w:r>
              <w:rPr>
                <w:rFonts w:hint="eastAsia" w:ascii="宋体" w:hAnsi="宋体" w:eastAsia="宋体" w:cs="宋体"/>
                <w:color w:val="000000"/>
                <w:kern w:val="0"/>
                <w:sz w:val="21"/>
                <w:szCs w:val="21"/>
                <w:lang w:val="zh-TW" w:eastAsia="zh-TW"/>
              </w:rPr>
              <w:t>、</w:t>
            </w:r>
            <w:r>
              <w:rPr>
                <w:rFonts w:hint="eastAsia" w:ascii="宋体" w:hAnsi="宋体" w:eastAsia="宋体" w:cs="宋体"/>
                <w:color w:val="000000"/>
                <w:kern w:val="0"/>
                <w:sz w:val="21"/>
                <w:szCs w:val="21"/>
              </w:rPr>
              <w:t>Hbase</w:t>
            </w:r>
            <w:r>
              <w:rPr>
                <w:rFonts w:hint="eastAsia" w:ascii="宋体" w:hAnsi="宋体" w:eastAsia="宋体" w:cs="宋体"/>
                <w:color w:val="000000"/>
                <w:kern w:val="0"/>
                <w:sz w:val="21"/>
                <w:szCs w:val="21"/>
                <w:lang w:val="zh-TW" w:eastAsia="zh-TW"/>
              </w:rPr>
              <w:t>、</w:t>
            </w:r>
            <w:r>
              <w:rPr>
                <w:rFonts w:hint="eastAsia" w:ascii="宋体" w:hAnsi="宋体" w:eastAsia="宋体" w:cs="宋体"/>
                <w:color w:val="000000"/>
                <w:kern w:val="0"/>
                <w:sz w:val="21"/>
                <w:szCs w:val="21"/>
              </w:rPr>
              <w:t>Hive</w:t>
            </w:r>
            <w:r>
              <w:rPr>
                <w:rFonts w:hint="eastAsia" w:ascii="宋体" w:hAnsi="宋体" w:eastAsia="宋体" w:cs="宋体"/>
                <w:color w:val="000000"/>
                <w:kern w:val="0"/>
                <w:sz w:val="21"/>
                <w:szCs w:val="21"/>
                <w:lang w:val="zh-TW" w:eastAsia="zh-TW"/>
              </w:rPr>
              <w:t>。</w:t>
            </w:r>
          </w:p>
        </w:tc>
      </w:tr>
    </w:tbl>
    <w:p>
      <w:pPr>
        <w:pageBreakBefore w:val="0"/>
        <w:widowControl/>
        <w:numPr>
          <w:ilvl w:val="0"/>
          <w:numId w:val="4"/>
        </w:numPr>
        <w:kinsoku/>
        <w:wordWrap w:val="0"/>
        <w:overflowPunct/>
        <w:topLinePunct/>
        <w:bidi w:val="0"/>
        <w:adjustRightInd/>
        <w:snapToGrid/>
        <w:spacing w:line="360" w:lineRule="auto"/>
        <w:ind w:left="420" w:firstLine="0" w:firstLineChars="0"/>
        <w:jc w:val="left"/>
        <w:rPr>
          <w:rFonts w:hint="eastAsia" w:ascii="宋体" w:hAnsi="宋体" w:eastAsia="宋体" w:cs="宋体"/>
          <w:b/>
          <w:bCs w:val="0"/>
          <w:kern w:val="0"/>
          <w:sz w:val="21"/>
          <w:szCs w:val="21"/>
        </w:rPr>
      </w:pPr>
      <w:r>
        <w:rPr>
          <w:rFonts w:hint="eastAsia" w:ascii="宋体" w:hAnsi="宋体" w:eastAsia="宋体" w:cs="宋体"/>
          <w:b/>
          <w:bCs w:val="0"/>
          <w:kern w:val="0"/>
          <w:szCs w:val="21"/>
          <w:u w:val="none"/>
          <w:lang w:eastAsia="zh-CN"/>
        </w:rPr>
        <w:t>安全服务</w:t>
      </w:r>
    </w:p>
    <w:p>
      <w:pPr>
        <w:pStyle w:val="4"/>
        <w:pageBreakBefore w:val="0"/>
        <w:kinsoku/>
        <w:wordWrap w:val="0"/>
        <w:overflowPunct/>
        <w:topLinePunct/>
        <w:bidi w:val="0"/>
        <w:adjustRightInd/>
        <w:snapToGrid/>
        <w:spacing w:line="360" w:lineRule="auto"/>
        <w:ind w:firstLine="422" w:firstLineChars="200"/>
        <w:rPr>
          <w:rFonts w:hint="eastAsia" w:ascii="宋体" w:hAnsi="宋体" w:eastAsia="宋体" w:cs="宋体"/>
          <w:b/>
          <w:bCs/>
          <w:kern w:val="2"/>
          <w:sz w:val="21"/>
          <w:szCs w:val="21"/>
          <w:lang w:val="zh-TW" w:eastAsia="zh-TW" w:bidi="ar-SA"/>
        </w:rPr>
      </w:pPr>
      <w:r>
        <w:rPr>
          <w:rFonts w:hint="eastAsia" w:ascii="宋体" w:hAnsi="宋体" w:eastAsia="宋体" w:cs="宋体"/>
          <w:b/>
          <w:bCs/>
          <w:kern w:val="2"/>
          <w:sz w:val="21"/>
          <w:szCs w:val="21"/>
          <w:lang w:val="zh-TW" w:eastAsia="zh-TW" w:bidi="ar-SA"/>
        </w:rPr>
        <w:t>（一）安全目标</w:t>
      </w:r>
    </w:p>
    <w:p>
      <w:pPr>
        <w:pStyle w:val="4"/>
        <w:pageBreakBefore w:val="0"/>
        <w:kinsoku/>
        <w:wordWrap w:val="0"/>
        <w:overflowPunct/>
        <w:topLinePunct/>
        <w:bidi w:val="0"/>
        <w:adjustRightInd/>
        <w:snapToGrid/>
        <w:spacing w:line="360" w:lineRule="auto"/>
        <w:ind w:firstLine="420" w:firstLineChars="200"/>
        <w:rPr>
          <w:rFonts w:hint="eastAsia" w:ascii="宋体" w:hAnsi="宋体" w:eastAsia="宋体" w:cs="宋体"/>
          <w:kern w:val="2"/>
          <w:sz w:val="21"/>
          <w:szCs w:val="21"/>
          <w:lang w:val="zh-TW" w:eastAsia="zh-TW" w:bidi="ar-SA"/>
        </w:rPr>
      </w:pPr>
      <w:r>
        <w:rPr>
          <w:rFonts w:hint="eastAsia" w:ascii="宋体" w:hAnsi="宋体" w:eastAsia="宋体" w:cs="宋体"/>
          <w:kern w:val="2"/>
          <w:sz w:val="21"/>
          <w:szCs w:val="21"/>
          <w:lang w:val="zh-TW" w:eastAsia="zh-CN" w:bidi="ar-SA"/>
        </w:rPr>
        <w:t>①</w:t>
      </w:r>
      <w:r>
        <w:rPr>
          <w:rFonts w:hint="eastAsia" w:ascii="宋体" w:hAnsi="宋体" w:eastAsia="宋体" w:cs="宋体"/>
          <w:kern w:val="2"/>
          <w:sz w:val="21"/>
          <w:szCs w:val="21"/>
          <w:lang w:val="zh-TW" w:eastAsia="zh-TW" w:bidi="ar-SA"/>
        </w:rPr>
        <w:t>明确安全工作界面、维护责任界面</w:t>
      </w:r>
    </w:p>
    <w:p>
      <w:pPr>
        <w:pStyle w:val="4"/>
        <w:pageBreakBefore w:val="0"/>
        <w:kinsoku/>
        <w:wordWrap w:val="0"/>
        <w:overflowPunct/>
        <w:topLinePunct/>
        <w:bidi w:val="0"/>
        <w:adjustRightInd/>
        <w:snapToGrid/>
        <w:spacing w:line="360" w:lineRule="auto"/>
        <w:ind w:firstLine="420" w:firstLineChars="200"/>
        <w:rPr>
          <w:rFonts w:hint="eastAsia" w:ascii="宋体" w:hAnsi="宋体" w:eastAsia="宋体" w:cs="宋体"/>
          <w:kern w:val="2"/>
          <w:sz w:val="21"/>
          <w:szCs w:val="21"/>
          <w:lang w:val="zh-TW" w:eastAsia="zh-TW" w:bidi="ar-SA"/>
        </w:rPr>
      </w:pPr>
      <w:r>
        <w:rPr>
          <w:rFonts w:hint="eastAsia" w:ascii="宋体" w:hAnsi="宋体" w:eastAsia="宋体" w:cs="宋体"/>
          <w:kern w:val="2"/>
          <w:sz w:val="21"/>
          <w:szCs w:val="21"/>
          <w:lang w:val="zh-TW" w:eastAsia="zh-TW" w:bidi="ar-SA"/>
        </w:rPr>
        <w:t>在政务云网安全服务采购的基础上，按照“谁建设、谁负责，谁运营、谁负责”的原则，进一步明确政务云供应商安全工作中的关键角色及其安全工作任务；规划设计政务云供应商信息安全管理组织架构，细化各岗位的工作职责。全面梳理各个关键角色的安全工作内容及责任划分，细化事前、事中、事后各项安全工作的分工和各角色之间的责任边界。</w:t>
      </w:r>
    </w:p>
    <w:p>
      <w:pPr>
        <w:pStyle w:val="4"/>
        <w:pageBreakBefore w:val="0"/>
        <w:kinsoku/>
        <w:wordWrap w:val="0"/>
        <w:overflowPunct/>
        <w:topLinePunct/>
        <w:bidi w:val="0"/>
        <w:adjustRightInd/>
        <w:snapToGrid/>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②建立全面的安全监测机制</w:t>
      </w:r>
    </w:p>
    <w:p>
      <w:pPr>
        <w:pStyle w:val="4"/>
        <w:pageBreakBefore w:val="0"/>
        <w:kinsoku/>
        <w:wordWrap w:val="0"/>
        <w:overflowPunct/>
        <w:topLinePunct/>
        <w:bidi w:val="0"/>
        <w:adjustRightInd/>
        <w:snapToGrid/>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已有的政务云网安全监测基础上，按照云供应商各自负责的要求，对未纳入及新增的云计算平台、网络设备、安全设备、应用软件等进行多层次的动态事件监控；外部实施全网全方位的网络安全监测，实现安全事件的统一收集和处理，用于预警、分析和追查。实现尽早预测安全威胁、及时发现安全事件；进而快速做好防护应对，全面掌控政务云的安全现状。</w:t>
      </w:r>
    </w:p>
    <w:p>
      <w:pPr>
        <w:pStyle w:val="4"/>
        <w:pageBreakBefore w:val="0"/>
        <w:kinsoku/>
        <w:wordWrap w:val="0"/>
        <w:overflowPunct/>
        <w:topLinePunct/>
        <w:bidi w:val="0"/>
        <w:adjustRightInd/>
        <w:snapToGrid/>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③综合运用各种安全保障技术解决实际问题</w:t>
      </w:r>
    </w:p>
    <w:p>
      <w:pPr>
        <w:pStyle w:val="4"/>
        <w:pageBreakBefore w:val="0"/>
        <w:kinsoku/>
        <w:wordWrap w:val="0"/>
        <w:overflowPunct/>
        <w:topLinePunct/>
        <w:bidi w:val="0"/>
        <w:adjustRightInd/>
        <w:snapToGrid/>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已有的政务云网安全监测基础上，根据各自云供应商的特点及应用的实际安全需求制定切实可行的安全防护策略，将传统安全保障措施与先进安全技术相结合，科学解决云计算应用和互联网发展带来的网络安全风险与隐患，保障云平台安全和各种具体应用场景下的安全，有效提高抵御和防范风险能力。</w:t>
      </w:r>
    </w:p>
    <w:p>
      <w:pPr>
        <w:pStyle w:val="4"/>
        <w:pageBreakBefore w:val="0"/>
        <w:kinsoku/>
        <w:wordWrap w:val="0"/>
        <w:overflowPunct/>
        <w:topLinePunct/>
        <w:bidi w:val="0"/>
        <w:adjustRightInd/>
        <w:snapToGrid/>
        <w:spacing w:line="360" w:lineRule="auto"/>
        <w:ind w:firstLine="420" w:firstLineChars="20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④云供应商须遵守数据安全和保护工作相关规定</w:t>
      </w:r>
    </w:p>
    <w:p>
      <w:pPr>
        <w:pStyle w:val="4"/>
        <w:pageBreakBefore w:val="0"/>
        <w:kinsoku/>
        <w:wordWrap w:val="0"/>
        <w:overflowPunct/>
        <w:topLinePunct/>
        <w:bidi w:val="0"/>
        <w:adjustRightInd/>
        <w:snapToGrid/>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一、遵守《中华人民共和国计算机信息系统安全保护条例》和《计算机信息网络国际联网安全保护管理办法》及有关法律、法规和行政规章制度、文件规定。</w:t>
      </w:r>
    </w:p>
    <w:p>
      <w:pPr>
        <w:pStyle w:val="4"/>
        <w:pageBreakBefore w:val="0"/>
        <w:kinsoku/>
        <w:wordWrap w:val="0"/>
        <w:overflowPunct/>
        <w:topLinePunct/>
        <w:bidi w:val="0"/>
        <w:adjustRightInd/>
        <w:snapToGrid/>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二、妥善保管涉及政务云相关数据的软（硬）件、账号权限，防止泄漏、传播或转借他人。</w:t>
      </w:r>
    </w:p>
    <w:p>
      <w:pPr>
        <w:pStyle w:val="4"/>
        <w:pageBreakBefore w:val="0"/>
        <w:kinsoku/>
        <w:wordWrap w:val="0"/>
        <w:overflowPunct/>
        <w:topLinePunct/>
        <w:bidi w:val="0"/>
        <w:adjustRightInd/>
        <w:snapToGrid/>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三、不在未经授权情况下对政务云平台所涉及的相关数据进行增加、删除和修改等操作，严格防止相关数据被恶意破坏。</w:t>
      </w:r>
    </w:p>
    <w:p>
      <w:pPr>
        <w:pStyle w:val="4"/>
        <w:pageBreakBefore w:val="0"/>
        <w:kinsoku/>
        <w:wordWrap w:val="0"/>
        <w:overflowPunct/>
        <w:topLinePunct/>
        <w:bidi w:val="0"/>
        <w:adjustRightInd/>
        <w:snapToGrid/>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四、如发现云平台安全隐患或其它不安全因素，第一时间上报并密切配合采购方按照相关处置流程做好信息安全事件相关工作，采取措施消除安全隐患。</w:t>
      </w:r>
    </w:p>
    <w:p>
      <w:pPr>
        <w:pStyle w:val="4"/>
        <w:pageBreakBefore w:val="0"/>
        <w:kinsoku/>
        <w:wordWrap w:val="0"/>
        <w:overflowPunct/>
        <w:topLinePunct/>
        <w:bidi w:val="0"/>
        <w:adjustRightInd/>
        <w:snapToGrid/>
        <w:spacing w:line="360" w:lineRule="auto"/>
        <w:ind w:firstLine="420" w:firstLineChars="200"/>
        <w:rPr>
          <w:rFonts w:hint="eastAsia"/>
          <w:lang w:val="en-US" w:eastAsia="zh-CN"/>
        </w:rPr>
      </w:pPr>
      <w:r>
        <w:rPr>
          <w:rFonts w:hint="eastAsia" w:ascii="宋体" w:hAnsi="宋体" w:eastAsia="宋体" w:cs="宋体"/>
          <w:kern w:val="2"/>
          <w:sz w:val="21"/>
          <w:szCs w:val="21"/>
          <w:lang w:val="en-US" w:eastAsia="zh-CN" w:bidi="ar-SA"/>
        </w:rPr>
        <w:t>五、建立云平台安全应急处置机制，一旦发现有关保密信息已经泄露或可能泄露，立即通知主管部门，共同采取相应措施，查找相关工作人员和泄漏原因、线索和证据，并承担相应责任。</w:t>
      </w:r>
    </w:p>
    <w:p>
      <w:pPr>
        <w:pStyle w:val="4"/>
        <w:pageBreakBefore w:val="0"/>
        <w:kinsoku/>
        <w:wordWrap w:val="0"/>
        <w:overflowPunct/>
        <w:topLinePunct/>
        <w:bidi w:val="0"/>
        <w:adjustRightInd/>
        <w:snapToGrid/>
        <w:spacing w:line="360" w:lineRule="auto"/>
        <w:ind w:firstLine="422" w:firstLineChars="20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（二）安全建设内容</w:t>
      </w:r>
    </w:p>
    <w:p>
      <w:pPr>
        <w:pStyle w:val="4"/>
        <w:pageBreakBefore w:val="0"/>
        <w:kinsoku/>
        <w:wordWrap w:val="0"/>
        <w:overflowPunct/>
        <w:topLinePunct/>
        <w:bidi w:val="0"/>
        <w:adjustRightInd/>
        <w:snapToGrid/>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除基础共性服务全覆盖外，通过建设政务云安全组件，落实安全服务目录化，云上用户可根据需要，构建自己的安全防护体系。满足云上用户对安全的各种需要，覆盖从远程接入、边界防护、入侵防护、病毒过滤、终端防护、堡垒机、数据库审计等全面的安全能力。</w:t>
      </w:r>
    </w:p>
    <w:p>
      <w:pPr>
        <w:pStyle w:val="4"/>
        <w:pageBreakBefore w:val="0"/>
        <w:kinsoku/>
        <w:wordWrap w:val="0"/>
        <w:overflowPunct/>
        <w:topLinePunct/>
        <w:bidi w:val="0"/>
        <w:adjustRightInd/>
        <w:snapToGrid/>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在已有的政务云网安全监测基础上，云供应商按要求能对部署在云平台上的应用系统提供统一的安全服务，所有提供安全服务设备的日志须按要求传给态势感知平台，提供的安全服务包括但不限于以下内容。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6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rPr>
              <w:t>指标项</w:t>
            </w:r>
          </w:p>
        </w:tc>
        <w:tc>
          <w:tcPr>
            <w:tcW w:w="0" w:type="auto"/>
            <w:noWrap w:val="0"/>
            <w:vAlign w:val="top"/>
          </w:tcPr>
          <w:p>
            <w:pPr>
              <w:pageBreakBefore w:val="0"/>
              <w:widowControl/>
              <w:kinsoku/>
              <w:wordWrap w:val="0"/>
              <w:overflowPunct/>
              <w:topLinePunct/>
              <w:bidi w:val="0"/>
              <w:adjustRightInd/>
              <w:snapToGrid/>
              <w:spacing w:line="360" w:lineRule="auto"/>
              <w:jc w:val="center"/>
              <w:rPr>
                <w:rFonts w:hint="eastAsia" w:ascii="宋体" w:hAnsi="宋体" w:eastAsia="宋体" w:cs="宋体"/>
                <w:bCs/>
                <w:kern w:val="0"/>
                <w:sz w:val="21"/>
                <w:szCs w:val="21"/>
              </w:rPr>
            </w:pPr>
            <w:r>
              <w:rPr>
                <w:rFonts w:hint="eastAsia" w:ascii="宋体" w:hAnsi="宋体" w:eastAsia="宋体" w:cs="宋体"/>
                <w:sz w:val="21"/>
                <w:szCs w:val="21"/>
                <w:u w:val="none"/>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rPr>
              <w:t>下一代防火墙</w:t>
            </w:r>
            <w:r>
              <w:rPr>
                <w:rFonts w:hint="eastAsia" w:ascii="宋体" w:hAnsi="宋体" w:cs="宋体"/>
                <w:szCs w:val="21"/>
              </w:rPr>
              <w:t>（含传统防火墙、IPS、防病毒网关）</w:t>
            </w:r>
          </w:p>
        </w:tc>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eastAsia="宋体" w:cs="宋体"/>
                <w:bCs/>
                <w:kern w:val="0"/>
                <w:sz w:val="21"/>
                <w:szCs w:val="21"/>
              </w:rPr>
            </w:pPr>
            <w:r>
              <w:rPr>
                <w:rFonts w:hint="eastAsia" w:ascii="宋体" w:hAnsi="宋体" w:cs="宋体"/>
                <w:bCs/>
                <w:kern w:val="0"/>
                <w:szCs w:val="21"/>
              </w:rPr>
              <w:t>作用于信息系统所有子网及安全域；控制进出各子网的所有数据流量，阻止各类非法应用，并提供边界处访问控制、包过滤、防病毒、入侵防护等功能。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rPr>
              <w:t>Web应用防火墙</w:t>
            </w:r>
          </w:p>
        </w:tc>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eastAsia="宋体" w:cs="宋体"/>
                <w:bCs/>
                <w:kern w:val="0"/>
                <w:sz w:val="21"/>
                <w:szCs w:val="21"/>
              </w:rPr>
            </w:pPr>
            <w:r>
              <w:rPr>
                <w:rFonts w:hint="eastAsia" w:ascii="宋体" w:hAnsi="宋体" w:cs="宋体"/>
                <w:bCs/>
                <w:kern w:val="0"/>
                <w:szCs w:val="21"/>
              </w:rPr>
              <w:t>对访问应用系统的行为进行检测，并阻断恶意攻击行为。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cs="宋体"/>
                <w:bCs/>
                <w:kern w:val="0"/>
                <w:sz w:val="21"/>
                <w:szCs w:val="21"/>
                <w:lang w:val="en-US" w:eastAsia="zh-CN" w:bidi="ar-SA"/>
              </w:rPr>
            </w:pPr>
            <w:r>
              <w:rPr>
                <w:rFonts w:hint="eastAsia" w:ascii="宋体" w:hAnsi="宋体" w:cs="宋体"/>
                <w:szCs w:val="21"/>
              </w:rPr>
              <w:t>网页防篡改</w:t>
            </w:r>
          </w:p>
        </w:tc>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cs="宋体"/>
                <w:bCs/>
                <w:kern w:val="0"/>
                <w:sz w:val="21"/>
                <w:szCs w:val="21"/>
                <w:lang w:val="en-US" w:eastAsia="zh-CN" w:bidi="ar-SA"/>
              </w:rPr>
            </w:pPr>
            <w:r>
              <w:rPr>
                <w:rFonts w:hint="eastAsia" w:ascii="宋体" w:hAnsi="宋体" w:cs="宋体"/>
                <w:szCs w:val="21"/>
              </w:rPr>
              <w:t>防止首页或特定的文件防篡改等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cs="宋体"/>
                <w:kern w:val="2"/>
                <w:sz w:val="21"/>
                <w:szCs w:val="21"/>
                <w:lang w:val="en-US" w:eastAsia="zh-CN" w:bidi="ar-SA"/>
              </w:rPr>
            </w:pPr>
            <w:r>
              <w:rPr>
                <w:rFonts w:hint="eastAsia" w:ascii="宋体" w:hAnsi="宋体" w:cs="宋体"/>
                <w:szCs w:val="21"/>
              </w:rPr>
              <w:t>主机安全</w:t>
            </w:r>
          </w:p>
        </w:tc>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cs="宋体"/>
                <w:szCs w:val="21"/>
              </w:rPr>
            </w:pPr>
            <w:r>
              <w:rPr>
                <w:rFonts w:hint="eastAsia" w:ascii="仿宋" w:hAnsi="仿宋" w:eastAsia="仿宋" w:cs="仿宋"/>
                <w:kern w:val="2"/>
                <w:sz w:val="21"/>
                <w:szCs w:val="21"/>
                <w:highlight w:val="none"/>
                <w:lang w:val="en-US" w:eastAsia="zh-CN" w:bidi="ar-SA"/>
              </w:rPr>
              <w:t>△</w:t>
            </w:r>
            <w:r>
              <w:rPr>
                <w:rFonts w:hint="eastAsia" w:ascii="宋体" w:hAnsi="宋体" w:cs="宋体"/>
                <w:szCs w:val="21"/>
              </w:rPr>
              <w:t>具备防恶意软件、日志审计、防病毒、资产管理、EDR功能模块；（提供截图证明）</w:t>
            </w:r>
          </w:p>
          <w:p>
            <w:pPr>
              <w:pageBreakBefore w:val="0"/>
              <w:widowControl/>
              <w:kinsoku/>
              <w:wordWrap w:val="0"/>
              <w:overflowPunct/>
              <w:topLinePunct/>
              <w:bidi w:val="0"/>
              <w:adjustRightInd/>
              <w:snapToGrid/>
              <w:spacing w:line="360" w:lineRule="auto"/>
              <w:jc w:val="left"/>
              <w:rPr>
                <w:rFonts w:hint="eastAsia" w:ascii="宋体" w:hAnsi="宋体" w:cs="宋体"/>
                <w:szCs w:val="21"/>
              </w:rPr>
            </w:pPr>
            <w:r>
              <w:rPr>
                <w:rFonts w:hint="eastAsia" w:ascii="宋体" w:hAnsi="宋体" w:cs="宋体"/>
                <w:szCs w:val="21"/>
              </w:rPr>
              <w:t>支持本地扫描和云安全扫描，具备本地病毒码和云端病毒码，支持实时扫描，预设扫描、手动扫描和快速扫描；</w:t>
            </w:r>
          </w:p>
          <w:p>
            <w:pPr>
              <w:pageBreakBefore w:val="0"/>
              <w:widowControl/>
              <w:kinsoku/>
              <w:wordWrap w:val="0"/>
              <w:overflowPunct/>
              <w:topLinePunct/>
              <w:bidi w:val="0"/>
              <w:adjustRightInd/>
              <w:snapToGrid/>
              <w:spacing w:line="360" w:lineRule="auto"/>
              <w:jc w:val="left"/>
              <w:rPr>
                <w:rFonts w:hint="eastAsia" w:ascii="宋体" w:hAnsi="宋体" w:cs="宋体"/>
                <w:szCs w:val="21"/>
              </w:rPr>
            </w:pPr>
            <w:r>
              <w:rPr>
                <w:rFonts w:hint="eastAsia" w:ascii="宋体" w:hAnsi="宋体" w:cs="宋体"/>
                <w:szCs w:val="21"/>
              </w:rPr>
              <w:t>对病毒的处理措施支持：清除、删除、拒绝访问、隔离、不予处理，系统针对不同的病毒类型提供默认配置，同时支持用户自定义。</w:t>
            </w:r>
          </w:p>
          <w:p>
            <w:pPr>
              <w:pageBreakBefore w:val="0"/>
              <w:widowControl/>
              <w:kinsoku/>
              <w:wordWrap w:val="0"/>
              <w:overflowPunct/>
              <w:topLinePunct/>
              <w:bidi w:val="0"/>
              <w:adjustRightInd/>
              <w:snapToGrid/>
              <w:spacing w:line="360" w:lineRule="auto"/>
              <w:jc w:val="left"/>
              <w:rPr>
                <w:rFonts w:hint="eastAsia" w:ascii="宋体" w:hAnsi="宋体" w:cs="宋体"/>
                <w:kern w:val="2"/>
                <w:sz w:val="21"/>
                <w:szCs w:val="21"/>
                <w:lang w:val="en-US" w:eastAsia="zh-CN" w:bidi="ar-SA"/>
              </w:rPr>
            </w:pPr>
            <w:r>
              <w:rPr>
                <w:rFonts w:hint="eastAsia" w:ascii="宋体" w:hAnsi="宋体" w:cs="宋体"/>
                <w:szCs w:val="21"/>
              </w:rPr>
              <w:t>支持通过对操作系统行为高清记录和长期存储，对操作系统、应用软件和账号资产进行动态发现，基于行为规则IOA检测的威胁包括暴力密码破解攻击、WebShell攻击、提权攻击、漏洞攻击和无文件攻击等类型高级威胁进行关联分析及检测，通过绘制进程事件树实现攻击可视化，对受害主机进行远程遏制和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cs="宋体"/>
                <w:kern w:val="2"/>
                <w:sz w:val="21"/>
                <w:szCs w:val="21"/>
                <w:lang w:val="en-US" w:eastAsia="zh-CN" w:bidi="ar-SA"/>
              </w:rPr>
            </w:pPr>
            <w:r>
              <w:rPr>
                <w:rFonts w:hint="eastAsia" w:ascii="宋体" w:hAnsi="宋体" w:cs="宋体"/>
                <w:szCs w:val="21"/>
              </w:rPr>
              <w:t>VPN安全接入</w:t>
            </w:r>
          </w:p>
        </w:tc>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cs="宋体"/>
                <w:kern w:val="2"/>
                <w:sz w:val="21"/>
                <w:szCs w:val="21"/>
                <w:lang w:val="en-US" w:eastAsia="zh-CN" w:bidi="ar-SA"/>
              </w:rPr>
            </w:pPr>
            <w:r>
              <w:rPr>
                <w:rFonts w:hint="eastAsia" w:ascii="宋体" w:hAnsi="宋体" w:cs="宋体"/>
                <w:szCs w:val="21"/>
              </w:rPr>
              <w:t>提供SSL VPN或IPSEC VPN接入服务。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cs="宋体"/>
                <w:kern w:val="2"/>
                <w:sz w:val="21"/>
                <w:szCs w:val="21"/>
                <w:lang w:val="en-US" w:eastAsia="zh-CN" w:bidi="ar-SA"/>
              </w:rPr>
            </w:pPr>
            <w:r>
              <w:rPr>
                <w:rFonts w:hint="eastAsia" w:ascii="宋体" w:hAnsi="宋体" w:cs="宋体"/>
                <w:szCs w:val="21"/>
                <w:lang w:eastAsia="zh-Hans"/>
              </w:rPr>
              <w:t>运维审计（堡垒机）</w:t>
            </w:r>
          </w:p>
        </w:tc>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cs="宋体"/>
                <w:kern w:val="2"/>
                <w:sz w:val="21"/>
                <w:szCs w:val="21"/>
                <w:lang w:val="en-US" w:eastAsia="zh-CN" w:bidi="ar-SA"/>
              </w:rPr>
            </w:pPr>
            <w:r>
              <w:rPr>
                <w:rFonts w:hint="eastAsia" w:ascii="宋体" w:hAnsi="宋体" w:cs="宋体"/>
                <w:szCs w:val="21"/>
                <w:lang w:eastAsia="zh-Hans"/>
              </w:rPr>
              <w:t>针对RDP、VNC、X11等图形终端操作的连接情况进行记录及审计；记录发生时间、发生地址、服务端IP、客户端IP、操作指令、返回信息、操作备注、客户端端口、服务器端口、运维用户帐号、运维用户姓名、审批用户帐号、审批用户姓名、服务器用户名等信息；针对RDP、VNC、X11等图形终端操作的连接情况进行记录及审计，并支持保存审计日志（视频）180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cs="宋体"/>
                <w:bCs/>
                <w:kern w:val="0"/>
                <w:sz w:val="21"/>
                <w:szCs w:val="21"/>
                <w:lang w:val="en-US" w:eastAsia="zh-CN" w:bidi="ar-SA"/>
              </w:rPr>
            </w:pPr>
            <w:r>
              <w:rPr>
                <w:rFonts w:hint="eastAsia" w:ascii="宋体" w:hAnsi="宋体" w:cs="宋体"/>
                <w:bCs/>
                <w:kern w:val="0"/>
                <w:szCs w:val="21"/>
              </w:rPr>
              <w:t>数据库审计</w:t>
            </w:r>
          </w:p>
        </w:tc>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cs="宋体"/>
                <w:bCs/>
                <w:kern w:val="0"/>
                <w:sz w:val="21"/>
                <w:szCs w:val="21"/>
                <w:lang w:val="en-US" w:eastAsia="zh-CN" w:bidi="ar-SA"/>
              </w:rPr>
            </w:pPr>
            <w:r>
              <w:rPr>
                <w:rFonts w:hint="eastAsia" w:ascii="宋体" w:hAnsi="宋体" w:cs="宋体"/>
                <w:bCs/>
                <w:kern w:val="0"/>
                <w:szCs w:val="21"/>
              </w:rPr>
              <w:t>对内部用户对数据库的操作进行细粒度的审计并分析，发现危险行为。支持单一数据库和全局数据库两个维度分别审计展示、查询。</w:t>
            </w:r>
            <w:r>
              <w:rPr>
                <w:rFonts w:hint="eastAsia" w:ascii="宋体" w:hAnsi="宋体" w:cs="宋体"/>
                <w:szCs w:val="21"/>
                <w:lang w:eastAsia="zh-Hans"/>
              </w:rPr>
              <w:t>支持多种数据库类型的审计，支持Oracle数据库审计、SQL-Server数据库审计、DB2数据库审计、MySQL数据等</w:t>
            </w:r>
            <w:r>
              <w:rPr>
                <w:rFonts w:hint="eastAsia" w:ascii="宋体" w:hAnsi="宋体" w:cs="宋体"/>
                <w:szCs w:val="21"/>
              </w:rPr>
              <w:t>。智能解析数据库通信流量，细粒度审计数据库访问行为，通过对数据库全量行为的审计溯源、危险攻击的实时告警、风险语句的智能预警。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cs="宋体"/>
                <w:bCs/>
                <w:kern w:val="0"/>
                <w:sz w:val="21"/>
                <w:szCs w:val="21"/>
                <w:lang w:val="en-US" w:eastAsia="zh-CN" w:bidi="ar-SA"/>
              </w:rPr>
            </w:pPr>
            <w:r>
              <w:rPr>
                <w:rFonts w:hint="eastAsia" w:ascii="宋体" w:hAnsi="宋体" w:cs="宋体"/>
                <w:szCs w:val="21"/>
                <w:lang w:eastAsia="zh-Hans"/>
              </w:rPr>
              <w:t>综合日志审计</w:t>
            </w:r>
          </w:p>
        </w:tc>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cs="宋体"/>
                <w:bCs/>
                <w:kern w:val="0"/>
                <w:sz w:val="21"/>
                <w:szCs w:val="21"/>
                <w:lang w:val="en-US" w:eastAsia="zh-CN" w:bidi="ar-SA"/>
              </w:rPr>
            </w:pPr>
            <w:r>
              <w:rPr>
                <w:rFonts w:hint="eastAsia" w:ascii="宋体" w:hAnsi="宋体" w:cs="宋体"/>
                <w:szCs w:val="21"/>
                <w:lang w:eastAsia="zh-Hans"/>
              </w:rPr>
              <w:t>系统支持从不同设备或系统中所获得的各类日志、事件中抽取相关片段准确和完整地映射至安全事件的标准字段；对安全事件重新定级。能根据统一的安全策略，按照安全设备识别名、事件类别、事件级别等所有可能的条件及各种条件的组合对事件严重级别进行重定义；含运维及报表服务</w:t>
            </w:r>
            <w:r>
              <w:rPr>
                <w:rFonts w:hint="eastAsia" w:ascii="宋体" w:hAnsi="宋体" w:cs="宋体"/>
                <w:szCs w:val="21"/>
              </w:rPr>
              <w:t>，</w:t>
            </w:r>
            <w:r>
              <w:rPr>
                <w:rFonts w:hint="eastAsia" w:ascii="宋体" w:hAnsi="宋体" w:cs="宋体"/>
                <w:szCs w:val="21"/>
                <w:lang w:eastAsia="zh-Hans"/>
              </w:rPr>
              <w:t>支持自定义存储周期和日志保存时长；支持180天以上的保存时长自定义配置；支持存储空间监控，存储日志达到上限时告警响应。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cs="宋体"/>
                <w:kern w:val="2"/>
                <w:sz w:val="21"/>
                <w:szCs w:val="21"/>
                <w:lang w:val="en-US" w:eastAsia="zh-Hans" w:bidi="ar-SA"/>
              </w:rPr>
            </w:pPr>
            <w:r>
              <w:rPr>
                <w:rFonts w:hint="eastAsia" w:ascii="宋体" w:hAnsi="宋体" w:cs="宋体"/>
                <w:szCs w:val="21"/>
                <w:lang w:eastAsia="zh-Hans"/>
              </w:rPr>
              <w:t>态势感知</w:t>
            </w:r>
          </w:p>
        </w:tc>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cs="宋体"/>
                <w:bCs/>
                <w:kern w:val="0"/>
                <w:sz w:val="21"/>
                <w:szCs w:val="21"/>
                <w:lang w:val="en-US" w:eastAsia="zh-CN" w:bidi="ar-SA"/>
              </w:rPr>
            </w:pPr>
            <w:r>
              <w:rPr>
                <w:rFonts w:hint="eastAsia" w:ascii="宋体" w:hAnsi="宋体" w:cs="宋体"/>
                <w:bCs/>
                <w:kern w:val="0"/>
                <w:szCs w:val="21"/>
              </w:rPr>
              <w:t>管理所有安全设备及部分网络设备；对安全设备和部分网络设备进行统一管理、状态监控、策略下发，实现全局网络安全态势感知。</w:t>
            </w:r>
            <w:r>
              <w:rPr>
                <w:rFonts w:hint="eastAsia" w:ascii="宋体" w:hAnsi="宋体" w:cs="宋体"/>
                <w:color w:val="000000"/>
                <w:kern w:val="0"/>
                <w:szCs w:val="21"/>
                <w:lang w:eastAsia="zh-Hans"/>
              </w:rPr>
              <w:t>态势感知在集中管理所有安全组件日志数据的基础上，综合运用攻击地图、安全拓扑等可视化技术手段，对云中及网络资产的安全风险、攻击威胁的分布、趋势、来源进行综合的感知呈现，为总体把握安全态势提供有力支撑</w:t>
            </w:r>
            <w:r>
              <w:rPr>
                <w:rFonts w:hint="eastAsia" w:ascii="宋体" w:hAnsi="宋体" w:cs="宋体"/>
                <w:color w:val="000000"/>
                <w:kern w:val="0"/>
                <w:szCs w:val="21"/>
              </w:rPr>
              <w:t>，</w:t>
            </w:r>
            <w:r>
              <w:rPr>
                <w:rFonts w:hint="eastAsia" w:ascii="宋体" w:hAnsi="宋体" w:cs="宋体"/>
                <w:color w:val="000000"/>
                <w:kern w:val="0"/>
                <w:szCs w:val="21"/>
                <w:lang w:eastAsia="zh-Hans"/>
              </w:rPr>
              <w:t>且能为各部门提供提供安全态势大屏，推送告警等信息</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cs="宋体"/>
                <w:bCs/>
                <w:kern w:val="0"/>
                <w:sz w:val="21"/>
                <w:szCs w:val="21"/>
                <w:lang w:val="en-US" w:eastAsia="zh-CN" w:bidi="ar-SA"/>
              </w:rPr>
            </w:pPr>
            <w:r>
              <w:rPr>
                <w:rFonts w:hint="eastAsia" w:ascii="宋体" w:hAnsi="宋体" w:cs="宋体"/>
                <w:bCs/>
                <w:kern w:val="0"/>
                <w:szCs w:val="21"/>
              </w:rPr>
              <w:t>网络安全扫描</w:t>
            </w:r>
          </w:p>
        </w:tc>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cs="宋体"/>
                <w:bCs/>
                <w:kern w:val="0"/>
                <w:sz w:val="21"/>
                <w:szCs w:val="21"/>
                <w:lang w:val="en-US" w:eastAsia="zh-CN" w:bidi="ar-SA"/>
              </w:rPr>
            </w:pPr>
            <w:r>
              <w:rPr>
                <w:rFonts w:hint="eastAsia" w:ascii="宋体" w:hAnsi="宋体" w:cs="宋体"/>
                <w:bCs/>
                <w:kern w:val="0"/>
                <w:szCs w:val="21"/>
              </w:rPr>
              <w:t>对主机、网络设备、恶意代码等进行漏洞检测。支持资产导入功能，包括域名资产、IP资产、URL资产，实时查看资产导入和扫描进度。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cs="宋体"/>
                <w:bCs/>
                <w:kern w:val="0"/>
                <w:sz w:val="21"/>
                <w:szCs w:val="21"/>
                <w:lang w:val="en-US" w:eastAsia="zh-CN" w:bidi="ar-SA"/>
              </w:rPr>
            </w:pPr>
            <w:r>
              <w:rPr>
                <w:rFonts w:hint="eastAsia" w:ascii="宋体" w:hAnsi="宋体" w:cs="宋体"/>
                <w:bCs/>
                <w:kern w:val="0"/>
                <w:szCs w:val="21"/>
              </w:rPr>
              <w:t>网络流量检测系统</w:t>
            </w:r>
          </w:p>
        </w:tc>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cs="宋体"/>
                <w:bCs/>
                <w:kern w:val="0"/>
                <w:sz w:val="21"/>
                <w:szCs w:val="21"/>
                <w:lang w:val="en-US" w:eastAsia="zh-CN" w:bidi="ar-SA"/>
              </w:rPr>
            </w:pPr>
            <w:r>
              <w:rPr>
                <w:rFonts w:hint="eastAsia" w:ascii="宋体" w:hAnsi="宋体" w:cs="宋体"/>
                <w:bCs/>
                <w:kern w:val="0"/>
                <w:szCs w:val="21"/>
              </w:rPr>
              <w:t>作用于信息系统的重要安全域；实时检测目标网络流量，监测 Web 应用攻击、SQL 注入、Webshell、恶意软件、恶意扫瞄、网络爬虫、挖矿、蠕虫、木马、僵尸网络、可疑行为；还可以进行原始流量还原审计以及 IOT 协议分析、白名单自学习、流量资产发现、资产视图、网络通讯关系视图等， 及时发现入侵行为并进行报警和审计，及时发现入侵行为并进行报警和审计。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cs="宋体"/>
                <w:bCs/>
                <w:kern w:val="0"/>
                <w:sz w:val="21"/>
                <w:szCs w:val="21"/>
                <w:lang w:val="en-US" w:eastAsia="zh-Hans" w:bidi="ar-SA"/>
              </w:rPr>
            </w:pPr>
            <w:r>
              <w:rPr>
                <w:rFonts w:hint="eastAsia" w:ascii="宋体" w:hAnsi="宋体" w:cs="宋体"/>
                <w:bCs/>
                <w:kern w:val="0"/>
                <w:szCs w:val="21"/>
              </w:rPr>
              <w:t>网络安全审计</w:t>
            </w:r>
          </w:p>
        </w:tc>
        <w:tc>
          <w:tcPr>
            <w:tcW w:w="0" w:type="auto"/>
            <w:noWrap w:val="0"/>
            <w:vAlign w:val="top"/>
          </w:tcPr>
          <w:p>
            <w:pPr>
              <w:pageBreakBefore w:val="0"/>
              <w:widowControl/>
              <w:kinsoku/>
              <w:wordWrap w:val="0"/>
              <w:overflowPunct/>
              <w:topLinePunct/>
              <w:bidi w:val="0"/>
              <w:adjustRightInd/>
              <w:snapToGrid/>
              <w:spacing w:line="360" w:lineRule="auto"/>
              <w:jc w:val="left"/>
              <w:rPr>
                <w:rFonts w:hint="eastAsia" w:ascii="宋体" w:hAnsi="宋体" w:cs="宋体"/>
                <w:bCs/>
                <w:kern w:val="0"/>
                <w:sz w:val="21"/>
                <w:szCs w:val="21"/>
                <w:lang w:val="en-US" w:eastAsia="zh-CN" w:bidi="ar-SA"/>
              </w:rPr>
            </w:pPr>
            <w:r>
              <w:rPr>
                <w:rFonts w:hint="eastAsia" w:ascii="宋体" w:hAnsi="宋体" w:cs="宋体"/>
                <w:bCs/>
                <w:kern w:val="0"/>
                <w:szCs w:val="21"/>
              </w:rPr>
              <w:t>对信息系统网络行为监控和审计，及时发现网络应用异常行为。为集中安全管理提供监控数据</w:t>
            </w:r>
          </w:p>
        </w:tc>
      </w:tr>
    </w:tbl>
    <w:p>
      <w:pPr>
        <w:pageBreakBefore w:val="0"/>
        <w:numPr>
          <w:ilvl w:val="0"/>
          <w:numId w:val="0"/>
        </w:numPr>
        <w:kinsoku/>
        <w:wordWrap w:val="0"/>
        <w:overflowPunct/>
        <w:topLinePunct/>
        <w:bidi w:val="0"/>
        <w:adjustRightInd/>
        <w:snapToGrid/>
        <w:spacing w:line="360" w:lineRule="auto"/>
        <w:ind w:firstLine="0" w:firstLineChars="0"/>
        <w:rPr>
          <w:rFonts w:hint="default" w:ascii="宋体" w:hAnsi="宋体" w:eastAsia="宋体" w:cs="宋体"/>
          <w:szCs w:val="21"/>
          <w:u w:val="none"/>
        </w:rPr>
      </w:pPr>
    </w:p>
    <w:p>
      <w:pPr>
        <w:pageBreakBefore w:val="0"/>
        <w:numPr>
          <w:ilvl w:val="0"/>
          <w:numId w:val="5"/>
        </w:numPr>
        <w:kinsoku/>
        <w:wordWrap w:val="0"/>
        <w:overflowPunct/>
        <w:topLinePunct/>
        <w:bidi w:val="0"/>
        <w:adjustRightInd/>
        <w:snapToGrid/>
        <w:spacing w:line="360" w:lineRule="auto"/>
        <w:ind w:firstLine="422" w:firstLineChars="200"/>
        <w:rPr>
          <w:rFonts w:hint="eastAsia" w:ascii="宋体" w:hAnsi="宋体" w:eastAsia="宋体" w:cs="宋体"/>
          <w:b/>
          <w:bCs/>
          <w:sz w:val="21"/>
          <w:szCs w:val="21"/>
          <w:u w:val="none"/>
        </w:rPr>
      </w:pPr>
      <w:r>
        <w:rPr>
          <w:rFonts w:hint="eastAsia" w:ascii="宋体" w:hAnsi="宋体" w:eastAsia="宋体" w:cs="宋体"/>
          <w:b/>
          <w:bCs/>
          <w:sz w:val="21"/>
          <w:szCs w:val="21"/>
          <w:u w:val="none"/>
        </w:rPr>
        <w:t>运维保障服务</w:t>
      </w:r>
    </w:p>
    <w:p>
      <w:pPr>
        <w:pageBreakBefore w:val="0"/>
        <w:kinsoku/>
        <w:wordWrap w:val="0"/>
        <w:overflowPunct/>
        <w:topLinePunct/>
        <w:bidi w:val="0"/>
        <w:adjustRightInd/>
        <w:snapToGrid/>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1</w:t>
      </w:r>
      <w:r>
        <w:rPr>
          <w:rFonts w:hint="eastAsia" w:ascii="宋体" w:hAnsi="宋体" w:eastAsia="宋体" w:cs="宋体"/>
          <w:sz w:val="21"/>
          <w:szCs w:val="21"/>
          <w:u w:val="none"/>
        </w:rPr>
        <w:t>）平台</w:t>
      </w:r>
      <w:r>
        <w:rPr>
          <w:rFonts w:hint="eastAsia" w:ascii="宋体" w:hAnsi="宋体" w:eastAsia="宋体" w:cs="宋体"/>
          <w:sz w:val="21"/>
          <w:szCs w:val="21"/>
          <w:u w:val="none"/>
          <w:lang w:eastAsia="zh-CN"/>
        </w:rPr>
        <w:t>密码测评</w:t>
      </w:r>
    </w:p>
    <w:p>
      <w:pPr>
        <w:pStyle w:val="4"/>
        <w:pageBreakBefore w:val="0"/>
        <w:kinsoku/>
        <w:wordWrap w:val="0"/>
        <w:overflowPunct/>
        <w:topLinePunct/>
        <w:bidi w:val="0"/>
        <w:adjustRightInd/>
        <w:snapToGrid/>
        <w:spacing w:line="360" w:lineRule="auto"/>
        <w:rPr>
          <w:rFonts w:hint="eastAsia" w:ascii="宋体" w:hAnsi="宋体" w:eastAsia="宋体" w:cs="宋体"/>
          <w:sz w:val="21"/>
          <w:szCs w:val="21"/>
          <w:u w:val="none"/>
          <w:lang w:eastAsia="zh-CN"/>
        </w:rPr>
      </w:pPr>
      <w:r>
        <w:rPr>
          <w:rFonts w:hint="eastAsia" w:ascii="宋体" w:hAnsi="宋体" w:eastAsia="宋体" w:cs="宋体"/>
          <w:sz w:val="21"/>
          <w:szCs w:val="21"/>
          <w:u w:val="none"/>
        </w:rPr>
        <w:t>根据国家密码管理局应发的《信息安全等级保护商用密码管理办法实施意见》要求，需要组织国家密码管理部门指定测评机构对平台进行密码测评</w:t>
      </w:r>
      <w:r>
        <w:rPr>
          <w:rFonts w:hint="eastAsia" w:ascii="宋体" w:hAnsi="宋体" w:eastAsia="宋体" w:cs="宋体"/>
          <w:sz w:val="21"/>
          <w:szCs w:val="21"/>
          <w:u w:val="none"/>
          <w:lang w:eastAsia="zh-CN"/>
        </w:rPr>
        <w:t>。</w:t>
      </w:r>
    </w:p>
    <w:p>
      <w:pPr>
        <w:pStyle w:val="4"/>
        <w:pageBreakBefore w:val="0"/>
        <w:kinsoku/>
        <w:wordWrap w:val="0"/>
        <w:overflowPunct/>
        <w:topLinePunct/>
        <w:bidi w:val="0"/>
        <w:adjustRightInd/>
        <w:snapToGrid/>
        <w:spacing w:line="360" w:lineRule="auto"/>
        <w:ind w:left="0" w:leftChars="0" w:firstLine="420" w:firstLineChars="200"/>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w:t>
      </w:r>
      <w:r>
        <w:rPr>
          <w:rFonts w:hint="eastAsia" w:ascii="宋体" w:hAnsi="宋体" w:eastAsia="宋体" w:cs="宋体"/>
          <w:sz w:val="21"/>
          <w:szCs w:val="21"/>
          <w:u w:val="none"/>
          <w:lang w:val="en-US" w:eastAsia="zh-CN"/>
        </w:rPr>
        <w:t>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投标人拟派本项目实施团队</w:t>
      </w:r>
      <w:r>
        <w:rPr>
          <w:rFonts w:hint="eastAsia" w:ascii="宋体" w:hAnsi="宋体" w:eastAsia="宋体" w:cs="宋体"/>
          <w:sz w:val="21"/>
          <w:szCs w:val="21"/>
          <w:u w:val="none"/>
          <w:lang w:eastAsia="zh-CN"/>
        </w:rPr>
        <w:t>须具有相关证书；</w:t>
      </w:r>
    </w:p>
    <w:p>
      <w:pPr>
        <w:pageBreakBefore w:val="0"/>
        <w:numPr>
          <w:ilvl w:val="-1"/>
          <w:numId w:val="0"/>
        </w:numPr>
        <w:kinsoku/>
        <w:wordWrap w:val="0"/>
        <w:overflowPunct/>
        <w:topLinePunct/>
        <w:bidi w:val="0"/>
        <w:adjustRightInd/>
        <w:snapToGrid/>
        <w:spacing w:line="540" w:lineRule="exact"/>
        <w:ind w:firstLine="0"/>
        <w:contextualSpacing/>
        <w:rPr>
          <w:rFonts w:ascii="仿宋_GB2312" w:eastAsia="仿宋_GB2312"/>
          <w:sz w:val="28"/>
          <w:szCs w:val="28"/>
        </w:rPr>
      </w:pPr>
    </w:p>
    <w:p>
      <w:pPr>
        <w:pageBreakBefore w:val="0"/>
        <w:numPr>
          <w:ilvl w:val="0"/>
          <w:numId w:val="5"/>
        </w:numPr>
        <w:kinsoku/>
        <w:wordWrap w:val="0"/>
        <w:overflowPunct/>
        <w:topLinePunct/>
        <w:bidi w:val="0"/>
        <w:adjustRightInd/>
        <w:snapToGrid/>
        <w:spacing w:line="360" w:lineRule="auto"/>
        <w:ind w:firstLine="422" w:firstLineChars="200"/>
        <w:rPr>
          <w:rFonts w:hint="eastAsia" w:ascii="宋体" w:hAnsi="宋体" w:eastAsia="宋体" w:cs="宋体"/>
          <w:b/>
          <w:bCs/>
          <w:szCs w:val="21"/>
          <w:u w:val="none"/>
          <w:lang w:val="en-US"/>
        </w:rPr>
      </w:pPr>
      <w:r>
        <w:rPr>
          <w:rFonts w:hint="eastAsia" w:ascii="宋体" w:hAnsi="宋体" w:eastAsia="宋体" w:cs="宋体"/>
          <w:b/>
          <w:bCs/>
          <w:szCs w:val="21"/>
          <w:u w:val="none"/>
          <w:lang w:val="en-US" w:eastAsia="zh-CN"/>
        </w:rPr>
        <w:t>政务云国产化资源</w:t>
      </w:r>
      <w:r>
        <w:rPr>
          <w:rFonts w:hint="eastAsia" w:ascii="宋体" w:hAnsi="宋体" w:eastAsia="宋体" w:cs="宋体"/>
          <w:b/>
          <w:bCs/>
          <w:szCs w:val="21"/>
          <w:u w:val="none"/>
          <w:lang w:val="en-US"/>
        </w:rPr>
        <w:t>总体要求</w:t>
      </w:r>
    </w:p>
    <w:tbl>
      <w:tblPr>
        <w:tblStyle w:val="15"/>
        <w:tblW w:w="9073" w:type="dxa"/>
        <w:tblInd w:w="-28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2"/>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 w:val="0"/>
                <w:bCs/>
                <w:kern w:val="0"/>
                <w:sz w:val="21"/>
                <w:szCs w:val="21"/>
                <w:shd w:val="clear" w:color="auto" w:fill="auto"/>
              </w:rPr>
            </w:pPr>
            <w:r>
              <w:rPr>
                <w:rFonts w:hint="eastAsia" w:ascii="宋体" w:hAnsi="宋体" w:cs="宋体" w:eastAsiaTheme="minorEastAsia"/>
                <w:b w:val="0"/>
                <w:bCs/>
                <w:kern w:val="0"/>
                <w:sz w:val="21"/>
                <w:szCs w:val="21"/>
                <w:shd w:val="clear" w:color="auto" w:fill="auto"/>
              </w:rPr>
              <w:t>指标项</w:t>
            </w:r>
          </w:p>
        </w:tc>
        <w:tc>
          <w:tcPr>
            <w:tcW w:w="7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val="0"/>
              <w:overflowPunct/>
              <w:topLinePunct/>
              <w:bidi w:val="0"/>
              <w:adjustRightInd/>
              <w:snapToGrid/>
              <w:spacing w:line="360" w:lineRule="auto"/>
              <w:jc w:val="center"/>
              <w:rPr>
                <w:rFonts w:hint="default" w:ascii="宋体" w:hAnsi="宋体" w:cs="宋体" w:eastAsiaTheme="minorEastAsia"/>
                <w:b w:val="0"/>
                <w:bCs/>
                <w:kern w:val="0"/>
                <w:sz w:val="21"/>
                <w:szCs w:val="21"/>
                <w:shd w:val="clear" w:color="auto" w:fill="auto"/>
              </w:rPr>
            </w:pPr>
            <w:r>
              <w:rPr>
                <w:rFonts w:hint="eastAsia" w:ascii="宋体" w:hAnsi="宋体" w:cs="宋体"/>
                <w:b w:val="0"/>
                <w:bCs/>
                <w:kern w:val="0"/>
                <w:sz w:val="21"/>
                <w:szCs w:val="21"/>
                <w:shd w:val="clear"/>
                <w:lang w:val="en-US" w:eastAsia="zh-CN"/>
              </w:rPr>
              <w:t>规格要求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7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shd w:val="clear" w:color="auto" w:fill="auto"/>
              </w:rPr>
            </w:pPr>
            <w:r>
              <w:rPr>
                <w:rFonts w:hint="eastAsia" w:ascii="宋体" w:hAnsi="宋体" w:cs="宋体" w:eastAsiaTheme="minorEastAsia"/>
                <w:bCs/>
                <w:kern w:val="0"/>
                <w:sz w:val="21"/>
                <w:szCs w:val="21"/>
                <w:shd w:val="clear" w:color="auto" w:fill="auto"/>
              </w:rPr>
              <w:t>云平台技术</w:t>
            </w:r>
          </w:p>
        </w:tc>
        <w:tc>
          <w:tcPr>
            <w:tcW w:w="7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要求所有产品(组件)采用</w:t>
            </w:r>
            <w:r>
              <w:rPr>
                <w:rFonts w:hint="eastAsia" w:ascii="宋体" w:hAnsi="宋体" w:cs="宋体"/>
                <w:bCs/>
                <w:kern w:val="0"/>
                <w:sz w:val="21"/>
                <w:szCs w:val="21"/>
                <w:lang w:val="en-US" w:eastAsia="zh-CN"/>
              </w:rPr>
              <w:t>多种</w:t>
            </w:r>
            <w:r>
              <w:rPr>
                <w:rFonts w:hint="eastAsia" w:ascii="宋体" w:hAnsi="宋体" w:cs="宋体" w:eastAsiaTheme="minorEastAsia"/>
                <w:bCs/>
                <w:kern w:val="0"/>
                <w:sz w:val="21"/>
                <w:szCs w:val="21"/>
              </w:rPr>
              <w:t>技术架构，能够支持鲲鹏芯片、飞腾芯片、海光</w:t>
            </w:r>
            <w:r>
              <w:rPr>
                <w:rFonts w:hint="eastAsia" w:ascii="宋体" w:hAnsi="宋体" w:cs="宋体"/>
                <w:bCs/>
                <w:kern w:val="0"/>
                <w:sz w:val="21"/>
                <w:szCs w:val="21"/>
                <w:lang w:val="en-US" w:eastAsia="zh-CN"/>
              </w:rPr>
              <w:t>等芯片制造的设备</w:t>
            </w:r>
            <w:r>
              <w:rPr>
                <w:rFonts w:hint="eastAsia" w:ascii="宋体" w:hAnsi="宋体" w:cs="宋体" w:eastAsiaTheme="minorEastAsia"/>
                <w:bCs/>
                <w:kern w:val="0"/>
                <w:sz w:val="21"/>
                <w:szCs w:val="21"/>
              </w:rPr>
              <w:t>。采用</w:t>
            </w:r>
            <w:r>
              <w:rPr>
                <w:rFonts w:hint="eastAsia" w:ascii="宋体" w:hAnsi="宋体" w:cs="宋体"/>
                <w:bCs/>
                <w:kern w:val="0"/>
                <w:sz w:val="21"/>
                <w:szCs w:val="21"/>
                <w:lang w:val="en-US" w:eastAsia="zh-CN"/>
              </w:rPr>
              <w:t>多种</w:t>
            </w:r>
            <w:r>
              <w:rPr>
                <w:rFonts w:hint="eastAsia" w:ascii="宋体" w:hAnsi="宋体" w:cs="宋体" w:eastAsiaTheme="minorEastAsia"/>
                <w:bCs/>
                <w:kern w:val="0"/>
                <w:sz w:val="21"/>
                <w:szCs w:val="21"/>
              </w:rPr>
              <w:t>调度机制实现对集群内的CPU、内存资源进行统一调度； 采用</w:t>
            </w:r>
            <w:r>
              <w:rPr>
                <w:rFonts w:hint="eastAsia" w:ascii="宋体" w:hAnsi="宋体" w:cs="宋体"/>
                <w:bCs/>
                <w:kern w:val="0"/>
                <w:sz w:val="21"/>
                <w:szCs w:val="21"/>
                <w:lang w:val="en-US" w:eastAsia="zh-CN"/>
              </w:rPr>
              <w:t>多种</w:t>
            </w:r>
            <w:r>
              <w:rPr>
                <w:rFonts w:hint="eastAsia" w:ascii="宋体" w:hAnsi="宋体" w:cs="宋体" w:eastAsiaTheme="minorEastAsia"/>
                <w:bCs/>
                <w:kern w:val="0"/>
                <w:sz w:val="21"/>
                <w:szCs w:val="21"/>
              </w:rPr>
              <w:t>管理机制实现对集群内的硬盘资源进行统一的管理和分配</w:t>
            </w:r>
            <w:r>
              <w:rPr>
                <w:rFonts w:hint="eastAsia" w:ascii="宋体" w:hAnsi="宋体" w:cs="宋体"/>
                <w:bCs/>
                <w:kern w:val="0"/>
                <w:sz w:val="21"/>
                <w:szCs w:val="21"/>
                <w:lang w:val="en-US" w:eastAsia="zh-CN"/>
              </w:rPr>
              <w:t>等相关功能</w:t>
            </w:r>
            <w:r>
              <w:rPr>
                <w:rFonts w:hint="eastAsia" w:ascii="宋体" w:hAnsi="宋体" w:cs="宋体" w:eastAsiaTheme="minorEastAsia"/>
                <w:bCs/>
                <w:kern w:val="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shd w:val="clear" w:color="auto" w:fill="auto"/>
              </w:rPr>
            </w:pPr>
            <w:r>
              <w:rPr>
                <w:rFonts w:hint="eastAsia" w:ascii="宋体" w:hAnsi="宋体" w:cs="宋体" w:eastAsiaTheme="minorEastAsia"/>
                <w:bCs/>
                <w:kern w:val="0"/>
                <w:sz w:val="21"/>
                <w:szCs w:val="21"/>
                <w:shd w:val="clear" w:color="auto" w:fill="auto"/>
              </w:rPr>
              <w:t>网络要求</w:t>
            </w:r>
          </w:p>
        </w:tc>
        <w:tc>
          <w:tcPr>
            <w:tcW w:w="7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网络应满足</w:t>
            </w:r>
            <w:r>
              <w:rPr>
                <w:rFonts w:hint="eastAsia" w:ascii="宋体" w:hAnsi="宋体" w:cs="宋体"/>
                <w:bCs/>
                <w:kern w:val="0"/>
                <w:sz w:val="21"/>
                <w:szCs w:val="21"/>
                <w:lang w:val="en-US" w:eastAsia="zh-CN"/>
              </w:rPr>
              <w:t>政务外网规范及分域</w:t>
            </w:r>
            <w:r>
              <w:rPr>
                <w:rFonts w:hint="eastAsia" w:ascii="宋体" w:hAnsi="宋体" w:cs="宋体" w:eastAsiaTheme="minorEastAsia"/>
                <w:bCs/>
                <w:kern w:val="0"/>
                <w:sz w:val="21"/>
                <w:szCs w:val="21"/>
              </w:rPr>
              <w:t>设计要求。按照互联网业务、公共业务</w:t>
            </w:r>
            <w:r>
              <w:rPr>
                <w:rFonts w:hint="eastAsia" w:ascii="宋体" w:hAnsi="宋体" w:cs="宋体"/>
                <w:bCs/>
                <w:kern w:val="0"/>
                <w:sz w:val="21"/>
                <w:szCs w:val="21"/>
                <w:lang w:val="en-US" w:eastAsia="zh-CN"/>
              </w:rPr>
              <w:t>等</w:t>
            </w:r>
            <w:r>
              <w:rPr>
                <w:rFonts w:hint="eastAsia" w:ascii="宋体" w:hAnsi="宋体" w:cs="宋体" w:eastAsiaTheme="minorEastAsia"/>
                <w:bCs/>
                <w:kern w:val="0"/>
                <w:sz w:val="21"/>
                <w:szCs w:val="21"/>
              </w:rPr>
              <w:t>进行分区</w:t>
            </w:r>
            <w:r>
              <w:rPr>
                <w:rFonts w:hint="eastAsia" w:ascii="宋体" w:hAnsi="宋体" w:cs="宋体"/>
                <w:bCs/>
                <w:kern w:val="0"/>
                <w:sz w:val="21"/>
                <w:szCs w:val="21"/>
                <w:lang w:val="en-US" w:eastAsia="zh-CN"/>
              </w:rPr>
              <w:t>分域</w:t>
            </w:r>
            <w:r>
              <w:rPr>
                <w:rFonts w:hint="eastAsia" w:ascii="宋体" w:hAnsi="宋体" w:cs="宋体" w:eastAsiaTheme="minorEastAsia"/>
                <w:bCs/>
                <w:kern w:val="0"/>
                <w:sz w:val="21"/>
                <w:szCs w:val="21"/>
              </w:rPr>
              <w:t>规划。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shd w:val="clear" w:color="auto" w:fill="auto"/>
              </w:rPr>
            </w:pPr>
            <w:r>
              <w:rPr>
                <w:rFonts w:hint="eastAsia" w:ascii="宋体" w:hAnsi="宋体" w:cs="宋体" w:eastAsiaTheme="minorEastAsia"/>
                <w:bCs/>
                <w:kern w:val="0"/>
                <w:sz w:val="21"/>
                <w:szCs w:val="21"/>
              </w:rPr>
              <w:t>计算存储能力</w:t>
            </w:r>
          </w:p>
        </w:tc>
        <w:tc>
          <w:tcPr>
            <w:tcW w:w="7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规模</w:t>
            </w:r>
            <w:r>
              <w:rPr>
                <w:rFonts w:hint="eastAsia" w:ascii="宋体" w:hAnsi="宋体" w:cs="宋体"/>
                <w:bCs/>
                <w:kern w:val="0"/>
                <w:sz w:val="21"/>
                <w:szCs w:val="21"/>
                <w:lang w:val="en-US" w:eastAsia="zh-CN"/>
              </w:rPr>
              <w:t>能够按实际使用情况扩容，并留有一定余量，至少10%及以上能力。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shd w:val="clear" w:color="auto" w:fill="auto"/>
              </w:rPr>
            </w:pPr>
            <w:r>
              <w:rPr>
                <w:rFonts w:hint="eastAsia" w:ascii="宋体" w:hAnsi="宋体" w:cs="宋体" w:eastAsiaTheme="minorEastAsia"/>
                <w:bCs/>
                <w:kern w:val="0"/>
                <w:sz w:val="21"/>
                <w:szCs w:val="21"/>
              </w:rPr>
              <w:t>系统软件服务</w:t>
            </w:r>
          </w:p>
        </w:tc>
        <w:tc>
          <w:tcPr>
            <w:tcW w:w="7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提供</w:t>
            </w:r>
            <w:r>
              <w:rPr>
                <w:rFonts w:hint="eastAsia" w:ascii="宋体" w:hAnsi="宋体" w:cs="宋体" w:eastAsiaTheme="minorEastAsia"/>
                <w:bCs/>
                <w:kern w:val="0"/>
                <w:sz w:val="21"/>
                <w:szCs w:val="21"/>
                <w:lang w:eastAsia="zh-Hans"/>
              </w:rPr>
              <w:t>云服务器</w:t>
            </w:r>
            <w:r>
              <w:rPr>
                <w:rFonts w:hint="eastAsia" w:ascii="宋体" w:hAnsi="宋体" w:cs="宋体" w:eastAsiaTheme="minorEastAsia"/>
                <w:bCs/>
                <w:kern w:val="0"/>
                <w:sz w:val="21"/>
                <w:szCs w:val="21"/>
              </w:rPr>
              <w:t>操作系统软件、数据库软件和中间件软件等系统软件，满足应用部署要求。</w:t>
            </w:r>
          </w:p>
        </w:tc>
      </w:tr>
    </w:tbl>
    <w:p>
      <w:pPr>
        <w:pageBreakBefore w:val="0"/>
        <w:widowControl/>
        <w:kinsoku/>
        <w:wordWrap w:val="0"/>
        <w:overflowPunct/>
        <w:topLinePunct/>
        <w:bidi w:val="0"/>
        <w:adjustRightInd/>
        <w:snapToGrid/>
        <w:spacing w:line="360" w:lineRule="auto"/>
        <w:ind w:firstLine="0" w:firstLineChars="0"/>
        <w:jc w:val="left"/>
        <w:rPr>
          <w:rFonts w:hint="eastAsia" w:ascii="宋体" w:hAnsi="宋体" w:cs="宋体" w:eastAsiaTheme="minorEastAsia"/>
          <w:bCs/>
          <w:kern w:val="0"/>
          <w:sz w:val="21"/>
          <w:szCs w:val="21"/>
        </w:rPr>
      </w:pPr>
    </w:p>
    <w:p>
      <w:pPr>
        <w:pageBreakBefore w:val="0"/>
        <w:widowControl/>
        <w:numPr>
          <w:ilvl w:val="2"/>
          <w:numId w:val="6"/>
        </w:numPr>
        <w:kinsoku/>
        <w:wordWrap w:val="0"/>
        <w:overflowPunct/>
        <w:topLinePunct/>
        <w:bidi w:val="0"/>
        <w:adjustRightInd/>
        <w:snapToGrid/>
        <w:spacing w:line="360" w:lineRule="auto"/>
        <w:jc w:val="left"/>
        <w:rPr>
          <w:rFonts w:hint="eastAsia" w:ascii="宋体" w:hAnsi="宋体" w:cs="宋体" w:eastAsiaTheme="minorEastAsia"/>
          <w:bCs/>
          <w:kern w:val="0"/>
          <w:szCs w:val="21"/>
        </w:rPr>
      </w:pPr>
      <w:r>
        <w:rPr>
          <w:rFonts w:hint="eastAsia" w:ascii="宋体" w:hAnsi="宋体" w:cs="宋体" w:eastAsiaTheme="minorEastAsia"/>
          <w:bCs/>
          <w:kern w:val="0"/>
          <w:szCs w:val="21"/>
        </w:rPr>
        <w:t>产品技术要求</w:t>
      </w:r>
    </w:p>
    <w:tbl>
      <w:tblPr>
        <w:tblStyle w:val="15"/>
        <w:tblW w:w="9073" w:type="dxa"/>
        <w:tblInd w:w="-289" w:type="dxa"/>
        <w:tblLayout w:type="fixed"/>
        <w:tblCellMar>
          <w:top w:w="0" w:type="dxa"/>
          <w:left w:w="108" w:type="dxa"/>
          <w:bottom w:w="0" w:type="dxa"/>
          <w:right w:w="108" w:type="dxa"/>
        </w:tblCellMar>
      </w:tblPr>
      <w:tblGrid>
        <w:gridCol w:w="1844"/>
        <w:gridCol w:w="7229"/>
      </w:tblGrid>
      <w:tr>
        <w:tblPrEx>
          <w:tblCellMar>
            <w:top w:w="0" w:type="dxa"/>
            <w:left w:w="108" w:type="dxa"/>
            <w:bottom w:w="0" w:type="dxa"/>
            <w:right w:w="108" w:type="dxa"/>
          </w:tblCellMar>
        </w:tblPrEx>
        <w:trPr>
          <w:trHeight w:val="280" w:hRule="atLeast"/>
        </w:trPr>
        <w:tc>
          <w:tcPr>
            <w:tcW w:w="184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 w:val="0"/>
                <w:bCs/>
                <w:kern w:val="0"/>
                <w:sz w:val="21"/>
                <w:szCs w:val="21"/>
              </w:rPr>
            </w:pPr>
            <w:r>
              <w:rPr>
                <w:rFonts w:hint="eastAsia" w:ascii="宋体" w:hAnsi="宋体" w:cs="宋体" w:eastAsiaTheme="minorEastAsia"/>
                <w:b w:val="0"/>
                <w:bCs/>
                <w:kern w:val="0"/>
                <w:sz w:val="21"/>
                <w:szCs w:val="21"/>
              </w:rPr>
              <w:t>指标项</w:t>
            </w:r>
          </w:p>
        </w:tc>
        <w:tc>
          <w:tcPr>
            <w:tcW w:w="722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center"/>
              <w:rPr>
                <w:rFonts w:hint="eastAsia" w:ascii="宋体" w:hAnsi="宋体" w:cs="宋体" w:eastAsiaTheme="minorEastAsia"/>
                <w:b w:val="0"/>
                <w:bCs/>
                <w:kern w:val="0"/>
                <w:sz w:val="21"/>
                <w:szCs w:val="21"/>
              </w:rPr>
            </w:pPr>
            <w:r>
              <w:rPr>
                <w:rFonts w:hint="eastAsia" w:ascii="宋体" w:hAnsi="宋体" w:cs="宋体"/>
                <w:b w:val="0"/>
                <w:bCs/>
                <w:kern w:val="0"/>
                <w:sz w:val="21"/>
                <w:szCs w:val="21"/>
                <w:lang w:val="en-US" w:eastAsia="zh-CN"/>
              </w:rPr>
              <w:t>规格要求</w:t>
            </w:r>
          </w:p>
        </w:tc>
      </w:tr>
      <w:tr>
        <w:tblPrEx>
          <w:tblCellMar>
            <w:top w:w="0" w:type="dxa"/>
            <w:left w:w="108" w:type="dxa"/>
            <w:bottom w:w="0" w:type="dxa"/>
            <w:right w:w="108" w:type="dxa"/>
          </w:tblCellMar>
        </w:tblPrEx>
        <w:trPr>
          <w:trHeight w:val="573" w:hRule="atLeast"/>
        </w:trPr>
        <w:tc>
          <w:tcPr>
            <w:tcW w:w="1844" w:type="dxa"/>
            <w:vMerge w:val="restart"/>
            <w:tcBorders>
              <w:top w:val="single" w:color="000000" w:sz="4" w:space="0"/>
              <w:left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lang w:eastAsia="zh-Hans"/>
              </w:rPr>
              <w:t>云服务器</w:t>
            </w:r>
            <w:r>
              <w:rPr>
                <w:rFonts w:hint="eastAsia" w:ascii="宋体" w:hAnsi="宋体" w:cs="宋体" w:eastAsiaTheme="minorEastAsia"/>
                <w:bCs/>
                <w:kern w:val="0"/>
                <w:sz w:val="21"/>
                <w:szCs w:val="21"/>
              </w:rPr>
              <w:t>技术要求</w:t>
            </w:r>
          </w:p>
        </w:tc>
        <w:tc>
          <w:tcPr>
            <w:tcW w:w="7229" w:type="dxa"/>
            <w:tcBorders>
              <w:top w:val="single" w:color="000000" w:sz="4" w:space="0"/>
              <w:left w:val="single" w:color="000000" w:sz="4" w:space="0"/>
              <w:bottom w:val="single" w:color="000000" w:sz="4" w:space="0"/>
              <w:right w:val="single" w:color="000000" w:sz="4" w:space="0"/>
            </w:tcBorders>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对以下操作系统的支持：麒麟操作系统，统信操作系统 ；提供丰富的API接口，包括创建，删除，修改，查询，启动，重启，停止。</w:t>
            </w:r>
          </w:p>
        </w:tc>
      </w:tr>
      <w:tr>
        <w:tblPrEx>
          <w:tblCellMar>
            <w:top w:w="0" w:type="dxa"/>
            <w:left w:w="108" w:type="dxa"/>
            <w:bottom w:w="0" w:type="dxa"/>
            <w:right w:w="108" w:type="dxa"/>
          </w:tblCellMar>
        </w:tblPrEx>
        <w:trPr>
          <w:trHeight w:val="125" w:hRule="atLeast"/>
        </w:trPr>
        <w:tc>
          <w:tcPr>
            <w:tcW w:w="1844" w:type="dxa"/>
            <w:vMerge w:val="continue"/>
            <w:tcBorders>
              <w:left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p>
        </w:tc>
        <w:tc>
          <w:tcPr>
            <w:tcW w:w="7229" w:type="dxa"/>
            <w:tcBorders>
              <w:top w:val="single" w:color="000000" w:sz="4" w:space="0"/>
              <w:left w:val="single" w:color="000000" w:sz="4" w:space="0"/>
              <w:bottom w:val="single" w:color="000000" w:sz="4" w:space="0"/>
              <w:right w:val="single" w:color="000000" w:sz="4" w:space="0"/>
            </w:tcBorders>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可提供支持国产CPU的云服务器。提供相关平台的截图证明。</w:t>
            </w:r>
          </w:p>
        </w:tc>
      </w:tr>
      <w:tr>
        <w:tblPrEx>
          <w:tblCellMar>
            <w:top w:w="0" w:type="dxa"/>
            <w:left w:w="108" w:type="dxa"/>
            <w:bottom w:w="0" w:type="dxa"/>
            <w:right w:w="108" w:type="dxa"/>
          </w:tblCellMar>
        </w:tblPrEx>
        <w:trPr>
          <w:trHeight w:val="334" w:hRule="atLeast"/>
        </w:trPr>
        <w:tc>
          <w:tcPr>
            <w:tcW w:w="1844" w:type="dxa"/>
            <w:vMerge w:val="continue"/>
            <w:tcBorders>
              <w:left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p>
        </w:tc>
        <w:tc>
          <w:tcPr>
            <w:tcW w:w="7229" w:type="dxa"/>
            <w:tcBorders>
              <w:top w:val="single" w:color="000000" w:sz="4" w:space="0"/>
              <w:left w:val="single" w:color="000000" w:sz="4" w:space="0"/>
              <w:bottom w:val="single" w:color="000000" w:sz="4" w:space="0"/>
              <w:right w:val="single" w:color="000000" w:sz="4" w:space="0"/>
            </w:tcBorders>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云服务器支持用户通过快照对云服务器的数据进行备份，通过快照进行云服务器的数据恢复，可以为每块磁盘创建64个快照，支持设置自动快照策略。</w:t>
            </w:r>
          </w:p>
        </w:tc>
      </w:tr>
      <w:tr>
        <w:tblPrEx>
          <w:tblCellMar>
            <w:top w:w="0" w:type="dxa"/>
            <w:left w:w="108" w:type="dxa"/>
            <w:bottom w:w="0" w:type="dxa"/>
            <w:right w:w="108" w:type="dxa"/>
          </w:tblCellMar>
        </w:tblPrEx>
        <w:trPr>
          <w:trHeight w:val="430" w:hRule="atLeast"/>
        </w:trPr>
        <w:tc>
          <w:tcPr>
            <w:tcW w:w="1844" w:type="dxa"/>
            <w:vMerge w:val="continue"/>
            <w:tcBorders>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p>
        </w:tc>
        <w:tc>
          <w:tcPr>
            <w:tcW w:w="7229" w:type="dxa"/>
            <w:tcBorders>
              <w:top w:val="single" w:color="000000" w:sz="4" w:space="0"/>
              <w:left w:val="single" w:color="000000" w:sz="4" w:space="0"/>
              <w:bottom w:val="single" w:color="000000" w:sz="4" w:space="0"/>
              <w:right w:val="single" w:color="000000" w:sz="4" w:space="0"/>
            </w:tcBorders>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支持虚拟机系统盘在线扩容，支持在白屏化界面操作。</w:t>
            </w:r>
          </w:p>
        </w:tc>
      </w:tr>
      <w:tr>
        <w:tblPrEx>
          <w:tblCellMar>
            <w:top w:w="0" w:type="dxa"/>
            <w:left w:w="108" w:type="dxa"/>
            <w:bottom w:w="0" w:type="dxa"/>
            <w:right w:w="108" w:type="dxa"/>
          </w:tblCellMar>
        </w:tblPrEx>
        <w:trPr>
          <w:trHeight w:val="269" w:hRule="atLeast"/>
        </w:trPr>
        <w:tc>
          <w:tcPr>
            <w:tcW w:w="1844" w:type="dxa"/>
            <w:vMerge w:val="restart"/>
            <w:tcBorders>
              <w:top w:val="single" w:color="000000" w:sz="4" w:space="0"/>
              <w:left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云主机数据盘技术要求</w:t>
            </w:r>
          </w:p>
        </w:tc>
        <w:tc>
          <w:tcPr>
            <w:tcW w:w="722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支持在线扩展容量，扩容期间无需关闭虚拟机，无需卸载云盘；系统盘在线扩容不停业务。</w:t>
            </w:r>
          </w:p>
        </w:tc>
      </w:tr>
      <w:tr>
        <w:tblPrEx>
          <w:tblCellMar>
            <w:top w:w="0" w:type="dxa"/>
            <w:left w:w="108" w:type="dxa"/>
            <w:bottom w:w="0" w:type="dxa"/>
            <w:right w:w="108" w:type="dxa"/>
          </w:tblCellMar>
        </w:tblPrEx>
        <w:trPr>
          <w:trHeight w:val="463" w:hRule="atLeast"/>
        </w:trPr>
        <w:tc>
          <w:tcPr>
            <w:tcW w:w="1844" w:type="dxa"/>
            <w:vMerge w:val="continue"/>
            <w:tcBorders>
              <w:left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p>
        </w:tc>
        <w:tc>
          <w:tcPr>
            <w:tcW w:w="722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单个云盘支持32TB容量。</w:t>
            </w:r>
          </w:p>
        </w:tc>
      </w:tr>
      <w:tr>
        <w:tblPrEx>
          <w:tblCellMar>
            <w:top w:w="0" w:type="dxa"/>
            <w:left w:w="108" w:type="dxa"/>
            <w:bottom w:w="0" w:type="dxa"/>
            <w:right w:w="108" w:type="dxa"/>
          </w:tblCellMar>
        </w:tblPrEx>
        <w:trPr>
          <w:trHeight w:val="341" w:hRule="atLeast"/>
        </w:trPr>
        <w:tc>
          <w:tcPr>
            <w:tcW w:w="1844" w:type="dxa"/>
            <w:vMerge w:val="continue"/>
            <w:tcBorders>
              <w:left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p>
        </w:tc>
        <w:tc>
          <w:tcPr>
            <w:tcW w:w="722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单台实例支持挂载不少于17块云盘(包括系统盘)，支持同时挂载本地盘与云盘；</w:t>
            </w:r>
          </w:p>
        </w:tc>
      </w:tr>
      <w:tr>
        <w:tblPrEx>
          <w:tblCellMar>
            <w:top w:w="0" w:type="dxa"/>
            <w:left w:w="108" w:type="dxa"/>
            <w:bottom w:w="0" w:type="dxa"/>
            <w:right w:w="108" w:type="dxa"/>
          </w:tblCellMar>
        </w:tblPrEx>
        <w:trPr>
          <w:trHeight w:val="176" w:hRule="atLeast"/>
        </w:trPr>
        <w:tc>
          <w:tcPr>
            <w:tcW w:w="1844" w:type="dxa"/>
            <w:vMerge w:val="continue"/>
            <w:tcBorders>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p>
        </w:tc>
        <w:tc>
          <w:tcPr>
            <w:tcW w:w="722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支持针对云盘在线创建快照，能够支持针对任意快照时间点进行回滚。</w:t>
            </w:r>
          </w:p>
        </w:tc>
      </w:tr>
      <w:tr>
        <w:tblPrEx>
          <w:tblCellMar>
            <w:top w:w="0" w:type="dxa"/>
            <w:left w:w="108" w:type="dxa"/>
            <w:bottom w:w="0" w:type="dxa"/>
            <w:right w:w="108" w:type="dxa"/>
          </w:tblCellMar>
        </w:tblPrEx>
        <w:trPr>
          <w:trHeight w:val="491" w:hRule="atLeast"/>
        </w:trPr>
        <w:tc>
          <w:tcPr>
            <w:tcW w:w="1844" w:type="dxa"/>
            <w:vMerge w:val="restart"/>
            <w:tcBorders>
              <w:top w:val="single" w:color="000000" w:sz="4" w:space="0"/>
              <w:left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云对象存储服务技术要求</w:t>
            </w:r>
          </w:p>
        </w:tc>
        <w:tc>
          <w:tcPr>
            <w:tcW w:w="722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对象存储服务支持RESTful API接口、兼容Amazon S3接口。</w:t>
            </w:r>
          </w:p>
        </w:tc>
      </w:tr>
      <w:tr>
        <w:tblPrEx>
          <w:tblCellMar>
            <w:top w:w="0" w:type="dxa"/>
            <w:left w:w="108" w:type="dxa"/>
            <w:bottom w:w="0" w:type="dxa"/>
            <w:right w:w="108" w:type="dxa"/>
          </w:tblCellMar>
        </w:tblPrEx>
        <w:trPr>
          <w:trHeight w:val="612" w:hRule="atLeast"/>
        </w:trPr>
        <w:tc>
          <w:tcPr>
            <w:tcW w:w="1844" w:type="dxa"/>
            <w:vMerge w:val="continue"/>
            <w:tcBorders>
              <w:left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p>
        </w:tc>
        <w:tc>
          <w:tcPr>
            <w:tcW w:w="722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理论存储空间无上限，单个对象最大支持40TB以上，单租户最大bucket数量不少于100个， 图片大小支持不小于20MB。</w:t>
            </w:r>
          </w:p>
        </w:tc>
      </w:tr>
      <w:tr>
        <w:tblPrEx>
          <w:tblCellMar>
            <w:top w:w="0" w:type="dxa"/>
            <w:left w:w="108" w:type="dxa"/>
            <w:bottom w:w="0" w:type="dxa"/>
            <w:right w:w="108" w:type="dxa"/>
          </w:tblCellMar>
        </w:tblPrEx>
        <w:trPr>
          <w:trHeight w:val="400" w:hRule="atLeast"/>
        </w:trPr>
        <w:tc>
          <w:tcPr>
            <w:tcW w:w="1844" w:type="dxa"/>
            <w:vMerge w:val="continue"/>
            <w:tcBorders>
              <w:left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p>
        </w:tc>
        <w:tc>
          <w:tcPr>
            <w:tcW w:w="722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提供基于三副本或EC校验模式的数据多重冗余备份。</w:t>
            </w:r>
          </w:p>
        </w:tc>
      </w:tr>
      <w:tr>
        <w:tblPrEx>
          <w:tblCellMar>
            <w:top w:w="0" w:type="dxa"/>
            <w:left w:w="108" w:type="dxa"/>
            <w:bottom w:w="0" w:type="dxa"/>
            <w:right w:w="108" w:type="dxa"/>
          </w:tblCellMar>
        </w:tblPrEx>
        <w:trPr>
          <w:trHeight w:val="933" w:hRule="atLeast"/>
        </w:trPr>
        <w:tc>
          <w:tcPr>
            <w:tcW w:w="1844" w:type="dxa"/>
            <w:vMerge w:val="continue"/>
            <w:tcBorders>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p>
        </w:tc>
        <w:tc>
          <w:tcPr>
            <w:tcW w:w="722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支持原生图片处理服务：创建图片处理规则、获取图片信息、图片格式转换、图片缩放、裁剪、旋转、图片效果处理、原图保护、数据持久化、添加图片、文字混合水印、自定义图片处理样式、通过管道顺序调用多种图片处理功能</w:t>
            </w:r>
          </w:p>
        </w:tc>
      </w:tr>
      <w:tr>
        <w:tblPrEx>
          <w:tblCellMar>
            <w:top w:w="0" w:type="dxa"/>
            <w:left w:w="108" w:type="dxa"/>
            <w:bottom w:w="0" w:type="dxa"/>
            <w:right w:w="108" w:type="dxa"/>
          </w:tblCellMar>
        </w:tblPrEx>
        <w:trPr>
          <w:trHeight w:val="248" w:hRule="atLeast"/>
        </w:trPr>
        <w:tc>
          <w:tcPr>
            <w:tcW w:w="1844" w:type="dxa"/>
            <w:vMerge w:val="restart"/>
            <w:tcBorders>
              <w:top w:val="single" w:color="000000" w:sz="4" w:space="0"/>
              <w:left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云负载均衡技术要求</w:t>
            </w:r>
          </w:p>
        </w:tc>
        <w:tc>
          <w:tcPr>
            <w:tcW w:w="722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 xml:space="preserve">采用国产化服务器实现； </w:t>
            </w:r>
          </w:p>
        </w:tc>
      </w:tr>
      <w:tr>
        <w:tblPrEx>
          <w:tblCellMar>
            <w:top w:w="0" w:type="dxa"/>
            <w:left w:w="108" w:type="dxa"/>
            <w:bottom w:w="0" w:type="dxa"/>
            <w:right w:w="108" w:type="dxa"/>
          </w:tblCellMar>
        </w:tblPrEx>
        <w:trPr>
          <w:trHeight w:val="418" w:hRule="atLeast"/>
        </w:trPr>
        <w:tc>
          <w:tcPr>
            <w:tcW w:w="1844" w:type="dxa"/>
            <w:vMerge w:val="continue"/>
            <w:tcBorders>
              <w:top w:val="single" w:color="000000" w:sz="4" w:space="0"/>
              <w:left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p>
        </w:tc>
        <w:tc>
          <w:tcPr>
            <w:tcW w:w="722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同时支持4层负载均衡和七层负载均衡；</w:t>
            </w:r>
          </w:p>
        </w:tc>
      </w:tr>
      <w:tr>
        <w:tblPrEx>
          <w:tblCellMar>
            <w:top w:w="0" w:type="dxa"/>
            <w:left w:w="108" w:type="dxa"/>
            <w:bottom w:w="0" w:type="dxa"/>
            <w:right w:w="108" w:type="dxa"/>
          </w:tblCellMar>
        </w:tblPrEx>
        <w:trPr>
          <w:trHeight w:val="320" w:hRule="atLeast"/>
        </w:trPr>
        <w:tc>
          <w:tcPr>
            <w:tcW w:w="1844" w:type="dxa"/>
            <w:vMerge w:val="continue"/>
            <w:tcBorders>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p>
        </w:tc>
        <w:tc>
          <w:tcPr>
            <w:tcW w:w="722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支持集群高可用架构，支持动态扩展；</w:t>
            </w:r>
          </w:p>
        </w:tc>
      </w:tr>
      <w:tr>
        <w:tblPrEx>
          <w:tblCellMar>
            <w:top w:w="0" w:type="dxa"/>
            <w:left w:w="108" w:type="dxa"/>
            <w:bottom w:w="0" w:type="dxa"/>
            <w:right w:w="108" w:type="dxa"/>
          </w:tblCellMar>
        </w:tblPrEx>
        <w:trPr>
          <w:trHeight w:val="558" w:hRule="atLeast"/>
        </w:trPr>
        <w:tc>
          <w:tcPr>
            <w:tcW w:w="1844" w:type="dxa"/>
            <w:vMerge w:val="restart"/>
            <w:tcBorders>
              <w:top w:val="single" w:color="000000" w:sz="4" w:space="0"/>
              <w:left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云管理平台技术要求</w:t>
            </w:r>
          </w:p>
        </w:tc>
        <w:tc>
          <w:tcPr>
            <w:tcW w:w="722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虚拟资源管理：提供对</w:t>
            </w:r>
            <w:r>
              <w:rPr>
                <w:rFonts w:hint="eastAsia" w:ascii="宋体" w:hAnsi="宋体" w:cs="宋体" w:eastAsiaTheme="minorEastAsia"/>
                <w:bCs/>
                <w:kern w:val="0"/>
                <w:sz w:val="21"/>
                <w:szCs w:val="21"/>
                <w:lang w:eastAsia="zh-Hans"/>
              </w:rPr>
              <w:t>云数据库</w:t>
            </w:r>
            <w:r>
              <w:rPr>
                <w:rFonts w:hint="eastAsia" w:ascii="宋体" w:hAnsi="宋体" w:cs="宋体" w:eastAsiaTheme="minorEastAsia"/>
                <w:bCs/>
                <w:kern w:val="0"/>
                <w:sz w:val="21"/>
                <w:szCs w:val="21"/>
              </w:rPr>
              <w:t>、云数据库、云存储、负载均衡、多租户等全方位的管理和监控；将分散的高性能计算资源实现统一融合管理，计算资源不再以孤立的形式存在，而由云管控平台整合、管理与调度，构成出一个统一的资源池，实现资源的按需分配，确保闲置、高性能资源得到充分利用，提高资源利用率。</w:t>
            </w:r>
          </w:p>
        </w:tc>
      </w:tr>
      <w:tr>
        <w:tblPrEx>
          <w:tblCellMar>
            <w:top w:w="0" w:type="dxa"/>
            <w:left w:w="108" w:type="dxa"/>
            <w:bottom w:w="0" w:type="dxa"/>
            <w:right w:w="108" w:type="dxa"/>
          </w:tblCellMar>
        </w:tblPrEx>
        <w:trPr>
          <w:trHeight w:val="502" w:hRule="atLeast"/>
        </w:trPr>
        <w:tc>
          <w:tcPr>
            <w:tcW w:w="1844" w:type="dxa"/>
            <w:vMerge w:val="continue"/>
            <w:tcBorders>
              <w:left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p>
        </w:tc>
        <w:tc>
          <w:tcPr>
            <w:tcW w:w="722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运营管理：主要面向云资源的使用者及管理员，基于用户的鉴权及资源分配，提供对云资源的各类操作、监控、分析等管理功能。告警支持钉钉推送。</w:t>
            </w:r>
          </w:p>
        </w:tc>
      </w:tr>
      <w:tr>
        <w:tblPrEx>
          <w:tblCellMar>
            <w:top w:w="0" w:type="dxa"/>
            <w:left w:w="108" w:type="dxa"/>
            <w:bottom w:w="0" w:type="dxa"/>
            <w:right w:w="108" w:type="dxa"/>
          </w:tblCellMar>
        </w:tblPrEx>
        <w:trPr>
          <w:trHeight w:val="1400" w:hRule="atLeast"/>
        </w:trPr>
        <w:tc>
          <w:tcPr>
            <w:tcW w:w="184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操作系统</w:t>
            </w:r>
          </w:p>
        </w:tc>
        <w:tc>
          <w:tcPr>
            <w:tcW w:w="722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基本文件管理、设备管理、日志管理、服务管理、进程和监控管理、网络管理、资源管理、软件包管理、硬盘管理等基本功能，提供语言支持工具、文件共享服务工具、集成开发平台等常用工具， 支持KVM虚拟化技术</w:t>
            </w:r>
            <w:r>
              <w:rPr>
                <w:rFonts w:hint="eastAsia" w:ascii="宋体" w:hAnsi="宋体" w:cs="宋体"/>
                <w:bCs/>
                <w:kern w:val="0"/>
                <w:sz w:val="21"/>
                <w:szCs w:val="21"/>
                <w:lang w:eastAsia="zh-CN"/>
              </w:rPr>
              <w:t>，</w:t>
            </w:r>
            <w:r>
              <w:rPr>
                <w:rFonts w:hint="eastAsia" w:ascii="宋体" w:hAnsi="宋体" w:cs="宋体" w:eastAsiaTheme="minorEastAsia"/>
                <w:bCs/>
                <w:kern w:val="0"/>
                <w:sz w:val="21"/>
                <w:szCs w:val="21"/>
              </w:rPr>
              <w:t>具备政务网内操作系统软件升级仓库的能力。提供两家或者两家以上符合上述要求的国产化操作系统产品的能力。</w:t>
            </w:r>
          </w:p>
        </w:tc>
      </w:tr>
      <w:tr>
        <w:tblPrEx>
          <w:tblCellMar>
            <w:top w:w="0" w:type="dxa"/>
            <w:left w:w="108" w:type="dxa"/>
            <w:bottom w:w="0" w:type="dxa"/>
            <w:right w:w="108" w:type="dxa"/>
          </w:tblCellMar>
        </w:tblPrEx>
        <w:trPr>
          <w:trHeight w:val="1862" w:hRule="atLeast"/>
        </w:trPr>
        <w:tc>
          <w:tcPr>
            <w:tcW w:w="1844" w:type="dxa"/>
            <w:vMerge w:val="restart"/>
            <w:tcBorders>
              <w:top w:val="single" w:color="000000" w:sz="4" w:space="0"/>
              <w:left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集群版数据库</w:t>
            </w:r>
          </w:p>
        </w:tc>
        <w:tc>
          <w:tcPr>
            <w:tcW w:w="722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具备数据存储、访问控制、身份鉴别、安全审计和数据备份恢复等功能。产品部署在服务器，以后台服务形式运行，数据库管理员及用户在管理主机上通过图形化管理工具或命令行工具，可实现对数据对象(表、视图、约束、索引、触发器、存储过程等)的配置管理；开发人员可通过标准化数据库访问接口，开发基于数据库的应用系统和软件产品。</w:t>
            </w:r>
          </w:p>
        </w:tc>
      </w:tr>
      <w:tr>
        <w:tblPrEx>
          <w:tblCellMar>
            <w:top w:w="0" w:type="dxa"/>
            <w:left w:w="108" w:type="dxa"/>
            <w:bottom w:w="0" w:type="dxa"/>
            <w:right w:w="108" w:type="dxa"/>
          </w:tblCellMar>
        </w:tblPrEx>
        <w:trPr>
          <w:trHeight w:val="734" w:hRule="atLeast"/>
        </w:trPr>
        <w:tc>
          <w:tcPr>
            <w:tcW w:w="1844" w:type="dxa"/>
            <w:vMerge w:val="continue"/>
            <w:tcBorders>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p>
        </w:tc>
        <w:tc>
          <w:tcPr>
            <w:tcW w:w="722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eastAsiaTheme="minorEastAsia"/>
                <w:bCs/>
                <w:kern w:val="0"/>
                <w:sz w:val="21"/>
                <w:szCs w:val="21"/>
              </w:rPr>
              <w:t>符合GB/T30994-2014关系数据库管理规范、GB/T28821-2012关系数据库管理系统技术要求和基础通用产品集群版数据库管理系统测试规范要求。</w:t>
            </w:r>
          </w:p>
        </w:tc>
      </w:tr>
      <w:tr>
        <w:tblPrEx>
          <w:tblCellMar>
            <w:top w:w="0" w:type="dxa"/>
            <w:left w:w="108" w:type="dxa"/>
            <w:bottom w:w="0" w:type="dxa"/>
            <w:right w:w="108" w:type="dxa"/>
          </w:tblCellMar>
        </w:tblPrEx>
        <w:trPr>
          <w:trHeight w:val="1238" w:hRule="atLeast"/>
        </w:trPr>
        <w:tc>
          <w:tcPr>
            <w:tcW w:w="1844" w:type="dxa"/>
            <w:tcBorders>
              <w:top w:val="single" w:color="000000" w:sz="4" w:space="0"/>
              <w:left w:val="single" w:color="000000" w:sz="4" w:space="0"/>
              <w:right w:val="single" w:color="000000" w:sz="4" w:space="0"/>
            </w:tcBorders>
            <w:vAlign w:val="center"/>
          </w:tcPr>
          <w:p>
            <w:pPr>
              <w:pageBreakBefore w:val="0"/>
              <w:widowControl/>
              <w:tabs>
                <w:tab w:val="center" w:pos="814"/>
              </w:tabs>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bCs/>
                <w:kern w:val="0"/>
                <w:sz w:val="21"/>
                <w:szCs w:val="21"/>
                <w:lang w:eastAsia="zh-CN"/>
              </w:rPr>
              <w:tab/>
            </w:r>
            <w:r>
              <w:rPr>
                <w:rFonts w:hint="eastAsia" w:ascii="宋体" w:hAnsi="宋体" w:cs="宋体"/>
                <w:bCs/>
                <w:kern w:val="0"/>
                <w:sz w:val="21"/>
                <w:szCs w:val="21"/>
                <w:lang w:val="en-US" w:eastAsia="zh-CN"/>
              </w:rPr>
              <w:t>Web应用中间件</w:t>
            </w:r>
          </w:p>
        </w:tc>
        <w:tc>
          <w:tcPr>
            <w:tcW w:w="722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val="0"/>
              <w:overflowPunct/>
              <w:topLinePunct/>
              <w:bidi w:val="0"/>
              <w:adjustRightInd/>
              <w:snapToGrid/>
              <w:spacing w:line="360" w:lineRule="auto"/>
              <w:jc w:val="left"/>
              <w:rPr>
                <w:rFonts w:hint="eastAsia" w:ascii="宋体" w:hAnsi="宋体" w:cs="宋体" w:eastAsiaTheme="minorEastAsia"/>
                <w:bCs/>
                <w:kern w:val="0"/>
                <w:sz w:val="21"/>
                <w:szCs w:val="21"/>
              </w:rPr>
            </w:pPr>
            <w:r>
              <w:rPr>
                <w:rFonts w:hint="eastAsia" w:ascii="宋体" w:hAnsi="宋体" w:cs="宋体"/>
                <w:bCs/>
                <w:kern w:val="0"/>
                <w:sz w:val="21"/>
                <w:szCs w:val="21"/>
                <w:lang w:val="en-US" w:eastAsia="zh-CN"/>
              </w:rPr>
              <w:t>根据实际</w:t>
            </w:r>
            <w:r>
              <w:rPr>
                <w:rFonts w:hint="eastAsia" w:ascii="宋体" w:hAnsi="宋体" w:cs="宋体" w:eastAsiaTheme="minorEastAsia"/>
                <w:bCs/>
                <w:kern w:val="0"/>
                <w:sz w:val="21"/>
                <w:szCs w:val="21"/>
              </w:rPr>
              <w:t>具备Web应用、EJB应用、虚拟主机、应用服务器集群、身份验证、日志审计等基本</w:t>
            </w:r>
            <w:r>
              <w:rPr>
                <w:rFonts w:hint="eastAsia" w:ascii="宋体" w:hAnsi="宋体" w:cs="宋体"/>
                <w:bCs/>
                <w:kern w:val="0"/>
                <w:sz w:val="21"/>
                <w:szCs w:val="21"/>
                <w:lang w:val="en-US" w:eastAsia="zh-CN"/>
              </w:rPr>
              <w:t>功能</w:t>
            </w:r>
            <w:r>
              <w:rPr>
                <w:rFonts w:hint="eastAsia" w:ascii="宋体" w:hAnsi="宋体" w:cs="宋体" w:eastAsiaTheme="minorEastAsia"/>
                <w:bCs/>
                <w:kern w:val="0"/>
                <w:sz w:val="21"/>
                <w:szCs w:val="21"/>
              </w:rPr>
              <w:t>，</w:t>
            </w:r>
            <w:r>
              <w:rPr>
                <w:rFonts w:hint="eastAsia" w:ascii="宋体" w:hAnsi="宋体" w:cs="宋体"/>
                <w:bCs/>
                <w:kern w:val="0"/>
                <w:sz w:val="21"/>
                <w:szCs w:val="21"/>
                <w:lang w:val="en-US" w:eastAsia="zh-CN"/>
              </w:rPr>
              <w:t>可以</w:t>
            </w:r>
            <w:r>
              <w:rPr>
                <w:rFonts w:hint="eastAsia" w:ascii="宋体" w:hAnsi="宋体" w:cs="宋体" w:eastAsiaTheme="minorEastAsia"/>
                <w:bCs/>
                <w:kern w:val="0"/>
                <w:sz w:val="21"/>
                <w:szCs w:val="21"/>
              </w:rPr>
              <w:t>提供类库管理、集成环境管理、图形化监控、JVM配置、垃圾回收配置工具、支持实例部署、数据库连接服务，为业务系统提供运行环境。提供两家或者两家以上符合上述要求的应用中间件产品的能力。</w:t>
            </w:r>
          </w:p>
        </w:tc>
      </w:tr>
    </w:tbl>
    <w:p>
      <w:pPr>
        <w:tabs>
          <w:tab w:val="left" w:pos="2112"/>
        </w:tabs>
        <w:spacing w:line="540" w:lineRule="exact"/>
        <w:contextualSpacing/>
        <w:rPr>
          <w:rFonts w:hint="eastAsia" w:ascii="仿宋_GB2312" w:eastAsia="仿宋_GB2312"/>
          <w:sz w:val="28"/>
          <w:szCs w:val="28"/>
          <w:lang w:eastAsia="zh-CN"/>
        </w:rPr>
      </w:pPr>
      <w:r>
        <w:rPr>
          <w:rFonts w:hint="eastAsia" w:ascii="仿宋_GB2312" w:eastAsia="仿宋_GB2312"/>
          <w:sz w:val="28"/>
          <w:szCs w:val="28"/>
          <w:lang w:eastAsia="zh-CN"/>
        </w:rPr>
        <w:tab/>
      </w:r>
    </w:p>
    <w:p>
      <w:pPr>
        <w:pStyle w:val="2"/>
        <w:rPr>
          <w:rFonts w:hint="eastAsia" w:ascii="仿宋_GB2312" w:eastAsia="仿宋_GB2312"/>
          <w:sz w:val="28"/>
          <w:szCs w:val="28"/>
          <w:lang w:eastAsia="zh-CN"/>
        </w:rPr>
      </w:pPr>
    </w:p>
    <w:p>
      <w:pPr>
        <w:pStyle w:val="3"/>
        <w:rPr>
          <w:rFonts w:hint="eastAsia" w:ascii="仿宋_GB2312" w:eastAsia="仿宋_GB2312"/>
          <w:sz w:val="28"/>
          <w:szCs w:val="28"/>
          <w:lang w:eastAsia="zh-CN"/>
        </w:rPr>
      </w:pPr>
    </w:p>
    <w:p>
      <w:pPr>
        <w:pStyle w:val="4"/>
        <w:rPr>
          <w:rFonts w:hint="eastAsia" w:ascii="仿宋_GB2312" w:eastAsia="仿宋_GB2312"/>
          <w:sz w:val="28"/>
          <w:szCs w:val="28"/>
          <w:lang w:eastAsia="zh-CN"/>
        </w:rPr>
      </w:pPr>
    </w:p>
    <w:p>
      <w:pPr>
        <w:rPr>
          <w:rFonts w:hint="eastAsia" w:ascii="仿宋_GB2312" w:eastAsia="仿宋_GB2312"/>
          <w:sz w:val="28"/>
          <w:szCs w:val="28"/>
          <w:lang w:eastAsia="zh-CN"/>
        </w:rPr>
      </w:pPr>
    </w:p>
    <w:p>
      <w:pPr>
        <w:pStyle w:val="2"/>
        <w:rPr>
          <w:rFonts w:hint="eastAsia" w:ascii="仿宋_GB2312" w:eastAsia="仿宋_GB2312"/>
          <w:sz w:val="28"/>
          <w:szCs w:val="28"/>
          <w:lang w:eastAsia="zh-CN"/>
        </w:rPr>
      </w:pPr>
    </w:p>
    <w:p>
      <w:pPr>
        <w:pStyle w:val="3"/>
        <w:rPr>
          <w:rFonts w:hint="eastAsia" w:ascii="仿宋_GB2312" w:eastAsia="仿宋_GB2312"/>
          <w:sz w:val="28"/>
          <w:szCs w:val="28"/>
          <w:lang w:eastAsia="zh-CN"/>
        </w:rPr>
      </w:pPr>
    </w:p>
    <w:p>
      <w:pPr>
        <w:pStyle w:val="4"/>
        <w:rPr>
          <w:rFonts w:hint="eastAsia" w:ascii="仿宋_GB2312" w:eastAsia="仿宋_GB2312"/>
          <w:sz w:val="28"/>
          <w:szCs w:val="28"/>
          <w:lang w:eastAsia="zh-CN"/>
        </w:rPr>
      </w:pPr>
    </w:p>
    <w:p>
      <w:pPr>
        <w:rPr>
          <w:rFonts w:hint="eastAsia" w:ascii="仿宋_GB2312" w:eastAsia="仿宋_GB2312"/>
          <w:sz w:val="28"/>
          <w:szCs w:val="28"/>
          <w:lang w:eastAsia="zh-CN"/>
        </w:rPr>
      </w:pPr>
    </w:p>
    <w:p>
      <w:pPr>
        <w:pStyle w:val="2"/>
        <w:rPr>
          <w:rFonts w:hint="eastAsia" w:ascii="仿宋_GB2312" w:eastAsia="仿宋_GB2312"/>
          <w:sz w:val="28"/>
          <w:szCs w:val="28"/>
          <w:lang w:eastAsia="zh-CN"/>
        </w:rPr>
      </w:pPr>
    </w:p>
    <w:p>
      <w:pPr>
        <w:pStyle w:val="3"/>
        <w:rPr>
          <w:rFonts w:hint="eastAsia" w:ascii="仿宋_GB2312" w:eastAsia="仿宋_GB2312"/>
          <w:sz w:val="28"/>
          <w:szCs w:val="28"/>
          <w:lang w:eastAsia="zh-CN"/>
        </w:rPr>
      </w:pPr>
    </w:p>
    <w:p>
      <w:pPr>
        <w:pStyle w:val="4"/>
        <w:rPr>
          <w:rFonts w:hint="eastAsia" w:ascii="仿宋_GB2312" w:eastAsia="仿宋_GB2312"/>
          <w:sz w:val="28"/>
          <w:szCs w:val="28"/>
          <w:lang w:eastAsia="zh-CN"/>
        </w:rPr>
      </w:pPr>
    </w:p>
    <w:p>
      <w:pPr>
        <w:rPr>
          <w:rFonts w:hint="eastAsia"/>
          <w:lang w:eastAsia="zh-CN"/>
        </w:rPr>
      </w:pPr>
    </w:p>
    <w:p>
      <w:pPr>
        <w:pStyle w:val="3"/>
        <w:rPr>
          <w:rFonts w:hint="eastAsia" w:ascii="仿宋_GB2312" w:eastAsia="仿宋_GB2312"/>
          <w:sz w:val="28"/>
          <w:szCs w:val="28"/>
          <w:lang w:eastAsia="zh-CN"/>
        </w:rPr>
      </w:pPr>
    </w:p>
    <w:p>
      <w:pPr>
        <w:pStyle w:val="4"/>
        <w:rPr>
          <w:rFonts w:hint="default"/>
          <w:lang w:val="en-US" w:eastAsia="zh-CN"/>
        </w:rPr>
      </w:pPr>
      <w:r>
        <w:rPr>
          <w:rFonts w:hint="eastAsia" w:ascii="仿宋_GB2312" w:eastAsia="仿宋_GB2312"/>
          <w:sz w:val="28"/>
          <w:szCs w:val="28"/>
          <w:lang w:val="en-US" w:eastAsia="zh-CN"/>
        </w:rPr>
        <w:t xml:space="preserve"> </w:t>
      </w:r>
    </w:p>
    <w:p>
      <w:pPr>
        <w:spacing w:line="540" w:lineRule="exact"/>
        <w:contextualSpacing/>
        <w:jc w:val="center"/>
        <w:rPr>
          <w:rFonts w:ascii="仿宋_GB2312" w:eastAsia="仿宋_GB2312"/>
          <w:b/>
          <w:sz w:val="32"/>
          <w:szCs w:val="32"/>
        </w:rPr>
      </w:pPr>
      <w:r>
        <w:rPr>
          <w:rFonts w:hint="eastAsia" w:ascii="仿宋_GB2312" w:eastAsia="仿宋_GB2312"/>
          <w:b/>
          <w:sz w:val="32"/>
          <w:szCs w:val="32"/>
        </w:rPr>
        <w:t xml:space="preserve">第四部分   </w:t>
      </w:r>
      <w:bookmarkStart w:id="27" w:name="_Toc184314452"/>
      <w:bookmarkEnd w:id="27"/>
      <w:bookmarkStart w:id="28" w:name="_Toc184308080"/>
      <w:bookmarkEnd w:id="28"/>
      <w:bookmarkStart w:id="29" w:name="_Toc184308092"/>
      <w:bookmarkEnd w:id="29"/>
      <w:bookmarkStart w:id="30" w:name="_Toc184310320"/>
      <w:bookmarkEnd w:id="30"/>
      <w:bookmarkStart w:id="31" w:name="_Toc184313295"/>
      <w:bookmarkEnd w:id="31"/>
      <w:bookmarkStart w:id="32" w:name="_Toc184308105"/>
      <w:bookmarkEnd w:id="32"/>
      <w:bookmarkStart w:id="33" w:name="_Toc184313298"/>
      <w:bookmarkEnd w:id="33"/>
      <w:bookmarkStart w:id="34" w:name="_Toc184312070"/>
      <w:bookmarkEnd w:id="34"/>
      <w:bookmarkStart w:id="35" w:name="_Toc184308095"/>
      <w:bookmarkEnd w:id="35"/>
      <w:bookmarkStart w:id="36" w:name="_Toc184310311"/>
      <w:bookmarkEnd w:id="36"/>
      <w:bookmarkStart w:id="37" w:name="_Toc184310339"/>
      <w:bookmarkEnd w:id="37"/>
      <w:bookmarkStart w:id="38" w:name="_Toc184310334"/>
      <w:bookmarkEnd w:id="38"/>
      <w:bookmarkStart w:id="39" w:name="_Toc184312108"/>
      <w:bookmarkEnd w:id="39"/>
      <w:bookmarkStart w:id="40" w:name="_Toc184310310"/>
      <w:bookmarkEnd w:id="40"/>
      <w:bookmarkStart w:id="41" w:name="_Toc184310283"/>
      <w:bookmarkEnd w:id="41"/>
      <w:bookmarkStart w:id="42" w:name="_Toc184308096"/>
      <w:bookmarkEnd w:id="42"/>
      <w:bookmarkStart w:id="43" w:name="_Toc184308090"/>
      <w:bookmarkEnd w:id="43"/>
      <w:bookmarkStart w:id="44" w:name="_Toc184308079"/>
      <w:bookmarkEnd w:id="44"/>
      <w:bookmarkStart w:id="45" w:name="_Toc184312125"/>
      <w:bookmarkEnd w:id="45"/>
      <w:bookmarkStart w:id="46" w:name="_Toc184310326"/>
      <w:bookmarkEnd w:id="46"/>
      <w:bookmarkStart w:id="47" w:name="_Toc184313278"/>
      <w:bookmarkEnd w:id="47"/>
      <w:bookmarkStart w:id="48" w:name="_Toc184312139"/>
      <w:bookmarkEnd w:id="48"/>
      <w:bookmarkStart w:id="49" w:name="_Toc184312112"/>
      <w:bookmarkEnd w:id="49"/>
      <w:bookmarkStart w:id="50" w:name="_Toc184310278"/>
      <w:bookmarkEnd w:id="50"/>
      <w:bookmarkStart w:id="51" w:name="_Toc184310331"/>
      <w:bookmarkEnd w:id="51"/>
      <w:bookmarkStart w:id="52" w:name="_Toc184314474"/>
      <w:bookmarkEnd w:id="52"/>
      <w:bookmarkStart w:id="53" w:name="_Toc184313301"/>
      <w:bookmarkEnd w:id="53"/>
      <w:bookmarkStart w:id="54" w:name="_Toc184308065"/>
      <w:bookmarkEnd w:id="54"/>
      <w:bookmarkStart w:id="55" w:name="_Toc184312075"/>
      <w:bookmarkEnd w:id="55"/>
      <w:bookmarkStart w:id="56" w:name="_Toc184310293"/>
      <w:bookmarkEnd w:id="56"/>
      <w:bookmarkStart w:id="57" w:name="_Toc184313253"/>
      <w:bookmarkEnd w:id="57"/>
      <w:bookmarkStart w:id="58" w:name="_Toc184313242"/>
      <w:bookmarkEnd w:id="58"/>
      <w:bookmarkStart w:id="59" w:name="_Toc184314427"/>
      <w:bookmarkEnd w:id="59"/>
      <w:bookmarkStart w:id="60" w:name="_Toc184312120"/>
      <w:bookmarkEnd w:id="60"/>
      <w:bookmarkStart w:id="61" w:name="_Toc184312082"/>
      <w:bookmarkEnd w:id="61"/>
      <w:bookmarkStart w:id="62" w:name="_Toc184310344"/>
      <w:bookmarkEnd w:id="62"/>
      <w:bookmarkStart w:id="63" w:name="_Toc184313269"/>
      <w:bookmarkEnd w:id="63"/>
      <w:bookmarkStart w:id="64" w:name="_Toc184314462"/>
      <w:bookmarkEnd w:id="64"/>
      <w:bookmarkStart w:id="65" w:name="_Toc184308039"/>
      <w:bookmarkEnd w:id="65"/>
      <w:bookmarkStart w:id="66" w:name="_Toc184314470"/>
      <w:bookmarkEnd w:id="66"/>
      <w:bookmarkStart w:id="67" w:name="_Toc184308098"/>
      <w:bookmarkEnd w:id="67"/>
      <w:bookmarkStart w:id="68" w:name="_Toc184312095"/>
      <w:bookmarkEnd w:id="68"/>
      <w:bookmarkStart w:id="69" w:name="_Toc184312101"/>
      <w:bookmarkEnd w:id="69"/>
      <w:bookmarkStart w:id="70" w:name="_Toc184308036"/>
      <w:bookmarkEnd w:id="70"/>
      <w:bookmarkStart w:id="71" w:name="_Toc184314449"/>
      <w:bookmarkEnd w:id="71"/>
      <w:bookmarkStart w:id="72" w:name="_Toc184313309"/>
      <w:bookmarkEnd w:id="72"/>
      <w:bookmarkStart w:id="73" w:name="_Toc184314422"/>
      <w:bookmarkEnd w:id="73"/>
      <w:bookmarkStart w:id="74" w:name="_Toc184312083"/>
      <w:bookmarkEnd w:id="74"/>
      <w:bookmarkStart w:id="75" w:name="_Toc184310328"/>
      <w:bookmarkEnd w:id="75"/>
      <w:bookmarkStart w:id="76" w:name="_Toc184308043"/>
      <w:bookmarkEnd w:id="76"/>
      <w:bookmarkStart w:id="77" w:name="_Toc184308067"/>
      <w:bookmarkEnd w:id="77"/>
      <w:bookmarkStart w:id="78" w:name="_Toc184313238"/>
      <w:bookmarkEnd w:id="78"/>
      <w:bookmarkStart w:id="79" w:name="_Toc184314440"/>
      <w:bookmarkEnd w:id="79"/>
      <w:bookmarkStart w:id="80" w:name="_Toc184310295"/>
      <w:bookmarkEnd w:id="80"/>
      <w:bookmarkStart w:id="81" w:name="_Toc184308054"/>
      <w:bookmarkEnd w:id="81"/>
      <w:bookmarkStart w:id="82" w:name="_Toc184313290"/>
      <w:bookmarkEnd w:id="82"/>
      <w:bookmarkStart w:id="83" w:name="_Toc184312094"/>
      <w:bookmarkEnd w:id="83"/>
      <w:bookmarkStart w:id="84" w:name="_Toc184312121"/>
      <w:bookmarkEnd w:id="84"/>
      <w:bookmarkStart w:id="85" w:name="_Toc184310315"/>
      <w:bookmarkEnd w:id="85"/>
      <w:bookmarkStart w:id="86" w:name="_Toc184312098"/>
      <w:bookmarkEnd w:id="86"/>
      <w:bookmarkStart w:id="87" w:name="_Toc184314447"/>
      <w:bookmarkEnd w:id="87"/>
      <w:bookmarkStart w:id="88" w:name="_Toc184308045"/>
      <w:bookmarkEnd w:id="88"/>
      <w:bookmarkStart w:id="89" w:name="_Toc184312131"/>
      <w:bookmarkEnd w:id="89"/>
      <w:bookmarkStart w:id="90" w:name="_Toc184313308"/>
      <w:bookmarkEnd w:id="90"/>
      <w:bookmarkStart w:id="91" w:name="_Toc184310292"/>
      <w:bookmarkEnd w:id="91"/>
      <w:bookmarkStart w:id="92" w:name="_Toc184308061"/>
      <w:bookmarkEnd w:id="92"/>
      <w:bookmarkStart w:id="93" w:name="_Toc184313305"/>
      <w:bookmarkEnd w:id="93"/>
      <w:bookmarkStart w:id="94" w:name="_Toc184310299"/>
      <w:bookmarkEnd w:id="94"/>
      <w:bookmarkStart w:id="95" w:name="_Toc184313271"/>
      <w:bookmarkEnd w:id="95"/>
      <w:bookmarkStart w:id="96" w:name="_Toc184308087"/>
      <w:bookmarkEnd w:id="96"/>
      <w:bookmarkStart w:id="97" w:name="_Toc184308046"/>
      <w:bookmarkEnd w:id="97"/>
      <w:bookmarkStart w:id="98" w:name="_Toc184308084"/>
      <w:bookmarkEnd w:id="98"/>
      <w:bookmarkStart w:id="99" w:name="_Toc184314465"/>
      <w:bookmarkEnd w:id="99"/>
      <w:bookmarkStart w:id="100" w:name="_Toc184310290"/>
      <w:bookmarkEnd w:id="100"/>
      <w:bookmarkStart w:id="101" w:name="_Toc184312080"/>
      <w:bookmarkEnd w:id="101"/>
      <w:bookmarkStart w:id="102" w:name="_Toc184308106"/>
      <w:bookmarkEnd w:id="102"/>
      <w:bookmarkStart w:id="103" w:name="_Toc184310314"/>
      <w:bookmarkEnd w:id="103"/>
      <w:bookmarkStart w:id="104" w:name="_Toc184312116"/>
      <w:bookmarkEnd w:id="104"/>
      <w:bookmarkStart w:id="105" w:name="_Toc184308052"/>
      <w:bookmarkEnd w:id="105"/>
      <w:bookmarkStart w:id="106" w:name="_Toc184310323"/>
      <w:bookmarkEnd w:id="106"/>
      <w:bookmarkStart w:id="107" w:name="_Toc184310285"/>
      <w:bookmarkEnd w:id="107"/>
      <w:bookmarkStart w:id="108" w:name="_Toc184312090"/>
      <w:bookmarkEnd w:id="108"/>
      <w:bookmarkStart w:id="109" w:name="_Toc184312077"/>
      <w:bookmarkEnd w:id="109"/>
      <w:bookmarkStart w:id="110" w:name="_Toc184314466"/>
      <w:bookmarkEnd w:id="110"/>
      <w:bookmarkStart w:id="111" w:name="_Toc184314437"/>
      <w:bookmarkEnd w:id="111"/>
      <w:bookmarkStart w:id="112" w:name="_Toc184314425"/>
      <w:bookmarkEnd w:id="112"/>
      <w:bookmarkStart w:id="113" w:name="_Toc184313264"/>
      <w:bookmarkEnd w:id="113"/>
      <w:bookmarkStart w:id="114" w:name="_Toc184310287"/>
      <w:bookmarkEnd w:id="114"/>
      <w:bookmarkStart w:id="115" w:name="_Toc184312069"/>
      <w:bookmarkEnd w:id="115"/>
      <w:bookmarkStart w:id="116" w:name="_Toc184312096"/>
      <w:bookmarkEnd w:id="116"/>
      <w:bookmarkStart w:id="117" w:name="_Toc184310322"/>
      <w:bookmarkEnd w:id="117"/>
      <w:bookmarkStart w:id="118" w:name="_Toc184310335"/>
      <w:bookmarkEnd w:id="118"/>
      <w:bookmarkStart w:id="119" w:name="_Toc184313300"/>
      <w:bookmarkEnd w:id="119"/>
      <w:bookmarkStart w:id="120" w:name="_Toc184310298"/>
      <w:bookmarkEnd w:id="120"/>
      <w:bookmarkStart w:id="121" w:name="_Toc184308103"/>
      <w:bookmarkEnd w:id="121"/>
      <w:bookmarkStart w:id="122" w:name="_Toc184313247"/>
      <w:bookmarkEnd w:id="122"/>
      <w:bookmarkStart w:id="123" w:name="_Toc184313254"/>
      <w:bookmarkEnd w:id="123"/>
      <w:bookmarkStart w:id="124" w:name="_Toc184312134"/>
      <w:bookmarkEnd w:id="124"/>
      <w:bookmarkStart w:id="125" w:name="_Toc184314480"/>
      <w:bookmarkEnd w:id="125"/>
      <w:bookmarkStart w:id="126" w:name="_Toc184314478"/>
      <w:bookmarkEnd w:id="126"/>
      <w:bookmarkStart w:id="127" w:name="_Toc184312106"/>
      <w:bookmarkEnd w:id="127"/>
      <w:bookmarkStart w:id="128" w:name="_Toc184308078"/>
      <w:bookmarkEnd w:id="128"/>
      <w:bookmarkStart w:id="129" w:name="_Toc184313275"/>
      <w:bookmarkEnd w:id="129"/>
      <w:bookmarkStart w:id="130" w:name="_Toc184308038"/>
      <w:bookmarkEnd w:id="130"/>
      <w:bookmarkStart w:id="131" w:name="_Toc184312086"/>
      <w:bookmarkEnd w:id="131"/>
      <w:bookmarkStart w:id="132" w:name="_Toc184314436"/>
      <w:bookmarkEnd w:id="132"/>
      <w:bookmarkStart w:id="133" w:name="_Toc184314417"/>
      <w:bookmarkEnd w:id="133"/>
      <w:bookmarkStart w:id="134" w:name="_Toc184308066"/>
      <w:bookmarkEnd w:id="134"/>
      <w:bookmarkStart w:id="135" w:name="_Toc184312085"/>
      <w:bookmarkEnd w:id="135"/>
      <w:bookmarkStart w:id="136" w:name="_Toc184314443"/>
      <w:bookmarkEnd w:id="136"/>
      <w:bookmarkStart w:id="137" w:name="_Toc184313241"/>
      <w:bookmarkEnd w:id="137"/>
      <w:bookmarkStart w:id="138" w:name="_Toc184314472"/>
      <w:bookmarkEnd w:id="138"/>
      <w:bookmarkStart w:id="139" w:name="_Toc184308051"/>
      <w:bookmarkEnd w:id="139"/>
      <w:bookmarkStart w:id="140" w:name="_Toc184308071"/>
      <w:bookmarkEnd w:id="140"/>
      <w:bookmarkStart w:id="141" w:name="_Toc184314433"/>
      <w:bookmarkEnd w:id="141"/>
      <w:bookmarkStart w:id="142" w:name="_Toc184313272"/>
      <w:bookmarkEnd w:id="142"/>
      <w:bookmarkStart w:id="143" w:name="_Toc184313270"/>
      <w:bookmarkEnd w:id="143"/>
      <w:bookmarkStart w:id="144" w:name="_Toc184314421"/>
      <w:bookmarkEnd w:id="144"/>
      <w:bookmarkStart w:id="145" w:name="_Toc184308088"/>
      <w:bookmarkEnd w:id="145"/>
      <w:bookmarkStart w:id="146" w:name="_Toc184313276"/>
      <w:bookmarkEnd w:id="146"/>
      <w:bookmarkStart w:id="147" w:name="_Toc184313246"/>
      <w:bookmarkEnd w:id="147"/>
      <w:bookmarkStart w:id="148" w:name="_Toc184308089"/>
      <w:bookmarkEnd w:id="148"/>
      <w:bookmarkStart w:id="149" w:name="_Toc184308069"/>
      <w:bookmarkEnd w:id="149"/>
      <w:bookmarkStart w:id="150" w:name="_Toc184310275"/>
      <w:bookmarkEnd w:id="150"/>
      <w:bookmarkStart w:id="151" w:name="_Toc184308083"/>
      <w:bookmarkEnd w:id="151"/>
      <w:bookmarkStart w:id="152" w:name="_Toc184312099"/>
      <w:bookmarkEnd w:id="152"/>
      <w:bookmarkStart w:id="153" w:name="_Toc184313250"/>
      <w:bookmarkEnd w:id="153"/>
      <w:bookmarkStart w:id="154" w:name="_Toc184312113"/>
      <w:bookmarkEnd w:id="154"/>
      <w:bookmarkStart w:id="155" w:name="_Toc184310342"/>
      <w:bookmarkEnd w:id="155"/>
      <w:bookmarkStart w:id="156" w:name="_Toc184312135"/>
      <w:bookmarkEnd w:id="156"/>
      <w:bookmarkStart w:id="157" w:name="_Toc184313283"/>
      <w:bookmarkEnd w:id="157"/>
      <w:bookmarkStart w:id="158" w:name="_Toc184314448"/>
      <w:bookmarkEnd w:id="158"/>
      <w:bookmarkStart w:id="159" w:name="_Toc184314435"/>
      <w:bookmarkEnd w:id="159"/>
      <w:bookmarkStart w:id="160" w:name="_Toc184310305"/>
      <w:bookmarkEnd w:id="160"/>
      <w:bookmarkStart w:id="161" w:name="_Toc184310340"/>
      <w:bookmarkEnd w:id="161"/>
      <w:bookmarkStart w:id="162" w:name="_Toc184308074"/>
      <w:bookmarkEnd w:id="162"/>
      <w:bookmarkStart w:id="163" w:name="_Toc184310294"/>
      <w:bookmarkEnd w:id="163"/>
      <w:bookmarkStart w:id="164" w:name="_Toc184314467"/>
      <w:bookmarkEnd w:id="164"/>
      <w:bookmarkStart w:id="165" w:name="_Toc184308070"/>
      <w:bookmarkEnd w:id="165"/>
      <w:bookmarkStart w:id="166" w:name="_Toc184313280"/>
      <w:bookmarkEnd w:id="166"/>
      <w:bookmarkStart w:id="167" w:name="_Toc184312129"/>
      <w:bookmarkEnd w:id="167"/>
      <w:bookmarkStart w:id="168" w:name="_Toc184314434"/>
      <w:bookmarkEnd w:id="168"/>
      <w:bookmarkStart w:id="169" w:name="_Toc184314450"/>
      <w:bookmarkEnd w:id="169"/>
      <w:bookmarkStart w:id="170" w:name="_Toc184312104"/>
      <w:bookmarkEnd w:id="170"/>
      <w:bookmarkStart w:id="171" w:name="_Toc184308064"/>
      <w:bookmarkEnd w:id="171"/>
      <w:bookmarkStart w:id="172" w:name="_Toc184308056"/>
      <w:bookmarkEnd w:id="172"/>
      <w:bookmarkStart w:id="173" w:name="_Toc184313243"/>
      <w:bookmarkEnd w:id="173"/>
      <w:bookmarkStart w:id="174" w:name="_Toc184310272"/>
      <w:bookmarkEnd w:id="174"/>
      <w:bookmarkStart w:id="175" w:name="_Toc184310282"/>
      <w:bookmarkEnd w:id="175"/>
      <w:bookmarkStart w:id="176" w:name="_Toc184310329"/>
      <w:bookmarkEnd w:id="176"/>
      <w:bookmarkStart w:id="177" w:name="_Toc184314463"/>
      <w:bookmarkEnd w:id="177"/>
      <w:bookmarkStart w:id="178" w:name="_Toc184310332"/>
      <w:bookmarkEnd w:id="178"/>
      <w:bookmarkStart w:id="179" w:name="_Toc184313296"/>
      <w:bookmarkEnd w:id="179"/>
      <w:bookmarkStart w:id="180" w:name="_Toc184312110"/>
      <w:bookmarkEnd w:id="180"/>
      <w:bookmarkStart w:id="181" w:name="_Toc184314445"/>
      <w:bookmarkEnd w:id="181"/>
      <w:bookmarkStart w:id="182" w:name="_Toc184308050"/>
      <w:bookmarkEnd w:id="182"/>
      <w:bookmarkStart w:id="183" w:name="_Toc184314410"/>
      <w:bookmarkEnd w:id="183"/>
      <w:bookmarkStart w:id="184" w:name="_Toc184313248"/>
      <w:bookmarkEnd w:id="184"/>
      <w:bookmarkStart w:id="185" w:name="_Toc184313262"/>
      <w:bookmarkEnd w:id="185"/>
      <w:bookmarkStart w:id="186" w:name="_Toc184314482"/>
      <w:bookmarkEnd w:id="186"/>
      <w:bookmarkStart w:id="187" w:name="_Toc184310316"/>
      <w:bookmarkEnd w:id="187"/>
      <w:bookmarkStart w:id="188" w:name="_Toc184314476"/>
      <w:bookmarkEnd w:id="188"/>
      <w:bookmarkStart w:id="189" w:name="_Toc184310291"/>
      <w:bookmarkEnd w:id="189"/>
      <w:bookmarkStart w:id="190" w:name="_Toc184308063"/>
      <w:bookmarkEnd w:id="190"/>
      <w:bookmarkStart w:id="191" w:name="_Toc184312078"/>
      <w:bookmarkEnd w:id="191"/>
      <w:bookmarkStart w:id="192" w:name="_Toc184308053"/>
      <w:bookmarkEnd w:id="192"/>
      <w:bookmarkStart w:id="193" w:name="_Toc184314428"/>
      <w:bookmarkEnd w:id="193"/>
      <w:bookmarkStart w:id="194" w:name="_Toc184310319"/>
      <w:bookmarkEnd w:id="194"/>
      <w:bookmarkStart w:id="195" w:name="_Toc184312114"/>
      <w:bookmarkEnd w:id="195"/>
      <w:bookmarkStart w:id="196" w:name="_Toc184314423"/>
      <w:bookmarkEnd w:id="196"/>
      <w:bookmarkStart w:id="197" w:name="_Toc184314460"/>
      <w:bookmarkEnd w:id="197"/>
      <w:bookmarkStart w:id="198" w:name="_Toc184313268"/>
      <w:bookmarkEnd w:id="198"/>
      <w:bookmarkStart w:id="199" w:name="_Toc184314451"/>
      <w:bookmarkEnd w:id="199"/>
      <w:bookmarkStart w:id="200" w:name="_Toc184313286"/>
      <w:bookmarkEnd w:id="200"/>
      <w:bookmarkStart w:id="201" w:name="_Toc184308040"/>
      <w:bookmarkEnd w:id="201"/>
      <w:bookmarkStart w:id="202" w:name="_Toc184313252"/>
      <w:bookmarkEnd w:id="202"/>
      <w:bookmarkStart w:id="203" w:name="_Toc184308077"/>
      <w:bookmarkEnd w:id="203"/>
      <w:bookmarkStart w:id="204" w:name="_Toc184313303"/>
      <w:bookmarkEnd w:id="204"/>
      <w:bookmarkStart w:id="205" w:name="_Toc184313279"/>
      <w:bookmarkEnd w:id="205"/>
      <w:bookmarkStart w:id="206" w:name="_Toc184313273"/>
      <w:bookmarkEnd w:id="206"/>
      <w:bookmarkStart w:id="207" w:name="_Toc184310301"/>
      <w:bookmarkEnd w:id="207"/>
      <w:bookmarkStart w:id="208" w:name="_Toc184310308"/>
      <w:bookmarkEnd w:id="208"/>
      <w:bookmarkStart w:id="209" w:name="_Toc184308059"/>
      <w:bookmarkEnd w:id="209"/>
      <w:bookmarkStart w:id="210" w:name="_Toc184314479"/>
      <w:bookmarkEnd w:id="210"/>
      <w:bookmarkStart w:id="211" w:name="_Toc184310313"/>
      <w:bookmarkEnd w:id="211"/>
      <w:bookmarkStart w:id="212" w:name="_Toc184313297"/>
      <w:bookmarkEnd w:id="212"/>
      <w:bookmarkStart w:id="213" w:name="_Toc184312097"/>
      <w:bookmarkEnd w:id="213"/>
      <w:bookmarkStart w:id="214" w:name="_Toc184310341"/>
      <w:bookmarkEnd w:id="214"/>
      <w:bookmarkStart w:id="215" w:name="_Toc184310297"/>
      <w:bookmarkEnd w:id="215"/>
      <w:bookmarkStart w:id="216" w:name="_Toc184313299"/>
      <w:bookmarkEnd w:id="216"/>
      <w:bookmarkStart w:id="217" w:name="_Toc184312103"/>
      <w:bookmarkEnd w:id="217"/>
      <w:bookmarkStart w:id="218" w:name="_Toc184308102"/>
      <w:bookmarkEnd w:id="218"/>
      <w:bookmarkStart w:id="219" w:name="_Toc184313239"/>
      <w:bookmarkEnd w:id="219"/>
      <w:bookmarkStart w:id="220" w:name="_Toc184312133"/>
      <w:bookmarkEnd w:id="220"/>
      <w:bookmarkStart w:id="221" w:name="_Toc184308068"/>
      <w:bookmarkEnd w:id="221"/>
      <w:bookmarkStart w:id="222" w:name="_Toc184314471"/>
      <w:bookmarkEnd w:id="222"/>
      <w:bookmarkStart w:id="223" w:name="_Toc184310277"/>
      <w:bookmarkEnd w:id="223"/>
      <w:bookmarkStart w:id="224" w:name="_Toc184313260"/>
      <w:bookmarkEnd w:id="224"/>
      <w:bookmarkStart w:id="225" w:name="_Toc184308047"/>
      <w:bookmarkEnd w:id="225"/>
      <w:bookmarkStart w:id="226" w:name="_Toc184313267"/>
      <w:bookmarkEnd w:id="226"/>
      <w:bookmarkStart w:id="227" w:name="_Toc184314419"/>
      <w:bookmarkEnd w:id="227"/>
      <w:bookmarkStart w:id="228" w:name="_Toc184312092"/>
      <w:bookmarkEnd w:id="228"/>
      <w:bookmarkStart w:id="229" w:name="_Toc184313294"/>
      <w:bookmarkEnd w:id="229"/>
      <w:bookmarkStart w:id="230" w:name="_Toc184312126"/>
      <w:bookmarkEnd w:id="230"/>
      <w:bookmarkStart w:id="231" w:name="_Toc184312130"/>
      <w:bookmarkEnd w:id="231"/>
      <w:bookmarkStart w:id="232" w:name="_Toc184310307"/>
      <w:bookmarkEnd w:id="232"/>
      <w:bookmarkStart w:id="233" w:name="_Toc184312081"/>
      <w:bookmarkEnd w:id="233"/>
      <w:bookmarkStart w:id="234" w:name="_Toc184314455"/>
      <w:bookmarkEnd w:id="234"/>
      <w:bookmarkStart w:id="235" w:name="_Toc184312136"/>
      <w:bookmarkEnd w:id="235"/>
      <w:bookmarkStart w:id="236" w:name="_Toc184314456"/>
      <w:bookmarkEnd w:id="236"/>
      <w:bookmarkStart w:id="237" w:name="_Toc184308073"/>
      <w:bookmarkEnd w:id="237"/>
      <w:bookmarkStart w:id="238" w:name="_Toc184314454"/>
      <w:bookmarkEnd w:id="238"/>
      <w:bookmarkStart w:id="239" w:name="_Toc184313251"/>
      <w:bookmarkEnd w:id="239"/>
      <w:bookmarkStart w:id="240" w:name="_Toc184313282"/>
      <w:bookmarkEnd w:id="240"/>
      <w:bookmarkStart w:id="241" w:name="_Toc184313291"/>
      <w:bookmarkEnd w:id="241"/>
      <w:bookmarkStart w:id="242" w:name="_Toc184310302"/>
      <w:bookmarkEnd w:id="242"/>
      <w:bookmarkStart w:id="243" w:name="_Toc184314415"/>
      <w:bookmarkEnd w:id="243"/>
      <w:bookmarkStart w:id="244" w:name="_Toc184310330"/>
      <w:bookmarkEnd w:id="244"/>
      <w:bookmarkStart w:id="245" w:name="_Toc184312071"/>
      <w:bookmarkEnd w:id="245"/>
      <w:bookmarkStart w:id="246" w:name="_Toc184310309"/>
      <w:bookmarkEnd w:id="246"/>
      <w:bookmarkStart w:id="247" w:name="_Toc184312100"/>
      <w:bookmarkEnd w:id="247"/>
      <w:bookmarkStart w:id="248" w:name="_Toc184310289"/>
      <w:bookmarkEnd w:id="248"/>
      <w:bookmarkStart w:id="249" w:name="_Toc184312079"/>
      <w:bookmarkEnd w:id="249"/>
      <w:bookmarkStart w:id="250" w:name="_Toc184308108"/>
      <w:bookmarkEnd w:id="250"/>
      <w:bookmarkStart w:id="251" w:name="_Toc184310312"/>
      <w:bookmarkEnd w:id="251"/>
      <w:bookmarkStart w:id="252" w:name="_Toc184313266"/>
      <w:bookmarkEnd w:id="252"/>
      <w:bookmarkStart w:id="253" w:name="_Toc184310317"/>
      <w:bookmarkEnd w:id="253"/>
      <w:bookmarkStart w:id="254" w:name="_Toc184314446"/>
      <w:bookmarkEnd w:id="254"/>
      <w:bookmarkStart w:id="255" w:name="_Toc184312111"/>
      <w:bookmarkEnd w:id="255"/>
      <w:bookmarkStart w:id="256" w:name="_Toc184308085"/>
      <w:bookmarkEnd w:id="256"/>
      <w:bookmarkStart w:id="257" w:name="_Toc184314453"/>
      <w:bookmarkEnd w:id="257"/>
      <w:bookmarkStart w:id="258" w:name="_Toc184313277"/>
      <w:bookmarkEnd w:id="258"/>
      <w:bookmarkStart w:id="259" w:name="_Toc184312122"/>
      <w:bookmarkEnd w:id="259"/>
      <w:bookmarkStart w:id="260" w:name="_Toc184312091"/>
      <w:bookmarkEnd w:id="260"/>
      <w:bookmarkStart w:id="261" w:name="_Toc184308075"/>
      <w:bookmarkEnd w:id="261"/>
      <w:bookmarkStart w:id="262" w:name="_Toc184310281"/>
      <w:bookmarkEnd w:id="262"/>
      <w:bookmarkStart w:id="263" w:name="_Toc184312105"/>
      <w:bookmarkEnd w:id="263"/>
      <w:bookmarkStart w:id="264" w:name="_Toc184310306"/>
      <w:bookmarkEnd w:id="264"/>
      <w:bookmarkStart w:id="265" w:name="_Toc184314441"/>
      <w:bookmarkEnd w:id="265"/>
      <w:bookmarkStart w:id="266" w:name="_Toc184310303"/>
      <w:bookmarkEnd w:id="266"/>
      <w:bookmarkStart w:id="267" w:name="_Toc184312088"/>
      <w:bookmarkEnd w:id="267"/>
      <w:bookmarkStart w:id="268" w:name="_Toc184308094"/>
      <w:bookmarkEnd w:id="268"/>
      <w:bookmarkStart w:id="269" w:name="_Toc184308057"/>
      <w:bookmarkEnd w:id="269"/>
      <w:bookmarkStart w:id="270" w:name="_Toc184314464"/>
      <w:bookmarkEnd w:id="270"/>
      <w:bookmarkStart w:id="271" w:name="_Toc184310288"/>
      <w:bookmarkEnd w:id="271"/>
      <w:bookmarkStart w:id="272" w:name="_Toc184313306"/>
      <w:bookmarkEnd w:id="272"/>
      <w:bookmarkStart w:id="273" w:name="_Toc184313281"/>
      <w:bookmarkEnd w:id="273"/>
      <w:bookmarkStart w:id="274" w:name="_Toc184313249"/>
      <w:bookmarkEnd w:id="274"/>
      <w:bookmarkStart w:id="275" w:name="_Toc184313293"/>
      <w:bookmarkEnd w:id="275"/>
      <w:bookmarkStart w:id="276" w:name="_Toc184314475"/>
      <w:bookmarkEnd w:id="276"/>
      <w:bookmarkStart w:id="277" w:name="_Toc184310333"/>
      <w:bookmarkEnd w:id="277"/>
      <w:bookmarkStart w:id="278" w:name="_Toc184310296"/>
      <w:bookmarkEnd w:id="278"/>
      <w:bookmarkStart w:id="279" w:name="_Toc184310321"/>
      <w:bookmarkEnd w:id="279"/>
      <w:bookmarkStart w:id="280" w:name="_Toc184313302"/>
      <w:bookmarkEnd w:id="280"/>
      <w:bookmarkStart w:id="281" w:name="_Toc184314481"/>
      <w:bookmarkEnd w:id="281"/>
      <w:bookmarkStart w:id="282" w:name="_Toc184312067"/>
      <w:bookmarkEnd w:id="282"/>
      <w:bookmarkStart w:id="283" w:name="_Toc184314442"/>
      <w:bookmarkEnd w:id="283"/>
      <w:bookmarkStart w:id="284" w:name="_Toc184314432"/>
      <w:bookmarkEnd w:id="284"/>
      <w:bookmarkStart w:id="285" w:name="_Toc184313287"/>
      <w:bookmarkEnd w:id="285"/>
      <w:bookmarkStart w:id="286" w:name="_Toc184308037"/>
      <w:bookmarkEnd w:id="286"/>
      <w:bookmarkStart w:id="287" w:name="_Toc184312115"/>
      <w:bookmarkEnd w:id="287"/>
      <w:bookmarkStart w:id="288" w:name="_Toc184313292"/>
      <w:bookmarkEnd w:id="288"/>
      <w:bookmarkStart w:id="289" w:name="_Toc184313310"/>
      <w:bookmarkEnd w:id="289"/>
      <w:bookmarkStart w:id="290" w:name="_Toc184313256"/>
      <w:bookmarkEnd w:id="290"/>
      <w:bookmarkStart w:id="291" w:name="_Toc184314416"/>
      <w:bookmarkEnd w:id="291"/>
      <w:bookmarkStart w:id="292" w:name="_Toc184313307"/>
      <w:bookmarkEnd w:id="292"/>
      <w:bookmarkStart w:id="293" w:name="_Toc184313259"/>
      <w:bookmarkEnd w:id="293"/>
      <w:bookmarkStart w:id="294" w:name="_Toc184313263"/>
      <w:bookmarkEnd w:id="294"/>
      <w:bookmarkStart w:id="295" w:name="_Toc184312074"/>
      <w:bookmarkEnd w:id="295"/>
      <w:bookmarkStart w:id="296" w:name="_Toc184312124"/>
      <w:bookmarkEnd w:id="296"/>
      <w:bookmarkStart w:id="297" w:name="_Toc184310276"/>
      <w:bookmarkEnd w:id="297"/>
      <w:bookmarkStart w:id="298" w:name="_Toc184314439"/>
      <w:bookmarkEnd w:id="298"/>
      <w:bookmarkStart w:id="299" w:name="_Toc184314469"/>
      <w:bookmarkEnd w:id="299"/>
      <w:bookmarkStart w:id="300" w:name="_Toc184308093"/>
      <w:bookmarkEnd w:id="300"/>
      <w:bookmarkStart w:id="301" w:name="_Toc184314411"/>
      <w:bookmarkEnd w:id="301"/>
      <w:bookmarkStart w:id="302" w:name="_Toc184312118"/>
      <w:bookmarkEnd w:id="302"/>
      <w:bookmarkStart w:id="303" w:name="_Toc184313265"/>
      <w:bookmarkEnd w:id="303"/>
      <w:bookmarkStart w:id="304" w:name="_Toc184308062"/>
      <w:bookmarkEnd w:id="304"/>
      <w:bookmarkStart w:id="305" w:name="_Toc184313261"/>
      <w:bookmarkEnd w:id="305"/>
      <w:bookmarkStart w:id="306" w:name="_Toc184312068"/>
      <w:bookmarkEnd w:id="306"/>
      <w:bookmarkStart w:id="307" w:name="_Toc184308049"/>
      <w:bookmarkEnd w:id="307"/>
      <w:bookmarkStart w:id="308" w:name="_Toc184308076"/>
      <w:bookmarkEnd w:id="308"/>
      <w:bookmarkStart w:id="309" w:name="_Toc184310280"/>
      <w:bookmarkEnd w:id="309"/>
      <w:bookmarkStart w:id="310" w:name="_Toc184308042"/>
      <w:bookmarkEnd w:id="310"/>
      <w:bookmarkStart w:id="311" w:name="_Toc184308041"/>
      <w:bookmarkEnd w:id="311"/>
      <w:bookmarkStart w:id="312" w:name="_Toc184310273"/>
      <w:bookmarkEnd w:id="312"/>
      <w:bookmarkStart w:id="313" w:name="_Toc184314457"/>
      <w:bookmarkEnd w:id="313"/>
      <w:bookmarkStart w:id="314" w:name="_Toc184312137"/>
      <w:bookmarkEnd w:id="314"/>
      <w:bookmarkStart w:id="315" w:name="_Toc184312087"/>
      <w:bookmarkEnd w:id="315"/>
      <w:bookmarkStart w:id="316" w:name="_Toc184308058"/>
      <w:bookmarkEnd w:id="316"/>
      <w:bookmarkStart w:id="317" w:name="_Toc184314429"/>
      <w:bookmarkEnd w:id="317"/>
      <w:bookmarkStart w:id="318" w:name="_Toc184314424"/>
      <w:bookmarkEnd w:id="318"/>
      <w:bookmarkStart w:id="319" w:name="_Toc184308104"/>
      <w:bookmarkEnd w:id="319"/>
      <w:bookmarkStart w:id="320" w:name="_Toc184312073"/>
      <w:bookmarkEnd w:id="320"/>
      <w:bookmarkStart w:id="321" w:name="_Toc184314413"/>
      <w:bookmarkEnd w:id="321"/>
      <w:bookmarkStart w:id="322" w:name="_Toc184308081"/>
      <w:bookmarkEnd w:id="322"/>
      <w:bookmarkStart w:id="323" w:name="_Toc184312107"/>
      <w:bookmarkEnd w:id="323"/>
      <w:bookmarkStart w:id="324" w:name="_Toc184314458"/>
      <w:bookmarkEnd w:id="324"/>
      <w:bookmarkStart w:id="325" w:name="_Toc184314438"/>
      <w:bookmarkEnd w:id="325"/>
      <w:bookmarkStart w:id="326" w:name="_Toc184310324"/>
      <w:bookmarkEnd w:id="326"/>
      <w:bookmarkStart w:id="327" w:name="_Toc184313289"/>
      <w:bookmarkEnd w:id="327"/>
      <w:bookmarkStart w:id="328" w:name="_Toc184312102"/>
      <w:bookmarkEnd w:id="328"/>
      <w:bookmarkStart w:id="329" w:name="_Toc184314412"/>
      <w:bookmarkEnd w:id="329"/>
      <w:bookmarkStart w:id="330" w:name="_Toc184313304"/>
      <w:bookmarkEnd w:id="330"/>
      <w:bookmarkStart w:id="331" w:name="_Toc184308055"/>
      <w:bookmarkEnd w:id="331"/>
      <w:bookmarkStart w:id="332" w:name="_Toc184312127"/>
      <w:bookmarkEnd w:id="332"/>
      <w:bookmarkStart w:id="333" w:name="_Toc184313244"/>
      <w:bookmarkEnd w:id="333"/>
      <w:bookmarkStart w:id="334" w:name="_Toc184310304"/>
      <w:bookmarkEnd w:id="334"/>
      <w:bookmarkStart w:id="335" w:name="_Toc184308082"/>
      <w:bookmarkEnd w:id="335"/>
      <w:bookmarkStart w:id="336" w:name="_Toc184310279"/>
      <w:bookmarkEnd w:id="336"/>
      <w:bookmarkStart w:id="337" w:name="_Toc184312119"/>
      <w:bookmarkEnd w:id="337"/>
      <w:bookmarkStart w:id="338" w:name="_Toc184313257"/>
      <w:bookmarkEnd w:id="338"/>
      <w:bookmarkStart w:id="339" w:name="_Toc184313240"/>
      <w:bookmarkEnd w:id="339"/>
      <w:bookmarkStart w:id="340" w:name="_Toc184312084"/>
      <w:bookmarkEnd w:id="340"/>
      <w:bookmarkStart w:id="341" w:name="_Toc184308099"/>
      <w:bookmarkEnd w:id="341"/>
      <w:bookmarkStart w:id="342" w:name="_Toc184308091"/>
      <w:bookmarkEnd w:id="342"/>
      <w:bookmarkStart w:id="343" w:name="_Toc184314461"/>
      <w:bookmarkEnd w:id="343"/>
      <w:bookmarkStart w:id="344" w:name="_Toc184314468"/>
      <w:bookmarkEnd w:id="344"/>
      <w:bookmarkStart w:id="345" w:name="_Toc184310318"/>
      <w:bookmarkEnd w:id="345"/>
      <w:bookmarkStart w:id="346" w:name="_Toc184313255"/>
      <w:bookmarkEnd w:id="346"/>
      <w:bookmarkStart w:id="347" w:name="_Toc184314444"/>
      <w:bookmarkEnd w:id="347"/>
      <w:bookmarkStart w:id="348" w:name="_Toc184310327"/>
      <w:bookmarkEnd w:id="348"/>
      <w:bookmarkStart w:id="349" w:name="_Toc184310338"/>
      <w:bookmarkEnd w:id="349"/>
      <w:bookmarkStart w:id="350" w:name="_Toc184314477"/>
      <w:bookmarkEnd w:id="350"/>
      <w:bookmarkStart w:id="351" w:name="_Toc184312089"/>
      <w:bookmarkEnd w:id="351"/>
      <w:bookmarkStart w:id="352" w:name="_Toc184308100"/>
      <w:bookmarkEnd w:id="352"/>
      <w:bookmarkStart w:id="353" w:name="_Toc184308048"/>
      <w:bookmarkEnd w:id="353"/>
      <w:bookmarkStart w:id="354" w:name="_Toc184310336"/>
      <w:bookmarkEnd w:id="354"/>
      <w:bookmarkStart w:id="355" w:name="_Toc184314418"/>
      <w:bookmarkEnd w:id="355"/>
      <w:bookmarkStart w:id="356" w:name="_Toc184312138"/>
      <w:bookmarkEnd w:id="356"/>
      <w:bookmarkStart w:id="357" w:name="_Toc184308107"/>
      <w:bookmarkEnd w:id="357"/>
      <w:bookmarkStart w:id="358" w:name="_Toc184313245"/>
      <w:bookmarkEnd w:id="358"/>
      <w:bookmarkStart w:id="359" w:name="_Toc184313288"/>
      <w:bookmarkEnd w:id="359"/>
      <w:bookmarkStart w:id="360" w:name="_Toc184308086"/>
      <w:bookmarkEnd w:id="360"/>
      <w:bookmarkStart w:id="361" w:name="_Toc184314414"/>
      <w:bookmarkEnd w:id="361"/>
      <w:bookmarkStart w:id="362" w:name="_Toc184310343"/>
      <w:bookmarkEnd w:id="362"/>
      <w:bookmarkStart w:id="363" w:name="_Toc184308060"/>
      <w:bookmarkEnd w:id="363"/>
      <w:bookmarkStart w:id="364" w:name="_Toc184314426"/>
      <w:bookmarkEnd w:id="364"/>
      <w:bookmarkStart w:id="365" w:name="_Toc184312132"/>
      <w:bookmarkEnd w:id="365"/>
      <w:bookmarkStart w:id="366" w:name="_Toc184314431"/>
      <w:bookmarkEnd w:id="366"/>
      <w:bookmarkStart w:id="367" w:name="_Toc184310284"/>
      <w:bookmarkEnd w:id="367"/>
      <w:bookmarkStart w:id="368" w:name="_Toc184313274"/>
      <w:bookmarkEnd w:id="368"/>
      <w:bookmarkStart w:id="369" w:name="_Toc184314430"/>
      <w:bookmarkEnd w:id="369"/>
      <w:bookmarkStart w:id="370" w:name="_Toc184313285"/>
      <w:bookmarkEnd w:id="370"/>
      <w:bookmarkStart w:id="371" w:name="_Toc184314459"/>
      <w:bookmarkEnd w:id="371"/>
      <w:bookmarkStart w:id="372" w:name="_Toc184310337"/>
      <w:bookmarkEnd w:id="372"/>
      <w:bookmarkStart w:id="373" w:name="_Toc184312072"/>
      <w:bookmarkEnd w:id="373"/>
      <w:bookmarkStart w:id="374" w:name="_Toc184308044"/>
      <w:bookmarkEnd w:id="374"/>
      <w:bookmarkStart w:id="375" w:name="_Toc184312128"/>
      <w:bookmarkEnd w:id="375"/>
      <w:bookmarkStart w:id="376" w:name="_Toc184314420"/>
      <w:bookmarkEnd w:id="376"/>
      <w:bookmarkStart w:id="377" w:name="_Toc184312117"/>
      <w:bookmarkEnd w:id="377"/>
      <w:bookmarkStart w:id="378" w:name="_Toc184312093"/>
      <w:bookmarkEnd w:id="378"/>
      <w:bookmarkStart w:id="379" w:name="_Toc184310286"/>
      <w:bookmarkEnd w:id="379"/>
      <w:bookmarkStart w:id="380" w:name="_Toc184310274"/>
      <w:bookmarkEnd w:id="380"/>
      <w:bookmarkStart w:id="381" w:name="_Toc184312123"/>
      <w:bookmarkEnd w:id="381"/>
      <w:bookmarkStart w:id="382" w:name="_Toc184314473"/>
      <w:bookmarkEnd w:id="382"/>
      <w:bookmarkStart w:id="383" w:name="_Toc184308072"/>
      <w:bookmarkEnd w:id="383"/>
      <w:bookmarkStart w:id="384" w:name="_Toc184312076"/>
      <w:bookmarkEnd w:id="384"/>
      <w:bookmarkStart w:id="385" w:name="_Toc184312109"/>
      <w:bookmarkEnd w:id="385"/>
      <w:bookmarkStart w:id="386" w:name="_Toc184310300"/>
      <w:bookmarkEnd w:id="386"/>
      <w:bookmarkStart w:id="387" w:name="_Toc184310325"/>
      <w:bookmarkEnd w:id="387"/>
      <w:bookmarkStart w:id="388" w:name="_Toc184308097"/>
      <w:bookmarkEnd w:id="388"/>
      <w:bookmarkStart w:id="389" w:name="_Toc184313258"/>
      <w:bookmarkEnd w:id="389"/>
      <w:bookmarkStart w:id="390" w:name="_Toc184308101"/>
      <w:bookmarkEnd w:id="390"/>
      <w:bookmarkStart w:id="391" w:name="_Toc184313284"/>
      <w:bookmarkEnd w:id="391"/>
      <w:r>
        <w:rPr>
          <w:rFonts w:hint="eastAsia" w:ascii="仿宋_GB2312" w:eastAsia="仿宋_GB2312"/>
          <w:b/>
          <w:sz w:val="32"/>
          <w:szCs w:val="32"/>
        </w:rPr>
        <w:t>评标办法</w:t>
      </w:r>
    </w:p>
    <w:p>
      <w:pPr>
        <w:spacing w:line="540" w:lineRule="exact"/>
        <w:contextualSpacing/>
        <w:jc w:val="center"/>
        <w:rPr>
          <w:rFonts w:ascii="仿宋_GB2312" w:eastAsia="仿宋_GB2312"/>
          <w:sz w:val="28"/>
          <w:szCs w:val="28"/>
        </w:rPr>
      </w:pPr>
      <w:r>
        <w:rPr>
          <w:rFonts w:hint="eastAsia" w:ascii="仿宋_GB2312" w:eastAsia="仿宋_GB2312"/>
          <w:sz w:val="28"/>
          <w:szCs w:val="28"/>
        </w:rPr>
        <w:t>评标办法前附表</w:t>
      </w:r>
    </w:p>
    <w:tbl>
      <w:tblPr>
        <w:tblStyle w:val="15"/>
        <w:tblpPr w:leftFromText="180" w:rightFromText="180" w:vertAnchor="text" w:horzAnchor="page" w:tblpX="1031" w:tblpY="126"/>
        <w:tblW w:w="52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78"/>
        <w:gridCol w:w="5706"/>
        <w:gridCol w:w="625"/>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390"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ascii="仿宋_GB2312" w:eastAsia="仿宋_GB2312"/>
                <w:sz w:val="24"/>
                <w:szCs w:val="24"/>
              </w:rPr>
            </w:pPr>
            <w:r>
              <w:rPr>
                <w:rFonts w:hint="eastAsia" w:ascii="仿宋_GB2312" w:eastAsia="仿宋_GB2312"/>
                <w:sz w:val="24"/>
                <w:szCs w:val="24"/>
              </w:rPr>
              <w:t>类</w:t>
            </w:r>
          </w:p>
          <w:p>
            <w:pPr>
              <w:topLinePunct/>
              <w:spacing w:line="400" w:lineRule="exact"/>
              <w:contextualSpacing/>
              <w:jc w:val="center"/>
              <w:rPr>
                <w:rFonts w:ascii="仿宋_GB2312" w:eastAsia="仿宋_GB2312"/>
                <w:sz w:val="24"/>
                <w:szCs w:val="24"/>
              </w:rPr>
            </w:pPr>
            <w:r>
              <w:rPr>
                <w:rFonts w:hint="eastAsia" w:ascii="仿宋_GB2312" w:eastAsia="仿宋_GB2312"/>
                <w:sz w:val="24"/>
                <w:szCs w:val="24"/>
              </w:rPr>
              <w:t>目</w:t>
            </w:r>
          </w:p>
        </w:tc>
        <w:tc>
          <w:tcPr>
            <w:tcW w:w="268"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rPr>
                <w:rFonts w:ascii="仿宋_GB2312" w:eastAsia="仿宋_GB2312"/>
                <w:sz w:val="24"/>
                <w:szCs w:val="24"/>
              </w:rPr>
            </w:pPr>
            <w:r>
              <w:rPr>
                <w:rFonts w:hint="eastAsia" w:ascii="仿宋_GB2312" w:eastAsia="仿宋_GB2312"/>
                <w:sz w:val="24"/>
                <w:szCs w:val="24"/>
              </w:rPr>
              <w:t>序</w:t>
            </w:r>
          </w:p>
          <w:p>
            <w:pPr>
              <w:topLinePunct/>
              <w:spacing w:line="400" w:lineRule="exact"/>
              <w:contextualSpacing/>
              <w:rPr>
                <w:rFonts w:ascii="仿宋_GB2312" w:eastAsia="仿宋_GB2312"/>
                <w:sz w:val="24"/>
                <w:szCs w:val="24"/>
              </w:rPr>
            </w:pPr>
            <w:r>
              <w:rPr>
                <w:rFonts w:hint="eastAsia" w:ascii="仿宋_GB2312" w:eastAsia="仿宋_GB2312"/>
                <w:sz w:val="24"/>
                <w:szCs w:val="24"/>
              </w:rPr>
              <w:t>号</w:t>
            </w:r>
          </w:p>
        </w:tc>
        <w:tc>
          <w:tcPr>
            <w:tcW w:w="3197"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ascii="仿宋_GB2312" w:eastAsia="仿宋_GB2312"/>
                <w:sz w:val="24"/>
                <w:szCs w:val="24"/>
              </w:rPr>
            </w:pPr>
            <w:r>
              <w:rPr>
                <w:rFonts w:hint="eastAsia" w:ascii="仿宋_GB2312" w:eastAsia="仿宋_GB2312"/>
                <w:sz w:val="24"/>
                <w:szCs w:val="24"/>
              </w:rPr>
              <w:t>评标标准</w:t>
            </w:r>
          </w:p>
        </w:tc>
        <w:tc>
          <w:tcPr>
            <w:tcW w:w="350"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ascii="仿宋_GB2312" w:eastAsia="仿宋_GB2312"/>
                <w:sz w:val="24"/>
                <w:szCs w:val="24"/>
              </w:rPr>
            </w:pPr>
            <w:r>
              <w:rPr>
                <w:rFonts w:hint="eastAsia" w:ascii="仿宋_GB2312" w:eastAsia="仿宋_GB2312"/>
                <w:sz w:val="24"/>
                <w:szCs w:val="24"/>
              </w:rPr>
              <w:t>权重</w:t>
            </w:r>
          </w:p>
        </w:tc>
        <w:tc>
          <w:tcPr>
            <w:tcW w:w="793"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rPr>
                <w:rFonts w:ascii="仿宋_GB2312" w:eastAsia="仿宋_GB2312"/>
                <w:szCs w:val="21"/>
              </w:rPr>
            </w:pPr>
            <w:r>
              <w:rPr>
                <w:rFonts w:hint="eastAsia" w:ascii="仿宋_GB2312" w:eastAsia="仿宋_GB2312"/>
                <w:szCs w:val="21"/>
              </w:rPr>
              <w:t>投标文件中评标标准相应的商务技术资料目录</w:t>
            </w:r>
            <w:r>
              <w:rPr>
                <w:rFonts w:hint="eastAsia" w:eastAsia="仿宋_GB2312"/>
                <w:szCs w:val="21"/>
              </w:rPr>
              <w:t> </w:t>
            </w:r>
            <w:r>
              <w:rPr>
                <w:rFonts w:hint="eastAsia" w:eastAsia="仿宋_GB2312"/>
                <w:sz w:val="28"/>
                <w:szCs w:val="28"/>
              </w:rPr>
              <w:t> </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390" w:type="pct"/>
            <w:vMerge w:val="restart"/>
            <w:tcBorders>
              <w:top w:val="single" w:color="auto" w:sz="4" w:space="0"/>
              <w:left w:val="single" w:color="auto" w:sz="4" w:space="0"/>
              <w:right w:val="single" w:color="auto" w:sz="4" w:space="0"/>
            </w:tcBorders>
            <w:vAlign w:val="center"/>
          </w:tcPr>
          <w:p>
            <w:pPr>
              <w:topLinePunct/>
              <w:spacing w:line="400" w:lineRule="exact"/>
              <w:contextualSpacing/>
              <w:jc w:val="center"/>
              <w:rPr>
                <w:rFonts w:ascii="仿宋_GB2312" w:eastAsia="仿宋_GB2312"/>
                <w:sz w:val="24"/>
                <w:szCs w:val="24"/>
              </w:rPr>
            </w:pPr>
            <w:r>
              <w:rPr>
                <w:rFonts w:hint="eastAsia" w:ascii="仿宋_GB2312" w:eastAsia="仿宋_GB2312"/>
                <w:sz w:val="24"/>
                <w:szCs w:val="24"/>
              </w:rPr>
              <w:t>商</w:t>
            </w:r>
          </w:p>
          <w:p>
            <w:pPr>
              <w:topLinePunct/>
              <w:spacing w:line="400" w:lineRule="exact"/>
              <w:contextualSpacing/>
              <w:jc w:val="center"/>
              <w:rPr>
                <w:rFonts w:ascii="仿宋_GB2312" w:eastAsia="仿宋_GB2312"/>
                <w:sz w:val="24"/>
                <w:szCs w:val="24"/>
              </w:rPr>
            </w:pPr>
            <w:r>
              <w:rPr>
                <w:rFonts w:hint="eastAsia" w:ascii="仿宋_GB2312" w:eastAsia="仿宋_GB2312"/>
                <w:sz w:val="24"/>
                <w:szCs w:val="24"/>
              </w:rPr>
              <w:t>务</w:t>
            </w:r>
          </w:p>
          <w:p>
            <w:pPr>
              <w:topLinePunct/>
              <w:spacing w:line="400" w:lineRule="exact"/>
              <w:contextualSpacing/>
              <w:jc w:val="center"/>
              <w:rPr>
                <w:rFonts w:ascii="仿宋_GB2312" w:eastAsia="仿宋_GB2312"/>
                <w:sz w:val="24"/>
                <w:szCs w:val="24"/>
              </w:rPr>
            </w:pPr>
            <w:r>
              <w:rPr>
                <w:rFonts w:hint="eastAsia" w:ascii="仿宋_GB2312" w:eastAsia="仿宋_GB2312"/>
                <w:sz w:val="24"/>
                <w:szCs w:val="24"/>
              </w:rPr>
              <w:t>部</w:t>
            </w:r>
          </w:p>
          <w:p>
            <w:pPr>
              <w:topLinePunct/>
              <w:spacing w:line="400" w:lineRule="exact"/>
              <w:contextualSpacing/>
              <w:jc w:val="center"/>
              <w:rPr>
                <w:rFonts w:ascii="仿宋_GB2312" w:eastAsia="仿宋_GB2312"/>
                <w:sz w:val="24"/>
                <w:szCs w:val="24"/>
              </w:rPr>
            </w:pPr>
            <w:r>
              <w:rPr>
                <w:rFonts w:hint="eastAsia" w:ascii="仿宋_GB2312" w:eastAsia="仿宋_GB2312"/>
                <w:sz w:val="24"/>
                <w:szCs w:val="24"/>
              </w:rPr>
              <w:t>分</w:t>
            </w:r>
          </w:p>
          <w:p>
            <w:pPr>
              <w:topLinePunct/>
              <w:spacing w:line="400" w:lineRule="exact"/>
              <w:contextualSpacing/>
              <w:jc w:val="center"/>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val="en-US" w:eastAsia="zh-CN"/>
              </w:rPr>
              <w:t>24</w:t>
            </w:r>
            <w:r>
              <w:rPr>
                <w:rFonts w:hint="eastAsia" w:ascii="仿宋_GB2312" w:eastAsia="仿宋_GB2312"/>
                <w:sz w:val="24"/>
                <w:szCs w:val="24"/>
              </w:rPr>
              <w:t>分）</w:t>
            </w:r>
          </w:p>
        </w:tc>
        <w:tc>
          <w:tcPr>
            <w:tcW w:w="268"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eastAsia" w:ascii="仿宋_GB2312" w:hAnsi="宋体" w:eastAsia="仿宋_GB2312" w:cs="宋体"/>
                <w:spacing w:val="0"/>
                <w:kern w:val="2"/>
                <w:sz w:val="24"/>
                <w:szCs w:val="24"/>
                <w:lang w:val="en-US" w:eastAsia="zh-CN" w:bidi="ar-SA"/>
              </w:rPr>
            </w:pPr>
            <w:r>
              <w:rPr>
                <w:rFonts w:hint="eastAsia" w:ascii="仿宋_GB2312" w:hAnsi="宋体" w:eastAsia="仿宋_GB2312" w:cs="宋体"/>
                <w:spacing w:val="0"/>
                <w:kern w:val="2"/>
                <w:sz w:val="24"/>
                <w:szCs w:val="24"/>
                <w:lang w:val="en-US" w:eastAsia="zh-CN" w:bidi="ar-SA"/>
              </w:rPr>
              <w:t>1</w:t>
            </w:r>
          </w:p>
        </w:tc>
        <w:tc>
          <w:tcPr>
            <w:tcW w:w="3197"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rPr>
                <w:rFonts w:hint="eastAsia" w:ascii="仿宋_GB2312" w:hAnsi="宋体" w:eastAsia="仿宋_GB2312" w:cs="宋体"/>
                <w:spacing w:val="0"/>
                <w:kern w:val="2"/>
                <w:sz w:val="24"/>
                <w:szCs w:val="24"/>
                <w:lang w:val="en-US" w:eastAsia="zh-CN" w:bidi="ar-SA"/>
              </w:rPr>
            </w:pPr>
            <w:r>
              <w:rPr>
                <w:rFonts w:hint="eastAsia" w:ascii="仿宋_GB2312" w:hAnsi="宋体" w:eastAsia="仿宋_GB2312" w:cs="宋体"/>
                <w:spacing w:val="0"/>
                <w:kern w:val="2"/>
                <w:sz w:val="24"/>
                <w:szCs w:val="24"/>
                <w:lang w:val="en-US" w:eastAsia="zh-CN" w:bidi="ar-SA"/>
              </w:rPr>
              <w:t>投标人</w:t>
            </w:r>
            <w:r>
              <w:rPr>
                <w:rFonts w:hint="eastAsia" w:ascii="仿宋_GB2312" w:hAnsi="仿宋_GB2312" w:eastAsia="仿宋_GB2312" w:cs="仿宋_GB2312"/>
                <w:sz w:val="24"/>
              </w:rPr>
              <w:t>具有自2019年1月1日</w:t>
            </w:r>
            <w:r>
              <w:rPr>
                <w:rFonts w:hint="eastAsia" w:ascii="仿宋_GB2312" w:hAnsi="仿宋_GB2312" w:eastAsia="仿宋_GB2312" w:cs="仿宋_GB2312"/>
                <w:sz w:val="24"/>
                <w:lang w:eastAsia="zh-CN"/>
              </w:rPr>
              <w:t>（含）</w:t>
            </w:r>
            <w:r>
              <w:rPr>
                <w:rFonts w:hint="eastAsia" w:ascii="仿宋_GB2312" w:hAnsi="仿宋_GB2312" w:eastAsia="仿宋_GB2312" w:cs="仿宋_GB2312"/>
                <w:sz w:val="24"/>
              </w:rPr>
              <w:t>（以合同签订之日为准）</w:t>
            </w:r>
            <w:r>
              <w:rPr>
                <w:rFonts w:hint="eastAsia" w:ascii="仿宋_GB2312" w:hAnsi="仿宋_GB2312" w:eastAsia="仿宋_GB2312" w:cs="仿宋_GB2312"/>
                <w:sz w:val="24"/>
                <w:lang w:eastAsia="zh-CN"/>
              </w:rPr>
              <w:t>以来</w:t>
            </w:r>
            <w:r>
              <w:rPr>
                <w:rFonts w:hint="eastAsia" w:ascii="仿宋_GB2312" w:hAnsi="宋体" w:eastAsia="仿宋_GB2312" w:cs="宋体"/>
                <w:spacing w:val="0"/>
                <w:kern w:val="2"/>
                <w:sz w:val="24"/>
                <w:szCs w:val="24"/>
                <w:lang w:val="en-US" w:eastAsia="zh-CN" w:bidi="ar-SA"/>
              </w:rPr>
              <w:t>政务云服务、政务云安全服务或政务云运维等类似业绩的，提供其中一类合同的得1分，满分1分，未提供不得分。</w:t>
            </w:r>
          </w:p>
        </w:tc>
        <w:tc>
          <w:tcPr>
            <w:tcW w:w="350"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eastAsia" w:ascii="仿宋_GB2312" w:eastAsia="仿宋_GB2312"/>
                <w:sz w:val="24"/>
                <w:szCs w:val="24"/>
                <w:lang w:eastAsia="zh-CN"/>
              </w:rPr>
            </w:pPr>
            <w:r>
              <w:rPr>
                <w:rFonts w:hint="eastAsia" w:ascii="仿宋_GB2312" w:eastAsia="仿宋_GB2312"/>
                <w:sz w:val="24"/>
                <w:szCs w:val="24"/>
                <w:lang w:val="en-US" w:eastAsia="zh-CN"/>
              </w:rPr>
              <w:t>1</w:t>
            </w:r>
          </w:p>
        </w:tc>
        <w:tc>
          <w:tcPr>
            <w:tcW w:w="793"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0" w:type="pct"/>
            <w:vMerge w:val="continue"/>
            <w:tcBorders>
              <w:left w:val="single" w:color="auto" w:sz="4" w:space="0"/>
              <w:right w:val="single" w:color="auto" w:sz="4" w:space="0"/>
            </w:tcBorders>
            <w:vAlign w:val="center"/>
          </w:tcPr>
          <w:p>
            <w:pPr>
              <w:topLinePunct/>
              <w:spacing w:line="400" w:lineRule="exact"/>
              <w:contextualSpacing/>
              <w:rPr>
                <w:rFonts w:ascii="仿宋_GB2312" w:eastAsia="仿宋_GB2312"/>
                <w:sz w:val="24"/>
                <w:szCs w:val="24"/>
              </w:rPr>
            </w:pPr>
          </w:p>
        </w:tc>
        <w:tc>
          <w:tcPr>
            <w:tcW w:w="268"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eastAsia" w:ascii="仿宋_GB2312" w:hAnsi="宋体" w:eastAsia="仿宋_GB2312" w:cs="宋体"/>
                <w:spacing w:val="0"/>
                <w:kern w:val="2"/>
                <w:sz w:val="24"/>
                <w:szCs w:val="24"/>
                <w:lang w:val="en-US" w:eastAsia="zh-CN" w:bidi="ar-SA"/>
              </w:rPr>
            </w:pPr>
            <w:r>
              <w:rPr>
                <w:rFonts w:hint="eastAsia" w:ascii="仿宋_GB2312" w:hAnsi="宋体" w:eastAsia="仿宋_GB2312" w:cs="宋体"/>
                <w:spacing w:val="0"/>
                <w:kern w:val="2"/>
                <w:sz w:val="24"/>
                <w:szCs w:val="24"/>
                <w:lang w:val="en-US" w:eastAsia="zh-CN" w:bidi="ar-SA"/>
              </w:rPr>
              <w:t>2</w:t>
            </w:r>
          </w:p>
        </w:tc>
        <w:tc>
          <w:tcPr>
            <w:tcW w:w="3197"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rPr>
                <w:rFonts w:hint="eastAsia" w:ascii="仿宋_GB2312" w:hAnsi="宋体" w:eastAsia="仿宋_GB2312" w:cs="宋体"/>
                <w:spacing w:val="0"/>
                <w:kern w:val="2"/>
                <w:sz w:val="24"/>
                <w:szCs w:val="24"/>
                <w:lang w:val="en-US" w:eastAsia="zh-CN" w:bidi="ar-SA"/>
              </w:rPr>
            </w:pPr>
            <w:r>
              <w:rPr>
                <w:rFonts w:hint="eastAsia" w:ascii="仿宋_GB2312" w:hAnsi="宋体" w:eastAsia="仿宋_GB2312" w:cs="宋体"/>
                <w:spacing w:val="0"/>
                <w:kern w:val="2"/>
                <w:sz w:val="24"/>
                <w:szCs w:val="24"/>
                <w:lang w:val="en-US" w:eastAsia="zh-CN" w:bidi="ar-SA"/>
              </w:rPr>
              <w:t>投标人提供所投云平台安全等级保护三级认证证书的得3分，安全等级保护二级认证证书的得2分，安全等级保护一级认证证书的得1分。</w:t>
            </w:r>
          </w:p>
          <w:p>
            <w:pPr>
              <w:topLinePunct/>
              <w:spacing w:line="400" w:lineRule="exact"/>
              <w:contextualSpacing/>
              <w:rPr>
                <w:rFonts w:hint="eastAsia" w:ascii="仿宋_GB2312" w:hAnsi="宋体" w:eastAsia="仿宋_GB2312" w:cs="宋体"/>
                <w:spacing w:val="0"/>
                <w:kern w:val="2"/>
                <w:sz w:val="24"/>
                <w:szCs w:val="24"/>
                <w:lang w:val="en-US" w:eastAsia="zh-CN" w:bidi="ar-SA"/>
              </w:rPr>
            </w:pPr>
            <w:r>
              <w:rPr>
                <w:rFonts w:hint="eastAsia" w:ascii="仿宋_GB2312" w:hAnsi="宋体" w:eastAsia="仿宋_GB2312" w:cs="宋体"/>
                <w:spacing w:val="0"/>
                <w:kern w:val="2"/>
                <w:sz w:val="24"/>
                <w:szCs w:val="24"/>
                <w:lang w:val="en-US" w:eastAsia="zh-CN" w:bidi="ar-SA"/>
              </w:rPr>
              <w:t>注：1、以上证书不重复得分，投标时须提供证书，否则不得分。</w:t>
            </w:r>
          </w:p>
          <w:p>
            <w:pPr>
              <w:topLinePunct/>
              <w:spacing w:line="400" w:lineRule="exact"/>
              <w:contextualSpacing/>
              <w:rPr>
                <w:rFonts w:hint="default"/>
                <w:lang w:val="en-US" w:eastAsia="zh-CN"/>
              </w:rPr>
            </w:pPr>
            <w:r>
              <w:rPr>
                <w:rFonts w:hint="eastAsia" w:ascii="仿宋_GB2312" w:hAnsi="宋体" w:eastAsia="仿宋_GB2312" w:cs="宋体"/>
                <w:spacing w:val="0"/>
                <w:kern w:val="2"/>
                <w:sz w:val="24"/>
                <w:szCs w:val="24"/>
                <w:u w:val="none"/>
                <w:lang w:val="en-US" w:eastAsia="zh-CN" w:bidi="ar-SA"/>
              </w:rPr>
              <w:t>2、如以联合体形式投标的且均提供了所投云平台安全等级保护认证证书的，取等级低的认证证书参与评审。</w:t>
            </w:r>
          </w:p>
        </w:tc>
        <w:tc>
          <w:tcPr>
            <w:tcW w:w="350"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eastAsia" w:ascii="仿宋_GB2312" w:eastAsia="仿宋_GB2312"/>
                <w:sz w:val="24"/>
                <w:szCs w:val="24"/>
                <w:lang w:eastAsia="zh-CN"/>
              </w:rPr>
            </w:pPr>
            <w:r>
              <w:rPr>
                <w:rFonts w:hint="eastAsia" w:ascii="仿宋_GB2312" w:eastAsia="仿宋_GB2312"/>
                <w:sz w:val="24"/>
                <w:szCs w:val="24"/>
                <w:lang w:val="en-US" w:eastAsia="zh-CN"/>
              </w:rPr>
              <w:t>3</w:t>
            </w:r>
          </w:p>
        </w:tc>
        <w:tc>
          <w:tcPr>
            <w:tcW w:w="793" w:type="pct"/>
            <w:tcBorders>
              <w:top w:val="single" w:color="auto" w:sz="4" w:space="0"/>
              <w:left w:val="single" w:color="auto" w:sz="4" w:space="0"/>
              <w:bottom w:val="single" w:color="auto" w:sz="4" w:space="0"/>
              <w:right w:val="single" w:color="auto" w:sz="4" w:space="0"/>
            </w:tcBorders>
          </w:tcPr>
          <w:p>
            <w:pPr>
              <w:topLinePunct/>
              <w:spacing w:line="400" w:lineRule="exact"/>
              <w:contextualSpacing/>
              <w:rPr>
                <w:rFonts w:ascii="仿宋_GB2312" w:eastAsia="仿宋_GB2312"/>
                <w:sz w:val="24"/>
                <w:szCs w:val="24"/>
              </w:rPr>
            </w:pPr>
          </w:p>
          <w:p>
            <w:pPr>
              <w:topLinePunct/>
              <w:spacing w:line="40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0" w:type="pct"/>
            <w:vMerge w:val="continue"/>
            <w:tcBorders>
              <w:left w:val="single" w:color="auto" w:sz="4" w:space="0"/>
              <w:right w:val="single" w:color="auto" w:sz="4" w:space="0"/>
            </w:tcBorders>
            <w:vAlign w:val="center"/>
          </w:tcPr>
          <w:p>
            <w:pPr>
              <w:topLinePunct/>
              <w:spacing w:line="400" w:lineRule="exact"/>
              <w:contextualSpacing/>
              <w:rPr>
                <w:rFonts w:ascii="仿宋_GB2312" w:eastAsia="仿宋_GB2312"/>
                <w:sz w:val="24"/>
                <w:szCs w:val="24"/>
              </w:rPr>
            </w:pPr>
          </w:p>
        </w:tc>
        <w:tc>
          <w:tcPr>
            <w:tcW w:w="268" w:type="pct"/>
            <w:tcBorders>
              <w:top w:val="single" w:color="auto" w:sz="4" w:space="0"/>
              <w:left w:val="single" w:color="auto" w:sz="4" w:space="0"/>
              <w:right w:val="single" w:color="auto" w:sz="4" w:space="0"/>
            </w:tcBorders>
            <w:vAlign w:val="center"/>
          </w:tcPr>
          <w:p>
            <w:pPr>
              <w:topLinePunct/>
              <w:spacing w:line="400" w:lineRule="exact"/>
              <w:contextualSpacing/>
              <w:jc w:val="center"/>
              <w:rPr>
                <w:rFonts w:ascii="仿宋_GB2312" w:eastAsia="仿宋_GB2312"/>
                <w:sz w:val="24"/>
                <w:szCs w:val="24"/>
              </w:rPr>
            </w:pPr>
            <w:r>
              <w:rPr>
                <w:rFonts w:hint="eastAsia" w:ascii="仿宋_GB2312" w:eastAsia="仿宋_GB2312"/>
                <w:sz w:val="24"/>
                <w:szCs w:val="24"/>
              </w:rPr>
              <w:t>3</w:t>
            </w:r>
          </w:p>
        </w:tc>
        <w:tc>
          <w:tcPr>
            <w:tcW w:w="3197" w:type="pct"/>
            <w:tcBorders>
              <w:top w:val="single" w:color="auto" w:sz="4" w:space="0"/>
              <w:left w:val="single" w:color="auto" w:sz="4" w:space="0"/>
              <w:right w:val="single" w:color="auto" w:sz="4" w:space="0"/>
            </w:tcBorders>
            <w:vAlign w:val="center"/>
          </w:tcPr>
          <w:p>
            <w:pPr>
              <w:pStyle w:val="2"/>
              <w:adjustRightInd w:val="0"/>
              <w:snapToGrid w:val="0"/>
              <w:spacing w:line="500" w:lineRule="exact"/>
              <w:ind w:firstLine="0" w:firstLineChars="0"/>
              <w:rPr>
                <w:rFonts w:hint="eastAsia" w:ascii="仿宋_GB2312" w:hAnsi="宋体" w:eastAsia="仿宋_GB2312" w:cs="宋体"/>
                <w:spacing w:val="0"/>
                <w:kern w:val="2"/>
                <w:szCs w:val="24"/>
              </w:rPr>
            </w:pPr>
            <w:r>
              <w:rPr>
                <w:rFonts w:hint="eastAsia" w:ascii="仿宋_GB2312" w:hAnsi="宋体" w:eastAsia="仿宋_GB2312" w:cs="宋体"/>
                <w:spacing w:val="0"/>
                <w:kern w:val="2"/>
                <w:szCs w:val="24"/>
              </w:rPr>
              <w:t>投标人拟派本项目实施团队中：</w:t>
            </w:r>
          </w:p>
          <w:p>
            <w:pPr>
              <w:pStyle w:val="2"/>
              <w:adjustRightInd w:val="0"/>
              <w:snapToGrid w:val="0"/>
              <w:spacing w:line="500" w:lineRule="exact"/>
              <w:ind w:firstLine="0" w:firstLineChars="0"/>
              <w:rPr>
                <w:rFonts w:hint="eastAsia" w:ascii="仿宋_GB2312" w:hAnsi="宋体" w:eastAsia="仿宋_GB2312" w:cs="宋体"/>
                <w:spacing w:val="0"/>
                <w:kern w:val="2"/>
                <w:szCs w:val="24"/>
                <w:lang w:eastAsia="zh-CN"/>
              </w:rPr>
            </w:pPr>
            <w:r>
              <w:rPr>
                <w:rFonts w:hint="eastAsia" w:ascii="仿宋_GB2312" w:hAnsi="宋体" w:eastAsia="仿宋_GB2312" w:cs="宋体"/>
                <w:spacing w:val="0"/>
                <w:kern w:val="2"/>
                <w:szCs w:val="24"/>
              </w:rPr>
              <w:t>具</w:t>
            </w:r>
            <w:r>
              <w:rPr>
                <w:rFonts w:hint="eastAsia" w:ascii="仿宋_GB2312" w:hAnsi="宋体" w:eastAsia="仿宋_GB2312" w:cs="宋体"/>
                <w:spacing w:val="0"/>
                <w:kern w:val="2"/>
                <w:szCs w:val="24"/>
                <w:lang w:eastAsia="zh-CN"/>
              </w:rPr>
              <w:t>有</w:t>
            </w:r>
            <w:r>
              <w:rPr>
                <w:rFonts w:hint="eastAsia" w:ascii="仿宋_GB2312" w:hAnsi="宋体" w:eastAsia="仿宋_GB2312" w:cs="宋体"/>
                <w:spacing w:val="0"/>
                <w:kern w:val="2"/>
                <w:szCs w:val="24"/>
                <w:lang w:val="en-US" w:eastAsia="zh-CN"/>
              </w:rPr>
              <w:t>（1）</w:t>
            </w:r>
            <w:r>
              <w:rPr>
                <w:rFonts w:hint="eastAsia" w:ascii="仿宋_GB2312" w:hAnsi="宋体" w:eastAsia="仿宋_GB2312" w:cs="宋体"/>
                <w:spacing w:val="0"/>
                <w:kern w:val="2"/>
                <w:szCs w:val="24"/>
              </w:rPr>
              <w:t>系统集成项目管理工程师中级或以上证书</w:t>
            </w:r>
            <w:r>
              <w:rPr>
                <w:rFonts w:hint="eastAsia" w:ascii="仿宋_GB2312" w:hAnsi="宋体" w:eastAsia="仿宋_GB2312" w:cs="宋体"/>
                <w:spacing w:val="0"/>
                <w:kern w:val="2"/>
                <w:szCs w:val="24"/>
                <w:lang w:eastAsia="zh-CN"/>
              </w:rPr>
              <w:t>；</w:t>
            </w:r>
          </w:p>
          <w:p>
            <w:pPr>
              <w:pStyle w:val="2"/>
              <w:numPr>
                <w:ilvl w:val="0"/>
                <w:numId w:val="0"/>
              </w:numPr>
              <w:adjustRightInd w:val="0"/>
              <w:snapToGrid w:val="0"/>
              <w:spacing w:line="500" w:lineRule="exact"/>
              <w:rPr>
                <w:rFonts w:hint="eastAsia" w:ascii="仿宋_GB2312" w:hAnsi="宋体" w:eastAsia="仿宋_GB2312" w:cs="宋体"/>
                <w:spacing w:val="0"/>
                <w:kern w:val="2"/>
                <w:szCs w:val="24"/>
                <w:lang w:eastAsia="zh-CN"/>
              </w:rPr>
            </w:pPr>
            <w:r>
              <w:rPr>
                <w:rFonts w:hint="eastAsia" w:ascii="仿宋_GB2312" w:hAnsi="宋体" w:eastAsia="仿宋_GB2312" w:cs="宋体"/>
                <w:spacing w:val="0"/>
                <w:kern w:val="2"/>
                <w:szCs w:val="24"/>
                <w:lang w:eastAsia="zh-CN"/>
              </w:rPr>
              <w:t>（</w:t>
            </w:r>
            <w:r>
              <w:rPr>
                <w:rFonts w:hint="eastAsia" w:ascii="仿宋_GB2312" w:hAnsi="宋体" w:eastAsia="仿宋_GB2312" w:cs="宋体"/>
                <w:spacing w:val="0"/>
                <w:kern w:val="2"/>
                <w:szCs w:val="24"/>
                <w:lang w:val="en-US" w:eastAsia="zh-CN"/>
              </w:rPr>
              <w:t>2</w:t>
            </w:r>
            <w:r>
              <w:rPr>
                <w:rFonts w:hint="eastAsia" w:ascii="仿宋_GB2312" w:hAnsi="宋体" w:eastAsia="仿宋_GB2312" w:cs="宋体"/>
                <w:spacing w:val="0"/>
                <w:kern w:val="2"/>
                <w:szCs w:val="24"/>
                <w:lang w:eastAsia="zh-CN"/>
              </w:rPr>
              <w:t>）所投云平台原厂商云计算架构师认证证书；</w:t>
            </w:r>
          </w:p>
          <w:p>
            <w:pPr>
              <w:pStyle w:val="2"/>
              <w:numPr>
                <w:ilvl w:val="0"/>
                <w:numId w:val="0"/>
              </w:numPr>
              <w:adjustRightInd w:val="0"/>
              <w:snapToGrid w:val="0"/>
              <w:spacing w:line="500" w:lineRule="exact"/>
              <w:rPr>
                <w:rFonts w:hint="eastAsia" w:ascii="仿宋_GB2312" w:hAnsi="宋体" w:eastAsia="仿宋_GB2312" w:cs="宋体"/>
                <w:spacing w:val="0"/>
                <w:kern w:val="2"/>
                <w:szCs w:val="24"/>
                <w:lang w:eastAsia="zh-CN"/>
              </w:rPr>
            </w:pPr>
            <w:r>
              <w:rPr>
                <w:rFonts w:hint="eastAsia" w:ascii="仿宋_GB2312" w:hAnsi="宋体" w:eastAsia="仿宋_GB2312" w:cs="宋体"/>
                <w:spacing w:val="0"/>
                <w:kern w:val="2"/>
                <w:szCs w:val="24"/>
                <w:lang w:eastAsia="zh-CN"/>
              </w:rPr>
              <w:t>（</w:t>
            </w:r>
            <w:r>
              <w:rPr>
                <w:rFonts w:hint="eastAsia" w:ascii="仿宋_GB2312" w:hAnsi="宋体" w:eastAsia="仿宋_GB2312" w:cs="宋体"/>
                <w:spacing w:val="0"/>
                <w:kern w:val="2"/>
                <w:szCs w:val="24"/>
                <w:lang w:val="en-US" w:eastAsia="zh-CN"/>
              </w:rPr>
              <w:t>3</w:t>
            </w:r>
            <w:r>
              <w:rPr>
                <w:rFonts w:hint="eastAsia" w:ascii="仿宋_GB2312" w:hAnsi="宋体" w:eastAsia="仿宋_GB2312" w:cs="宋体"/>
                <w:spacing w:val="0"/>
                <w:kern w:val="2"/>
                <w:szCs w:val="24"/>
                <w:lang w:eastAsia="zh-CN"/>
              </w:rPr>
              <w:t>）所投云平台原厂商云计算专业工程师认证证书；</w:t>
            </w:r>
          </w:p>
          <w:p>
            <w:pPr>
              <w:pStyle w:val="2"/>
              <w:numPr>
                <w:ilvl w:val="0"/>
                <w:numId w:val="0"/>
              </w:numPr>
              <w:adjustRightInd w:val="0"/>
              <w:snapToGrid w:val="0"/>
              <w:spacing w:line="500" w:lineRule="exact"/>
              <w:rPr>
                <w:rFonts w:hint="eastAsia" w:ascii="仿宋_GB2312" w:hAnsi="宋体" w:eastAsia="仿宋_GB2312" w:cs="宋体"/>
                <w:spacing w:val="0"/>
                <w:kern w:val="2"/>
                <w:szCs w:val="24"/>
                <w:lang w:eastAsia="zh-CN"/>
              </w:rPr>
            </w:pPr>
            <w:r>
              <w:rPr>
                <w:rFonts w:hint="eastAsia" w:ascii="仿宋_GB2312" w:hAnsi="宋体" w:eastAsia="仿宋_GB2312" w:cs="宋体"/>
                <w:spacing w:val="0"/>
                <w:kern w:val="2"/>
                <w:szCs w:val="24"/>
                <w:lang w:eastAsia="zh-CN"/>
              </w:rPr>
              <w:t>（</w:t>
            </w:r>
            <w:r>
              <w:rPr>
                <w:rFonts w:hint="eastAsia" w:ascii="仿宋_GB2312" w:hAnsi="宋体" w:eastAsia="仿宋_GB2312" w:cs="宋体"/>
                <w:spacing w:val="0"/>
                <w:kern w:val="2"/>
                <w:szCs w:val="24"/>
                <w:lang w:val="en-US" w:eastAsia="zh-CN"/>
              </w:rPr>
              <w:t>4</w:t>
            </w:r>
            <w:r>
              <w:rPr>
                <w:rFonts w:hint="eastAsia" w:ascii="仿宋_GB2312" w:hAnsi="宋体" w:eastAsia="仿宋_GB2312" w:cs="宋体"/>
                <w:spacing w:val="0"/>
                <w:kern w:val="2"/>
                <w:szCs w:val="24"/>
                <w:lang w:eastAsia="zh-CN"/>
              </w:rPr>
              <w:t>）所投云平台原厂商大数据工程师认证证书；</w:t>
            </w:r>
          </w:p>
          <w:p>
            <w:pPr>
              <w:pStyle w:val="2"/>
              <w:adjustRightInd w:val="0"/>
              <w:snapToGrid w:val="0"/>
              <w:spacing w:line="500" w:lineRule="exact"/>
              <w:ind w:firstLine="0" w:firstLineChars="0"/>
              <w:rPr>
                <w:rFonts w:hint="eastAsia" w:ascii="仿宋_GB2312" w:hAnsi="宋体" w:eastAsia="仿宋_GB2312" w:cs="宋体"/>
                <w:spacing w:val="0"/>
                <w:kern w:val="2"/>
                <w:szCs w:val="24"/>
                <w:lang w:eastAsia="zh-CN"/>
              </w:rPr>
            </w:pPr>
            <w:r>
              <w:rPr>
                <w:rFonts w:hint="eastAsia" w:ascii="仿宋_GB2312" w:hAnsi="宋体" w:eastAsia="仿宋_GB2312" w:cs="宋体"/>
                <w:spacing w:val="0"/>
                <w:kern w:val="2"/>
                <w:szCs w:val="24"/>
                <w:lang w:eastAsia="zh-CN"/>
              </w:rPr>
              <w:t>（</w:t>
            </w:r>
            <w:r>
              <w:rPr>
                <w:rFonts w:hint="eastAsia" w:ascii="仿宋_GB2312" w:hAnsi="宋体" w:eastAsia="仿宋_GB2312" w:cs="宋体"/>
                <w:spacing w:val="0"/>
                <w:kern w:val="2"/>
                <w:szCs w:val="24"/>
                <w:lang w:val="en-US" w:eastAsia="zh-CN"/>
              </w:rPr>
              <w:t>5</w:t>
            </w:r>
            <w:r>
              <w:rPr>
                <w:rFonts w:hint="eastAsia" w:ascii="仿宋_GB2312" w:hAnsi="宋体" w:eastAsia="仿宋_GB2312" w:cs="宋体"/>
                <w:spacing w:val="0"/>
                <w:kern w:val="2"/>
                <w:szCs w:val="24"/>
                <w:lang w:eastAsia="zh-CN"/>
              </w:rPr>
              <w:t>）</w:t>
            </w:r>
            <w:r>
              <w:rPr>
                <w:rFonts w:hint="eastAsia" w:ascii="仿宋_GB2312" w:hAnsi="宋体" w:eastAsia="仿宋_GB2312" w:cs="宋体"/>
                <w:spacing w:val="0"/>
                <w:kern w:val="2"/>
                <w:szCs w:val="24"/>
              </w:rPr>
              <w:t>注册信息安全工程师（CISE）中级或以上证书</w:t>
            </w:r>
            <w:r>
              <w:rPr>
                <w:rFonts w:hint="eastAsia" w:ascii="仿宋_GB2312" w:hAnsi="宋体" w:eastAsia="仿宋_GB2312" w:cs="宋体"/>
                <w:spacing w:val="0"/>
                <w:kern w:val="2"/>
                <w:szCs w:val="24"/>
                <w:lang w:eastAsia="zh-CN"/>
              </w:rPr>
              <w:t>；</w:t>
            </w:r>
          </w:p>
          <w:p>
            <w:pPr>
              <w:pStyle w:val="2"/>
              <w:adjustRightInd w:val="0"/>
              <w:snapToGrid w:val="0"/>
              <w:spacing w:line="500" w:lineRule="exact"/>
              <w:ind w:firstLine="0" w:firstLineChars="0"/>
              <w:rPr>
                <w:rFonts w:hint="eastAsia" w:ascii="仿宋_GB2312" w:hAnsi="宋体" w:eastAsia="仿宋_GB2312" w:cs="宋体"/>
                <w:spacing w:val="0"/>
                <w:kern w:val="2"/>
                <w:szCs w:val="24"/>
                <w:lang w:eastAsia="zh-CN"/>
              </w:rPr>
            </w:pPr>
            <w:r>
              <w:rPr>
                <w:rFonts w:hint="eastAsia" w:ascii="仿宋_GB2312" w:hAnsi="宋体" w:eastAsia="仿宋_GB2312" w:cs="宋体"/>
                <w:spacing w:val="0"/>
                <w:kern w:val="2"/>
                <w:szCs w:val="24"/>
                <w:lang w:eastAsia="zh-CN"/>
              </w:rPr>
              <w:t>（</w:t>
            </w:r>
            <w:r>
              <w:rPr>
                <w:rFonts w:hint="eastAsia" w:ascii="仿宋_GB2312" w:hAnsi="宋体" w:eastAsia="仿宋_GB2312" w:cs="宋体"/>
                <w:spacing w:val="0"/>
                <w:kern w:val="2"/>
                <w:szCs w:val="24"/>
                <w:lang w:val="en-US" w:eastAsia="zh-CN"/>
              </w:rPr>
              <w:t>6</w:t>
            </w:r>
            <w:r>
              <w:rPr>
                <w:rFonts w:hint="eastAsia" w:ascii="仿宋_GB2312" w:hAnsi="宋体" w:eastAsia="仿宋_GB2312" w:cs="宋体"/>
                <w:spacing w:val="0"/>
                <w:kern w:val="2"/>
                <w:szCs w:val="24"/>
                <w:lang w:eastAsia="zh-CN"/>
              </w:rPr>
              <w:t>）电子信息技术工程师中级或以上证书；</w:t>
            </w:r>
          </w:p>
          <w:p>
            <w:pPr>
              <w:pStyle w:val="2"/>
              <w:adjustRightInd w:val="0"/>
              <w:snapToGrid w:val="0"/>
              <w:spacing w:line="500" w:lineRule="exact"/>
              <w:ind w:firstLine="0" w:firstLineChars="0"/>
              <w:rPr>
                <w:rFonts w:hint="eastAsia" w:ascii="仿宋_GB2312" w:hAnsi="宋体" w:eastAsia="仿宋_GB2312" w:cs="宋体"/>
                <w:spacing w:val="0"/>
                <w:kern w:val="2"/>
                <w:szCs w:val="24"/>
              </w:rPr>
            </w:pPr>
            <w:r>
              <w:rPr>
                <w:rFonts w:hint="eastAsia" w:ascii="仿宋_GB2312" w:hAnsi="宋体" w:eastAsia="仿宋_GB2312" w:cs="宋体"/>
                <w:spacing w:val="0"/>
                <w:kern w:val="2"/>
                <w:szCs w:val="24"/>
              </w:rPr>
              <w:t>每具备1类证书得1分，最高得</w:t>
            </w:r>
            <w:r>
              <w:rPr>
                <w:rFonts w:hint="eastAsia" w:ascii="仿宋_GB2312" w:hAnsi="宋体" w:eastAsia="仿宋_GB2312" w:cs="宋体"/>
                <w:spacing w:val="0"/>
                <w:kern w:val="2"/>
                <w:szCs w:val="24"/>
                <w:lang w:val="en-US" w:eastAsia="zh-CN"/>
              </w:rPr>
              <w:t>6</w:t>
            </w:r>
            <w:r>
              <w:rPr>
                <w:rFonts w:hint="eastAsia" w:ascii="仿宋_GB2312" w:hAnsi="宋体" w:eastAsia="仿宋_GB2312" w:cs="宋体"/>
                <w:spacing w:val="0"/>
                <w:kern w:val="2"/>
                <w:szCs w:val="24"/>
              </w:rPr>
              <w:t>分，同类证书不同等级</w:t>
            </w:r>
            <w:r>
              <w:rPr>
                <w:rFonts w:hint="eastAsia" w:ascii="仿宋_GB2312" w:hAnsi="宋体" w:eastAsia="仿宋_GB2312" w:cs="宋体"/>
                <w:spacing w:val="0"/>
                <w:kern w:val="2"/>
                <w:szCs w:val="24"/>
                <w:lang w:eastAsia="zh-CN"/>
              </w:rPr>
              <w:t>就高计取</w:t>
            </w:r>
            <w:r>
              <w:rPr>
                <w:rFonts w:hint="eastAsia" w:ascii="仿宋_GB2312" w:hAnsi="宋体" w:eastAsia="仿宋_GB2312" w:cs="宋体"/>
                <w:spacing w:val="0"/>
                <w:kern w:val="2"/>
                <w:szCs w:val="24"/>
              </w:rPr>
              <w:t>不重复计分，同一人员同时具有上述</w:t>
            </w:r>
            <w:r>
              <w:rPr>
                <w:rFonts w:hint="eastAsia" w:ascii="仿宋_GB2312" w:hAnsi="宋体" w:eastAsia="仿宋_GB2312" w:cs="宋体"/>
                <w:spacing w:val="0"/>
                <w:kern w:val="2"/>
                <w:szCs w:val="24"/>
                <w:lang w:val="en-US" w:eastAsia="zh-CN"/>
              </w:rPr>
              <w:t>2</w:t>
            </w:r>
            <w:r>
              <w:rPr>
                <w:rFonts w:hint="eastAsia" w:ascii="仿宋_GB2312" w:hAnsi="宋体" w:eastAsia="仿宋_GB2312" w:cs="宋体"/>
                <w:spacing w:val="0"/>
                <w:kern w:val="2"/>
                <w:szCs w:val="24"/>
              </w:rPr>
              <w:t>类或</w:t>
            </w:r>
            <w:r>
              <w:rPr>
                <w:rFonts w:hint="eastAsia" w:ascii="仿宋_GB2312" w:hAnsi="宋体" w:eastAsia="仿宋_GB2312" w:cs="宋体"/>
                <w:spacing w:val="0"/>
                <w:kern w:val="2"/>
                <w:szCs w:val="24"/>
                <w:lang w:val="en-US" w:eastAsia="zh-CN"/>
              </w:rPr>
              <w:t>2</w:t>
            </w:r>
            <w:r>
              <w:rPr>
                <w:rFonts w:hint="eastAsia" w:ascii="仿宋_GB2312" w:hAnsi="宋体" w:eastAsia="仿宋_GB2312" w:cs="宋体"/>
                <w:spacing w:val="0"/>
                <w:kern w:val="2"/>
                <w:szCs w:val="24"/>
              </w:rPr>
              <w:t>类以上证书的，最多得1分。</w:t>
            </w:r>
          </w:p>
          <w:p>
            <w:pPr>
              <w:pStyle w:val="2"/>
              <w:adjustRightInd w:val="0"/>
              <w:snapToGrid w:val="0"/>
              <w:spacing w:line="500" w:lineRule="exact"/>
              <w:ind w:firstLine="0" w:firstLineChars="0"/>
              <w:rPr>
                <w:rFonts w:hint="eastAsia" w:ascii="仿宋_GB2312" w:hAnsi="宋体" w:eastAsia="仿宋_GB2312" w:cs="宋体"/>
                <w:spacing w:val="0"/>
                <w:kern w:val="2"/>
                <w:szCs w:val="24"/>
                <w:lang w:val="en-US" w:eastAsia="zh-CN"/>
              </w:rPr>
            </w:pPr>
            <w:r>
              <w:rPr>
                <w:rFonts w:hint="eastAsia" w:ascii="仿宋_GB2312" w:hAnsi="宋体" w:eastAsia="仿宋_GB2312" w:cs="宋体"/>
                <w:spacing w:val="0"/>
                <w:kern w:val="2"/>
                <w:szCs w:val="24"/>
              </w:rPr>
              <w:t>注：1.须提供上述证书及该员工在本单位的社保证明</w:t>
            </w:r>
            <w:r>
              <w:rPr>
                <w:rFonts w:hint="eastAsia" w:ascii="仿宋_GB2312" w:hAnsi="宋体" w:eastAsia="仿宋_GB2312" w:cs="宋体"/>
                <w:spacing w:val="0"/>
                <w:kern w:val="2"/>
                <w:szCs w:val="24"/>
                <w:u w:val="none"/>
              </w:rPr>
              <w:t>（</w:t>
            </w:r>
            <w:r>
              <w:rPr>
                <w:rFonts w:hint="eastAsia" w:ascii="仿宋_GB2312" w:hAnsi="仿宋_GB2312" w:eastAsia="仿宋_GB2312" w:cs="仿宋_GB2312"/>
                <w:sz w:val="24"/>
                <w:lang w:val="en-US" w:eastAsia="zh-CN"/>
              </w:rPr>
              <w:t>2022年9月、10月、11月、12月中的任意一个月</w:t>
            </w:r>
            <w:r>
              <w:rPr>
                <w:rFonts w:hint="eastAsia" w:ascii="仿宋_GB2312" w:hAnsi="宋体" w:eastAsia="仿宋_GB2312" w:cs="宋体"/>
                <w:spacing w:val="0"/>
                <w:kern w:val="2"/>
                <w:szCs w:val="24"/>
                <w:u w:val="none"/>
              </w:rPr>
              <w:t>）</w:t>
            </w:r>
            <w:r>
              <w:rPr>
                <w:rFonts w:hint="eastAsia" w:ascii="仿宋_GB2312" w:hAnsi="宋体" w:eastAsia="仿宋_GB2312" w:cs="宋体"/>
                <w:spacing w:val="0"/>
                <w:kern w:val="2"/>
                <w:szCs w:val="24"/>
                <w:lang w:eastAsia="zh-CN"/>
              </w:rPr>
              <w:t>。</w:t>
            </w:r>
          </w:p>
        </w:tc>
        <w:tc>
          <w:tcPr>
            <w:tcW w:w="350" w:type="pct"/>
            <w:tcBorders>
              <w:top w:val="single" w:color="auto" w:sz="4" w:space="0"/>
              <w:left w:val="single" w:color="auto" w:sz="4" w:space="0"/>
              <w:right w:val="single" w:color="auto" w:sz="4" w:space="0"/>
            </w:tcBorders>
            <w:vAlign w:val="center"/>
          </w:tcPr>
          <w:p>
            <w:pPr>
              <w:topLinePunct/>
              <w:spacing w:line="400" w:lineRule="exact"/>
              <w:contextualSpacing/>
              <w:jc w:val="center"/>
              <w:rPr>
                <w:rFonts w:ascii="仿宋_GB2312" w:eastAsia="仿宋_GB2312"/>
                <w:sz w:val="24"/>
                <w:szCs w:val="24"/>
              </w:rPr>
            </w:pPr>
            <w:r>
              <w:rPr>
                <w:rFonts w:hint="eastAsia" w:ascii="仿宋_GB2312" w:eastAsia="仿宋_GB2312"/>
                <w:sz w:val="24"/>
                <w:szCs w:val="24"/>
              </w:rPr>
              <w:t>6</w:t>
            </w:r>
          </w:p>
        </w:tc>
        <w:tc>
          <w:tcPr>
            <w:tcW w:w="793" w:type="pct"/>
            <w:tcBorders>
              <w:top w:val="single" w:color="auto" w:sz="4" w:space="0"/>
              <w:left w:val="single" w:color="auto" w:sz="4" w:space="0"/>
              <w:right w:val="single" w:color="auto" w:sz="4" w:space="0"/>
            </w:tcBorders>
          </w:tcPr>
          <w:p>
            <w:pPr>
              <w:topLinePunct/>
              <w:spacing w:line="40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390" w:type="pct"/>
            <w:vMerge w:val="continue"/>
            <w:tcBorders>
              <w:left w:val="single" w:color="auto" w:sz="4" w:space="0"/>
              <w:right w:val="single" w:color="auto" w:sz="4" w:space="0"/>
            </w:tcBorders>
            <w:vAlign w:val="center"/>
          </w:tcPr>
          <w:p>
            <w:pPr>
              <w:topLinePunct/>
              <w:spacing w:line="400" w:lineRule="exact"/>
              <w:contextualSpacing/>
              <w:rPr>
                <w:rFonts w:ascii="仿宋_GB2312" w:eastAsia="仿宋_GB2312"/>
                <w:sz w:val="24"/>
                <w:szCs w:val="24"/>
              </w:rPr>
            </w:pPr>
          </w:p>
        </w:tc>
        <w:tc>
          <w:tcPr>
            <w:tcW w:w="268"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ascii="仿宋_GB2312" w:eastAsia="仿宋_GB2312"/>
                <w:sz w:val="24"/>
                <w:szCs w:val="24"/>
              </w:rPr>
            </w:pPr>
            <w:r>
              <w:rPr>
                <w:rFonts w:hint="eastAsia" w:ascii="仿宋_GB2312" w:eastAsia="仿宋_GB2312"/>
                <w:sz w:val="24"/>
                <w:szCs w:val="24"/>
              </w:rPr>
              <w:t>4</w:t>
            </w:r>
          </w:p>
        </w:tc>
        <w:tc>
          <w:tcPr>
            <w:tcW w:w="3197"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rPr>
                <w:rFonts w:ascii="仿宋_GB2312" w:eastAsia="仿宋_GB2312"/>
                <w:b/>
                <w:sz w:val="24"/>
                <w:szCs w:val="24"/>
              </w:rPr>
            </w:pPr>
            <w:r>
              <w:rPr>
                <w:rFonts w:hint="eastAsia" w:ascii="仿宋_GB2312" w:hAnsi="仿宋_GB2312" w:eastAsia="仿宋_GB2312" w:cs="仿宋_GB2312"/>
                <w:sz w:val="24"/>
              </w:rPr>
              <w:t>根据投标人的售后服务</w:t>
            </w:r>
            <w:r>
              <w:rPr>
                <w:rFonts w:hint="eastAsia" w:ascii="仿宋_GB2312" w:hAnsi="仿宋_GB2312" w:eastAsia="仿宋_GB2312" w:cs="仿宋_GB2312"/>
                <w:sz w:val="24"/>
                <w:lang w:eastAsia="zh-CN"/>
              </w:rPr>
              <w:t>方案</w:t>
            </w:r>
            <w:r>
              <w:rPr>
                <w:rFonts w:hint="eastAsia" w:ascii="仿宋_GB2312" w:hAnsi="仿宋_GB2312" w:eastAsia="仿宋_GB2312" w:cs="仿宋_GB2312"/>
                <w:sz w:val="24"/>
              </w:rPr>
              <w:t>（包</w:t>
            </w:r>
            <w:r>
              <w:rPr>
                <w:rFonts w:hint="eastAsia" w:ascii="仿宋_GB2312" w:hAnsi="仿宋_GB2312" w:eastAsia="仿宋_GB2312" w:cs="仿宋_GB2312"/>
                <w:sz w:val="24"/>
                <w:lang w:eastAsia="zh-CN"/>
              </w:rPr>
              <w:t>括且</w:t>
            </w:r>
            <w:r>
              <w:rPr>
                <w:rFonts w:hint="eastAsia" w:ascii="仿宋_GB2312" w:hAnsi="仿宋_GB2312" w:eastAsia="仿宋_GB2312" w:cs="仿宋_GB2312"/>
                <w:sz w:val="24"/>
              </w:rPr>
              <w:t>不限于响应时间、</w:t>
            </w:r>
            <w:r>
              <w:rPr>
                <w:rFonts w:hint="eastAsia" w:ascii="仿宋_GB2312" w:hAnsi="仿宋_GB2312" w:eastAsia="仿宋_GB2312" w:cs="仿宋_GB2312"/>
                <w:sz w:val="24"/>
                <w:lang w:eastAsia="zh-CN"/>
              </w:rPr>
              <w:t>运维</w:t>
            </w:r>
            <w:r>
              <w:rPr>
                <w:rFonts w:hint="eastAsia" w:ascii="仿宋_GB2312" w:hAnsi="仿宋_GB2312" w:eastAsia="仿宋_GB2312" w:cs="仿宋_GB2312"/>
                <w:sz w:val="24"/>
              </w:rPr>
              <w:t>人员实力、</w:t>
            </w:r>
            <w:r>
              <w:rPr>
                <w:rFonts w:hint="eastAsia" w:ascii="仿宋_GB2312" w:hAnsi="仿宋_GB2312" w:eastAsia="仿宋_GB2312" w:cs="仿宋_GB2312"/>
                <w:sz w:val="24"/>
                <w:lang w:eastAsia="zh-CN"/>
              </w:rPr>
              <w:t>运维服务方案</w:t>
            </w:r>
            <w:r>
              <w:rPr>
                <w:rFonts w:hint="eastAsia" w:ascii="仿宋_GB2312" w:hAnsi="仿宋_GB2312" w:eastAsia="仿宋_GB2312" w:cs="仿宋_GB2312"/>
                <w:sz w:val="24"/>
              </w:rPr>
              <w:t>、后期咨询服务等</w:t>
            </w:r>
            <w:r>
              <w:rPr>
                <w:rFonts w:hint="eastAsia" w:ascii="仿宋_GB2312" w:hAnsi="仿宋_GB2312" w:eastAsia="仿宋_GB2312" w:cs="仿宋_GB2312"/>
                <w:sz w:val="24"/>
                <w:lang w:eastAsia="zh-CN"/>
              </w:rPr>
              <w:t>的完善性、合理性情况</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综合打分，</w:t>
            </w:r>
            <w:r>
              <w:rPr>
                <w:rFonts w:hint="eastAsia" w:ascii="仿宋_GB2312" w:hAnsi="仿宋_GB2312" w:eastAsia="仿宋_GB2312" w:cs="仿宋_GB2312"/>
                <w:sz w:val="24"/>
                <w:lang w:val="en-US" w:eastAsia="zh-CN"/>
              </w:rPr>
              <w:t>0-4分</w:t>
            </w:r>
            <w:r>
              <w:rPr>
                <w:rFonts w:hint="eastAsia" w:ascii="仿宋_GB2312" w:hAnsi="仿宋_GB2312" w:eastAsia="仿宋_GB2312" w:cs="仿宋_GB2312"/>
                <w:sz w:val="24"/>
                <w:lang w:eastAsia="zh-CN"/>
              </w:rPr>
              <w:t>。</w:t>
            </w:r>
          </w:p>
        </w:tc>
        <w:tc>
          <w:tcPr>
            <w:tcW w:w="350"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ascii="仿宋_GB2312" w:eastAsia="仿宋_GB2312"/>
                <w:sz w:val="24"/>
                <w:szCs w:val="24"/>
              </w:rPr>
            </w:pPr>
            <w:r>
              <w:rPr>
                <w:rFonts w:hint="eastAsia" w:ascii="仿宋_GB2312" w:eastAsia="仿宋_GB2312"/>
                <w:sz w:val="24"/>
                <w:szCs w:val="24"/>
              </w:rPr>
              <w:t>4</w:t>
            </w:r>
          </w:p>
        </w:tc>
        <w:tc>
          <w:tcPr>
            <w:tcW w:w="793" w:type="pct"/>
            <w:tcBorders>
              <w:top w:val="single" w:color="auto" w:sz="4" w:space="0"/>
              <w:left w:val="single" w:color="auto" w:sz="4" w:space="0"/>
              <w:bottom w:val="single" w:color="auto" w:sz="4" w:space="0"/>
              <w:right w:val="single" w:color="auto" w:sz="4" w:space="0"/>
            </w:tcBorders>
          </w:tcPr>
          <w:p>
            <w:pPr>
              <w:topLinePunct/>
              <w:spacing w:line="40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390" w:type="pct"/>
            <w:vMerge w:val="continue"/>
            <w:tcBorders>
              <w:left w:val="single" w:color="auto" w:sz="4" w:space="0"/>
              <w:right w:val="single" w:color="auto" w:sz="4" w:space="0"/>
            </w:tcBorders>
            <w:vAlign w:val="center"/>
          </w:tcPr>
          <w:p>
            <w:pPr>
              <w:topLinePunct/>
              <w:spacing w:line="400" w:lineRule="exact"/>
              <w:contextualSpacing/>
              <w:rPr>
                <w:rFonts w:ascii="仿宋_GB2312" w:eastAsia="仿宋_GB2312"/>
                <w:sz w:val="24"/>
                <w:szCs w:val="24"/>
              </w:rPr>
            </w:pPr>
          </w:p>
        </w:tc>
        <w:tc>
          <w:tcPr>
            <w:tcW w:w="268"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5</w:t>
            </w:r>
          </w:p>
        </w:tc>
        <w:tc>
          <w:tcPr>
            <w:tcW w:w="3197"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eastAsia="zh-CN"/>
              </w:rPr>
              <w:t>根据投标人提供的</w:t>
            </w:r>
            <w:r>
              <w:rPr>
                <w:rFonts w:hint="eastAsia" w:ascii="仿宋_GB2312" w:hAnsi="仿宋_GB2312" w:eastAsia="仿宋_GB2312" w:cs="仿宋_GB2312"/>
                <w:sz w:val="24"/>
              </w:rPr>
              <w:t>技术支撑服务方案</w:t>
            </w:r>
            <w:r>
              <w:rPr>
                <w:rFonts w:hint="eastAsia" w:ascii="仿宋_GB2312" w:hAnsi="仿宋_GB2312" w:eastAsia="仿宋_GB2312" w:cs="仿宋_GB2312"/>
                <w:sz w:val="24"/>
                <w:lang w:eastAsia="zh-CN"/>
              </w:rPr>
              <w:t>中技术支撑力量的配备、一体化运维支撑能力、统一云管服务能力的优越性、完善性等情况打分，</w:t>
            </w:r>
            <w:r>
              <w:rPr>
                <w:rFonts w:hint="eastAsia" w:ascii="仿宋_GB2312" w:hAnsi="仿宋_GB2312" w:eastAsia="仿宋_GB2312" w:cs="仿宋_GB2312"/>
                <w:sz w:val="24"/>
                <w:lang w:val="en-US" w:eastAsia="zh-CN"/>
              </w:rPr>
              <w:t>0-3分。</w:t>
            </w:r>
          </w:p>
        </w:tc>
        <w:tc>
          <w:tcPr>
            <w:tcW w:w="350"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eastAsia" w:ascii="仿宋_GB2312" w:eastAsia="仿宋_GB2312"/>
                <w:b w:val="0"/>
                <w:bCs w:val="0"/>
                <w:sz w:val="24"/>
                <w:szCs w:val="24"/>
                <w:lang w:val="en-US" w:eastAsia="zh-CN"/>
              </w:rPr>
            </w:pPr>
            <w:r>
              <w:rPr>
                <w:rFonts w:hint="eastAsia" w:ascii="仿宋_GB2312" w:eastAsia="仿宋_GB2312"/>
                <w:sz w:val="24"/>
                <w:szCs w:val="24"/>
                <w:lang w:val="en-US" w:eastAsia="zh-CN"/>
              </w:rPr>
              <w:t>3</w:t>
            </w:r>
          </w:p>
        </w:tc>
        <w:tc>
          <w:tcPr>
            <w:tcW w:w="793" w:type="pct"/>
            <w:tcBorders>
              <w:top w:val="single" w:color="auto" w:sz="4" w:space="0"/>
              <w:left w:val="single" w:color="auto" w:sz="4" w:space="0"/>
              <w:bottom w:val="single" w:color="auto" w:sz="4" w:space="0"/>
              <w:right w:val="single" w:color="auto" w:sz="4" w:space="0"/>
            </w:tcBorders>
          </w:tcPr>
          <w:p>
            <w:pPr>
              <w:topLinePunct/>
              <w:spacing w:line="40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390" w:type="pct"/>
            <w:vMerge w:val="continue"/>
            <w:tcBorders>
              <w:left w:val="single" w:color="auto" w:sz="4" w:space="0"/>
              <w:right w:val="single" w:color="auto" w:sz="4" w:space="0"/>
            </w:tcBorders>
            <w:vAlign w:val="center"/>
          </w:tcPr>
          <w:p>
            <w:pPr>
              <w:topLinePunct/>
              <w:spacing w:line="400" w:lineRule="exact"/>
              <w:contextualSpacing/>
              <w:rPr>
                <w:rFonts w:ascii="仿宋_GB2312" w:eastAsia="仿宋_GB2312"/>
                <w:sz w:val="24"/>
                <w:szCs w:val="24"/>
              </w:rPr>
            </w:pPr>
          </w:p>
        </w:tc>
        <w:tc>
          <w:tcPr>
            <w:tcW w:w="268"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6</w:t>
            </w:r>
          </w:p>
        </w:tc>
        <w:tc>
          <w:tcPr>
            <w:tcW w:w="3197"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eastAsia="zh-CN"/>
              </w:rPr>
              <w:t>根据投标人提供的</w:t>
            </w:r>
            <w:r>
              <w:rPr>
                <w:rFonts w:hint="eastAsia" w:ascii="仿宋_GB2312" w:hAnsi="仿宋_GB2312" w:eastAsia="仿宋_GB2312" w:cs="仿宋_GB2312"/>
                <w:sz w:val="24"/>
              </w:rPr>
              <w:t>技术支撑服务方案</w:t>
            </w:r>
            <w:r>
              <w:rPr>
                <w:rFonts w:hint="eastAsia" w:ascii="仿宋_GB2312" w:hAnsi="仿宋_GB2312" w:eastAsia="仿宋_GB2312" w:cs="仿宋_GB2312"/>
                <w:sz w:val="24"/>
                <w:lang w:eastAsia="zh-CN"/>
              </w:rPr>
              <w:t>中针对本项目的操作规范性、服务团队技术配备完善性、制度机制建立全面性等情况综合打分，</w:t>
            </w:r>
            <w:r>
              <w:rPr>
                <w:rFonts w:hint="eastAsia" w:ascii="仿宋_GB2312" w:hAnsi="仿宋_GB2312" w:eastAsia="仿宋_GB2312" w:cs="仿宋_GB2312"/>
                <w:sz w:val="24"/>
                <w:lang w:val="en-US" w:eastAsia="zh-CN"/>
              </w:rPr>
              <w:t>0-3分。</w:t>
            </w:r>
          </w:p>
        </w:tc>
        <w:tc>
          <w:tcPr>
            <w:tcW w:w="350"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3</w:t>
            </w:r>
          </w:p>
        </w:tc>
        <w:tc>
          <w:tcPr>
            <w:tcW w:w="793" w:type="pct"/>
            <w:tcBorders>
              <w:top w:val="single" w:color="auto" w:sz="4" w:space="0"/>
              <w:left w:val="single" w:color="auto" w:sz="4" w:space="0"/>
              <w:bottom w:val="single" w:color="auto" w:sz="4" w:space="0"/>
              <w:right w:val="single" w:color="auto" w:sz="4" w:space="0"/>
            </w:tcBorders>
          </w:tcPr>
          <w:p>
            <w:pPr>
              <w:topLinePunct/>
              <w:spacing w:line="40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vMerge w:val="continue"/>
            <w:tcBorders>
              <w:left w:val="single" w:color="auto" w:sz="4" w:space="0"/>
              <w:right w:val="single" w:color="auto" w:sz="4" w:space="0"/>
            </w:tcBorders>
            <w:vAlign w:val="center"/>
          </w:tcPr>
          <w:p>
            <w:pPr>
              <w:topLinePunct/>
              <w:spacing w:line="400" w:lineRule="exact"/>
              <w:contextualSpacing/>
              <w:rPr>
                <w:rFonts w:ascii="仿宋_GB2312" w:eastAsia="仿宋_GB2312"/>
                <w:sz w:val="24"/>
                <w:szCs w:val="24"/>
              </w:rPr>
            </w:pPr>
          </w:p>
        </w:tc>
        <w:tc>
          <w:tcPr>
            <w:tcW w:w="268"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eastAsia" w:ascii="仿宋_GB2312" w:eastAsia="仿宋_GB2312"/>
                <w:sz w:val="24"/>
                <w:szCs w:val="24"/>
                <w:lang w:eastAsia="zh-CN"/>
              </w:rPr>
            </w:pPr>
            <w:r>
              <w:rPr>
                <w:rFonts w:hint="eastAsia" w:ascii="仿宋_GB2312" w:eastAsia="仿宋_GB2312"/>
                <w:sz w:val="24"/>
                <w:szCs w:val="24"/>
                <w:lang w:val="en-US" w:eastAsia="zh-CN"/>
              </w:rPr>
              <w:t>7</w:t>
            </w:r>
          </w:p>
        </w:tc>
        <w:tc>
          <w:tcPr>
            <w:tcW w:w="3197"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rPr>
                <w:rFonts w:hint="default" w:ascii="仿宋_GB2312" w:eastAsia="仿宋_GB2312"/>
                <w:b/>
                <w:sz w:val="24"/>
                <w:szCs w:val="24"/>
                <w:lang w:val="en-US" w:eastAsia="zh-CN"/>
              </w:rPr>
            </w:pPr>
            <w:r>
              <w:rPr>
                <w:rFonts w:hint="eastAsia" w:ascii="仿宋_GB2312" w:hAnsi="仿宋_GB2312" w:eastAsia="仿宋_GB2312" w:cs="仿宋_GB2312"/>
                <w:sz w:val="24"/>
                <w:lang w:eastAsia="zh-CN"/>
              </w:rPr>
              <w:t>根据投标人针对本项目的驻点团队人员云服务运营经验、综合服务能力打分，</w:t>
            </w:r>
            <w:r>
              <w:rPr>
                <w:rFonts w:hint="eastAsia" w:ascii="仿宋_GB2312" w:hAnsi="仿宋_GB2312" w:eastAsia="仿宋_GB2312" w:cs="仿宋_GB2312"/>
                <w:sz w:val="24"/>
                <w:lang w:val="en-US" w:eastAsia="zh-CN"/>
              </w:rPr>
              <w:t>0-2分。</w:t>
            </w:r>
          </w:p>
        </w:tc>
        <w:tc>
          <w:tcPr>
            <w:tcW w:w="350"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eastAsia" w:ascii="仿宋_GB2312" w:eastAsia="仿宋_GB2312"/>
                <w:sz w:val="24"/>
                <w:szCs w:val="24"/>
                <w:lang w:eastAsia="zh-CN"/>
              </w:rPr>
            </w:pPr>
            <w:r>
              <w:rPr>
                <w:rFonts w:hint="eastAsia" w:ascii="仿宋_GB2312" w:eastAsia="仿宋_GB2312"/>
                <w:sz w:val="24"/>
                <w:szCs w:val="24"/>
                <w:lang w:val="en-US" w:eastAsia="zh-CN"/>
              </w:rPr>
              <w:t>2</w:t>
            </w:r>
          </w:p>
        </w:tc>
        <w:tc>
          <w:tcPr>
            <w:tcW w:w="793" w:type="pct"/>
            <w:tcBorders>
              <w:top w:val="single" w:color="auto" w:sz="4" w:space="0"/>
              <w:left w:val="single" w:color="auto" w:sz="4" w:space="0"/>
              <w:bottom w:val="single" w:color="auto" w:sz="4" w:space="0"/>
              <w:right w:val="single" w:color="auto" w:sz="4" w:space="0"/>
            </w:tcBorders>
          </w:tcPr>
          <w:p>
            <w:pPr>
              <w:topLinePunct/>
              <w:spacing w:line="40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390" w:type="pct"/>
            <w:vMerge w:val="continue"/>
            <w:tcBorders>
              <w:left w:val="single" w:color="auto" w:sz="4" w:space="0"/>
              <w:right w:val="single" w:color="auto" w:sz="4" w:space="0"/>
            </w:tcBorders>
            <w:vAlign w:val="center"/>
          </w:tcPr>
          <w:p>
            <w:pPr>
              <w:topLinePunct/>
              <w:spacing w:line="400" w:lineRule="exact"/>
              <w:contextualSpacing/>
              <w:rPr>
                <w:rFonts w:ascii="仿宋_GB2312" w:eastAsia="仿宋_GB2312"/>
                <w:sz w:val="24"/>
                <w:szCs w:val="24"/>
              </w:rPr>
            </w:pPr>
          </w:p>
        </w:tc>
        <w:tc>
          <w:tcPr>
            <w:tcW w:w="268"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eastAsia" w:ascii="仿宋_GB2312" w:eastAsia="仿宋_GB2312"/>
                <w:sz w:val="24"/>
                <w:szCs w:val="24"/>
                <w:lang w:eastAsia="zh-CN"/>
              </w:rPr>
            </w:pPr>
            <w:r>
              <w:rPr>
                <w:rFonts w:hint="eastAsia" w:ascii="仿宋_GB2312" w:eastAsia="仿宋_GB2312"/>
                <w:sz w:val="24"/>
                <w:szCs w:val="24"/>
                <w:lang w:val="en-US" w:eastAsia="zh-CN"/>
              </w:rPr>
              <w:t>8</w:t>
            </w:r>
          </w:p>
        </w:tc>
        <w:tc>
          <w:tcPr>
            <w:tcW w:w="3197"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rPr>
                <w:rFonts w:ascii="仿宋_GB2312" w:eastAsia="仿宋_GB2312"/>
                <w:b/>
                <w:sz w:val="24"/>
                <w:szCs w:val="24"/>
              </w:rPr>
            </w:pPr>
            <w:r>
              <w:rPr>
                <w:rFonts w:hint="eastAsia" w:ascii="仿宋_GB2312" w:hAnsi="宋体" w:eastAsia="仿宋_GB2312" w:cs="宋体"/>
                <w:spacing w:val="0"/>
                <w:kern w:val="2"/>
                <w:sz w:val="24"/>
                <w:szCs w:val="24"/>
                <w:lang w:val="en-US" w:eastAsia="zh-CN" w:bidi="ar-SA"/>
              </w:rPr>
              <w:t>根据投标人提供的培训方案包括培训地点人员配备、培训计划的合理性、可行性情况打分，0-2分。</w:t>
            </w:r>
          </w:p>
        </w:tc>
        <w:tc>
          <w:tcPr>
            <w:tcW w:w="350"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eastAsia" w:ascii="仿宋_GB2312" w:eastAsia="仿宋_GB2312"/>
                <w:sz w:val="24"/>
                <w:szCs w:val="24"/>
                <w:lang w:eastAsia="zh-CN"/>
              </w:rPr>
            </w:pPr>
            <w:r>
              <w:rPr>
                <w:rFonts w:hint="eastAsia" w:ascii="仿宋_GB2312" w:eastAsia="仿宋_GB2312"/>
                <w:sz w:val="24"/>
                <w:szCs w:val="24"/>
                <w:lang w:val="en-US" w:eastAsia="zh-CN"/>
              </w:rPr>
              <w:t>2</w:t>
            </w:r>
          </w:p>
        </w:tc>
        <w:tc>
          <w:tcPr>
            <w:tcW w:w="793" w:type="pct"/>
            <w:tcBorders>
              <w:top w:val="single" w:color="auto" w:sz="4" w:space="0"/>
              <w:left w:val="single" w:color="auto" w:sz="4" w:space="0"/>
              <w:bottom w:val="single" w:color="auto" w:sz="4" w:space="0"/>
              <w:right w:val="single" w:color="auto" w:sz="4" w:space="0"/>
            </w:tcBorders>
          </w:tcPr>
          <w:p>
            <w:pPr>
              <w:topLinePunct/>
              <w:spacing w:line="40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390" w:type="pct"/>
            <w:vMerge w:val="restart"/>
            <w:tcBorders>
              <w:top w:val="single" w:color="auto" w:sz="4" w:space="0"/>
              <w:left w:val="single" w:color="auto" w:sz="4" w:space="0"/>
              <w:right w:val="single" w:color="auto" w:sz="4" w:space="0"/>
            </w:tcBorders>
            <w:vAlign w:val="center"/>
          </w:tcPr>
          <w:p>
            <w:pPr>
              <w:topLinePunct/>
              <w:spacing w:line="400" w:lineRule="exact"/>
              <w:contextualSpacing/>
              <w:rPr>
                <w:rFonts w:ascii="仿宋_GB2312" w:eastAsia="仿宋_GB2312"/>
                <w:sz w:val="24"/>
                <w:szCs w:val="24"/>
              </w:rPr>
            </w:pPr>
            <w:r>
              <w:rPr>
                <w:rFonts w:hint="eastAsia" w:ascii="仿宋_GB2312" w:eastAsia="仿宋_GB2312"/>
                <w:sz w:val="24"/>
                <w:szCs w:val="24"/>
              </w:rPr>
              <w:t>技术</w:t>
            </w:r>
          </w:p>
          <w:p>
            <w:pPr>
              <w:topLinePunct/>
              <w:spacing w:line="400" w:lineRule="exact"/>
              <w:contextualSpacing/>
              <w:rPr>
                <w:rFonts w:ascii="仿宋_GB2312" w:eastAsia="仿宋_GB2312"/>
                <w:sz w:val="24"/>
                <w:szCs w:val="24"/>
              </w:rPr>
            </w:pPr>
            <w:r>
              <w:rPr>
                <w:rFonts w:hint="eastAsia" w:ascii="仿宋_GB2312" w:eastAsia="仿宋_GB2312"/>
                <w:sz w:val="24"/>
                <w:szCs w:val="24"/>
              </w:rPr>
              <w:t>部分</w:t>
            </w:r>
          </w:p>
          <w:p>
            <w:pPr>
              <w:topLinePunct/>
              <w:spacing w:line="400" w:lineRule="exact"/>
              <w:contextualSpacing/>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val="en-US" w:eastAsia="zh-CN"/>
              </w:rPr>
              <w:t>66</w:t>
            </w:r>
            <w:r>
              <w:rPr>
                <w:rFonts w:hint="eastAsia" w:ascii="仿宋_GB2312" w:eastAsia="仿宋_GB2312"/>
                <w:sz w:val="24"/>
                <w:szCs w:val="24"/>
              </w:rPr>
              <w:t>分）</w:t>
            </w:r>
          </w:p>
        </w:tc>
        <w:tc>
          <w:tcPr>
            <w:tcW w:w="268"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eastAsia" w:ascii="仿宋_GB2312" w:eastAsia="仿宋_GB2312"/>
                <w:sz w:val="24"/>
                <w:szCs w:val="24"/>
                <w:lang w:eastAsia="zh-CN"/>
              </w:rPr>
            </w:pPr>
            <w:r>
              <w:rPr>
                <w:rFonts w:hint="eastAsia" w:ascii="仿宋_GB2312" w:eastAsia="仿宋_GB2312"/>
                <w:sz w:val="24"/>
                <w:szCs w:val="24"/>
                <w:lang w:val="en-US" w:eastAsia="zh-CN"/>
              </w:rPr>
              <w:t>9</w:t>
            </w:r>
          </w:p>
        </w:tc>
        <w:tc>
          <w:tcPr>
            <w:tcW w:w="3197"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rPr>
                <w:rFonts w:hint="eastAsia" w:ascii="仿宋_GB2312" w:eastAsia="仿宋_GB2312"/>
                <w:sz w:val="24"/>
                <w:szCs w:val="24"/>
                <w:lang w:eastAsia="zh-CN"/>
              </w:rPr>
            </w:pPr>
            <w:r>
              <w:rPr>
                <w:rFonts w:hint="eastAsia" w:ascii="仿宋_GB2312" w:eastAsia="仿宋_GB2312"/>
                <w:sz w:val="24"/>
                <w:szCs w:val="24"/>
              </w:rPr>
              <w:t>根据投标人提供的机房环境</w:t>
            </w:r>
            <w:r>
              <w:rPr>
                <w:rFonts w:hint="eastAsia" w:ascii="仿宋_GB2312" w:eastAsia="仿宋_GB2312"/>
                <w:sz w:val="24"/>
                <w:szCs w:val="24"/>
                <w:lang w:eastAsia="zh-CN"/>
              </w:rPr>
              <w:t>、</w:t>
            </w:r>
            <w:r>
              <w:rPr>
                <w:rFonts w:hint="eastAsia" w:ascii="仿宋_GB2312" w:eastAsia="仿宋_GB2312"/>
                <w:sz w:val="24"/>
                <w:szCs w:val="24"/>
              </w:rPr>
              <w:t>相关物理硬件的配置情况</w:t>
            </w:r>
            <w:r>
              <w:rPr>
                <w:rFonts w:hint="eastAsia" w:ascii="仿宋_GB2312" w:eastAsia="仿宋_GB2312"/>
                <w:sz w:val="24"/>
                <w:szCs w:val="24"/>
                <w:lang w:eastAsia="zh-CN"/>
              </w:rPr>
              <w:t>、</w:t>
            </w:r>
            <w:r>
              <w:rPr>
                <w:rFonts w:hint="eastAsia" w:ascii="仿宋_GB2312" w:eastAsia="仿宋_GB2312"/>
                <w:sz w:val="24"/>
                <w:szCs w:val="24"/>
              </w:rPr>
              <w:t>机房管理制度的制定及执行情况、机房地理位置的选择情况，从标准化程度、规范性和便捷性等，结合项目实际需求综合打分，0-4分</w:t>
            </w:r>
            <w:r>
              <w:rPr>
                <w:rFonts w:hint="eastAsia" w:ascii="仿宋_GB2312" w:eastAsia="仿宋_GB2312"/>
                <w:sz w:val="24"/>
                <w:szCs w:val="24"/>
                <w:lang w:eastAsia="zh-CN"/>
              </w:rPr>
              <w:t>。</w:t>
            </w:r>
          </w:p>
        </w:tc>
        <w:tc>
          <w:tcPr>
            <w:tcW w:w="350"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eastAsia" w:ascii="仿宋_GB2312" w:eastAsia="仿宋_GB2312"/>
                <w:sz w:val="24"/>
                <w:szCs w:val="24"/>
                <w:lang w:eastAsia="zh-CN"/>
              </w:rPr>
            </w:pPr>
            <w:r>
              <w:rPr>
                <w:rFonts w:hint="eastAsia" w:ascii="仿宋_GB2312" w:eastAsia="仿宋_GB2312"/>
                <w:sz w:val="24"/>
                <w:szCs w:val="24"/>
                <w:lang w:val="en-US" w:eastAsia="zh-CN"/>
              </w:rPr>
              <w:t>4</w:t>
            </w:r>
          </w:p>
        </w:tc>
        <w:tc>
          <w:tcPr>
            <w:tcW w:w="793" w:type="pct"/>
            <w:tcBorders>
              <w:top w:val="single" w:color="auto" w:sz="4" w:space="0"/>
              <w:left w:val="single" w:color="auto" w:sz="4" w:space="0"/>
              <w:bottom w:val="single" w:color="auto" w:sz="4" w:space="0"/>
              <w:right w:val="single" w:color="auto" w:sz="4" w:space="0"/>
            </w:tcBorders>
          </w:tcPr>
          <w:p>
            <w:pPr>
              <w:topLinePunct/>
              <w:spacing w:line="40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90" w:type="pct"/>
            <w:vMerge w:val="continue"/>
            <w:tcBorders>
              <w:top w:val="nil"/>
              <w:left w:val="single" w:color="auto" w:sz="4" w:space="0"/>
              <w:right w:val="single" w:color="auto" w:sz="4" w:space="0"/>
            </w:tcBorders>
            <w:vAlign w:val="center"/>
          </w:tcPr>
          <w:p>
            <w:pPr>
              <w:topLinePunct/>
              <w:spacing w:line="400" w:lineRule="exact"/>
              <w:contextualSpacing/>
              <w:rPr>
                <w:rFonts w:ascii="仿宋_GB2312" w:eastAsia="仿宋_GB2312"/>
                <w:sz w:val="24"/>
                <w:szCs w:val="24"/>
              </w:rPr>
            </w:pPr>
          </w:p>
        </w:tc>
        <w:tc>
          <w:tcPr>
            <w:tcW w:w="268"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w:t>
            </w:r>
          </w:p>
        </w:tc>
        <w:tc>
          <w:tcPr>
            <w:tcW w:w="3197"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rPr>
                <w:rFonts w:hint="eastAsia" w:ascii="仿宋_GB2312" w:eastAsia="仿宋_GB2312"/>
                <w:sz w:val="24"/>
                <w:szCs w:val="24"/>
                <w:lang w:eastAsia="zh-CN"/>
              </w:rPr>
            </w:pPr>
            <w:r>
              <w:rPr>
                <w:rFonts w:hint="eastAsia" w:ascii="仿宋_GB2312" w:eastAsia="仿宋_GB2312"/>
                <w:sz w:val="24"/>
                <w:szCs w:val="24"/>
              </w:rPr>
              <w:t>根据投标人提供的云平台与舟山市电子政务网进行技术对接的网络环境</w:t>
            </w:r>
            <w:r>
              <w:rPr>
                <w:rFonts w:hint="eastAsia" w:ascii="仿宋_GB2312" w:eastAsia="仿宋_GB2312"/>
                <w:sz w:val="24"/>
                <w:szCs w:val="24"/>
                <w:lang w:eastAsia="zh-CN"/>
              </w:rPr>
              <w:t>的相关说明材料的完整性、可行性、科学性、针对性打分，</w:t>
            </w:r>
            <w:r>
              <w:rPr>
                <w:rFonts w:hint="eastAsia" w:ascii="仿宋_GB2312" w:eastAsia="仿宋_GB2312"/>
                <w:sz w:val="24"/>
                <w:szCs w:val="24"/>
              </w:rPr>
              <w:t>0-4分</w:t>
            </w:r>
            <w:r>
              <w:rPr>
                <w:rFonts w:hint="eastAsia" w:ascii="仿宋_GB2312" w:eastAsia="仿宋_GB2312"/>
                <w:sz w:val="24"/>
                <w:szCs w:val="24"/>
                <w:lang w:eastAsia="zh-CN"/>
              </w:rPr>
              <w:t>。</w:t>
            </w:r>
          </w:p>
        </w:tc>
        <w:tc>
          <w:tcPr>
            <w:tcW w:w="350"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eastAsia" w:ascii="仿宋_GB2312" w:eastAsia="仿宋_GB2312"/>
                <w:sz w:val="24"/>
                <w:szCs w:val="24"/>
                <w:lang w:eastAsia="zh-CN"/>
              </w:rPr>
            </w:pPr>
            <w:r>
              <w:rPr>
                <w:rFonts w:hint="eastAsia" w:ascii="仿宋_GB2312" w:eastAsia="仿宋_GB2312"/>
                <w:sz w:val="24"/>
                <w:szCs w:val="24"/>
                <w:lang w:val="en-US" w:eastAsia="zh-CN"/>
              </w:rPr>
              <w:t>4</w:t>
            </w:r>
          </w:p>
        </w:tc>
        <w:tc>
          <w:tcPr>
            <w:tcW w:w="793" w:type="pct"/>
            <w:tcBorders>
              <w:top w:val="single" w:color="auto" w:sz="4" w:space="0"/>
              <w:left w:val="single" w:color="auto" w:sz="4" w:space="0"/>
              <w:bottom w:val="single" w:color="auto" w:sz="4" w:space="0"/>
              <w:right w:val="single" w:color="auto" w:sz="4" w:space="0"/>
            </w:tcBorders>
          </w:tcPr>
          <w:p>
            <w:pPr>
              <w:topLinePunct/>
              <w:spacing w:line="40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390" w:type="pct"/>
            <w:vMerge w:val="continue"/>
            <w:tcBorders>
              <w:top w:val="nil"/>
              <w:left w:val="single" w:color="auto" w:sz="4" w:space="0"/>
              <w:right w:val="single" w:color="auto" w:sz="4" w:space="0"/>
            </w:tcBorders>
            <w:vAlign w:val="center"/>
          </w:tcPr>
          <w:p>
            <w:pPr>
              <w:topLinePunct/>
              <w:spacing w:line="400" w:lineRule="exact"/>
              <w:contextualSpacing/>
              <w:rPr>
                <w:rFonts w:ascii="仿宋_GB2312" w:eastAsia="仿宋_GB2312"/>
                <w:sz w:val="24"/>
                <w:szCs w:val="24"/>
              </w:rPr>
            </w:pPr>
          </w:p>
        </w:tc>
        <w:tc>
          <w:tcPr>
            <w:tcW w:w="268"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w:t>
            </w:r>
          </w:p>
        </w:tc>
        <w:tc>
          <w:tcPr>
            <w:tcW w:w="3197" w:type="pct"/>
            <w:tcBorders>
              <w:top w:val="single" w:color="auto" w:sz="4" w:space="0"/>
              <w:left w:val="single" w:color="auto" w:sz="4" w:space="0"/>
              <w:bottom w:val="single" w:color="auto" w:sz="4" w:space="0"/>
              <w:right w:val="single" w:color="auto" w:sz="4" w:space="0"/>
            </w:tcBorders>
            <w:vAlign w:val="center"/>
          </w:tcPr>
          <w:p>
            <w:pPr>
              <w:topLinePunct/>
              <w:spacing w:line="380" w:lineRule="exact"/>
              <w:contextualSpacing/>
              <w:rPr>
                <w:rFonts w:hint="eastAsia" w:ascii="仿宋_GB2312" w:eastAsia="仿宋_GB2312"/>
                <w:sz w:val="24"/>
                <w:szCs w:val="24"/>
              </w:rPr>
            </w:pPr>
            <w:r>
              <w:rPr>
                <w:rFonts w:hint="eastAsia" w:ascii="仿宋_GB2312" w:eastAsia="仿宋_GB2312"/>
                <w:sz w:val="24"/>
                <w:szCs w:val="24"/>
              </w:rPr>
              <w:t>根据投标人所投产品对招标文件技术要求的响应情况进行评分：</w:t>
            </w:r>
          </w:p>
          <w:p>
            <w:pPr>
              <w:topLinePunct/>
              <w:spacing w:line="380" w:lineRule="exact"/>
              <w:contextualSpacing/>
              <w:rPr>
                <w:rFonts w:ascii="仿宋_GB2312" w:eastAsia="仿宋_GB2312"/>
                <w:sz w:val="24"/>
                <w:szCs w:val="24"/>
              </w:rPr>
            </w:pPr>
            <w:r>
              <w:rPr>
                <w:rFonts w:hint="eastAsia" w:ascii="仿宋_GB2312" w:eastAsia="仿宋_GB2312"/>
                <w:sz w:val="24"/>
                <w:szCs w:val="24"/>
                <w:lang w:eastAsia="zh-CN"/>
              </w:rPr>
              <w:t>招</w:t>
            </w:r>
            <w:r>
              <w:rPr>
                <w:rFonts w:hint="eastAsia" w:ascii="仿宋_GB2312" w:eastAsia="仿宋_GB2312"/>
                <w:sz w:val="24"/>
                <w:szCs w:val="24"/>
              </w:rPr>
              <w:t>标文件明确的标“</w:t>
            </w:r>
            <w:r>
              <w:rPr>
                <w:rFonts w:hint="eastAsia" w:ascii="仿宋_GB2312" w:eastAsia="仿宋_GB2312"/>
                <w:sz w:val="24"/>
                <w:szCs w:val="24"/>
                <w:lang w:eastAsia="zh-CN"/>
              </w:rPr>
              <w:t>△</w:t>
            </w:r>
            <w:r>
              <w:rPr>
                <w:rFonts w:hint="eastAsia" w:ascii="仿宋_GB2312" w:eastAsia="仿宋_GB2312"/>
                <w:sz w:val="24"/>
                <w:szCs w:val="24"/>
              </w:rPr>
              <w:t>”条款一</w:t>
            </w:r>
            <w:r>
              <w:rPr>
                <w:rFonts w:hint="eastAsia" w:ascii="仿宋_GB2312" w:eastAsia="仿宋_GB2312"/>
                <w:sz w:val="24"/>
                <w:szCs w:val="24"/>
                <w:lang w:eastAsia="zh-CN"/>
              </w:rPr>
              <w:t>款</w:t>
            </w:r>
            <w:r>
              <w:rPr>
                <w:rFonts w:hint="eastAsia" w:ascii="仿宋_GB2312" w:eastAsia="仿宋_GB2312"/>
                <w:sz w:val="24"/>
                <w:szCs w:val="24"/>
              </w:rPr>
              <w:t>指标不满足扣1分，扣完为止，最多扣2</w:t>
            </w:r>
            <w:r>
              <w:rPr>
                <w:rFonts w:hint="eastAsia" w:ascii="仿宋_GB2312" w:eastAsia="仿宋_GB2312"/>
                <w:sz w:val="24"/>
                <w:szCs w:val="24"/>
                <w:lang w:val="en-US" w:eastAsia="zh-CN"/>
              </w:rPr>
              <w:t>0</w:t>
            </w:r>
            <w:r>
              <w:rPr>
                <w:rFonts w:hint="eastAsia" w:ascii="仿宋_GB2312" w:eastAsia="仿宋_GB2312"/>
                <w:sz w:val="24"/>
                <w:szCs w:val="24"/>
              </w:rPr>
              <w:t>分。</w:t>
            </w:r>
          </w:p>
        </w:tc>
        <w:tc>
          <w:tcPr>
            <w:tcW w:w="350"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20</w:t>
            </w:r>
          </w:p>
        </w:tc>
        <w:tc>
          <w:tcPr>
            <w:tcW w:w="793" w:type="pct"/>
            <w:tcBorders>
              <w:top w:val="single" w:color="auto" w:sz="4" w:space="0"/>
              <w:left w:val="single" w:color="auto" w:sz="4" w:space="0"/>
              <w:bottom w:val="single" w:color="auto" w:sz="4" w:space="0"/>
              <w:right w:val="single" w:color="auto" w:sz="4" w:space="0"/>
            </w:tcBorders>
          </w:tcPr>
          <w:p>
            <w:pPr>
              <w:topLinePunct/>
              <w:spacing w:line="40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90" w:type="pct"/>
            <w:vMerge w:val="continue"/>
            <w:tcBorders>
              <w:top w:val="nil"/>
              <w:left w:val="single" w:color="auto" w:sz="4" w:space="0"/>
              <w:right w:val="single" w:color="auto" w:sz="4" w:space="0"/>
            </w:tcBorders>
            <w:vAlign w:val="center"/>
          </w:tcPr>
          <w:p>
            <w:pPr>
              <w:topLinePunct/>
              <w:spacing w:line="400" w:lineRule="exact"/>
              <w:contextualSpacing/>
              <w:rPr>
                <w:rFonts w:ascii="仿宋_GB2312" w:eastAsia="仿宋_GB2312"/>
                <w:sz w:val="24"/>
                <w:szCs w:val="24"/>
              </w:rPr>
            </w:pPr>
          </w:p>
        </w:tc>
        <w:tc>
          <w:tcPr>
            <w:tcW w:w="268"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eastAsia" w:ascii="仿宋_GB2312" w:eastAsia="仿宋_GB2312"/>
                <w:sz w:val="24"/>
                <w:szCs w:val="24"/>
                <w:lang w:eastAsia="zh-CN"/>
              </w:rPr>
            </w:pPr>
            <w:r>
              <w:rPr>
                <w:rFonts w:hint="eastAsia" w:ascii="仿宋_GB2312" w:eastAsia="仿宋_GB2312"/>
                <w:sz w:val="24"/>
                <w:szCs w:val="24"/>
              </w:rPr>
              <w:t>1</w:t>
            </w:r>
            <w:r>
              <w:rPr>
                <w:rFonts w:hint="eastAsia" w:ascii="仿宋_GB2312" w:eastAsia="仿宋_GB2312"/>
                <w:sz w:val="24"/>
                <w:szCs w:val="24"/>
                <w:lang w:val="en-US" w:eastAsia="zh-CN"/>
              </w:rPr>
              <w:t>2</w:t>
            </w:r>
          </w:p>
        </w:tc>
        <w:tc>
          <w:tcPr>
            <w:tcW w:w="3197"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rPr>
                <w:rFonts w:hint="default" w:ascii="仿宋_GB2312" w:eastAsia="仿宋_GB2312"/>
                <w:sz w:val="24"/>
                <w:szCs w:val="24"/>
                <w:lang w:val="en-US" w:eastAsia="zh-CN"/>
              </w:rPr>
            </w:pPr>
            <w:r>
              <w:rPr>
                <w:rFonts w:hint="eastAsia" w:ascii="仿宋_GB2312" w:eastAsia="仿宋_GB2312"/>
                <w:sz w:val="24"/>
                <w:szCs w:val="24"/>
                <w:lang w:eastAsia="zh-CN"/>
              </w:rPr>
              <w:t>根据投标人是否提供</w:t>
            </w:r>
            <w:r>
              <w:rPr>
                <w:rFonts w:hint="eastAsia" w:ascii="仿宋_GB2312" w:eastAsia="仿宋_GB2312"/>
                <w:sz w:val="24"/>
                <w:szCs w:val="24"/>
              </w:rPr>
              <w:t>主机完整性检测系统软件著作权登记证书</w:t>
            </w:r>
            <w:r>
              <w:rPr>
                <w:rFonts w:hint="eastAsia" w:ascii="仿宋_GB2312" w:eastAsia="仿宋_GB2312"/>
                <w:sz w:val="24"/>
                <w:szCs w:val="24"/>
                <w:lang w:eastAsia="zh-CN"/>
              </w:rPr>
              <w:t>打分</w:t>
            </w:r>
            <w:r>
              <w:rPr>
                <w:rFonts w:hint="eastAsia" w:ascii="仿宋_GB2312" w:eastAsia="仿宋_GB2312"/>
                <w:sz w:val="24"/>
                <w:szCs w:val="24"/>
              </w:rPr>
              <w:t>，</w:t>
            </w:r>
            <w:r>
              <w:rPr>
                <w:rFonts w:hint="eastAsia" w:ascii="仿宋_GB2312" w:eastAsia="仿宋_GB2312"/>
                <w:sz w:val="24"/>
                <w:szCs w:val="24"/>
                <w:lang w:eastAsia="zh-CN"/>
              </w:rPr>
              <w:t>投标人提供</w:t>
            </w:r>
            <w:r>
              <w:rPr>
                <w:rFonts w:hint="eastAsia" w:ascii="仿宋_GB2312" w:eastAsia="仿宋_GB2312"/>
                <w:sz w:val="24"/>
                <w:szCs w:val="24"/>
              </w:rPr>
              <w:t>主机完整性检测系统软件著作权登记证书</w:t>
            </w:r>
            <w:r>
              <w:rPr>
                <w:rFonts w:hint="eastAsia" w:ascii="仿宋_GB2312" w:eastAsia="仿宋_GB2312"/>
                <w:sz w:val="24"/>
                <w:szCs w:val="24"/>
                <w:lang w:eastAsia="zh-CN"/>
              </w:rPr>
              <w:t>且所有权为投标人的，得</w:t>
            </w:r>
            <w:r>
              <w:rPr>
                <w:rFonts w:hint="eastAsia" w:ascii="仿宋_GB2312" w:eastAsia="仿宋_GB2312"/>
                <w:sz w:val="24"/>
                <w:szCs w:val="24"/>
                <w:lang w:val="en-US" w:eastAsia="zh-CN"/>
              </w:rPr>
              <w:t>1分。未提供或不符合要求的不得分。</w:t>
            </w:r>
          </w:p>
        </w:tc>
        <w:tc>
          <w:tcPr>
            <w:tcW w:w="350"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eastAsia" w:ascii="仿宋_GB2312" w:eastAsia="仿宋_GB2312"/>
                <w:sz w:val="24"/>
                <w:szCs w:val="24"/>
                <w:lang w:eastAsia="zh-CN"/>
              </w:rPr>
            </w:pPr>
            <w:r>
              <w:rPr>
                <w:rFonts w:hint="eastAsia" w:ascii="仿宋_GB2312" w:eastAsia="仿宋_GB2312"/>
                <w:sz w:val="24"/>
                <w:szCs w:val="24"/>
                <w:lang w:val="en-US" w:eastAsia="zh-CN"/>
              </w:rPr>
              <w:t>1</w:t>
            </w:r>
          </w:p>
        </w:tc>
        <w:tc>
          <w:tcPr>
            <w:tcW w:w="793" w:type="pct"/>
            <w:tcBorders>
              <w:top w:val="single" w:color="auto" w:sz="4" w:space="0"/>
              <w:left w:val="single" w:color="auto" w:sz="4" w:space="0"/>
              <w:bottom w:val="single" w:color="auto" w:sz="4" w:space="0"/>
              <w:right w:val="single" w:color="auto" w:sz="4" w:space="0"/>
            </w:tcBorders>
          </w:tcPr>
          <w:p>
            <w:pPr>
              <w:topLinePunct/>
              <w:spacing w:line="40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390" w:type="pct"/>
            <w:vMerge w:val="continue"/>
            <w:tcBorders>
              <w:top w:val="nil"/>
              <w:left w:val="single" w:color="auto" w:sz="4" w:space="0"/>
              <w:right w:val="single" w:color="auto" w:sz="4" w:space="0"/>
            </w:tcBorders>
            <w:vAlign w:val="center"/>
          </w:tcPr>
          <w:p>
            <w:pPr>
              <w:topLinePunct/>
              <w:spacing w:line="400" w:lineRule="exact"/>
              <w:contextualSpacing/>
              <w:rPr>
                <w:rFonts w:ascii="仿宋_GB2312" w:eastAsia="仿宋_GB2312"/>
                <w:sz w:val="24"/>
                <w:szCs w:val="24"/>
              </w:rPr>
            </w:pPr>
          </w:p>
        </w:tc>
        <w:tc>
          <w:tcPr>
            <w:tcW w:w="268"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eastAsia" w:ascii="仿宋_GB2312" w:eastAsia="仿宋_GB2312"/>
                <w:sz w:val="24"/>
                <w:szCs w:val="24"/>
                <w:lang w:eastAsia="zh-CN"/>
              </w:rPr>
            </w:pPr>
            <w:r>
              <w:rPr>
                <w:rFonts w:hint="eastAsia" w:ascii="仿宋_GB2312" w:eastAsia="仿宋_GB2312"/>
                <w:sz w:val="24"/>
                <w:szCs w:val="24"/>
              </w:rPr>
              <w:t>1</w:t>
            </w:r>
            <w:r>
              <w:rPr>
                <w:rFonts w:hint="eastAsia" w:ascii="仿宋_GB2312" w:eastAsia="仿宋_GB2312"/>
                <w:sz w:val="24"/>
                <w:szCs w:val="24"/>
                <w:lang w:val="en-US" w:eastAsia="zh-CN"/>
              </w:rPr>
              <w:t>3</w:t>
            </w:r>
          </w:p>
        </w:tc>
        <w:tc>
          <w:tcPr>
            <w:tcW w:w="3197"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rPr>
                <w:rFonts w:ascii="仿宋_GB2312" w:eastAsia="仿宋_GB2312"/>
                <w:sz w:val="24"/>
                <w:szCs w:val="24"/>
              </w:rPr>
            </w:pPr>
            <w:r>
              <w:rPr>
                <w:rFonts w:hint="eastAsia" w:ascii="仿宋_GB2312" w:eastAsia="仿宋_GB2312"/>
                <w:sz w:val="24"/>
                <w:szCs w:val="24"/>
                <w:lang w:eastAsia="zh-CN"/>
              </w:rPr>
              <w:t>投标人具有自主产品，可为所投云平台提供分布式的近源网络安全防护能力，投标人自主产品的防护能力需要提供第三方评测机构提供的检验报告。符合要求的得</w:t>
            </w:r>
            <w:r>
              <w:rPr>
                <w:rFonts w:hint="eastAsia" w:ascii="仿宋_GB2312" w:eastAsia="仿宋_GB2312"/>
                <w:sz w:val="24"/>
                <w:szCs w:val="24"/>
                <w:lang w:val="en-US" w:eastAsia="zh-CN"/>
              </w:rPr>
              <w:t>1</w:t>
            </w:r>
            <w:r>
              <w:rPr>
                <w:rFonts w:hint="eastAsia" w:ascii="仿宋_GB2312" w:eastAsia="仿宋_GB2312"/>
                <w:sz w:val="24"/>
                <w:szCs w:val="24"/>
                <w:lang w:eastAsia="zh-CN"/>
              </w:rPr>
              <w:t>分，</w:t>
            </w:r>
            <w:r>
              <w:rPr>
                <w:rFonts w:hint="eastAsia" w:ascii="仿宋_GB2312" w:eastAsia="仿宋_GB2312"/>
                <w:sz w:val="24"/>
                <w:szCs w:val="24"/>
                <w:lang w:val="en-US" w:eastAsia="zh-CN"/>
              </w:rPr>
              <w:t>未提供或不符合要求的不得分</w:t>
            </w:r>
            <w:r>
              <w:rPr>
                <w:rFonts w:hint="eastAsia" w:ascii="仿宋_GB2312" w:eastAsia="仿宋_GB2312"/>
                <w:sz w:val="24"/>
                <w:szCs w:val="24"/>
                <w:lang w:eastAsia="zh-CN"/>
              </w:rPr>
              <w:t>。</w:t>
            </w:r>
          </w:p>
        </w:tc>
        <w:tc>
          <w:tcPr>
            <w:tcW w:w="350"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eastAsia" w:ascii="仿宋_GB2312" w:eastAsia="仿宋_GB2312"/>
                <w:sz w:val="24"/>
                <w:szCs w:val="24"/>
                <w:lang w:eastAsia="zh-CN"/>
              </w:rPr>
            </w:pPr>
            <w:r>
              <w:rPr>
                <w:rFonts w:hint="eastAsia" w:ascii="仿宋_GB2312" w:eastAsia="仿宋_GB2312"/>
                <w:sz w:val="24"/>
                <w:szCs w:val="24"/>
                <w:lang w:val="en-US" w:eastAsia="zh-CN"/>
              </w:rPr>
              <w:t>1</w:t>
            </w:r>
          </w:p>
        </w:tc>
        <w:tc>
          <w:tcPr>
            <w:tcW w:w="793" w:type="pct"/>
            <w:tcBorders>
              <w:top w:val="single" w:color="auto" w:sz="4" w:space="0"/>
              <w:left w:val="single" w:color="auto" w:sz="4" w:space="0"/>
              <w:bottom w:val="single" w:color="auto" w:sz="4" w:space="0"/>
              <w:right w:val="single" w:color="auto" w:sz="4" w:space="0"/>
            </w:tcBorders>
          </w:tcPr>
          <w:p>
            <w:pPr>
              <w:topLinePunct/>
              <w:spacing w:line="40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90" w:type="pct"/>
            <w:vMerge w:val="continue"/>
            <w:tcBorders>
              <w:top w:val="nil"/>
              <w:left w:val="single" w:color="auto" w:sz="4" w:space="0"/>
              <w:right w:val="single" w:color="auto" w:sz="4" w:space="0"/>
            </w:tcBorders>
            <w:vAlign w:val="center"/>
          </w:tcPr>
          <w:p>
            <w:pPr>
              <w:topLinePunct/>
              <w:spacing w:line="400" w:lineRule="exact"/>
              <w:contextualSpacing/>
              <w:rPr>
                <w:rFonts w:ascii="仿宋_GB2312" w:eastAsia="仿宋_GB2312"/>
                <w:sz w:val="24"/>
                <w:szCs w:val="24"/>
              </w:rPr>
            </w:pPr>
          </w:p>
        </w:tc>
        <w:tc>
          <w:tcPr>
            <w:tcW w:w="268"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eastAsia" w:ascii="仿宋_GB2312" w:eastAsia="仿宋_GB2312"/>
                <w:sz w:val="24"/>
                <w:szCs w:val="24"/>
                <w:lang w:eastAsia="zh-CN"/>
              </w:rPr>
            </w:pPr>
            <w:r>
              <w:rPr>
                <w:rFonts w:hint="eastAsia" w:ascii="仿宋_GB2312" w:eastAsia="仿宋_GB2312"/>
                <w:sz w:val="24"/>
                <w:szCs w:val="24"/>
              </w:rPr>
              <w:t>1</w:t>
            </w:r>
            <w:r>
              <w:rPr>
                <w:rFonts w:hint="eastAsia" w:ascii="仿宋_GB2312" w:eastAsia="仿宋_GB2312"/>
                <w:sz w:val="24"/>
                <w:szCs w:val="24"/>
                <w:lang w:val="en-US" w:eastAsia="zh-CN"/>
              </w:rPr>
              <w:t>4</w:t>
            </w:r>
          </w:p>
        </w:tc>
        <w:tc>
          <w:tcPr>
            <w:tcW w:w="3197"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rPr>
                <w:rFonts w:ascii="仿宋_GB2312" w:eastAsia="仿宋_GB2312"/>
                <w:sz w:val="24"/>
                <w:szCs w:val="24"/>
              </w:rPr>
            </w:pPr>
            <w:r>
              <w:rPr>
                <w:rFonts w:hint="eastAsia" w:ascii="仿宋_GB2312" w:eastAsia="仿宋_GB2312"/>
                <w:sz w:val="24"/>
                <w:szCs w:val="24"/>
              </w:rPr>
              <w:t>根据</w:t>
            </w:r>
            <w:r>
              <w:rPr>
                <w:rFonts w:hint="eastAsia" w:ascii="仿宋_GB2312" w:eastAsia="仿宋_GB2312"/>
                <w:sz w:val="24"/>
                <w:szCs w:val="24"/>
                <w:lang w:eastAsia="zh-CN"/>
              </w:rPr>
              <w:t>投标人的与舟山市政务云现有体系</w:t>
            </w:r>
            <w:r>
              <w:rPr>
                <w:rFonts w:hint="eastAsia" w:ascii="仿宋_GB2312" w:hAnsi="宋体" w:eastAsia="仿宋_GB2312" w:cs="宋体"/>
                <w:sz w:val="24"/>
              </w:rPr>
              <w:t>对接方案的</w:t>
            </w:r>
            <w:r>
              <w:rPr>
                <w:rFonts w:hint="eastAsia" w:ascii="仿宋_GB2312" w:hAnsi="宋体" w:eastAsia="仿宋_GB2312" w:cs="宋体"/>
                <w:sz w:val="24"/>
                <w:lang w:eastAsia="zh-CN"/>
              </w:rPr>
              <w:t>可靠</w:t>
            </w:r>
            <w:r>
              <w:rPr>
                <w:rFonts w:hint="eastAsia" w:ascii="仿宋_GB2312" w:hAnsi="宋体" w:eastAsia="仿宋_GB2312" w:cs="宋体"/>
                <w:sz w:val="24"/>
              </w:rPr>
              <w:t>性、</w:t>
            </w:r>
            <w:r>
              <w:rPr>
                <w:rFonts w:hint="eastAsia" w:ascii="仿宋_GB2312" w:hAnsi="宋体" w:eastAsia="仿宋_GB2312" w:cs="宋体"/>
                <w:sz w:val="24"/>
                <w:lang w:eastAsia="zh-CN"/>
              </w:rPr>
              <w:t>服务的延续</w:t>
            </w:r>
            <w:r>
              <w:rPr>
                <w:rFonts w:hint="eastAsia" w:ascii="仿宋_GB2312" w:hAnsi="宋体" w:eastAsia="仿宋_GB2312" w:cs="宋体"/>
                <w:sz w:val="24"/>
              </w:rPr>
              <w:t>性</w:t>
            </w:r>
            <w:r>
              <w:rPr>
                <w:rFonts w:hint="eastAsia" w:ascii="仿宋_GB2312" w:hAnsi="宋体" w:eastAsia="仿宋_GB2312" w:cs="宋体"/>
                <w:sz w:val="24"/>
                <w:lang w:eastAsia="zh-CN"/>
              </w:rPr>
              <w:t>、与本项目实际需求的契合</w:t>
            </w:r>
            <w:r>
              <w:rPr>
                <w:rFonts w:hint="eastAsia" w:ascii="仿宋_GB2312" w:hAnsi="宋体" w:eastAsia="仿宋_GB2312" w:cs="宋体"/>
                <w:sz w:val="24"/>
              </w:rPr>
              <w:t>情况打分，0-</w:t>
            </w:r>
            <w:r>
              <w:rPr>
                <w:rFonts w:hint="eastAsia" w:ascii="仿宋_GB2312" w:hAnsi="宋体" w:eastAsia="仿宋_GB2312" w:cs="宋体"/>
                <w:sz w:val="24"/>
                <w:lang w:val="en-US" w:eastAsia="zh-CN"/>
              </w:rPr>
              <w:t>3</w:t>
            </w:r>
            <w:r>
              <w:rPr>
                <w:rFonts w:hint="eastAsia" w:ascii="仿宋_GB2312" w:hAnsi="宋体" w:eastAsia="仿宋_GB2312" w:cs="宋体"/>
                <w:sz w:val="24"/>
              </w:rPr>
              <w:t>分。</w:t>
            </w:r>
          </w:p>
        </w:tc>
        <w:tc>
          <w:tcPr>
            <w:tcW w:w="350"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eastAsia" w:ascii="仿宋_GB2312" w:eastAsia="仿宋_GB2312"/>
                <w:sz w:val="24"/>
                <w:szCs w:val="24"/>
                <w:lang w:eastAsia="zh-CN"/>
              </w:rPr>
            </w:pPr>
            <w:r>
              <w:rPr>
                <w:rFonts w:hint="eastAsia" w:ascii="仿宋_GB2312" w:eastAsia="仿宋_GB2312"/>
                <w:sz w:val="24"/>
                <w:szCs w:val="24"/>
                <w:lang w:val="en-US" w:eastAsia="zh-CN"/>
              </w:rPr>
              <w:t>3</w:t>
            </w:r>
          </w:p>
        </w:tc>
        <w:tc>
          <w:tcPr>
            <w:tcW w:w="793" w:type="pct"/>
            <w:tcBorders>
              <w:top w:val="single" w:color="auto" w:sz="4" w:space="0"/>
              <w:left w:val="single" w:color="auto" w:sz="4" w:space="0"/>
              <w:bottom w:val="single" w:color="auto" w:sz="4" w:space="0"/>
              <w:right w:val="single" w:color="auto" w:sz="4" w:space="0"/>
            </w:tcBorders>
          </w:tcPr>
          <w:p>
            <w:pPr>
              <w:topLinePunct/>
              <w:spacing w:line="40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390" w:type="pct"/>
            <w:vMerge w:val="continue"/>
            <w:tcBorders>
              <w:top w:val="nil"/>
              <w:left w:val="single" w:color="auto" w:sz="4" w:space="0"/>
              <w:right w:val="single" w:color="auto" w:sz="4" w:space="0"/>
            </w:tcBorders>
            <w:vAlign w:val="center"/>
          </w:tcPr>
          <w:p>
            <w:pPr>
              <w:topLinePunct/>
              <w:spacing w:line="400" w:lineRule="exact"/>
              <w:contextualSpacing/>
              <w:rPr>
                <w:rFonts w:ascii="仿宋_GB2312" w:eastAsia="仿宋_GB2312"/>
                <w:sz w:val="24"/>
                <w:szCs w:val="24"/>
              </w:rPr>
            </w:pPr>
          </w:p>
        </w:tc>
        <w:tc>
          <w:tcPr>
            <w:tcW w:w="268"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eastAsia" w:ascii="仿宋_GB2312" w:eastAsia="仿宋_GB2312"/>
                <w:sz w:val="24"/>
                <w:szCs w:val="24"/>
                <w:lang w:eastAsia="zh-CN"/>
              </w:rPr>
            </w:pPr>
            <w:r>
              <w:rPr>
                <w:rFonts w:hint="eastAsia" w:ascii="仿宋_GB2312" w:eastAsia="仿宋_GB2312"/>
                <w:sz w:val="24"/>
                <w:szCs w:val="24"/>
              </w:rPr>
              <w:t>1</w:t>
            </w:r>
            <w:r>
              <w:rPr>
                <w:rFonts w:hint="eastAsia" w:ascii="仿宋_GB2312" w:eastAsia="仿宋_GB2312"/>
                <w:sz w:val="24"/>
                <w:szCs w:val="24"/>
                <w:lang w:val="en-US" w:eastAsia="zh-CN"/>
              </w:rPr>
              <w:t>5</w:t>
            </w:r>
          </w:p>
        </w:tc>
        <w:tc>
          <w:tcPr>
            <w:tcW w:w="3197"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rPr>
                <w:rFonts w:ascii="仿宋_GB2312" w:eastAsia="仿宋_GB2312"/>
                <w:sz w:val="24"/>
                <w:szCs w:val="24"/>
              </w:rPr>
            </w:pPr>
            <w:r>
              <w:rPr>
                <w:rFonts w:hint="eastAsia" w:ascii="仿宋_GB2312" w:eastAsia="仿宋_GB2312"/>
                <w:sz w:val="24"/>
                <w:szCs w:val="24"/>
              </w:rPr>
              <w:t>根据投标人所投的政务云平台</w:t>
            </w:r>
            <w:r>
              <w:rPr>
                <w:rFonts w:hint="eastAsia" w:ascii="仿宋_GB2312" w:eastAsia="仿宋_GB2312"/>
                <w:sz w:val="24"/>
                <w:szCs w:val="24"/>
                <w:lang w:eastAsia="zh-CN"/>
              </w:rPr>
              <w:t>是否</w:t>
            </w:r>
            <w:r>
              <w:rPr>
                <w:rFonts w:hint="eastAsia" w:ascii="仿宋_GB2312" w:eastAsia="仿宋_GB2312"/>
                <w:sz w:val="24"/>
                <w:szCs w:val="24"/>
              </w:rPr>
              <w:t>可提供基于国产CPU的云服务器的情况评分</w:t>
            </w:r>
            <w:r>
              <w:rPr>
                <w:rFonts w:hint="eastAsia" w:ascii="仿宋_GB2312" w:eastAsia="仿宋_GB2312"/>
                <w:sz w:val="24"/>
                <w:szCs w:val="24"/>
                <w:lang w:eastAsia="zh-CN"/>
              </w:rPr>
              <w:t>，投标人</w:t>
            </w:r>
            <w:r>
              <w:rPr>
                <w:rFonts w:hint="eastAsia" w:ascii="仿宋_GB2312" w:eastAsia="仿宋_GB2312"/>
                <w:sz w:val="24"/>
                <w:szCs w:val="24"/>
              </w:rPr>
              <w:t>需要提供证明材料，</w:t>
            </w:r>
            <w:r>
              <w:rPr>
                <w:rFonts w:hint="eastAsia" w:ascii="仿宋_GB2312" w:eastAsia="仿宋_GB2312"/>
                <w:sz w:val="24"/>
                <w:szCs w:val="24"/>
                <w:lang w:eastAsia="zh-CN"/>
              </w:rPr>
              <w:t>符合要求</w:t>
            </w:r>
            <w:r>
              <w:rPr>
                <w:rFonts w:hint="eastAsia" w:ascii="仿宋_GB2312" w:eastAsia="仿宋_GB2312"/>
                <w:sz w:val="24"/>
                <w:szCs w:val="24"/>
              </w:rPr>
              <w:t>的得2分</w:t>
            </w:r>
            <w:r>
              <w:rPr>
                <w:rFonts w:hint="eastAsia" w:ascii="仿宋_GB2312" w:eastAsia="仿宋_GB2312"/>
                <w:sz w:val="24"/>
                <w:szCs w:val="24"/>
                <w:lang w:eastAsia="zh-CN"/>
              </w:rPr>
              <w:t>。未提供</w:t>
            </w:r>
            <w:r>
              <w:rPr>
                <w:rFonts w:hint="eastAsia" w:ascii="仿宋_GB2312" w:eastAsia="仿宋_GB2312"/>
                <w:sz w:val="24"/>
                <w:szCs w:val="24"/>
                <w:lang w:val="en-US" w:eastAsia="zh-CN"/>
              </w:rPr>
              <w:t>或不符合要求的</w:t>
            </w:r>
            <w:r>
              <w:rPr>
                <w:rFonts w:hint="eastAsia" w:ascii="仿宋_GB2312" w:eastAsia="仿宋_GB2312"/>
                <w:sz w:val="24"/>
                <w:szCs w:val="24"/>
              </w:rPr>
              <w:t>不得分。</w:t>
            </w:r>
          </w:p>
        </w:tc>
        <w:tc>
          <w:tcPr>
            <w:tcW w:w="350"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eastAsia" w:ascii="仿宋_GB2312" w:eastAsia="仿宋_GB2312"/>
                <w:sz w:val="24"/>
                <w:szCs w:val="24"/>
                <w:lang w:eastAsia="zh-CN"/>
              </w:rPr>
            </w:pPr>
            <w:r>
              <w:rPr>
                <w:rFonts w:hint="eastAsia" w:ascii="仿宋_GB2312" w:eastAsia="仿宋_GB2312"/>
                <w:sz w:val="24"/>
                <w:szCs w:val="24"/>
                <w:lang w:val="en-US" w:eastAsia="zh-CN"/>
              </w:rPr>
              <w:t>2</w:t>
            </w:r>
          </w:p>
        </w:tc>
        <w:tc>
          <w:tcPr>
            <w:tcW w:w="793" w:type="pct"/>
            <w:tcBorders>
              <w:top w:val="single" w:color="auto" w:sz="4" w:space="0"/>
              <w:left w:val="single" w:color="auto" w:sz="4" w:space="0"/>
              <w:bottom w:val="single" w:color="auto" w:sz="4" w:space="0"/>
              <w:right w:val="single" w:color="auto" w:sz="4" w:space="0"/>
            </w:tcBorders>
          </w:tcPr>
          <w:p>
            <w:pPr>
              <w:topLinePunct/>
              <w:spacing w:line="40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90" w:type="pct"/>
            <w:vMerge w:val="continue"/>
            <w:tcBorders>
              <w:top w:val="nil"/>
              <w:left w:val="single" w:color="auto" w:sz="4" w:space="0"/>
              <w:right w:val="single" w:color="auto" w:sz="4" w:space="0"/>
            </w:tcBorders>
            <w:vAlign w:val="center"/>
          </w:tcPr>
          <w:p>
            <w:pPr>
              <w:topLinePunct/>
              <w:spacing w:line="400" w:lineRule="exact"/>
              <w:contextualSpacing/>
              <w:rPr>
                <w:rFonts w:ascii="仿宋_GB2312" w:eastAsia="仿宋_GB2312"/>
                <w:sz w:val="24"/>
                <w:szCs w:val="24"/>
              </w:rPr>
            </w:pPr>
          </w:p>
        </w:tc>
        <w:tc>
          <w:tcPr>
            <w:tcW w:w="268"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eastAsia" w:ascii="仿宋_GB2312" w:eastAsia="仿宋_GB2312"/>
                <w:sz w:val="24"/>
                <w:szCs w:val="24"/>
                <w:lang w:eastAsia="zh-CN"/>
              </w:rPr>
            </w:pPr>
            <w:r>
              <w:rPr>
                <w:rFonts w:hint="eastAsia" w:ascii="仿宋_GB2312" w:eastAsia="仿宋_GB2312"/>
                <w:sz w:val="24"/>
                <w:szCs w:val="24"/>
              </w:rPr>
              <w:t>1</w:t>
            </w:r>
            <w:r>
              <w:rPr>
                <w:rFonts w:hint="eastAsia" w:ascii="仿宋_GB2312" w:eastAsia="仿宋_GB2312"/>
                <w:sz w:val="24"/>
                <w:szCs w:val="24"/>
                <w:lang w:val="en-US" w:eastAsia="zh-CN"/>
              </w:rPr>
              <w:t>6</w:t>
            </w:r>
          </w:p>
        </w:tc>
        <w:tc>
          <w:tcPr>
            <w:tcW w:w="3197"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rPr>
                <w:rFonts w:ascii="仿宋_GB2312" w:eastAsia="仿宋_GB2312"/>
                <w:sz w:val="24"/>
                <w:szCs w:val="24"/>
              </w:rPr>
            </w:pPr>
            <w:r>
              <w:rPr>
                <w:rFonts w:hint="eastAsia" w:ascii="仿宋_GB2312" w:hAnsi="宋体" w:eastAsia="仿宋_GB2312" w:cs="宋体"/>
                <w:sz w:val="24"/>
              </w:rPr>
              <w:t>根据投标人方案中针对</w:t>
            </w:r>
            <w:r>
              <w:rPr>
                <w:rFonts w:hint="eastAsia" w:ascii="仿宋_GB2312" w:hAnsi="宋体" w:eastAsia="仿宋_GB2312" w:cs="宋体"/>
                <w:sz w:val="24"/>
                <w:lang w:eastAsia="zh-CN"/>
              </w:rPr>
              <w:t>本</w:t>
            </w:r>
            <w:r>
              <w:rPr>
                <w:rFonts w:hint="eastAsia" w:ascii="仿宋_GB2312" w:hAnsi="宋体" w:eastAsia="仿宋_GB2312" w:cs="宋体"/>
                <w:sz w:val="24"/>
              </w:rPr>
              <w:t>项目重难点问题拟采用解决及</w:t>
            </w:r>
            <w:r>
              <w:rPr>
                <w:rFonts w:hint="eastAsia" w:ascii="仿宋_GB2312" w:hAnsi="宋体" w:eastAsia="仿宋_GB2312" w:cs="宋体"/>
                <w:sz w:val="24"/>
                <w:lang w:eastAsia="zh-CN"/>
              </w:rPr>
              <w:t>优化</w:t>
            </w:r>
            <w:r>
              <w:rPr>
                <w:rFonts w:hint="eastAsia" w:ascii="仿宋_GB2312" w:hAnsi="宋体" w:eastAsia="仿宋_GB2312" w:cs="宋体"/>
                <w:sz w:val="24"/>
              </w:rPr>
              <w:t>方案的</w:t>
            </w:r>
            <w:r>
              <w:rPr>
                <w:rFonts w:hint="eastAsia" w:ascii="仿宋_GB2312" w:hAnsi="宋体" w:eastAsia="仿宋_GB2312" w:cs="宋体"/>
                <w:sz w:val="24"/>
                <w:lang w:eastAsia="zh-CN"/>
              </w:rPr>
              <w:t>完整性、</w:t>
            </w:r>
            <w:r>
              <w:rPr>
                <w:rFonts w:hint="eastAsia" w:ascii="仿宋_GB2312" w:hAnsi="宋体" w:eastAsia="仿宋_GB2312" w:cs="宋体"/>
                <w:sz w:val="24"/>
              </w:rPr>
              <w:t>科学性等情况综合打分，0-</w:t>
            </w:r>
            <w:r>
              <w:rPr>
                <w:rFonts w:hint="eastAsia" w:ascii="仿宋_GB2312" w:hAnsi="宋体" w:eastAsia="仿宋_GB2312" w:cs="宋体"/>
                <w:sz w:val="24"/>
                <w:lang w:val="en-US" w:eastAsia="zh-CN"/>
              </w:rPr>
              <w:t>2</w:t>
            </w:r>
            <w:r>
              <w:rPr>
                <w:rFonts w:hint="eastAsia" w:ascii="仿宋_GB2312" w:hAnsi="宋体" w:eastAsia="仿宋_GB2312" w:cs="宋体"/>
                <w:sz w:val="24"/>
              </w:rPr>
              <w:t>分。</w:t>
            </w:r>
          </w:p>
        </w:tc>
        <w:tc>
          <w:tcPr>
            <w:tcW w:w="350"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hint="eastAsia" w:ascii="仿宋_GB2312" w:eastAsia="仿宋_GB2312"/>
                <w:sz w:val="24"/>
                <w:szCs w:val="24"/>
                <w:lang w:eastAsia="zh-CN"/>
              </w:rPr>
            </w:pPr>
            <w:r>
              <w:rPr>
                <w:rFonts w:hint="eastAsia" w:ascii="仿宋_GB2312" w:eastAsia="仿宋_GB2312"/>
                <w:sz w:val="24"/>
                <w:szCs w:val="24"/>
                <w:lang w:val="en-US" w:eastAsia="zh-CN"/>
              </w:rPr>
              <w:t>2</w:t>
            </w:r>
          </w:p>
        </w:tc>
        <w:tc>
          <w:tcPr>
            <w:tcW w:w="793" w:type="pct"/>
            <w:tcBorders>
              <w:top w:val="single" w:color="auto" w:sz="4" w:space="0"/>
              <w:left w:val="single" w:color="auto" w:sz="4" w:space="0"/>
              <w:bottom w:val="single" w:color="auto" w:sz="4" w:space="0"/>
              <w:right w:val="single" w:color="auto" w:sz="4" w:space="0"/>
            </w:tcBorders>
          </w:tcPr>
          <w:p>
            <w:pPr>
              <w:topLinePunct/>
              <w:spacing w:line="40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390" w:type="pct"/>
            <w:vMerge w:val="continue"/>
            <w:tcBorders>
              <w:top w:val="nil"/>
              <w:left w:val="single" w:color="auto" w:sz="4" w:space="0"/>
              <w:right w:val="single" w:color="auto" w:sz="4" w:space="0"/>
            </w:tcBorders>
            <w:vAlign w:val="center"/>
          </w:tcPr>
          <w:p>
            <w:pPr>
              <w:topLinePunct/>
              <w:spacing w:line="400" w:lineRule="exact"/>
              <w:contextualSpacing/>
              <w:rPr>
                <w:rFonts w:ascii="仿宋_GB2312" w:eastAsia="仿宋_GB2312"/>
                <w:sz w:val="24"/>
                <w:szCs w:val="24"/>
              </w:rPr>
            </w:pPr>
          </w:p>
        </w:tc>
        <w:tc>
          <w:tcPr>
            <w:tcW w:w="268" w:type="pct"/>
            <w:tcBorders>
              <w:top w:val="single" w:color="auto" w:sz="4" w:space="0"/>
              <w:left w:val="single" w:color="auto" w:sz="4" w:space="0"/>
              <w:right w:val="single" w:color="auto" w:sz="4" w:space="0"/>
            </w:tcBorders>
            <w:vAlign w:val="center"/>
          </w:tcPr>
          <w:p>
            <w:pPr>
              <w:topLinePunct/>
              <w:spacing w:line="400" w:lineRule="exact"/>
              <w:contextualSpacing/>
              <w:jc w:val="center"/>
              <w:rPr>
                <w:rFonts w:ascii="仿宋_GB2312" w:eastAsia="仿宋_GB2312"/>
                <w:sz w:val="24"/>
                <w:szCs w:val="24"/>
              </w:rPr>
            </w:pPr>
            <w:r>
              <w:rPr>
                <w:rFonts w:hint="eastAsia" w:ascii="仿宋_GB2312" w:eastAsia="仿宋_GB2312"/>
                <w:sz w:val="24"/>
                <w:szCs w:val="24"/>
              </w:rPr>
              <w:t>17</w:t>
            </w:r>
          </w:p>
        </w:tc>
        <w:tc>
          <w:tcPr>
            <w:tcW w:w="3197" w:type="pct"/>
            <w:tcBorders>
              <w:top w:val="single" w:color="auto" w:sz="4" w:space="0"/>
              <w:left w:val="single" w:color="auto" w:sz="4" w:space="0"/>
              <w:right w:val="single" w:color="auto" w:sz="4" w:space="0"/>
            </w:tcBorders>
            <w:vAlign w:val="center"/>
          </w:tcPr>
          <w:p>
            <w:pPr>
              <w:topLinePunct/>
              <w:spacing w:line="400" w:lineRule="exact"/>
              <w:contextualSpacing/>
              <w:rPr>
                <w:rFonts w:hint="default" w:ascii="仿宋_GB2312" w:eastAsiaTheme="minorEastAsia"/>
                <w:sz w:val="24"/>
                <w:szCs w:val="24"/>
                <w:lang w:val="en-US" w:eastAsia="zh-CN"/>
              </w:rPr>
            </w:pPr>
            <w:r>
              <w:rPr>
                <w:rFonts w:hint="eastAsia" w:ascii="仿宋_GB2312" w:hAnsi="宋体" w:eastAsia="仿宋_GB2312" w:cs="宋体"/>
                <w:sz w:val="24"/>
              </w:rPr>
              <w:t>根据投标人提供的云平台整体设计</w:t>
            </w:r>
            <w:r>
              <w:rPr>
                <w:rFonts w:hint="eastAsia" w:ascii="仿宋_GB2312" w:hAnsi="宋体" w:eastAsia="仿宋_GB2312" w:cs="宋体"/>
                <w:sz w:val="24"/>
                <w:lang w:eastAsia="zh-CN"/>
              </w:rPr>
              <w:t>方案中政务云平台总体设计思路与本项目实际需求的契合度、科学性、合理性、可行性、完整性情况打分，</w:t>
            </w:r>
            <w:r>
              <w:rPr>
                <w:rFonts w:hint="eastAsia" w:ascii="仿宋_GB2312" w:hAnsi="宋体" w:eastAsia="仿宋_GB2312" w:cs="宋体"/>
                <w:sz w:val="24"/>
                <w:lang w:val="en-US" w:eastAsia="zh-CN"/>
              </w:rPr>
              <w:t>0-5分。</w:t>
            </w:r>
          </w:p>
        </w:tc>
        <w:tc>
          <w:tcPr>
            <w:tcW w:w="350" w:type="pct"/>
            <w:tcBorders>
              <w:top w:val="single" w:color="auto" w:sz="4" w:space="0"/>
              <w:left w:val="single" w:color="auto" w:sz="4" w:space="0"/>
              <w:right w:val="single" w:color="auto" w:sz="4" w:space="0"/>
            </w:tcBorders>
            <w:vAlign w:val="center"/>
          </w:tcPr>
          <w:p>
            <w:pPr>
              <w:topLinePunct/>
              <w:spacing w:line="400" w:lineRule="exact"/>
              <w:contextualSpacing/>
              <w:jc w:val="center"/>
              <w:rPr>
                <w:rFonts w:hint="eastAsia" w:ascii="仿宋_GB2312" w:eastAsia="仿宋_GB2312"/>
                <w:b w:val="0"/>
                <w:bCs w:val="0"/>
                <w:sz w:val="24"/>
                <w:szCs w:val="24"/>
                <w:lang w:eastAsia="zh-CN"/>
              </w:rPr>
            </w:pPr>
            <w:r>
              <w:rPr>
                <w:rFonts w:hint="eastAsia" w:ascii="仿宋_GB2312" w:eastAsia="仿宋_GB2312"/>
                <w:sz w:val="24"/>
                <w:szCs w:val="24"/>
                <w:lang w:val="en-US" w:eastAsia="zh-CN"/>
              </w:rPr>
              <w:t>5</w:t>
            </w:r>
          </w:p>
        </w:tc>
        <w:tc>
          <w:tcPr>
            <w:tcW w:w="793" w:type="pct"/>
            <w:tcBorders>
              <w:top w:val="single" w:color="auto" w:sz="4" w:space="0"/>
              <w:left w:val="single" w:color="auto" w:sz="4" w:space="0"/>
              <w:right w:val="single" w:color="auto" w:sz="4" w:space="0"/>
            </w:tcBorders>
          </w:tcPr>
          <w:p>
            <w:pPr>
              <w:topLinePunct/>
              <w:spacing w:line="40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90" w:type="pct"/>
            <w:vMerge w:val="continue"/>
            <w:tcBorders>
              <w:left w:val="single" w:color="auto" w:sz="4" w:space="0"/>
              <w:right w:val="single" w:color="auto" w:sz="4" w:space="0"/>
            </w:tcBorders>
            <w:vAlign w:val="center"/>
          </w:tcPr>
          <w:p>
            <w:pPr>
              <w:topLinePunct/>
              <w:spacing w:line="400" w:lineRule="exact"/>
              <w:contextualSpacing/>
              <w:rPr>
                <w:rFonts w:ascii="仿宋_GB2312" w:eastAsia="仿宋_GB2312"/>
                <w:sz w:val="24"/>
                <w:szCs w:val="24"/>
              </w:rPr>
            </w:pPr>
          </w:p>
        </w:tc>
        <w:tc>
          <w:tcPr>
            <w:tcW w:w="268" w:type="pct"/>
            <w:tcBorders>
              <w:top w:val="single" w:color="auto" w:sz="4" w:space="0"/>
              <w:left w:val="single" w:color="auto" w:sz="4" w:space="0"/>
              <w:right w:val="single" w:color="auto" w:sz="4" w:space="0"/>
            </w:tcBorders>
            <w:vAlign w:val="center"/>
          </w:tcPr>
          <w:p>
            <w:pPr>
              <w:topLinePunct/>
              <w:spacing w:line="400" w:lineRule="exact"/>
              <w:contextualSpacing/>
              <w:jc w:val="center"/>
              <w:rPr>
                <w:rFonts w:hint="eastAsia" w:ascii="仿宋_GB2312" w:eastAsia="仿宋_GB2312"/>
                <w:sz w:val="24"/>
                <w:szCs w:val="24"/>
                <w:lang w:eastAsia="zh-CN"/>
              </w:rPr>
            </w:pPr>
            <w:r>
              <w:rPr>
                <w:rFonts w:hint="eastAsia" w:ascii="仿宋_GB2312" w:eastAsia="仿宋_GB2312"/>
                <w:sz w:val="24"/>
                <w:szCs w:val="24"/>
              </w:rPr>
              <w:t>1</w:t>
            </w:r>
            <w:r>
              <w:rPr>
                <w:rFonts w:hint="eastAsia" w:ascii="仿宋_GB2312" w:eastAsia="仿宋_GB2312"/>
                <w:sz w:val="24"/>
                <w:szCs w:val="24"/>
                <w:lang w:val="en-US" w:eastAsia="zh-CN"/>
              </w:rPr>
              <w:t>8</w:t>
            </w:r>
          </w:p>
        </w:tc>
        <w:tc>
          <w:tcPr>
            <w:tcW w:w="3197" w:type="pct"/>
            <w:tcBorders>
              <w:top w:val="single" w:color="auto" w:sz="4" w:space="0"/>
              <w:left w:val="single" w:color="auto" w:sz="4" w:space="0"/>
              <w:right w:val="single" w:color="auto" w:sz="4" w:space="0"/>
            </w:tcBorders>
            <w:vAlign w:val="center"/>
          </w:tcPr>
          <w:p>
            <w:pPr>
              <w:topLinePunct/>
              <w:spacing w:line="400" w:lineRule="exact"/>
              <w:contextualSpacing/>
              <w:rPr>
                <w:rFonts w:hint="eastAsia" w:ascii="仿宋_GB2312" w:hAnsi="宋体" w:eastAsia="仿宋_GB2312" w:cs="宋体"/>
                <w:sz w:val="24"/>
              </w:rPr>
            </w:pPr>
            <w:r>
              <w:rPr>
                <w:rFonts w:hint="eastAsia" w:ascii="仿宋_GB2312" w:hAnsi="宋体" w:eastAsia="仿宋_GB2312" w:cs="宋体"/>
                <w:sz w:val="24"/>
              </w:rPr>
              <w:t>根据投标人提供的云平台整体设计</w:t>
            </w:r>
            <w:r>
              <w:rPr>
                <w:rFonts w:hint="eastAsia" w:ascii="仿宋_GB2312" w:hAnsi="宋体" w:eastAsia="仿宋_GB2312" w:cs="宋体"/>
                <w:sz w:val="24"/>
                <w:lang w:eastAsia="zh-CN"/>
              </w:rPr>
              <w:t>方案中技术架构的科学性、完整性、易用性、可行性、系统可延展性情况打分，</w:t>
            </w:r>
            <w:r>
              <w:rPr>
                <w:rFonts w:hint="eastAsia" w:ascii="仿宋_GB2312" w:hAnsi="宋体" w:eastAsia="仿宋_GB2312" w:cs="宋体"/>
                <w:sz w:val="24"/>
                <w:lang w:val="en-US" w:eastAsia="zh-CN"/>
              </w:rPr>
              <w:t>0-5分。</w:t>
            </w:r>
          </w:p>
        </w:tc>
        <w:tc>
          <w:tcPr>
            <w:tcW w:w="350" w:type="pct"/>
            <w:tcBorders>
              <w:top w:val="single" w:color="auto" w:sz="4" w:space="0"/>
              <w:left w:val="single" w:color="auto" w:sz="4" w:space="0"/>
              <w:right w:val="single" w:color="auto" w:sz="4" w:space="0"/>
            </w:tcBorders>
            <w:vAlign w:val="center"/>
          </w:tcPr>
          <w:p>
            <w:pPr>
              <w:topLinePunct/>
              <w:spacing w:line="400" w:lineRule="exact"/>
              <w:contextualSpacing/>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5</w:t>
            </w:r>
          </w:p>
        </w:tc>
        <w:tc>
          <w:tcPr>
            <w:tcW w:w="793" w:type="pct"/>
            <w:tcBorders>
              <w:top w:val="single" w:color="auto" w:sz="4" w:space="0"/>
              <w:left w:val="single" w:color="auto" w:sz="4" w:space="0"/>
              <w:right w:val="single" w:color="auto" w:sz="4" w:space="0"/>
            </w:tcBorders>
          </w:tcPr>
          <w:p>
            <w:pPr>
              <w:topLinePunct/>
              <w:spacing w:line="40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390" w:type="pct"/>
            <w:vMerge w:val="continue"/>
            <w:tcBorders>
              <w:left w:val="single" w:color="auto" w:sz="4" w:space="0"/>
              <w:right w:val="single" w:color="auto" w:sz="4" w:space="0"/>
            </w:tcBorders>
            <w:vAlign w:val="center"/>
          </w:tcPr>
          <w:p>
            <w:pPr>
              <w:topLinePunct/>
              <w:spacing w:line="400" w:lineRule="exact"/>
              <w:contextualSpacing/>
              <w:rPr>
                <w:rFonts w:ascii="仿宋_GB2312" w:eastAsia="仿宋_GB2312"/>
                <w:sz w:val="24"/>
                <w:szCs w:val="24"/>
              </w:rPr>
            </w:pPr>
          </w:p>
        </w:tc>
        <w:tc>
          <w:tcPr>
            <w:tcW w:w="268" w:type="pct"/>
            <w:tcBorders>
              <w:top w:val="single" w:color="auto" w:sz="4" w:space="0"/>
              <w:left w:val="single" w:color="auto" w:sz="4" w:space="0"/>
              <w:right w:val="single" w:color="auto" w:sz="4" w:space="0"/>
            </w:tcBorders>
            <w:vAlign w:val="center"/>
          </w:tcPr>
          <w:p>
            <w:pPr>
              <w:topLinePunct/>
              <w:spacing w:line="400" w:lineRule="exact"/>
              <w:contextualSpacing/>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19</w:t>
            </w:r>
          </w:p>
        </w:tc>
        <w:tc>
          <w:tcPr>
            <w:tcW w:w="3197" w:type="pct"/>
            <w:tcBorders>
              <w:top w:val="single" w:color="auto" w:sz="4" w:space="0"/>
              <w:left w:val="single" w:color="auto" w:sz="4" w:space="0"/>
              <w:right w:val="single" w:color="auto" w:sz="4" w:space="0"/>
            </w:tcBorders>
            <w:vAlign w:val="center"/>
          </w:tcPr>
          <w:p>
            <w:pPr>
              <w:topLinePunct/>
              <w:spacing w:line="400" w:lineRule="exact"/>
              <w:contextualSpacing/>
              <w:rPr>
                <w:rFonts w:hint="eastAsia" w:ascii="仿宋_GB2312" w:hAnsi="宋体" w:eastAsia="仿宋_GB2312" w:cs="宋体"/>
                <w:sz w:val="24"/>
                <w:lang w:eastAsia="zh-CN"/>
              </w:rPr>
            </w:pPr>
            <w:r>
              <w:rPr>
                <w:rFonts w:hint="eastAsia" w:ascii="仿宋_GB2312" w:hAnsi="宋体" w:eastAsia="仿宋_GB2312" w:cs="宋体"/>
                <w:sz w:val="24"/>
                <w:lang w:eastAsia="zh-CN"/>
              </w:rPr>
              <w:t>根据投标人提供的</w:t>
            </w:r>
            <w:r>
              <w:rPr>
                <w:rFonts w:hint="eastAsia" w:ascii="仿宋_GB2312" w:hAnsi="宋体" w:eastAsia="仿宋_GB2312" w:cs="宋体"/>
                <w:sz w:val="24"/>
              </w:rPr>
              <w:t>云平台安全保障体系技术方案</w:t>
            </w:r>
            <w:r>
              <w:rPr>
                <w:rFonts w:hint="eastAsia" w:ascii="仿宋_GB2312" w:hAnsi="宋体" w:eastAsia="仿宋_GB2312" w:cs="宋体"/>
                <w:sz w:val="24"/>
                <w:lang w:eastAsia="zh-CN"/>
              </w:rPr>
              <w:t>的合理性、科学性、完整性、可行性、可靠性情况打分，</w:t>
            </w:r>
            <w:r>
              <w:rPr>
                <w:rFonts w:hint="eastAsia" w:ascii="仿宋_GB2312" w:hAnsi="宋体" w:eastAsia="仿宋_GB2312" w:cs="宋体"/>
                <w:sz w:val="24"/>
                <w:lang w:val="en-US" w:eastAsia="zh-CN"/>
              </w:rPr>
              <w:t>0-5分。</w:t>
            </w:r>
          </w:p>
        </w:tc>
        <w:tc>
          <w:tcPr>
            <w:tcW w:w="350" w:type="pct"/>
            <w:tcBorders>
              <w:top w:val="single" w:color="auto" w:sz="4" w:space="0"/>
              <w:left w:val="single" w:color="auto" w:sz="4" w:space="0"/>
              <w:right w:val="single" w:color="auto" w:sz="4" w:space="0"/>
            </w:tcBorders>
            <w:vAlign w:val="center"/>
          </w:tcPr>
          <w:p>
            <w:pPr>
              <w:topLinePunct/>
              <w:spacing w:line="400" w:lineRule="exact"/>
              <w:contextualSpacing/>
              <w:jc w:val="center"/>
              <w:rPr>
                <w:rFonts w:hint="default" w:ascii="仿宋_GB2312" w:eastAsia="仿宋_GB2312"/>
                <w:b w:val="0"/>
                <w:bCs w:val="0"/>
                <w:sz w:val="24"/>
                <w:szCs w:val="24"/>
                <w:lang w:val="en-US" w:eastAsia="zh-CN"/>
              </w:rPr>
            </w:pPr>
            <w:r>
              <w:rPr>
                <w:rFonts w:hint="eastAsia" w:ascii="仿宋_GB2312" w:eastAsia="仿宋_GB2312"/>
                <w:sz w:val="24"/>
                <w:szCs w:val="24"/>
                <w:lang w:val="en-US" w:eastAsia="zh-CN"/>
              </w:rPr>
              <w:t>5</w:t>
            </w:r>
          </w:p>
        </w:tc>
        <w:tc>
          <w:tcPr>
            <w:tcW w:w="793" w:type="pct"/>
            <w:tcBorders>
              <w:top w:val="single" w:color="auto" w:sz="4" w:space="0"/>
              <w:left w:val="single" w:color="auto" w:sz="4" w:space="0"/>
              <w:right w:val="single" w:color="auto" w:sz="4" w:space="0"/>
            </w:tcBorders>
          </w:tcPr>
          <w:p>
            <w:pPr>
              <w:topLinePunct/>
              <w:spacing w:line="40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90" w:type="pct"/>
            <w:vMerge w:val="continue"/>
            <w:tcBorders>
              <w:left w:val="single" w:color="auto" w:sz="4" w:space="0"/>
              <w:right w:val="single" w:color="auto" w:sz="4" w:space="0"/>
            </w:tcBorders>
            <w:vAlign w:val="center"/>
          </w:tcPr>
          <w:p>
            <w:pPr>
              <w:topLinePunct/>
              <w:spacing w:line="400" w:lineRule="exact"/>
              <w:contextualSpacing/>
              <w:rPr>
                <w:rFonts w:ascii="仿宋_GB2312" w:eastAsia="仿宋_GB2312"/>
                <w:sz w:val="24"/>
                <w:szCs w:val="24"/>
              </w:rPr>
            </w:pPr>
          </w:p>
        </w:tc>
        <w:tc>
          <w:tcPr>
            <w:tcW w:w="268" w:type="pct"/>
            <w:tcBorders>
              <w:top w:val="single" w:color="auto" w:sz="4" w:space="0"/>
              <w:left w:val="single" w:color="auto" w:sz="4" w:space="0"/>
              <w:right w:val="single" w:color="auto" w:sz="4" w:space="0"/>
            </w:tcBorders>
            <w:vAlign w:val="center"/>
          </w:tcPr>
          <w:p>
            <w:pPr>
              <w:topLinePunct/>
              <w:spacing w:line="400" w:lineRule="exact"/>
              <w:contextualSpacing/>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20</w:t>
            </w:r>
          </w:p>
        </w:tc>
        <w:tc>
          <w:tcPr>
            <w:tcW w:w="3197" w:type="pct"/>
            <w:tcBorders>
              <w:top w:val="single" w:color="auto" w:sz="4" w:space="0"/>
              <w:left w:val="single" w:color="auto" w:sz="4" w:space="0"/>
              <w:right w:val="single" w:color="auto" w:sz="4" w:space="0"/>
            </w:tcBorders>
            <w:vAlign w:val="center"/>
          </w:tcPr>
          <w:p>
            <w:pPr>
              <w:pStyle w:val="2"/>
              <w:ind w:firstLine="0" w:firstLineChars="0"/>
              <w:rPr>
                <w:rFonts w:hint="eastAsia" w:ascii="仿宋_GB2312" w:eastAsia="仿宋_GB2312" w:hAnsiTheme="minorHAnsi" w:cstheme="minorBidi"/>
                <w:spacing w:val="0"/>
                <w:kern w:val="2"/>
                <w:szCs w:val="24"/>
                <w:lang w:val="en-US" w:eastAsia="zh-CN"/>
              </w:rPr>
            </w:pPr>
            <w:r>
              <w:rPr>
                <w:rFonts w:hint="eastAsia" w:ascii="仿宋_GB2312" w:eastAsia="仿宋_GB2312" w:hAnsiTheme="minorHAnsi" w:cstheme="minorBidi"/>
                <w:spacing w:val="0"/>
                <w:kern w:val="2"/>
                <w:sz w:val="24"/>
                <w:szCs w:val="24"/>
                <w:lang w:val="en-US" w:eastAsia="zh-CN"/>
              </w:rPr>
              <w:t>本项目演示采用政采云平台在线讲解的方式，</w:t>
            </w:r>
            <w:r>
              <w:rPr>
                <w:rFonts w:hint="eastAsia" w:ascii="仿宋_GB2312" w:eastAsia="仿宋_GB2312" w:hAnsiTheme="minorHAnsi" w:cstheme="minorBidi"/>
                <w:spacing w:val="0"/>
                <w:kern w:val="2"/>
                <w:szCs w:val="24"/>
                <w:lang w:val="en-US" w:eastAsia="zh-CN"/>
              </w:rPr>
              <w:t>通过“政采云视频讲标系统”进行，供应商登录政采云系统-----进入开标大厅---进入本项目进行操作。政采云视频讲标系统在线上视频协商时需要供应商电脑配置有摄像头、音箱和必要的网络带宽（浏览器建议用谷歌浏览器，网络带宽不少于50兆，请勿用无线，以免出现卡顿现象。摄像头建议用中档及以上摄像头，以利于演示时的画面质量；音箱请提前予以调试，以避免演示时出现没有声音现象）。“政采云视频讲标系统”评审小组可以看见和听见供应商的画面和声音，供应商只能听见评审小组声音，看不见评审小组的画面。政采云视频讲标系统目前不支持手机端。</w:t>
            </w:r>
          </w:p>
          <w:p>
            <w:pPr>
              <w:topLinePunct/>
              <w:spacing w:line="400" w:lineRule="exact"/>
              <w:contextualSpacing/>
              <w:rPr>
                <w:rFonts w:hint="eastAsia" w:ascii="仿宋_GB2312" w:eastAsia="仿宋_GB2312"/>
                <w:sz w:val="24"/>
                <w:szCs w:val="24"/>
                <w:lang w:val="en-US" w:eastAsia="zh-CN"/>
              </w:rPr>
            </w:pPr>
            <w:r>
              <w:rPr>
                <w:rFonts w:hint="eastAsia" w:ascii="仿宋_GB2312" w:eastAsia="仿宋_GB2312"/>
                <w:sz w:val="24"/>
                <w:szCs w:val="24"/>
                <w:lang w:val="en-US" w:eastAsia="zh-CN"/>
              </w:rPr>
              <w:t>演示顺序按政采云平台系统自动生成的顺序进行演示，演示时长不超过20分钟，因系统调试或网络问题造成演示无法正常进行的，可适当延长演示时长：</w:t>
            </w:r>
          </w:p>
          <w:p>
            <w:pPr>
              <w:topLinePunct/>
              <w:spacing w:line="400" w:lineRule="exact"/>
              <w:contextualSpacing/>
              <w:rPr>
                <w:rFonts w:hint="eastAsia" w:ascii="仿宋_GB2312" w:eastAsia="仿宋_GB2312"/>
                <w:sz w:val="24"/>
                <w:szCs w:val="24"/>
                <w:lang w:val="en-US" w:eastAsia="zh-CN"/>
              </w:rPr>
            </w:pPr>
            <w:r>
              <w:rPr>
                <w:rFonts w:hint="eastAsia" w:ascii="仿宋_GB2312" w:eastAsia="仿宋_GB2312"/>
                <w:sz w:val="24"/>
                <w:szCs w:val="24"/>
                <w:lang w:val="en-US" w:eastAsia="zh-CN"/>
              </w:rPr>
              <w:t>1、云平台四大件产品可用性演示：</w:t>
            </w:r>
          </w:p>
          <w:p>
            <w:pPr>
              <w:topLinePunct/>
              <w:spacing w:line="400" w:lineRule="exact"/>
              <w:contextualSpacing/>
              <w:rPr>
                <w:rFonts w:hint="eastAsia" w:ascii="仿宋_GB2312" w:eastAsia="仿宋_GB2312"/>
                <w:sz w:val="24"/>
                <w:szCs w:val="24"/>
                <w:lang w:val="en-US" w:eastAsia="zh-CN"/>
              </w:rPr>
            </w:pPr>
            <w:r>
              <w:rPr>
                <w:rFonts w:hint="eastAsia" w:ascii="仿宋_GB2312" w:eastAsia="仿宋_GB2312"/>
                <w:sz w:val="24"/>
                <w:szCs w:val="24"/>
                <w:lang w:val="en-US" w:eastAsia="zh-CN"/>
              </w:rPr>
              <w:t>（1）</w:t>
            </w:r>
            <w:r>
              <w:rPr>
                <w:rFonts w:hint="eastAsia" w:ascii="仿宋_GB2312" w:eastAsia="仿宋_GB2312"/>
                <w:sz w:val="24"/>
                <w:szCs w:val="24"/>
                <w:lang w:eastAsia="zh-CN"/>
              </w:rPr>
              <w:t>云服务器可用性演示，登录到具体提供云服务的云管平台，完成云服务器的开设、修改、删除等操作，开设中可选择多种主流操作系统、规格配置种类丰富，开设完成后需要演示快照制作与回滚，功能演示全部实现的</w:t>
            </w:r>
            <w:r>
              <w:rPr>
                <w:rFonts w:hint="eastAsia" w:ascii="仿宋_GB2312" w:eastAsia="仿宋_GB2312"/>
                <w:sz w:val="24"/>
                <w:szCs w:val="24"/>
                <w:lang w:val="en-US" w:eastAsia="zh-CN"/>
              </w:rPr>
              <w:t>得2分，使用PPT或demo演示功能全部实现的得1分，未提供或提供的演示功能不全的不得分。</w:t>
            </w:r>
          </w:p>
          <w:p>
            <w:pPr>
              <w:topLinePunct/>
              <w:spacing w:line="400" w:lineRule="exact"/>
              <w:contextualSpacing/>
              <w:rPr>
                <w:rFonts w:hint="eastAsia" w:ascii="仿宋_GB2312" w:eastAsia="仿宋_GB2312"/>
                <w:sz w:val="24"/>
                <w:szCs w:val="24"/>
                <w:lang w:val="en-US" w:eastAsia="zh-CN"/>
              </w:rPr>
            </w:pPr>
            <w:r>
              <w:rPr>
                <w:rFonts w:hint="eastAsia" w:ascii="仿宋_GB2312" w:eastAsia="仿宋_GB2312"/>
                <w:sz w:val="24"/>
                <w:szCs w:val="24"/>
                <w:lang w:val="en-US" w:eastAsia="zh-CN"/>
              </w:rPr>
              <w:t>（2）</w:t>
            </w:r>
            <w:r>
              <w:rPr>
                <w:rFonts w:hint="eastAsia" w:ascii="仿宋_GB2312" w:eastAsia="仿宋_GB2312"/>
                <w:sz w:val="24"/>
                <w:szCs w:val="24"/>
                <w:lang w:eastAsia="zh-CN"/>
              </w:rPr>
              <w:t>云数据库可用性演示，登录到具体提供云服务的云管平台，完成MsSqlserver、Mysql等主流关系型数据库的开设、修改、删除等操作，规格配置多样，数据库可主备实时切换</w:t>
            </w:r>
            <w:r>
              <w:rPr>
                <w:rFonts w:hint="eastAsia" w:ascii="仿宋_GB2312" w:eastAsia="仿宋_GB2312"/>
                <w:sz w:val="24"/>
                <w:szCs w:val="24"/>
                <w:lang w:val="en-US" w:eastAsia="zh-CN"/>
              </w:rPr>
              <w:t>，</w:t>
            </w:r>
            <w:r>
              <w:rPr>
                <w:rFonts w:hint="eastAsia" w:ascii="仿宋_GB2312" w:eastAsia="仿宋_GB2312"/>
                <w:sz w:val="24"/>
                <w:szCs w:val="24"/>
                <w:lang w:eastAsia="zh-CN"/>
              </w:rPr>
              <w:t>功能演示全部实现的</w:t>
            </w:r>
            <w:r>
              <w:rPr>
                <w:rFonts w:hint="eastAsia" w:ascii="仿宋_GB2312" w:eastAsia="仿宋_GB2312"/>
                <w:sz w:val="24"/>
                <w:szCs w:val="24"/>
                <w:lang w:val="en-US" w:eastAsia="zh-CN"/>
              </w:rPr>
              <w:t>得2分，使用PPT或demo演示功能全部实现的得1分，未提供或提供的演示功能不全的不得分。</w:t>
            </w:r>
          </w:p>
          <w:p>
            <w:pPr>
              <w:topLinePunct/>
              <w:spacing w:line="400" w:lineRule="exact"/>
              <w:contextualSpacing/>
              <w:rPr>
                <w:rFonts w:hint="eastAsia" w:ascii="仿宋_GB2312" w:eastAsia="仿宋_GB2312"/>
                <w:sz w:val="24"/>
                <w:szCs w:val="24"/>
                <w:lang w:val="en-US" w:eastAsia="zh-CN"/>
              </w:rPr>
            </w:pPr>
            <w:r>
              <w:rPr>
                <w:rFonts w:hint="eastAsia" w:ascii="仿宋_GB2312" w:eastAsia="仿宋_GB2312"/>
                <w:sz w:val="24"/>
                <w:szCs w:val="24"/>
                <w:lang w:val="en-US" w:eastAsia="zh-CN"/>
              </w:rPr>
              <w:t>（3）</w:t>
            </w:r>
            <w:r>
              <w:rPr>
                <w:rFonts w:hint="eastAsia" w:ascii="仿宋_GB2312" w:eastAsia="仿宋_GB2312"/>
                <w:sz w:val="24"/>
                <w:szCs w:val="24"/>
                <w:lang w:eastAsia="zh-CN"/>
              </w:rPr>
              <w:t>云存储可用性演示，登录到具体提供云服务的云管平台，完成云存储的开设、修改、删除等操作，展示图片、文本等对象的上传、下载、删除等功能，能够实现权限认证，服务器端和客户端加密</w:t>
            </w:r>
            <w:r>
              <w:rPr>
                <w:rFonts w:hint="eastAsia" w:ascii="仿宋_GB2312" w:eastAsia="仿宋_GB2312"/>
                <w:sz w:val="24"/>
                <w:szCs w:val="24"/>
                <w:lang w:val="en-US" w:eastAsia="zh-CN"/>
              </w:rPr>
              <w:t>，</w:t>
            </w:r>
            <w:r>
              <w:rPr>
                <w:rFonts w:hint="eastAsia" w:ascii="仿宋_GB2312" w:eastAsia="仿宋_GB2312"/>
                <w:sz w:val="24"/>
                <w:szCs w:val="24"/>
                <w:lang w:eastAsia="zh-CN"/>
              </w:rPr>
              <w:t>功能演示全部实现的</w:t>
            </w:r>
            <w:r>
              <w:rPr>
                <w:rFonts w:hint="eastAsia" w:ascii="仿宋_GB2312" w:eastAsia="仿宋_GB2312"/>
                <w:sz w:val="24"/>
                <w:szCs w:val="24"/>
                <w:lang w:val="en-US" w:eastAsia="zh-CN"/>
              </w:rPr>
              <w:t>得2分，使用PPT或demo演示功能全部实现的得1分，未提供或提供的演示功能不全的不得分。</w:t>
            </w:r>
          </w:p>
          <w:p>
            <w:pPr>
              <w:topLinePunct/>
              <w:spacing w:line="400" w:lineRule="exact"/>
              <w:contextualSpacing/>
              <w:rPr>
                <w:rFonts w:hint="eastAsia" w:ascii="仿宋_GB2312" w:eastAsia="仿宋_GB2312"/>
                <w:sz w:val="24"/>
                <w:szCs w:val="24"/>
                <w:lang w:val="en-US" w:eastAsia="zh-CN"/>
              </w:rPr>
            </w:pPr>
            <w:r>
              <w:rPr>
                <w:rFonts w:hint="eastAsia" w:ascii="仿宋_GB2312" w:eastAsia="仿宋_GB2312"/>
                <w:sz w:val="24"/>
                <w:szCs w:val="24"/>
                <w:lang w:val="en-US" w:eastAsia="zh-CN"/>
              </w:rPr>
              <w:t>（4）</w:t>
            </w:r>
            <w:r>
              <w:rPr>
                <w:rFonts w:hint="eastAsia" w:ascii="仿宋_GB2312" w:eastAsia="仿宋_GB2312"/>
                <w:sz w:val="24"/>
                <w:szCs w:val="24"/>
                <w:lang w:eastAsia="zh-CN"/>
              </w:rPr>
              <w:t>负载均衡可用性演示，登录到具体提供云服务的云管平台，完成负载均衡的开设、修改、删除等操作，实现四层(TCP协议和UDP协议)和七层(HTTP和HTTPS协议)的负载均衡服务功能</w:t>
            </w:r>
            <w:r>
              <w:rPr>
                <w:rFonts w:hint="eastAsia" w:ascii="仿宋_GB2312" w:eastAsia="仿宋_GB2312"/>
                <w:sz w:val="24"/>
                <w:szCs w:val="24"/>
                <w:lang w:val="en-US" w:eastAsia="zh-CN"/>
              </w:rPr>
              <w:t>，</w:t>
            </w:r>
            <w:r>
              <w:rPr>
                <w:rFonts w:hint="eastAsia" w:ascii="仿宋_GB2312" w:eastAsia="仿宋_GB2312"/>
                <w:sz w:val="24"/>
                <w:szCs w:val="24"/>
                <w:lang w:eastAsia="zh-CN"/>
              </w:rPr>
              <w:t>功能演示全部实现的</w:t>
            </w:r>
            <w:r>
              <w:rPr>
                <w:rFonts w:hint="eastAsia" w:ascii="仿宋_GB2312" w:eastAsia="仿宋_GB2312"/>
                <w:sz w:val="24"/>
                <w:szCs w:val="24"/>
                <w:lang w:val="en-US" w:eastAsia="zh-CN"/>
              </w:rPr>
              <w:t>得2分，使用PPT或demo演示功能全部实现的得1分，未提供或提供的演示功能不全的不得分。</w:t>
            </w:r>
          </w:p>
          <w:p>
            <w:pPr>
              <w:topLinePunct/>
              <w:spacing w:line="400" w:lineRule="exact"/>
              <w:contextualSpacing/>
              <w:rPr>
                <w:rFonts w:hint="eastAsia" w:ascii="仿宋_GB2312" w:eastAsia="仿宋_GB2312"/>
                <w:sz w:val="24"/>
                <w:szCs w:val="24"/>
                <w:lang w:val="en-US" w:eastAsia="zh-CN"/>
              </w:rPr>
            </w:pPr>
            <w:r>
              <w:rPr>
                <w:rFonts w:hint="eastAsia" w:ascii="仿宋_GB2312" w:eastAsia="仿宋_GB2312"/>
                <w:sz w:val="24"/>
                <w:szCs w:val="24"/>
                <w:lang w:val="en-US" w:eastAsia="zh-CN"/>
              </w:rPr>
              <w:t>2、云资源自动开通功能演示：</w:t>
            </w:r>
          </w:p>
          <w:p>
            <w:pPr>
              <w:topLinePunct/>
              <w:spacing w:line="400" w:lineRule="exact"/>
              <w:contextualSpacing/>
              <w:rPr>
                <w:rFonts w:hint="eastAsia" w:ascii="仿宋_GB2312" w:eastAsia="仿宋_GB2312"/>
                <w:sz w:val="24"/>
                <w:szCs w:val="24"/>
                <w:lang w:val="en-US" w:eastAsia="zh-CN"/>
              </w:rPr>
            </w:pPr>
            <w:r>
              <w:rPr>
                <w:rFonts w:hint="eastAsia" w:ascii="仿宋_GB2312" w:eastAsia="仿宋_GB2312"/>
                <w:sz w:val="24"/>
                <w:szCs w:val="24"/>
                <w:lang w:val="en-US" w:eastAsia="zh-CN"/>
              </w:rPr>
              <w:t>（1）实现资源申请功能的，得2分，使用PPT或demo演示的得1分，未演示或者所演示内容无法实现该功能的不得分。</w:t>
            </w:r>
          </w:p>
          <w:p>
            <w:pPr>
              <w:topLinePunct/>
              <w:spacing w:line="400" w:lineRule="exact"/>
              <w:contextualSpacing/>
              <w:rPr>
                <w:rFonts w:hint="eastAsia" w:ascii="仿宋_GB2312" w:eastAsia="仿宋_GB2312"/>
                <w:sz w:val="24"/>
                <w:szCs w:val="24"/>
                <w:lang w:val="en-US" w:eastAsia="zh-CN"/>
              </w:rPr>
            </w:pPr>
            <w:r>
              <w:rPr>
                <w:rFonts w:hint="eastAsia" w:ascii="仿宋_GB2312" w:eastAsia="仿宋_GB2312"/>
                <w:sz w:val="24"/>
                <w:szCs w:val="24"/>
                <w:lang w:val="en-US" w:eastAsia="zh-CN"/>
              </w:rPr>
              <w:t>（2）实现资源审批功能的，得2分，使用PPT或demo演示的得1分，未演示或者所演示内容无法实现该功能的不得分。</w:t>
            </w:r>
          </w:p>
          <w:p>
            <w:pPr>
              <w:topLinePunct/>
              <w:spacing w:line="400" w:lineRule="exact"/>
              <w:contextualSpacing/>
              <w:rPr>
                <w:rFonts w:hint="eastAsia" w:ascii="仿宋_GB2312" w:hAnsi="宋体" w:eastAsia="仿宋_GB2312" w:cs="宋体"/>
                <w:sz w:val="24"/>
                <w:lang w:eastAsia="zh-CN"/>
              </w:rPr>
            </w:pPr>
            <w:r>
              <w:rPr>
                <w:rFonts w:hint="eastAsia" w:ascii="仿宋_GB2312" w:eastAsia="仿宋_GB2312"/>
                <w:sz w:val="24"/>
                <w:szCs w:val="24"/>
                <w:lang w:val="en-US" w:eastAsia="zh-CN"/>
              </w:rPr>
              <w:t>（3）实现资源自动开设功能的得2分，使用PPT或demo演示的得1分，未演示或者所演示内容无法实现该功能的不得分。</w:t>
            </w:r>
          </w:p>
        </w:tc>
        <w:tc>
          <w:tcPr>
            <w:tcW w:w="350" w:type="pct"/>
            <w:tcBorders>
              <w:top w:val="single" w:color="auto" w:sz="4" w:space="0"/>
              <w:left w:val="single" w:color="auto" w:sz="4" w:space="0"/>
              <w:right w:val="single" w:color="auto" w:sz="4" w:space="0"/>
            </w:tcBorders>
            <w:vAlign w:val="center"/>
          </w:tcPr>
          <w:p>
            <w:pPr>
              <w:topLinePunct/>
              <w:spacing w:line="400" w:lineRule="exact"/>
              <w:contextualSpacing/>
              <w:jc w:val="center"/>
              <w:rPr>
                <w:rFonts w:hint="default" w:ascii="仿宋_GB2312" w:eastAsia="仿宋_GB2312"/>
                <w:b w:val="0"/>
                <w:bCs w:val="0"/>
                <w:sz w:val="24"/>
                <w:szCs w:val="24"/>
                <w:lang w:val="en-US" w:eastAsia="zh-CN"/>
              </w:rPr>
            </w:pPr>
            <w:r>
              <w:rPr>
                <w:rFonts w:hint="eastAsia" w:ascii="仿宋_GB2312" w:eastAsia="仿宋_GB2312"/>
                <w:sz w:val="24"/>
                <w:szCs w:val="24"/>
                <w:lang w:val="en-US" w:eastAsia="zh-CN"/>
              </w:rPr>
              <w:t>14</w:t>
            </w:r>
          </w:p>
        </w:tc>
        <w:tc>
          <w:tcPr>
            <w:tcW w:w="793" w:type="pct"/>
            <w:tcBorders>
              <w:top w:val="single" w:color="auto" w:sz="4" w:space="0"/>
              <w:left w:val="single" w:color="auto" w:sz="4" w:space="0"/>
              <w:right w:val="single" w:color="auto" w:sz="4" w:space="0"/>
            </w:tcBorders>
          </w:tcPr>
          <w:p>
            <w:pPr>
              <w:topLinePunct/>
              <w:spacing w:line="400" w:lineRule="exact"/>
              <w:contextualSpacing/>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90"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rPr>
                <w:rFonts w:ascii="仿宋_GB2312" w:eastAsia="仿宋_GB2312"/>
                <w:sz w:val="24"/>
                <w:szCs w:val="24"/>
              </w:rPr>
            </w:pPr>
            <w:r>
              <w:rPr>
                <w:rFonts w:hint="eastAsia" w:ascii="仿宋_GB2312" w:eastAsia="仿宋_GB2312"/>
                <w:sz w:val="24"/>
                <w:szCs w:val="24"/>
              </w:rPr>
              <w:t>报价</w:t>
            </w:r>
          </w:p>
          <w:p>
            <w:pPr>
              <w:topLinePunct/>
              <w:spacing w:line="400" w:lineRule="exact"/>
              <w:contextualSpacing/>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val="en-US" w:eastAsia="zh-CN"/>
              </w:rPr>
              <w:t>1</w:t>
            </w:r>
            <w:r>
              <w:rPr>
                <w:rFonts w:hint="eastAsia" w:ascii="仿宋_GB2312" w:eastAsia="仿宋_GB2312"/>
                <w:sz w:val="24"/>
                <w:szCs w:val="24"/>
              </w:rPr>
              <w:t>0分）</w:t>
            </w:r>
          </w:p>
        </w:tc>
        <w:tc>
          <w:tcPr>
            <w:tcW w:w="268"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rPr>
                <w:rFonts w:hint="default" w:ascii="仿宋_GB2312" w:eastAsia="仿宋_GB2312"/>
                <w:sz w:val="24"/>
                <w:szCs w:val="24"/>
                <w:lang w:val="en-US" w:eastAsia="zh-CN"/>
              </w:rPr>
            </w:pPr>
            <w:r>
              <w:rPr>
                <w:rFonts w:hint="eastAsia" w:ascii="仿宋_GB2312" w:eastAsia="仿宋_GB2312"/>
                <w:sz w:val="24"/>
                <w:szCs w:val="24"/>
                <w:lang w:val="en-US" w:eastAsia="zh-CN"/>
              </w:rPr>
              <w:t>21</w:t>
            </w:r>
          </w:p>
        </w:tc>
        <w:tc>
          <w:tcPr>
            <w:tcW w:w="3197" w:type="pct"/>
            <w:tcBorders>
              <w:top w:val="single" w:color="auto" w:sz="4" w:space="0"/>
              <w:left w:val="single" w:color="auto" w:sz="4" w:space="0"/>
              <w:bottom w:val="single" w:color="auto" w:sz="4" w:space="0"/>
              <w:right w:val="single" w:color="auto" w:sz="4" w:space="0"/>
            </w:tcBorders>
          </w:tcPr>
          <w:p>
            <w:pPr>
              <w:topLinePunct/>
              <w:spacing w:line="400" w:lineRule="exact"/>
              <w:contextualSpacing/>
              <w:rPr>
                <w:rFonts w:hint="eastAsia" w:ascii="仿宋_GB2312" w:eastAsia="仿宋_GB2312"/>
                <w:sz w:val="24"/>
                <w:szCs w:val="24"/>
                <w:lang w:val="en-US" w:eastAsia="zh-CN"/>
              </w:rPr>
            </w:pPr>
            <w:r>
              <w:rPr>
                <w:rFonts w:hint="eastAsia" w:ascii="仿宋_GB2312" w:eastAsia="仿宋_GB2312"/>
                <w:sz w:val="24"/>
                <w:szCs w:val="24"/>
                <w:lang w:val="en-US" w:eastAsia="zh-CN"/>
              </w:rPr>
              <w:t>1、投标报价为折扣率的形式：根据第三部分采购需求中三、采购清单中每项服务的最高限价的统一折扣比例(用百分比表述，按百分号整数报价，小数点后不予考虑）。</w:t>
            </w:r>
          </w:p>
          <w:p>
            <w:pPr>
              <w:topLinePunct/>
              <w:spacing w:line="400" w:lineRule="exact"/>
              <w:contextualSpacing/>
              <w:rPr>
                <w:rFonts w:ascii="仿宋_GB2312" w:eastAsia="仿宋_GB2312"/>
                <w:sz w:val="24"/>
                <w:szCs w:val="24"/>
              </w:rPr>
            </w:pPr>
            <w:r>
              <w:rPr>
                <w:rFonts w:hint="eastAsia" w:ascii="仿宋_GB2312" w:eastAsia="仿宋_GB2312"/>
                <w:sz w:val="24"/>
                <w:szCs w:val="24"/>
                <w:lang w:val="en-US" w:eastAsia="zh-CN"/>
              </w:rPr>
              <w:t>2、在所有有效报价中，以最低折扣率</w:t>
            </w:r>
            <w:r>
              <w:rPr>
                <w:rFonts w:hint="eastAsia" w:ascii="仿宋_GB2312" w:eastAsia="仿宋_GB2312"/>
                <w:sz w:val="24"/>
                <w:szCs w:val="24"/>
              </w:rPr>
              <w:t>作为评标基准价，其</w:t>
            </w:r>
            <w:r>
              <w:rPr>
                <w:rFonts w:hint="eastAsia" w:ascii="仿宋_GB2312" w:eastAsia="仿宋_GB2312"/>
                <w:sz w:val="24"/>
                <w:szCs w:val="24"/>
                <w:lang w:eastAsia="zh-CN"/>
              </w:rPr>
              <w:t>价格分</w:t>
            </w:r>
            <w:r>
              <w:rPr>
                <w:rFonts w:hint="eastAsia" w:ascii="仿宋_GB2312" w:eastAsia="仿宋_GB2312"/>
                <w:sz w:val="24"/>
                <w:szCs w:val="24"/>
              </w:rPr>
              <w:t>为满分；按［投标报价得分=（评标基准价/投标报价）*</w:t>
            </w:r>
            <w:r>
              <w:rPr>
                <w:rFonts w:hint="eastAsia" w:ascii="仿宋_GB2312" w:eastAsia="仿宋_GB2312"/>
                <w:sz w:val="24"/>
                <w:szCs w:val="24"/>
                <w:lang w:val="en-US" w:eastAsia="zh-CN"/>
              </w:rPr>
              <w:t>1</w:t>
            </w:r>
            <w:r>
              <w:rPr>
                <w:rFonts w:hint="eastAsia" w:ascii="仿宋_GB2312" w:eastAsia="仿宋_GB2312"/>
                <w:sz w:val="24"/>
                <w:szCs w:val="24"/>
              </w:rPr>
              <w:t>0］的计算公式计算。</w:t>
            </w:r>
          </w:p>
          <w:p>
            <w:pPr>
              <w:topLinePunct/>
              <w:spacing w:line="400" w:lineRule="exact"/>
              <w:contextualSpacing/>
              <w:rPr>
                <w:rFonts w:ascii="仿宋_GB2312" w:eastAsia="仿宋_GB2312"/>
                <w:sz w:val="24"/>
                <w:szCs w:val="24"/>
              </w:rPr>
            </w:pPr>
            <w:r>
              <w:rPr>
                <w:rFonts w:hint="eastAsia" w:ascii="仿宋_GB2312" w:eastAsia="仿宋_GB2312"/>
                <w:sz w:val="24"/>
                <w:szCs w:val="24"/>
              </w:rPr>
              <w:t>评标过程中，不得去掉报价中的最高报价和最低报价。因落实政府采购政策需要进行价格调整的，以调整后的价格计算评标基准价和投标报价。</w:t>
            </w:r>
          </w:p>
        </w:tc>
        <w:tc>
          <w:tcPr>
            <w:tcW w:w="350"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jc w:val="center"/>
              <w:rPr>
                <w:rFonts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rPr>
              <w:t>0</w:t>
            </w:r>
          </w:p>
        </w:tc>
        <w:tc>
          <w:tcPr>
            <w:tcW w:w="793" w:type="pct"/>
            <w:tcBorders>
              <w:top w:val="single" w:color="auto" w:sz="4" w:space="0"/>
              <w:left w:val="single" w:color="auto" w:sz="4" w:space="0"/>
              <w:bottom w:val="single" w:color="auto" w:sz="4" w:space="0"/>
              <w:right w:val="single" w:color="auto" w:sz="4" w:space="0"/>
            </w:tcBorders>
            <w:vAlign w:val="center"/>
          </w:tcPr>
          <w:p>
            <w:pPr>
              <w:topLinePunct/>
              <w:spacing w:line="400" w:lineRule="exact"/>
              <w:contextualSpacing/>
              <w:rPr>
                <w:rFonts w:ascii="仿宋_GB2312" w:eastAsia="仿宋_GB2312"/>
                <w:sz w:val="24"/>
                <w:szCs w:val="24"/>
              </w:rPr>
            </w:pPr>
            <w:r>
              <w:rPr>
                <w:rFonts w:hint="eastAsia" w:ascii="仿宋_GB2312" w:eastAsia="仿宋_GB2312"/>
                <w:sz w:val="24"/>
                <w:szCs w:val="24"/>
              </w:rPr>
              <w:t>/</w:t>
            </w:r>
          </w:p>
        </w:tc>
      </w:tr>
    </w:tbl>
    <w:p>
      <w:pPr>
        <w:spacing w:line="540" w:lineRule="exact"/>
        <w:contextualSpacing/>
        <w:rPr>
          <w:rFonts w:ascii="仿宋_GB2312" w:eastAsia="仿宋_GB2312"/>
          <w:sz w:val="28"/>
          <w:szCs w:val="28"/>
        </w:rPr>
      </w:pPr>
      <w:r>
        <w:rPr>
          <w:rFonts w:hint="eastAsia" w:eastAsia="仿宋_GB2312"/>
          <w:sz w:val="28"/>
          <w:szCs w:val="28"/>
        </w:rPr>
        <w:t> </w:t>
      </w:r>
      <w:r>
        <w:rPr>
          <w:rFonts w:hint="eastAsia" w:ascii="仿宋_GB2312" w:eastAsia="仿宋_GB2312"/>
          <w:sz w:val="28"/>
          <w:szCs w:val="28"/>
        </w:rPr>
        <w:t>*备注：投标人编制投标文件（商务技术文件部分）时，建议按此目录（序号和内容）提供评标标准相应的商务技术资料。</w:t>
      </w:r>
      <w:r>
        <w:rPr>
          <w:rFonts w:hint="eastAsia" w:eastAsia="仿宋_GB2312"/>
          <w:sz w:val="28"/>
          <w:szCs w:val="28"/>
        </w:rPr>
        <w:t> </w:t>
      </w:r>
    </w:p>
    <w:p>
      <w:pPr>
        <w:spacing w:line="540" w:lineRule="exact"/>
        <w:ind w:firstLine="562" w:firstLineChars="200"/>
        <w:contextualSpacing/>
        <w:rPr>
          <w:rFonts w:ascii="仿宋_GB2312" w:eastAsia="仿宋_GB2312"/>
          <w:b/>
          <w:sz w:val="28"/>
          <w:szCs w:val="28"/>
        </w:rPr>
      </w:pPr>
      <w:r>
        <w:rPr>
          <w:rFonts w:hint="eastAsia" w:ascii="仿宋_GB2312" w:eastAsia="仿宋_GB2312"/>
          <w:b/>
          <w:sz w:val="28"/>
          <w:szCs w:val="28"/>
        </w:rPr>
        <w:t>一、评标方法</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1.本项目采用综合评分法。综合评分法，是指投标文件满足招标文件全部实质性要求，且按照评审因素的量化指标评审得分最高的投标人为中标候选人的评标方法。</w:t>
      </w:r>
    </w:p>
    <w:p>
      <w:pPr>
        <w:spacing w:line="540" w:lineRule="exact"/>
        <w:ind w:firstLine="562" w:firstLineChars="200"/>
        <w:contextualSpacing/>
        <w:rPr>
          <w:rFonts w:ascii="仿宋_GB2312" w:eastAsia="仿宋_GB2312"/>
          <w:b/>
          <w:sz w:val="28"/>
          <w:szCs w:val="28"/>
        </w:rPr>
      </w:pPr>
      <w:r>
        <w:rPr>
          <w:rFonts w:hint="eastAsia" w:ascii="仿宋_GB2312" w:eastAsia="仿宋_GB2312"/>
          <w:b/>
          <w:sz w:val="28"/>
          <w:szCs w:val="28"/>
        </w:rPr>
        <w:t>二、评标标准</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 评标标准：见评标办法前附表。</w:t>
      </w:r>
    </w:p>
    <w:p>
      <w:pPr>
        <w:spacing w:line="540" w:lineRule="exact"/>
        <w:ind w:firstLine="562" w:firstLineChars="200"/>
        <w:contextualSpacing/>
        <w:rPr>
          <w:rFonts w:ascii="仿宋_GB2312" w:eastAsia="仿宋_GB2312"/>
          <w:b/>
          <w:sz w:val="28"/>
          <w:szCs w:val="28"/>
        </w:rPr>
      </w:pPr>
      <w:r>
        <w:rPr>
          <w:rFonts w:hint="eastAsia" w:ascii="仿宋_GB2312" w:eastAsia="仿宋_GB2312"/>
          <w:b/>
          <w:sz w:val="28"/>
          <w:szCs w:val="28"/>
        </w:rPr>
        <w:t>三、评标程序</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3.1符合性审查。评标委员会应当对符合资格的投标人的投标文件进行符合性审查，以确定其是否满足招标文件的实质性要求。不满足招标文件的实质性要求的，投标无效。</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3.2 比较与评价。评标委员会应当按照招标文件中规定的评标方法和标准，对符合性审查合格的投标文件进行商务和技术评估，综合比较与评价。</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3.3汇总商务技术得分。评标委员会各成员应当独立对每个投标人的商务和技术文件进行评价，并汇总商务技术得分情况。</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3.4报价评审。</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3.4.1投标文件报价出现前后不一致的，按照下列规定修正：</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3.4.1.1投标文件中开标一览表(报价表)内容与投标文件中相应内容不一致的，以开标一览表(报价表)为准（政采云系统开启报价若与报价文件不一致以报价文件为准）;</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3.4.1.2大写金额和小写金额不一致的，以大写金额为准;</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3.4.1.3单价金额小数点或者百分比有明显错位的，以开标一览表的总价为准，并修改单价;</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3.4.1.4总价金额与按单价汇总金额不一致的，以单价金额计算结果为准。</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3.4.1.5同时出现两种以上不一致的，按照3.4.1规定的顺序修正。修正后的报价按照财政部第87号令 《政府采购货物和服务招标投标管理办法》第五十一条第二款的规定经投标人确认后产生约束力。</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3.4.2投标文件出现不是唯一的、有选择性投标报价的，投标无效。</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3.4.3投标报价超过招标文件中规定的预算金额或者最高限价的，投标无效。</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540" w:lineRule="exact"/>
        <w:ind w:firstLine="560" w:firstLineChars="200"/>
        <w:contextualSpacing/>
        <w:rPr>
          <w:rFonts w:hint="eastAsia" w:ascii="仿宋_GB2312" w:eastAsia="仿宋_GB2312"/>
          <w:sz w:val="28"/>
          <w:szCs w:val="28"/>
        </w:rPr>
      </w:pPr>
      <w:r>
        <w:rPr>
          <w:rFonts w:hint="eastAsia" w:ascii="仿宋_GB2312" w:eastAsia="仿宋_GB2312"/>
          <w:sz w:val="28"/>
          <w:szCs w:val="28"/>
        </w:rPr>
        <w:t>3.4.5对于未预留份额专门面向中小企业的政府采购货物或服务项目，以及预留份额政府采购货物或服务项目中的非预留部分，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540" w:lineRule="exact"/>
        <w:ind w:firstLine="703" w:firstLineChars="250"/>
        <w:contextualSpacing/>
        <w:rPr>
          <w:rFonts w:ascii="仿宋_GB2312" w:eastAsia="仿宋_GB2312"/>
          <w:b/>
          <w:sz w:val="28"/>
          <w:szCs w:val="28"/>
        </w:rPr>
      </w:pPr>
      <w:r>
        <w:rPr>
          <w:rFonts w:hint="eastAsia" w:ascii="仿宋_GB2312" w:eastAsia="仿宋_GB2312"/>
          <w:b/>
          <w:sz w:val="28"/>
          <w:szCs w:val="28"/>
        </w:rPr>
        <w:t>四、评标中的其他事项</w:t>
      </w:r>
    </w:p>
    <w:p>
      <w:pPr>
        <w:spacing w:line="540" w:lineRule="exact"/>
        <w:ind w:firstLine="700" w:firstLineChars="250"/>
        <w:contextualSpacing/>
        <w:rPr>
          <w:rFonts w:ascii="仿宋_GB2312" w:eastAsia="仿宋_GB2312"/>
          <w:sz w:val="28"/>
          <w:szCs w:val="28"/>
        </w:rPr>
      </w:pPr>
      <w:r>
        <w:rPr>
          <w:rFonts w:hint="eastAsia" w:ascii="仿宋_GB2312" w:eastAsia="仿宋_GB2312"/>
          <w:sz w:val="28"/>
          <w:szCs w:val="28"/>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line="540" w:lineRule="exact"/>
        <w:ind w:firstLine="700" w:firstLineChars="250"/>
        <w:contextualSpacing/>
        <w:rPr>
          <w:rFonts w:ascii="仿宋_GB2312" w:eastAsia="仿宋_GB2312"/>
          <w:sz w:val="28"/>
          <w:szCs w:val="28"/>
        </w:rPr>
      </w:pPr>
      <w:r>
        <w:rPr>
          <w:rFonts w:hint="eastAsia" w:ascii="仿宋_GB2312" w:eastAsia="仿宋_GB2312"/>
          <w:sz w:val="28"/>
          <w:szCs w:val="28"/>
        </w:rPr>
        <w:t>4.2投标无效。有下列情况之一的，投标无效：</w:t>
      </w:r>
    </w:p>
    <w:p>
      <w:pPr>
        <w:spacing w:line="540" w:lineRule="exact"/>
        <w:ind w:firstLine="700" w:firstLineChars="250"/>
        <w:contextualSpacing/>
        <w:rPr>
          <w:rFonts w:ascii="仿宋_GB2312" w:eastAsia="仿宋_GB2312"/>
          <w:sz w:val="28"/>
          <w:szCs w:val="28"/>
        </w:rPr>
      </w:pPr>
      <w:r>
        <w:rPr>
          <w:rFonts w:hint="eastAsia" w:ascii="仿宋_GB2312" w:eastAsia="仿宋_GB2312"/>
          <w:sz w:val="28"/>
          <w:szCs w:val="28"/>
        </w:rPr>
        <w:t>4.2.1单位负责人为同一人或者存在直接控股、管理关系的不同供应商参加同一合同项下的政府采购活动的（均无效）；</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 xml:space="preserve">4.2.2为采购项目提供整体设计、规范编制或者项目管理、监理、检测等服务的供应商再参加该采购项目的其他采购活动的；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4.2.3投标人不具备招标文件中规定的资格要求的（投标人未提供有效的资格证明文件的，视为投标人不具备招标文件中规定的资格要求）；</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4.2.4如以联合体形式参加政府采购活动的，联合体协议不符合招标文件规定的联合体协议要求的；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4.2.5投标文件未按招标文件的澄清、修改的内容编制，又不符合实质性要求的；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4.2.6投标文件组成不全或内容字迹模糊辨认不清的而导致评标无法正常进行（经评标委员会认定并允许其当场更正的笔误除外的）；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4.2.7投标文件中法人授权书所载内容与本项目内容有异的；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4.2.8投标文件未按照招标文件要求签署、盖章的；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4.2.9采购人拟采购的产品属于政府强制采购的节能产品品目清单范围的，投标人未按招标文件要求提供国家确定的认证机构出具的、处于有效期之内的节能产品认证证书的；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4.2.10投标文件含有采购人不能接受的附加条件的；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4.2.11投标文件中承诺的投标有效期少于招标文件中载明的投标有效期的；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4.2.12投标人所投内容不符合招标文件中实质性要求的；</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4.2.13投标文件出现不是唯一的、有选择性投标报价的;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4.2.14投标报价高于本项目采购预算或者最高限价的;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4.2.15报价明显低于其他通过符合性审查投标人的报价，有可能影响产品质量或者不能诚信履约的，未能按要求提供书面说明或者提交相关证明材料，不能证明其报价合理性的;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4.2.16《投标（开标）一览表》填写不完整或字迹不能辨认或有漏项的；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4.2.17投标人对根据修正原则修正后的报价不确认的；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4.2.18投标人提供虚假材料投标的（包括但不限于以下情节）；</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4.2.18.1使用伪造、变造的许可证件；</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4.2.18.2提供虚假的财务状况或者业绩；</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4.2.18.3提供虚假的项目负责人或者主要技术人员简历、劳动关系证明；</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4.2.18.4提供虚假的信用状况；</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4.2.18.5其他弄虚作假的行为。</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4.2.19投标人有恶意串通、妨碍其他投标人的竞争行为、损害采购人或者其他投标人的合法权益情形的；有下列情形之一的，属于或视为恶意串通，其投标无效：</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4.2.19.1供应商直接或者间接从采购人或者采购代理机构处获得其他供应商的相关情况并修改其投标文件或者响应文件；</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4.2.19.2供应商按照采购人或者采购代理机构的授意撤换、修改投标文件或者响应文件；</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4.2.19.3供应商之间协商报价、技术方案等投标文件或者响应文件的实质性内容；</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4.2.19.4属于同一集团、协会、商会等组织成员的供应商按照该组织要求协同参加政府采购活动；</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4.2.19.5供应商之间事先约定由某一特定供应商中标、成交；</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4.2.19.6供应商之间商定部分供应商放弃参加政府采购活动或者放弃中标、成交；</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4.2.19.7供应商与采购人或者采购代理机构之间、供应商相互之间，为谋求特定供应商中标、成交或者排斥其他供应商的其他串通行为。</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4.2.19.8不同投标人的投标文件由同一单位或者个人编制；</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4.2.19.9不同投标人委托同一单位或者个人办理投标事宜；</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4.2.19.10不同投标人的投标文件载明的项目管理成员或者联系人员为同一人；</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4.2.19.11不同投标人的投标文件异常一致或者投标报价呈规律性差异；</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4.2.19.12不同投标人的投标文件相互混装；</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4.2.20投标人仅提交备份投标文件，没有在电子交易平台传输递交投标文件的，投标无效；</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4.2.21以联合体形式投标的，在资格文件和商务技术文件中均未提供联合协议的，投标无效；</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4.2.22以分包方式履行合同的，在资格文件和商务技术文件中均未提供分包意向协议的，投标无效；</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4.2.23法律、法规、规章（适用本市的）及省级以上规范性文件（适用本市的）规定的其他无效情形。</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5.废标。根据《中华人民共和国政府采购法》第三十六条之规定，在采购中，出现下列情形之一的，应予废标：</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5.1符合专业条件的供应商或者对招标文件作实质响应的供应商不足3家的；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5.2出现影响采购公正的违法、违规行为的；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5.3投标人的报价均超过了采购预算，采购人不能支付的；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5.4因重大变故，采购任务取消的。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废标后，采购代理机构应当将废标理由通知所有投标人。</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7.重新开展采购。有政府采购法第七十一条、第七十二条规定的违法行为之一，影响或者可能影响中标、成交结果的，依照下列规定处理：</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7.1未确定中标或者中标人的，终止本次政府采购活动，重新开展政府采购活动。</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7.2已确定中标或者中标人但尚未签订政府采购合同的，中标或者成交结果无效，从合格的中标或者成交候选人中另行确定中标或者中标人；没有合格的中标或者成交候选人的，重新开展政府采购活动。</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7.3政府采购合同已签订但尚未履行的，撤销合同，从合格的中标或者成交候选人中另行确定中标或者中标人；没有合格的中标或者成交候选人的，重新开展政府采购活动。</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7.4政府采购合同已经履行，给采购人、供应商造成损失的，由责任人承担赔偿责任。</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7.5政府采购当事人有其他违反政府采购法或者政府采购法实施条例等法律法规规定的行为，经改正后仍然影响或者可能影响中标、成交结果或者依法被认定为中标、成交无效的，依照7.1-7.4规定处理。</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8.评审过程的保密与录像</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9.录音录像。采购代理机构对评审工作现场进行全过程录音录像，录音录像资料作为采购项目文件随其他文件一并存档。</w:t>
      </w:r>
    </w:p>
    <w:bookmarkEnd w:id="26"/>
    <w:p>
      <w:pPr>
        <w:spacing w:line="540" w:lineRule="exact"/>
        <w:contextualSpacing/>
        <w:rPr>
          <w:rFonts w:ascii="仿宋_GB2312" w:eastAsia="仿宋_GB2312"/>
          <w:sz w:val="28"/>
          <w:szCs w:val="28"/>
        </w:rPr>
      </w:pPr>
      <w:bookmarkStart w:id="392" w:name="_Toc86217003"/>
      <w:bookmarkStart w:id="393" w:name="第五部分"/>
    </w:p>
    <w:p>
      <w:pPr>
        <w:pStyle w:val="2"/>
        <w:rPr>
          <w:rFonts w:ascii="仿宋_GB2312" w:eastAsia="仿宋_GB2312"/>
          <w:sz w:val="28"/>
          <w:szCs w:val="28"/>
        </w:rPr>
      </w:pPr>
    </w:p>
    <w:p>
      <w:pPr>
        <w:pStyle w:val="3"/>
        <w:rPr>
          <w:rFonts w:ascii="仿宋_GB2312" w:eastAsia="仿宋_GB2312"/>
          <w:sz w:val="28"/>
          <w:szCs w:val="28"/>
        </w:rPr>
      </w:pPr>
    </w:p>
    <w:p>
      <w:pPr>
        <w:pStyle w:val="4"/>
        <w:rPr>
          <w:rFonts w:ascii="仿宋_GB2312" w:eastAsia="仿宋_GB2312"/>
          <w:sz w:val="28"/>
          <w:szCs w:val="28"/>
        </w:rPr>
      </w:pPr>
    </w:p>
    <w:p>
      <w:pPr>
        <w:rPr>
          <w:rFonts w:ascii="仿宋_GB2312" w:eastAsia="仿宋_GB2312"/>
          <w:sz w:val="28"/>
          <w:szCs w:val="28"/>
        </w:rPr>
      </w:pPr>
    </w:p>
    <w:p>
      <w:pPr>
        <w:pStyle w:val="2"/>
        <w:rPr>
          <w:rFonts w:ascii="仿宋_GB2312" w:eastAsia="仿宋_GB2312"/>
          <w:sz w:val="28"/>
          <w:szCs w:val="28"/>
        </w:rPr>
      </w:pPr>
    </w:p>
    <w:p>
      <w:pPr>
        <w:pStyle w:val="3"/>
        <w:rPr>
          <w:rFonts w:ascii="仿宋_GB2312" w:eastAsia="仿宋_GB2312"/>
          <w:sz w:val="28"/>
          <w:szCs w:val="28"/>
        </w:rPr>
      </w:pPr>
    </w:p>
    <w:p>
      <w:pPr>
        <w:pStyle w:val="4"/>
        <w:rPr>
          <w:rFonts w:ascii="仿宋_GB2312" w:eastAsia="仿宋_GB2312"/>
          <w:sz w:val="28"/>
          <w:szCs w:val="28"/>
        </w:rPr>
      </w:pPr>
    </w:p>
    <w:p>
      <w:pPr>
        <w:rPr>
          <w:rFonts w:ascii="仿宋_GB2312" w:eastAsia="仿宋_GB2312"/>
          <w:sz w:val="28"/>
          <w:szCs w:val="28"/>
        </w:rPr>
      </w:pPr>
    </w:p>
    <w:p>
      <w:pPr>
        <w:pStyle w:val="2"/>
        <w:rPr>
          <w:rFonts w:ascii="仿宋_GB2312" w:eastAsia="仿宋_GB2312"/>
          <w:sz w:val="28"/>
          <w:szCs w:val="28"/>
        </w:rPr>
      </w:pPr>
    </w:p>
    <w:p>
      <w:pPr>
        <w:pStyle w:val="3"/>
        <w:rPr>
          <w:rFonts w:ascii="仿宋_GB2312" w:eastAsia="仿宋_GB2312"/>
          <w:sz w:val="28"/>
          <w:szCs w:val="28"/>
        </w:rPr>
      </w:pPr>
    </w:p>
    <w:p>
      <w:pPr>
        <w:pStyle w:val="4"/>
        <w:rPr>
          <w:rFonts w:ascii="仿宋_GB2312" w:eastAsia="仿宋_GB2312"/>
          <w:sz w:val="28"/>
          <w:szCs w:val="28"/>
        </w:rPr>
      </w:pPr>
    </w:p>
    <w:p>
      <w:pPr>
        <w:rPr>
          <w:rFonts w:ascii="仿宋_GB2312" w:eastAsia="仿宋_GB2312"/>
          <w:sz w:val="28"/>
          <w:szCs w:val="28"/>
        </w:rPr>
      </w:pPr>
    </w:p>
    <w:p>
      <w:pPr>
        <w:pStyle w:val="2"/>
        <w:rPr>
          <w:rFonts w:ascii="仿宋_GB2312" w:eastAsia="仿宋_GB2312"/>
          <w:sz w:val="28"/>
          <w:szCs w:val="28"/>
        </w:rPr>
      </w:pPr>
    </w:p>
    <w:p>
      <w:pPr>
        <w:pStyle w:val="3"/>
        <w:rPr>
          <w:rFonts w:ascii="仿宋_GB2312" w:eastAsia="仿宋_GB2312"/>
          <w:sz w:val="28"/>
          <w:szCs w:val="28"/>
        </w:rPr>
      </w:pPr>
    </w:p>
    <w:p>
      <w:pPr>
        <w:pStyle w:val="4"/>
        <w:rPr>
          <w:rFonts w:ascii="仿宋_GB2312" w:eastAsia="仿宋_GB2312"/>
          <w:sz w:val="28"/>
          <w:szCs w:val="28"/>
        </w:rPr>
      </w:pPr>
    </w:p>
    <w:p>
      <w:pPr>
        <w:rPr>
          <w:rFonts w:ascii="仿宋_GB2312" w:eastAsia="仿宋_GB2312"/>
          <w:sz w:val="28"/>
          <w:szCs w:val="28"/>
        </w:rPr>
      </w:pPr>
    </w:p>
    <w:p/>
    <w:p>
      <w:pPr>
        <w:spacing w:line="540" w:lineRule="exact"/>
        <w:contextualSpacing/>
        <w:jc w:val="center"/>
        <w:rPr>
          <w:rFonts w:ascii="仿宋_GB2312" w:eastAsia="仿宋_GB2312"/>
          <w:b/>
          <w:sz w:val="32"/>
          <w:szCs w:val="32"/>
        </w:rPr>
      </w:pPr>
      <w:r>
        <w:rPr>
          <w:rFonts w:hint="eastAsia" w:ascii="仿宋_GB2312" w:eastAsia="仿宋_GB2312"/>
          <w:b/>
          <w:sz w:val="32"/>
          <w:szCs w:val="32"/>
        </w:rPr>
        <w:t>第五部分 拟签订的合同文本</w:t>
      </w:r>
    </w:p>
    <w:p>
      <w:pPr>
        <w:spacing w:line="540" w:lineRule="exact"/>
        <w:contextualSpacing/>
        <w:rPr>
          <w:rFonts w:ascii="仿宋_GB2312" w:eastAsia="仿宋_GB2312"/>
          <w:sz w:val="28"/>
          <w:szCs w:val="28"/>
        </w:rPr>
      </w:pPr>
    </w:p>
    <w:p>
      <w:pPr>
        <w:spacing w:line="360" w:lineRule="auto"/>
        <w:ind w:firstLine="960" w:firstLineChars="400"/>
        <w:rPr>
          <w:rFonts w:hint="eastAsia" w:ascii="仿宋_GB2312" w:hAnsi="楷体" w:eastAsia="仿宋_GB2312"/>
          <w:sz w:val="24"/>
          <w:u w:val="single"/>
        </w:rPr>
      </w:pPr>
      <w:r>
        <w:rPr>
          <w:rFonts w:hint="eastAsia" w:ascii="仿宋_GB2312" w:hAnsi="楷体" w:eastAsia="仿宋_GB2312"/>
          <w:sz w:val="24"/>
        </w:rPr>
        <w:t>合同编号：</w:t>
      </w:r>
      <w:r>
        <w:rPr>
          <w:rFonts w:hint="eastAsia" w:ascii="仿宋_GB2312" w:hAnsi="楷体" w:eastAsia="仿宋_GB2312"/>
          <w:sz w:val="24"/>
          <w:u w:val="single"/>
        </w:rPr>
        <w:t xml:space="preserve">           </w:t>
      </w:r>
    </w:p>
    <w:p>
      <w:pPr>
        <w:pStyle w:val="22"/>
        <w:rPr>
          <w:rFonts w:hint="eastAsia" w:ascii="仿宋_GB2312" w:hAnsi="楷体" w:eastAsia="仿宋_GB2312"/>
          <w:szCs w:val="24"/>
        </w:rPr>
      </w:pPr>
    </w:p>
    <w:p>
      <w:pPr>
        <w:pStyle w:val="22"/>
        <w:rPr>
          <w:rFonts w:hint="eastAsia" w:ascii="仿宋_GB2312" w:hAnsi="楷体" w:eastAsia="仿宋_GB2312"/>
          <w:szCs w:val="24"/>
        </w:rPr>
      </w:pPr>
    </w:p>
    <w:p>
      <w:pPr>
        <w:spacing w:before="120" w:line="360" w:lineRule="auto"/>
        <w:rPr>
          <w:rFonts w:hint="eastAsia" w:ascii="仿宋_GB2312" w:hAnsi="楷体" w:eastAsia="仿宋_GB2312"/>
          <w:sz w:val="24"/>
        </w:rPr>
      </w:pPr>
    </w:p>
    <w:p>
      <w:pPr>
        <w:spacing w:before="120" w:line="360" w:lineRule="auto"/>
        <w:ind w:left="960"/>
        <w:rPr>
          <w:rFonts w:hint="eastAsia" w:ascii="仿宋_GB2312" w:hAnsi="楷体" w:eastAsia="仿宋_GB2312"/>
          <w:sz w:val="24"/>
        </w:rPr>
      </w:pPr>
      <w:r>
        <w:rPr>
          <w:rFonts w:hint="eastAsia" w:ascii="仿宋_GB2312" w:hAnsi="楷体" w:eastAsia="仿宋_GB2312"/>
          <w:sz w:val="24"/>
        </w:rPr>
        <w:t>项目名称：</w:t>
      </w:r>
      <w:r>
        <w:rPr>
          <w:rFonts w:hint="eastAsia" w:ascii="仿宋_GB2312" w:hAnsi="楷体" w:eastAsia="仿宋_GB2312"/>
          <w:sz w:val="24"/>
          <w:u w:val="single"/>
        </w:rPr>
        <w:t xml:space="preserve">  </w:t>
      </w:r>
      <w:r>
        <w:rPr>
          <w:rFonts w:hint="eastAsia" w:ascii="仿宋_GB2312" w:hAnsi="楷体" w:eastAsia="仿宋_GB2312"/>
          <w:sz w:val="24"/>
          <w:u w:val="single"/>
          <w:lang w:eastAsia="zh-CN"/>
        </w:rPr>
        <w:t xml:space="preserve">2023年度舟山市政务云统一购买服务项目  </w:t>
      </w:r>
      <w:r>
        <w:rPr>
          <w:rFonts w:hint="eastAsia" w:ascii="仿宋_GB2312" w:hAnsi="楷体" w:eastAsia="仿宋_GB2312"/>
          <w:sz w:val="24"/>
          <w:u w:val="single"/>
        </w:rPr>
        <w:t xml:space="preserve">                                     </w:t>
      </w:r>
    </w:p>
    <w:p>
      <w:pPr>
        <w:pStyle w:val="23"/>
        <w:spacing w:before="120"/>
        <w:rPr>
          <w:rFonts w:hint="eastAsia" w:hAnsi="楷体"/>
          <w:szCs w:val="24"/>
        </w:rPr>
      </w:pPr>
    </w:p>
    <w:p>
      <w:pPr>
        <w:pStyle w:val="23"/>
        <w:spacing w:before="120"/>
        <w:rPr>
          <w:rFonts w:hint="eastAsia" w:hAnsi="楷体"/>
          <w:szCs w:val="24"/>
        </w:rPr>
      </w:pPr>
    </w:p>
    <w:p>
      <w:pPr>
        <w:spacing w:line="360" w:lineRule="auto"/>
        <w:rPr>
          <w:rFonts w:hint="eastAsia" w:ascii="仿宋_GB2312" w:eastAsia="仿宋_GB2312"/>
          <w:sz w:val="24"/>
        </w:rPr>
      </w:pPr>
    </w:p>
    <w:p>
      <w:pPr>
        <w:spacing w:before="120" w:line="360" w:lineRule="auto"/>
        <w:ind w:left="960"/>
        <w:rPr>
          <w:rFonts w:hint="eastAsia" w:ascii="仿宋_GB2312" w:hAnsi="楷体" w:eastAsia="仿宋_GB2312"/>
          <w:sz w:val="24"/>
          <w:u w:val="single"/>
        </w:rPr>
      </w:pPr>
      <w:r>
        <w:rPr>
          <w:rFonts w:hint="eastAsia" w:ascii="仿宋_GB2312" w:hAnsi="楷体" w:eastAsia="仿宋_GB2312"/>
          <w:sz w:val="24"/>
        </w:rPr>
        <w:t>甲方：</w:t>
      </w:r>
      <w:r>
        <w:rPr>
          <w:rFonts w:hint="eastAsia" w:ascii="仿宋_GB2312" w:hAnsi="楷体" w:eastAsia="仿宋_GB2312"/>
          <w:sz w:val="24"/>
          <w:u w:val="single"/>
        </w:rPr>
        <w:t xml:space="preserve">   </w:t>
      </w:r>
      <w:r>
        <w:rPr>
          <w:rFonts w:hint="eastAsia" w:ascii="仿宋_GB2312" w:hAnsi="楷体" w:eastAsia="仿宋_GB2312"/>
          <w:sz w:val="24"/>
          <w:u w:val="single"/>
          <w:lang w:eastAsia="zh-CN"/>
        </w:rPr>
        <w:t>舟山市大数据管理中心</w:t>
      </w:r>
      <w:r>
        <w:rPr>
          <w:rFonts w:hint="eastAsia" w:ascii="仿宋_GB2312" w:hAnsi="楷体" w:eastAsia="仿宋_GB2312"/>
          <w:sz w:val="24"/>
          <w:u w:val="single"/>
        </w:rPr>
        <w:t xml:space="preserve">                                    </w:t>
      </w:r>
    </w:p>
    <w:p>
      <w:pPr>
        <w:spacing w:before="120" w:line="360" w:lineRule="auto"/>
        <w:rPr>
          <w:rFonts w:hint="eastAsia" w:ascii="仿宋_GB2312" w:hAnsi="楷体" w:eastAsia="仿宋_GB2312"/>
          <w:sz w:val="24"/>
        </w:rPr>
      </w:pPr>
    </w:p>
    <w:p>
      <w:pPr>
        <w:spacing w:before="120" w:line="360" w:lineRule="auto"/>
        <w:ind w:left="960"/>
        <w:rPr>
          <w:rFonts w:hint="eastAsia" w:ascii="仿宋_GB2312" w:hAnsi="楷体" w:eastAsia="仿宋_GB2312"/>
          <w:sz w:val="24"/>
          <w:u w:val="single"/>
        </w:rPr>
      </w:pPr>
      <w:r>
        <w:rPr>
          <w:rFonts w:hint="eastAsia" w:ascii="仿宋_GB2312" w:hAnsi="楷体" w:eastAsia="仿宋_GB2312"/>
          <w:sz w:val="24"/>
        </w:rPr>
        <w:t>乙方：</w:t>
      </w:r>
      <w:r>
        <w:rPr>
          <w:rFonts w:hint="eastAsia" w:ascii="仿宋_GB2312" w:hAnsi="楷体" w:eastAsia="仿宋_GB2312"/>
          <w:sz w:val="24"/>
          <w:u w:val="single"/>
        </w:rPr>
        <w:t xml:space="preserve">                                       </w:t>
      </w:r>
    </w:p>
    <w:p>
      <w:pPr>
        <w:spacing w:before="120" w:line="360" w:lineRule="auto"/>
        <w:rPr>
          <w:rFonts w:hint="eastAsia" w:ascii="仿宋_GB2312" w:hAnsi="楷体" w:eastAsia="仿宋_GB2312"/>
          <w:sz w:val="24"/>
        </w:rPr>
      </w:pPr>
    </w:p>
    <w:p>
      <w:pPr>
        <w:spacing w:before="120" w:line="360" w:lineRule="auto"/>
        <w:ind w:firstLine="960" w:firstLineChars="400"/>
        <w:rPr>
          <w:rFonts w:hint="eastAsia" w:ascii="仿宋_GB2312" w:hAnsi="楷体" w:eastAsia="仿宋_GB2312"/>
          <w:sz w:val="24"/>
          <w:u w:val="single"/>
        </w:rPr>
      </w:pPr>
      <w:r>
        <w:rPr>
          <w:rFonts w:hint="eastAsia" w:ascii="仿宋_GB2312" w:hAnsi="楷体" w:eastAsia="仿宋_GB2312"/>
          <w:sz w:val="24"/>
        </w:rPr>
        <w:t>签订地：</w:t>
      </w:r>
      <w:r>
        <w:rPr>
          <w:rFonts w:hint="eastAsia" w:ascii="仿宋_GB2312" w:hAnsi="楷体" w:eastAsia="仿宋_GB2312"/>
          <w:sz w:val="24"/>
          <w:u w:val="single"/>
        </w:rPr>
        <w:t xml:space="preserve">                                     </w:t>
      </w:r>
    </w:p>
    <w:p>
      <w:pPr>
        <w:spacing w:before="120" w:line="360" w:lineRule="auto"/>
        <w:rPr>
          <w:rFonts w:hint="eastAsia" w:ascii="仿宋_GB2312" w:hAnsi="楷体" w:eastAsia="仿宋_GB2312"/>
          <w:sz w:val="24"/>
        </w:rPr>
      </w:pPr>
    </w:p>
    <w:p>
      <w:pPr>
        <w:spacing w:before="120" w:line="360" w:lineRule="auto"/>
        <w:ind w:firstLine="960" w:firstLineChars="400"/>
        <w:rPr>
          <w:rFonts w:hint="eastAsia" w:ascii="仿宋_GB2312" w:hAnsi="楷体" w:eastAsia="仿宋_GB2312"/>
          <w:sz w:val="24"/>
          <w:u w:val="single"/>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pPr>
        <w:autoSpaceDE w:val="0"/>
        <w:autoSpaceDN w:val="0"/>
        <w:spacing w:line="360" w:lineRule="auto"/>
        <w:ind w:firstLine="640"/>
        <w:jc w:val="center"/>
        <w:rPr>
          <w:rFonts w:hint="eastAsia" w:ascii="仿宋_GB2312" w:hAnsi="宋体" w:eastAsia="仿宋_GB2312"/>
          <w:sz w:val="24"/>
        </w:rPr>
        <w:sectPr>
          <w:headerReference r:id="rId7" w:type="default"/>
          <w:footerReference r:id="rId8" w:type="default"/>
          <w:pgSz w:w="11907" w:h="16840"/>
          <w:pgMar w:top="1474" w:right="1814" w:bottom="1474" w:left="1814" w:header="851" w:footer="851" w:gutter="0"/>
          <w:cols w:space="720" w:num="1"/>
          <w:docGrid w:linePitch="462" w:charSpace="0"/>
        </w:sectPr>
      </w:pPr>
    </w:p>
    <w:p>
      <w:pPr>
        <w:tabs>
          <w:tab w:val="left" w:pos="2977"/>
        </w:tabs>
        <w:snapToGrid w:val="0"/>
        <w:spacing w:line="400" w:lineRule="exact"/>
        <w:ind w:firstLine="3373" w:firstLineChars="1600"/>
        <w:rPr>
          <w:rFonts w:ascii="宋体" w:hAnsi="宋体" w:cs="宋体"/>
          <w:b/>
          <w:szCs w:val="21"/>
        </w:rPr>
      </w:pPr>
      <w:r>
        <w:rPr>
          <w:rFonts w:ascii="宋体" w:hAnsi="宋体" w:cs="宋体"/>
          <w:b/>
          <w:szCs w:val="21"/>
        </w:rPr>
        <w:t>合同主要条款</w:t>
      </w:r>
    </w:p>
    <w:p>
      <w:pPr>
        <w:spacing w:line="360" w:lineRule="auto"/>
        <w:ind w:right="6" w:firstLine="496" w:firstLineChars="200"/>
        <w:rPr>
          <w:rFonts w:ascii="宋体" w:hAnsi="宋体"/>
          <w:spacing w:val="4"/>
          <w:sz w:val="24"/>
        </w:rPr>
      </w:pPr>
    </w:p>
    <w:p>
      <w:pPr>
        <w:spacing w:line="360" w:lineRule="auto"/>
        <w:ind w:right="6" w:firstLine="436" w:firstLineChars="200"/>
        <w:rPr>
          <w:rFonts w:ascii="等线" w:hAnsi="等线" w:eastAsia="等线"/>
          <w:spacing w:val="4"/>
          <w:szCs w:val="21"/>
        </w:rPr>
      </w:pPr>
      <w:r>
        <w:rPr>
          <w:rFonts w:hint="eastAsia" w:ascii="等线" w:hAnsi="等线" w:eastAsia="等线"/>
          <w:spacing w:val="4"/>
          <w:szCs w:val="21"/>
        </w:rPr>
        <w:t>甲方对</w:t>
      </w:r>
      <w:r>
        <w:rPr>
          <w:rFonts w:hint="eastAsia" w:ascii="等线" w:hAnsi="等线" w:eastAsia="等线"/>
          <w:spacing w:val="4"/>
          <w:szCs w:val="21"/>
          <w:u w:val="single"/>
          <w:lang w:eastAsia="zh-CN"/>
        </w:rPr>
        <w:t xml:space="preserve">2023年度舟山市政务云统一购买服务项目  </w:t>
      </w:r>
      <w:r>
        <w:rPr>
          <w:rFonts w:hint="eastAsia" w:ascii="等线" w:hAnsi="等线" w:eastAsia="等线"/>
          <w:spacing w:val="4"/>
          <w:szCs w:val="21"/>
        </w:rPr>
        <w:t>进行公开招标。经评审小组评定并最终审核通过，确定乙方为本项采购项目的中标人。甲乙双方根据《中华人民共和国政府采购法》、《中华人民共和国民法典》等相关法律法规及本项目</w:t>
      </w:r>
      <w:r>
        <w:rPr>
          <w:rFonts w:hint="eastAsia" w:ascii="等线" w:hAnsi="等线" w:eastAsia="等线"/>
          <w:spacing w:val="4"/>
          <w:szCs w:val="21"/>
          <w:lang w:eastAsia="zh-CN"/>
        </w:rPr>
        <w:t>招标</w:t>
      </w:r>
      <w:r>
        <w:rPr>
          <w:rFonts w:hint="eastAsia" w:ascii="等线" w:hAnsi="等线" w:eastAsia="等线"/>
          <w:spacing w:val="4"/>
          <w:szCs w:val="21"/>
        </w:rPr>
        <w:t>文件的规定，双方经平等协商达成一致意见，订立本合同。</w:t>
      </w:r>
    </w:p>
    <w:p>
      <w:pPr>
        <w:spacing w:line="360" w:lineRule="auto"/>
        <w:ind w:firstLine="412" w:firstLineChars="196"/>
        <w:rPr>
          <w:rFonts w:hint="eastAsia" w:ascii="等线" w:hAnsi="等线" w:eastAsia="等线"/>
          <w:b/>
          <w:szCs w:val="21"/>
          <w:lang w:eastAsia="zh-CN"/>
        </w:rPr>
      </w:pPr>
      <w:r>
        <w:rPr>
          <w:rFonts w:hint="eastAsia" w:ascii="等线" w:hAnsi="等线" w:eastAsia="等线"/>
          <w:b/>
          <w:szCs w:val="21"/>
        </w:rPr>
        <w:t>一、</w:t>
      </w:r>
      <w:r>
        <w:rPr>
          <w:rFonts w:hint="eastAsia" w:ascii="等线" w:hAnsi="等线" w:eastAsia="等线"/>
          <w:b/>
          <w:szCs w:val="21"/>
          <w:lang w:eastAsia="zh-CN"/>
        </w:rPr>
        <w:t>总则</w:t>
      </w:r>
    </w:p>
    <w:p>
      <w:pPr>
        <w:numPr>
          <w:ilvl w:val="0"/>
          <w:numId w:val="0"/>
        </w:numPr>
        <w:spacing w:line="360" w:lineRule="auto"/>
        <w:ind w:firstLine="420" w:firstLineChars="200"/>
        <w:jc w:val="left"/>
        <w:textAlignment w:val="baseline"/>
        <w:rPr>
          <w:rFonts w:hint="eastAsia" w:ascii="等线" w:hAnsi="等线" w:eastAsia="等线"/>
          <w:szCs w:val="21"/>
          <w:lang w:eastAsia="zh-CN"/>
        </w:rPr>
      </w:pPr>
      <w:r>
        <w:rPr>
          <w:rFonts w:hint="eastAsia" w:ascii="等线" w:hAnsi="等线" w:eastAsia="等线"/>
          <w:szCs w:val="21"/>
          <w:lang w:val="en-US" w:eastAsia="zh-CN"/>
        </w:rPr>
        <w:t>1、</w:t>
      </w:r>
      <w:r>
        <w:rPr>
          <w:rFonts w:hint="eastAsia" w:ascii="等线" w:hAnsi="等线" w:eastAsia="等线"/>
          <w:szCs w:val="21"/>
        </w:rPr>
        <w:t>“甲方”系指通过采购接受合同及服务的采购人：</w:t>
      </w:r>
      <w:r>
        <w:rPr>
          <w:rFonts w:hint="eastAsia" w:ascii="等线" w:hAnsi="等线" w:eastAsia="等线"/>
          <w:szCs w:val="21"/>
          <w:u w:val="single"/>
        </w:rPr>
        <w:t xml:space="preserve">               </w:t>
      </w:r>
      <w:r>
        <w:rPr>
          <w:rFonts w:hint="eastAsia" w:ascii="等线" w:hAnsi="等线" w:eastAsia="等线"/>
          <w:szCs w:val="21"/>
          <w:lang w:eastAsia="zh-CN"/>
        </w:rPr>
        <w:t>。</w:t>
      </w:r>
    </w:p>
    <w:p>
      <w:pPr>
        <w:numPr>
          <w:ilvl w:val="0"/>
          <w:numId w:val="0"/>
        </w:numPr>
        <w:spacing w:line="360" w:lineRule="auto"/>
        <w:ind w:firstLine="420" w:firstLineChars="200"/>
        <w:jc w:val="left"/>
        <w:textAlignment w:val="baseline"/>
        <w:rPr>
          <w:rFonts w:hint="eastAsia" w:ascii="等线" w:hAnsi="等线" w:eastAsia="等线"/>
          <w:szCs w:val="21"/>
          <w:lang w:eastAsia="zh-CN"/>
        </w:rPr>
      </w:pPr>
      <w:r>
        <w:rPr>
          <w:rFonts w:hint="eastAsia" w:ascii="等线" w:hAnsi="等线" w:eastAsia="等线"/>
          <w:szCs w:val="21"/>
          <w:lang w:val="en-US" w:eastAsia="zh-CN"/>
        </w:rPr>
        <w:t>2、</w:t>
      </w:r>
      <w:r>
        <w:rPr>
          <w:rFonts w:hint="eastAsia" w:ascii="等线" w:hAnsi="等线" w:eastAsia="等线"/>
          <w:szCs w:val="21"/>
        </w:rPr>
        <w:t>“乙方”系指经评审最终确定的中标人：</w:t>
      </w:r>
      <w:r>
        <w:rPr>
          <w:rFonts w:hint="eastAsia" w:ascii="等线" w:hAnsi="等线" w:eastAsia="等线"/>
          <w:szCs w:val="21"/>
          <w:u w:val="single"/>
        </w:rPr>
        <w:t xml:space="preserve">             </w:t>
      </w:r>
      <w:r>
        <w:rPr>
          <w:rFonts w:hint="eastAsia" w:ascii="等线" w:hAnsi="等线" w:eastAsia="等线"/>
          <w:szCs w:val="21"/>
          <w:lang w:eastAsia="zh-CN"/>
        </w:rPr>
        <w:t>。</w:t>
      </w:r>
    </w:p>
    <w:p>
      <w:pPr>
        <w:numPr>
          <w:ilvl w:val="0"/>
          <w:numId w:val="0"/>
        </w:numPr>
        <w:spacing w:line="360" w:lineRule="auto"/>
        <w:ind w:firstLine="420" w:firstLineChars="200"/>
        <w:jc w:val="left"/>
        <w:textAlignment w:val="baseline"/>
        <w:rPr>
          <w:rFonts w:hint="eastAsia" w:ascii="等线" w:hAnsi="等线" w:eastAsia="等线"/>
          <w:szCs w:val="21"/>
          <w:lang w:val="en-US" w:eastAsia="zh-CN"/>
        </w:rPr>
      </w:pPr>
      <w:r>
        <w:rPr>
          <w:rFonts w:hint="eastAsia" w:ascii="等线" w:hAnsi="等线" w:eastAsia="等线"/>
          <w:szCs w:val="21"/>
          <w:lang w:val="en-US" w:eastAsia="zh-CN"/>
        </w:rPr>
        <w:t>3、乙方按照本协议的规定及不“”定期发布的操作规则向用户 (甲方)提供系云产品及云业务服务 (以下简称“本服务”)。</w:t>
      </w:r>
    </w:p>
    <w:p>
      <w:pPr>
        <w:numPr>
          <w:ilvl w:val="0"/>
          <w:numId w:val="0"/>
        </w:numPr>
        <w:spacing w:line="360" w:lineRule="auto"/>
        <w:ind w:firstLine="420" w:firstLineChars="200"/>
        <w:jc w:val="left"/>
        <w:textAlignment w:val="baseline"/>
        <w:rPr>
          <w:rFonts w:hint="default" w:eastAsia="宋体"/>
          <w:lang w:val="en-US" w:eastAsia="zh-CN"/>
        </w:rPr>
      </w:pPr>
      <w:r>
        <w:rPr>
          <w:rFonts w:hint="eastAsia" w:ascii="等线" w:hAnsi="等线" w:eastAsia="等线"/>
          <w:szCs w:val="21"/>
          <w:lang w:val="en-US" w:eastAsia="zh-CN"/>
        </w:rPr>
        <w:t>4、甲方在使用乙方提供的各项服务之前，应仔细阅读本服务协议，双方共同遵守本协议的各项条款。</w:t>
      </w:r>
    </w:p>
    <w:p>
      <w:pPr>
        <w:spacing w:line="360" w:lineRule="auto"/>
        <w:ind w:firstLine="412" w:firstLineChars="196"/>
        <w:textAlignment w:val="baseline"/>
        <w:rPr>
          <w:rFonts w:hint="eastAsia" w:ascii="等线" w:hAnsi="等线" w:eastAsia="等线" w:cs="Calibri"/>
          <w:b/>
          <w:szCs w:val="21"/>
          <w:lang w:val="en-US" w:eastAsia="zh-CN"/>
        </w:rPr>
      </w:pPr>
      <w:r>
        <w:rPr>
          <w:rFonts w:hint="eastAsia" w:ascii="等线" w:hAnsi="等线" w:eastAsia="等线" w:cs="Calibri"/>
          <w:b/>
          <w:szCs w:val="21"/>
          <w:lang w:val="en-US" w:eastAsia="zh-CN"/>
        </w:rPr>
        <w:t>二</w:t>
      </w:r>
      <w:r>
        <w:rPr>
          <w:rFonts w:hint="eastAsia" w:ascii="等线" w:hAnsi="等线" w:eastAsia="等线" w:cs="Calibri"/>
          <w:b/>
          <w:szCs w:val="21"/>
        </w:rPr>
        <w:t>、</w:t>
      </w:r>
      <w:r>
        <w:rPr>
          <w:rFonts w:hint="eastAsia" w:ascii="等线" w:hAnsi="等线" w:eastAsia="等线" w:cs="Calibri"/>
          <w:b/>
          <w:szCs w:val="21"/>
          <w:lang w:val="en-US" w:eastAsia="zh-CN"/>
        </w:rPr>
        <w:t xml:space="preserve">服务内容 </w:t>
      </w:r>
    </w:p>
    <w:p>
      <w:pPr>
        <w:pStyle w:val="4"/>
        <w:spacing w:line="360" w:lineRule="auto"/>
        <w:ind w:firstLine="420" w:firstLineChars="200"/>
        <w:rPr>
          <w:rFonts w:hint="eastAsia" w:ascii="Calibri" w:hAnsi="Calibri" w:eastAsia="等线" w:cs="Calibri"/>
          <w:lang w:val="en-US" w:eastAsia="zh-CN"/>
        </w:rPr>
      </w:pPr>
      <w:r>
        <w:rPr>
          <w:rFonts w:hint="eastAsia" w:ascii="等线" w:hAnsi="等线" w:eastAsia="等线" w:cs="等线"/>
          <w:lang w:val="en-US" w:eastAsia="zh-CN"/>
        </w:rPr>
        <w:t>1、</w:t>
      </w:r>
      <w:r>
        <w:rPr>
          <w:rFonts w:hint="eastAsia" w:ascii="Calibri" w:hAnsi="Calibri" w:eastAsia="等线" w:cs="Calibri"/>
          <w:lang w:val="en-US" w:eastAsia="zh-CN"/>
        </w:rPr>
        <w:t>本服务主要包括基础云服务、计算服务、云平台基础服务、云安全服务、云主机迁移等服务内容。合同项下本服务的具体内容，以使用单位申请，并经甲方确认由乙方实际向其提供的服务为准。</w:t>
      </w:r>
    </w:p>
    <w:p>
      <w:pPr>
        <w:pStyle w:val="4"/>
        <w:spacing w:line="360" w:lineRule="auto"/>
        <w:ind w:firstLine="420" w:firstLineChars="200"/>
        <w:rPr>
          <w:rFonts w:hint="eastAsia" w:ascii="Calibri" w:hAnsi="Calibri" w:eastAsia="等线" w:cs="Calibri"/>
          <w:lang w:val="en-US" w:eastAsia="zh-CN"/>
        </w:rPr>
      </w:pPr>
      <w:r>
        <w:rPr>
          <w:rFonts w:hint="eastAsia" w:ascii="等线" w:hAnsi="等线" w:eastAsia="等线" w:cs="等线"/>
          <w:lang w:val="en-US" w:eastAsia="zh-CN"/>
        </w:rPr>
        <w:t>2、</w:t>
      </w:r>
      <w:r>
        <w:rPr>
          <w:rFonts w:hint="eastAsia" w:ascii="Calibri" w:hAnsi="Calibri" w:eastAsia="等线" w:cs="Calibri"/>
          <w:lang w:val="en-US" w:eastAsia="zh-CN"/>
        </w:rPr>
        <w:t>乙方在政务云平台提供操作系统（如微软、</w:t>
      </w:r>
      <w:r>
        <w:rPr>
          <w:rFonts w:hint="eastAsia" w:ascii="等线" w:hAnsi="等线" w:eastAsia="等线" w:cs="等线"/>
          <w:lang w:val="en-US" w:eastAsia="zh-CN"/>
        </w:rPr>
        <w:t>Linux</w:t>
      </w:r>
      <w:r>
        <w:rPr>
          <w:rFonts w:hint="eastAsia" w:ascii="Calibri" w:hAnsi="Calibri" w:eastAsia="等线" w:cs="Calibri"/>
          <w:lang w:val="en-US" w:eastAsia="zh-CN"/>
        </w:rPr>
        <w:t>等）等软件服务时，乙方保证该软件的提供和使用不违反知识产权相关法律规定的要求。</w:t>
      </w:r>
    </w:p>
    <w:p>
      <w:pPr>
        <w:pStyle w:val="4"/>
        <w:spacing w:line="360" w:lineRule="auto"/>
        <w:ind w:firstLine="420" w:firstLineChars="200"/>
        <w:rPr>
          <w:rFonts w:hint="eastAsia" w:ascii="等线" w:hAnsi="等线" w:eastAsia="等线" w:cs="等线"/>
          <w:lang w:val="en-US" w:eastAsia="zh-CN"/>
        </w:rPr>
      </w:pPr>
      <w:r>
        <w:rPr>
          <w:rFonts w:hint="eastAsia" w:ascii="等线" w:hAnsi="等线" w:eastAsia="等线" w:cs="等线"/>
          <w:lang w:val="en-US" w:eastAsia="zh-CN"/>
        </w:rPr>
        <w:t>3、</w:t>
      </w:r>
      <w:r>
        <w:rPr>
          <w:rFonts w:hint="eastAsia" w:ascii="等线" w:hAnsi="等线" w:eastAsia="等线" w:cs="等线"/>
          <w:highlight w:val="none"/>
          <w:lang w:val="en-US" w:eastAsia="zh-CN"/>
        </w:rPr>
        <w:t>乙方派驻不少于5人专职负责政务云工作，负</w:t>
      </w:r>
      <w:r>
        <w:rPr>
          <w:rFonts w:hint="eastAsia" w:ascii="等线" w:hAnsi="等线" w:eastAsia="等线" w:cs="等线"/>
          <w:lang w:val="en-US" w:eastAsia="zh-CN"/>
        </w:rPr>
        <w:t>责协调处理市本级相关业务；通过浙政钉、微信、现场等多种方式为甲方及相关使用单位提供7天*8小时的服务支持；乙方通过服务电话的方式为甲方及相关使用单位提供7天*24小时技术故障服务。（服务人员资质符合甲方要求，乙方更换人员的必须经甲方同意，且不得因更换人员延误项目期限）</w:t>
      </w:r>
    </w:p>
    <w:p>
      <w:pPr>
        <w:pStyle w:val="4"/>
        <w:spacing w:line="360" w:lineRule="auto"/>
        <w:ind w:firstLine="420" w:firstLineChars="200"/>
        <w:rPr>
          <w:rFonts w:hint="eastAsia" w:ascii="等线" w:hAnsi="等线" w:eastAsia="等线" w:cs="等线"/>
          <w:lang w:val="en-US" w:eastAsia="zh-CN"/>
        </w:rPr>
      </w:pPr>
      <w:r>
        <w:rPr>
          <w:rFonts w:hint="eastAsia" w:ascii="等线" w:hAnsi="等线" w:eastAsia="等线" w:cs="等线"/>
          <w:lang w:val="en-US" w:eastAsia="zh-CN"/>
        </w:rPr>
        <w:t>4、乙方定期（按月）向甲方提供云服务使用量报表、使用效率和政务云平台运维日志（包含各类云服务总体的运维工作日志，云平台、云安全服务的管理、升级与配置记录，做好与IRS系统对接和信息交互以及甲方认为需要掌握的其他信息）。</w:t>
      </w:r>
    </w:p>
    <w:p>
      <w:pPr>
        <w:spacing w:line="360" w:lineRule="auto"/>
        <w:ind w:firstLine="412" w:firstLineChars="196"/>
        <w:rPr>
          <w:rFonts w:ascii="等线" w:hAnsi="等线" w:eastAsia="等线"/>
          <w:szCs w:val="21"/>
        </w:rPr>
      </w:pPr>
      <w:r>
        <w:rPr>
          <w:rFonts w:hint="eastAsia" w:ascii="等线" w:hAnsi="等线" w:eastAsia="等线"/>
          <w:b/>
          <w:szCs w:val="21"/>
        </w:rPr>
        <w:t>三、技术要求</w:t>
      </w:r>
    </w:p>
    <w:p>
      <w:pPr>
        <w:spacing w:line="360" w:lineRule="auto"/>
        <w:ind w:firstLine="420" w:firstLineChars="200"/>
        <w:rPr>
          <w:rFonts w:hint="eastAsia" w:ascii="等线" w:hAnsi="等线" w:eastAsia="等线"/>
          <w:szCs w:val="21"/>
        </w:rPr>
      </w:pPr>
      <w:r>
        <w:rPr>
          <w:rFonts w:hint="eastAsia" w:ascii="等线" w:hAnsi="等线" w:eastAsia="等线"/>
          <w:szCs w:val="21"/>
        </w:rPr>
        <w:t>本</w:t>
      </w:r>
      <w:r>
        <w:rPr>
          <w:rFonts w:hint="eastAsia" w:ascii="等线" w:hAnsi="等线" w:eastAsia="等线"/>
          <w:szCs w:val="21"/>
          <w:lang w:eastAsia="zh-CN"/>
        </w:rPr>
        <w:t>服务</w:t>
      </w:r>
      <w:r>
        <w:rPr>
          <w:rFonts w:hint="eastAsia" w:ascii="等线" w:hAnsi="等线" w:eastAsia="等线"/>
          <w:szCs w:val="21"/>
        </w:rPr>
        <w:t>的技术要求同招标文件项目招标需求相同。</w:t>
      </w:r>
    </w:p>
    <w:p>
      <w:pPr>
        <w:pStyle w:val="4"/>
        <w:spacing w:line="360" w:lineRule="auto"/>
        <w:ind w:firstLine="420" w:firstLineChars="200"/>
        <w:rPr>
          <w:rFonts w:hint="eastAsia" w:ascii="Calibri" w:hAnsi="Calibri" w:eastAsia="等线" w:cs="Calibri"/>
          <w:b/>
          <w:bCs/>
          <w:lang w:val="en-US" w:eastAsia="zh-CN"/>
        </w:rPr>
      </w:pPr>
      <w:r>
        <w:rPr>
          <w:rFonts w:hint="eastAsia" w:ascii="Calibri" w:hAnsi="Calibri" w:eastAsia="等线" w:cs="Calibri"/>
          <w:b/>
          <w:bCs/>
          <w:lang w:val="en-US" w:eastAsia="zh-CN"/>
        </w:rPr>
        <w:t>四、合同金额</w:t>
      </w:r>
    </w:p>
    <w:p>
      <w:pPr>
        <w:pStyle w:val="4"/>
        <w:spacing w:line="360" w:lineRule="auto"/>
        <w:ind w:firstLine="420" w:firstLineChars="200"/>
        <w:rPr>
          <w:rFonts w:hint="eastAsia" w:ascii="等线" w:hAnsi="等线" w:eastAsia="等线" w:cs="等线"/>
          <w:lang w:val="en-US" w:eastAsia="zh-CN"/>
        </w:rPr>
      </w:pPr>
      <w:r>
        <w:rPr>
          <w:rFonts w:hint="eastAsia" w:ascii="等线" w:hAnsi="等线" w:eastAsia="等线" w:cs="等线"/>
          <w:lang w:val="en-US" w:eastAsia="zh-CN"/>
        </w:rPr>
        <w:t>该项目采购最高限价为：¥22320000元，中标金额为：      元。</w:t>
      </w:r>
    </w:p>
    <w:p>
      <w:pPr>
        <w:pStyle w:val="4"/>
        <w:spacing w:line="360" w:lineRule="auto"/>
        <w:ind w:firstLine="420" w:firstLineChars="200"/>
        <w:rPr>
          <w:rFonts w:hint="default"/>
          <w:lang w:val="en-US" w:eastAsia="zh-CN"/>
        </w:rPr>
      </w:pPr>
      <w:r>
        <w:rPr>
          <w:rFonts w:hint="eastAsia" w:ascii="等线" w:hAnsi="等线" w:eastAsia="等线" w:cs="等线"/>
          <w:lang w:val="en-US" w:eastAsia="zh-CN"/>
        </w:rPr>
        <w:t>合同执行期间，如国家税务政策调整，税率按国家新政策执行，不含税合同价格保持不变。</w:t>
      </w:r>
    </w:p>
    <w:p>
      <w:pPr>
        <w:pStyle w:val="4"/>
        <w:spacing w:line="360" w:lineRule="auto"/>
        <w:ind w:firstLine="420" w:firstLineChars="200"/>
        <w:rPr>
          <w:rFonts w:hint="eastAsia" w:ascii="Calibri" w:hAnsi="Calibri" w:eastAsia="等线" w:cs="Calibri"/>
          <w:b/>
          <w:bCs/>
          <w:lang w:val="en-US" w:eastAsia="zh-CN"/>
        </w:rPr>
      </w:pPr>
      <w:r>
        <w:rPr>
          <w:rFonts w:hint="eastAsia" w:ascii="Calibri" w:hAnsi="Calibri" w:eastAsia="等线" w:cs="Calibri"/>
          <w:b/>
          <w:bCs/>
          <w:lang w:val="en-US" w:eastAsia="zh-CN"/>
        </w:rPr>
        <w:t>五、服务期限及费用支付</w:t>
      </w:r>
    </w:p>
    <w:p>
      <w:pPr>
        <w:pStyle w:val="4"/>
        <w:spacing w:line="360" w:lineRule="auto"/>
        <w:ind w:firstLine="420" w:firstLineChars="200"/>
        <w:rPr>
          <w:rFonts w:hint="eastAsia" w:ascii="等线" w:hAnsi="等线" w:eastAsia="等线" w:cs="等线"/>
          <w:highlight w:val="none"/>
          <w:lang w:val="en-US" w:eastAsia="zh-CN"/>
        </w:rPr>
      </w:pPr>
      <w:r>
        <w:rPr>
          <w:rFonts w:hint="eastAsia" w:ascii="等线" w:hAnsi="等线" w:eastAsia="等线" w:cs="等线"/>
          <w:highlight w:val="none"/>
          <w:lang w:val="en-US" w:eastAsia="zh-CN"/>
        </w:rPr>
        <w:t>1、服务期自合同签订后一年内。</w:t>
      </w:r>
    </w:p>
    <w:p>
      <w:pPr>
        <w:pStyle w:val="4"/>
        <w:spacing w:line="360" w:lineRule="auto"/>
        <w:ind w:firstLine="420" w:firstLineChars="200"/>
        <w:rPr>
          <w:rFonts w:hint="default" w:ascii="等线" w:hAnsi="等线" w:eastAsia="等线" w:cs="等线"/>
          <w:highlight w:val="none"/>
          <w:lang w:val="en-US" w:eastAsia="zh-CN"/>
        </w:rPr>
      </w:pPr>
      <w:r>
        <w:rPr>
          <w:rFonts w:hint="eastAsia" w:ascii="等线" w:hAnsi="等线" w:eastAsia="等线" w:cs="等线"/>
          <w:highlight w:val="none"/>
          <w:lang w:val="en-US" w:eastAsia="zh-CN"/>
        </w:rPr>
        <w:t>2、甲方使用本服务，应当按照实际使用的服务项目（产品类型）、数量和约定的单价计算服务费。乙方提供的详细云服务内容和单价（附件）。</w:t>
      </w:r>
    </w:p>
    <w:p>
      <w:pPr>
        <w:pStyle w:val="4"/>
        <w:spacing w:line="360" w:lineRule="auto"/>
        <w:ind w:firstLine="420" w:firstLineChars="200"/>
        <w:rPr>
          <w:rFonts w:hint="eastAsia" w:ascii="等线" w:hAnsi="等线" w:eastAsia="等线" w:cs="等线"/>
          <w:lang w:val="en-US" w:eastAsia="zh-CN"/>
        </w:rPr>
      </w:pPr>
      <w:r>
        <w:rPr>
          <w:rFonts w:hint="eastAsia" w:ascii="等线" w:hAnsi="等线" w:eastAsia="等线" w:cs="等线"/>
          <w:highlight w:val="none"/>
          <w:lang w:val="en-US" w:eastAsia="zh-CN"/>
        </w:rPr>
        <w:t>3、付款方式：合同期内每6个月计算一次服务费，先经</w:t>
      </w:r>
      <w:r>
        <w:rPr>
          <w:rFonts w:hint="eastAsia" w:ascii="等线" w:hAnsi="等线" w:eastAsia="等线" w:cs="等线"/>
          <w:lang w:val="en-US" w:eastAsia="zh-CN"/>
        </w:rPr>
        <w:t>各使用部门确认后，并由甲乙双方核对确认，乙方提供相应发票后于20个工作日内支付当次服务费，如中标人为中小企业，将</w:t>
      </w:r>
      <w:r>
        <w:rPr>
          <w:rFonts w:hint="eastAsia" w:ascii="等线" w:hAnsi="等线" w:eastAsia="等线" w:cs="等线"/>
          <w:kern w:val="2"/>
          <w:sz w:val="21"/>
          <w:szCs w:val="24"/>
          <w:highlight w:val="none"/>
          <w:lang w:val="en-US" w:eastAsia="zh-CN" w:bidi="ar-SA"/>
        </w:rPr>
        <w:t>根据浙财采监〔2022〕3号《浙江省财政厅关于进一步发挥政府采购政策功能全力推动经济稳进提质的通知》的要求，将在合同签订后7个工作日内预付40%的款项于中标人。</w:t>
      </w:r>
    </w:p>
    <w:p>
      <w:pPr>
        <w:pStyle w:val="4"/>
        <w:spacing w:line="360" w:lineRule="auto"/>
        <w:ind w:firstLine="420" w:firstLineChars="200"/>
        <w:rPr>
          <w:rFonts w:hint="eastAsia" w:ascii="等线" w:hAnsi="等线" w:eastAsia="等线" w:cs="等线"/>
          <w:lang w:val="en-US" w:eastAsia="zh-CN"/>
        </w:rPr>
      </w:pPr>
      <w:r>
        <w:rPr>
          <w:rFonts w:hint="eastAsia" w:ascii="等线" w:hAnsi="等线" w:eastAsia="等线" w:cs="等线"/>
          <w:lang w:val="en-US" w:eastAsia="zh-CN"/>
        </w:rPr>
        <w:t>4、甲方如对应支付费用有异议且经双方确认核对确有错误的，乙方应予以调整。</w:t>
      </w:r>
    </w:p>
    <w:p>
      <w:pPr>
        <w:pStyle w:val="4"/>
        <w:spacing w:line="360" w:lineRule="auto"/>
        <w:ind w:firstLine="420" w:firstLineChars="200"/>
        <w:rPr>
          <w:rFonts w:hint="default" w:ascii="Calibri" w:hAnsi="Calibri" w:eastAsia="等线" w:cs="Calibri"/>
          <w:b/>
          <w:bCs/>
          <w:lang w:val="en" w:eastAsia="zh-CN"/>
        </w:rPr>
      </w:pPr>
      <w:r>
        <w:rPr>
          <w:rFonts w:hint="eastAsia" w:ascii="Calibri" w:hAnsi="Calibri" w:eastAsia="等线" w:cs="Calibri"/>
          <w:b/>
          <w:bCs/>
          <w:lang w:val="en-US" w:eastAsia="zh-CN"/>
        </w:rPr>
        <w:t>六、</w:t>
      </w:r>
      <w:r>
        <w:rPr>
          <w:rFonts w:hint="default" w:ascii="Calibri" w:hAnsi="Calibri" w:eastAsia="等线" w:cs="Calibri"/>
          <w:b/>
          <w:bCs/>
          <w:lang w:val="en" w:eastAsia="zh-CN"/>
        </w:rPr>
        <w:t>税费</w:t>
      </w:r>
    </w:p>
    <w:p>
      <w:pPr>
        <w:pStyle w:val="4"/>
        <w:spacing w:line="360" w:lineRule="auto"/>
        <w:ind w:firstLine="420" w:firstLineChars="200"/>
        <w:rPr>
          <w:rFonts w:hint="default" w:ascii="等线" w:hAnsi="等线" w:eastAsia="等线" w:cs="等线"/>
          <w:lang w:val="en-US" w:eastAsia="zh-CN"/>
        </w:rPr>
      </w:pPr>
      <w:r>
        <w:rPr>
          <w:rFonts w:hint="eastAsia" w:ascii="等线" w:hAnsi="等线" w:eastAsia="等线" w:cs="等线"/>
          <w:lang w:val="en-US" w:eastAsia="zh-CN"/>
        </w:rPr>
        <w:t>1、本合同一切税费均由乙方承担。</w:t>
      </w:r>
    </w:p>
    <w:p>
      <w:pPr>
        <w:pStyle w:val="4"/>
        <w:spacing w:line="360" w:lineRule="auto"/>
        <w:ind w:firstLine="420" w:firstLineChars="200"/>
        <w:rPr>
          <w:rFonts w:hint="eastAsia" w:ascii="Calibri" w:hAnsi="Calibri" w:eastAsia="等线" w:cs="Calibri"/>
          <w:b/>
          <w:bCs/>
          <w:lang w:val="en-US" w:eastAsia="zh-CN"/>
        </w:rPr>
      </w:pPr>
      <w:r>
        <w:rPr>
          <w:rFonts w:hint="eastAsia" w:ascii="Calibri" w:hAnsi="Calibri" w:eastAsia="等线" w:cs="Calibri"/>
          <w:b/>
          <w:bCs/>
          <w:lang w:val="en-US" w:eastAsia="zh-CN"/>
        </w:rPr>
        <w:t>七、</w:t>
      </w:r>
      <w:r>
        <w:rPr>
          <w:rFonts w:hint="default" w:ascii="Calibri" w:hAnsi="Calibri" w:eastAsia="等线" w:cs="Calibri"/>
          <w:b/>
          <w:bCs/>
          <w:lang w:val="en" w:eastAsia="zh-CN"/>
        </w:rPr>
        <w:t>网络和</w:t>
      </w:r>
      <w:r>
        <w:rPr>
          <w:rFonts w:hint="eastAsia" w:ascii="Calibri" w:hAnsi="Calibri" w:eastAsia="等线" w:cs="Calibri"/>
          <w:b/>
          <w:bCs/>
          <w:lang w:val="en-US" w:eastAsia="zh-CN"/>
        </w:rPr>
        <w:t>数据安全保密</w:t>
      </w:r>
    </w:p>
    <w:p>
      <w:pPr>
        <w:pStyle w:val="4"/>
        <w:spacing w:line="360" w:lineRule="auto"/>
        <w:ind w:firstLine="420" w:firstLineChars="200"/>
        <w:rPr>
          <w:rFonts w:hint="eastAsia"/>
          <w:lang w:val="en-US" w:eastAsia="zh-CN"/>
        </w:rPr>
      </w:pPr>
      <w:r>
        <w:rPr>
          <w:rFonts w:hint="default" w:ascii="等线" w:hAnsi="等线" w:eastAsia="等线" w:cs="Calibri"/>
          <w:kern w:val="2"/>
          <w:sz w:val="21"/>
          <w:szCs w:val="21"/>
          <w:lang w:val="en" w:eastAsia="zh-CN" w:bidi="ar-SA"/>
        </w:rPr>
        <w:t>1</w:t>
      </w:r>
      <w:r>
        <w:rPr>
          <w:rFonts w:hint="eastAsia" w:ascii="等线" w:hAnsi="等线" w:eastAsia="等线" w:cs="Calibri"/>
          <w:kern w:val="2"/>
          <w:sz w:val="21"/>
          <w:szCs w:val="21"/>
          <w:lang w:val="en-US" w:eastAsia="zh-CN" w:bidi="ar-SA"/>
        </w:rPr>
        <w:t>、乙方</w:t>
      </w:r>
      <w:r>
        <w:rPr>
          <w:rFonts w:hint="default" w:ascii="等线" w:hAnsi="等线" w:eastAsia="等线" w:cs="Calibri"/>
          <w:kern w:val="2"/>
          <w:sz w:val="21"/>
          <w:szCs w:val="21"/>
          <w:lang w:val="en" w:eastAsia="zh-CN" w:bidi="ar-SA"/>
        </w:rPr>
        <w:t>需在提供服务期间确保网络安全</w:t>
      </w:r>
      <w:r>
        <w:rPr>
          <w:rFonts w:hint="eastAsia" w:ascii="等线" w:hAnsi="等线" w:eastAsia="等线" w:cs="Calibri"/>
          <w:kern w:val="2"/>
          <w:sz w:val="21"/>
          <w:szCs w:val="21"/>
          <w:lang w:val="en-US" w:eastAsia="zh-CN" w:bidi="ar-SA"/>
        </w:rPr>
        <w:t>。</w:t>
      </w:r>
    </w:p>
    <w:p>
      <w:pPr>
        <w:pStyle w:val="4"/>
        <w:spacing w:line="360" w:lineRule="auto"/>
        <w:ind w:firstLine="420" w:firstLineChars="200"/>
        <w:rPr>
          <w:rFonts w:hint="default" w:ascii="等线" w:hAnsi="等线" w:eastAsia="等线" w:cs="等线"/>
          <w:lang w:val="en-US" w:eastAsia="zh-CN"/>
        </w:rPr>
      </w:pPr>
      <w:r>
        <w:rPr>
          <w:rFonts w:hint="default" w:ascii="等线" w:hAnsi="等线" w:eastAsia="等线" w:cs="等线"/>
          <w:lang w:val="en" w:eastAsia="zh-CN"/>
        </w:rPr>
        <w:t>2</w:t>
      </w:r>
      <w:r>
        <w:rPr>
          <w:rFonts w:hint="eastAsia" w:ascii="等线" w:hAnsi="等线" w:eastAsia="等线" w:cs="等线"/>
          <w:lang w:val="en-US" w:eastAsia="zh-CN"/>
        </w:rPr>
        <w:t>、保密信息：乙方在本项目实施、运维中以任何方式和渠道所接触到的相关数据和资料，包括但不限于：文件、数据、源代码、图表、技术文档、管理办法、指标体系、数据采集目录、预警规则、运维记录。</w:t>
      </w:r>
    </w:p>
    <w:p>
      <w:pPr>
        <w:pStyle w:val="4"/>
        <w:spacing w:line="360" w:lineRule="auto"/>
        <w:ind w:firstLine="420" w:firstLineChars="200"/>
        <w:rPr>
          <w:rFonts w:hint="default" w:ascii="等线" w:hAnsi="等线" w:eastAsia="等线" w:cs="等线"/>
          <w:lang w:val="en-US" w:eastAsia="zh-CN"/>
        </w:rPr>
      </w:pPr>
      <w:r>
        <w:rPr>
          <w:rFonts w:hint="default" w:ascii="等线" w:hAnsi="等线" w:eastAsia="等线" w:cs="等线"/>
          <w:lang w:val="en" w:eastAsia="zh-CN"/>
        </w:rPr>
        <w:t>3</w:t>
      </w:r>
      <w:r>
        <w:rPr>
          <w:rFonts w:hint="eastAsia" w:ascii="等线" w:hAnsi="等线" w:eastAsia="等线" w:cs="等线"/>
          <w:lang w:val="en-US" w:eastAsia="zh-CN"/>
        </w:rPr>
        <w:t xml:space="preserve">、乙方以直接、间接、书面或口头等形式向任何第三方提供涉及保密信息的行为，以及由工作人员透露给任何第三方均属涉密。 </w:t>
      </w:r>
    </w:p>
    <w:p>
      <w:pPr>
        <w:pStyle w:val="4"/>
        <w:spacing w:line="360" w:lineRule="auto"/>
        <w:ind w:firstLine="420" w:firstLineChars="200"/>
        <w:rPr>
          <w:rFonts w:hint="eastAsia" w:ascii="等线" w:hAnsi="等线" w:eastAsia="等线" w:cs="等线"/>
          <w:lang w:val="en-US" w:eastAsia="zh-CN"/>
        </w:rPr>
      </w:pPr>
      <w:r>
        <w:rPr>
          <w:rFonts w:hint="default" w:ascii="等线" w:hAnsi="等线" w:eastAsia="等线" w:cs="等线"/>
          <w:lang w:val="en" w:eastAsia="zh-CN"/>
        </w:rPr>
        <w:t>4</w:t>
      </w:r>
      <w:r>
        <w:rPr>
          <w:rFonts w:hint="eastAsia" w:ascii="等线" w:hAnsi="等线" w:eastAsia="等线" w:cs="等线"/>
          <w:lang w:val="en-US" w:eastAsia="zh-CN"/>
        </w:rPr>
        <w:t>、 乙方应严格保守甲方的保密信息，承担对有关人员进行保密教育、管理的责任，严格控制知悉保密信息的人员范围，不得以任何手段、形式利用该数据资料谋取私利，损害甲方利益。</w:t>
      </w:r>
    </w:p>
    <w:p>
      <w:pPr>
        <w:pStyle w:val="4"/>
        <w:spacing w:line="360" w:lineRule="auto"/>
        <w:ind w:firstLine="420" w:firstLineChars="200"/>
        <w:rPr>
          <w:rFonts w:hint="default" w:ascii="等线" w:hAnsi="等线" w:eastAsia="等线" w:cs="Calibri"/>
          <w:kern w:val="2"/>
          <w:sz w:val="21"/>
          <w:szCs w:val="21"/>
          <w:lang w:val="en-US" w:eastAsia="zh-CN" w:bidi="ar-SA"/>
        </w:rPr>
      </w:pPr>
      <w:r>
        <w:rPr>
          <w:rFonts w:hint="default" w:ascii="等线" w:hAnsi="等线" w:eastAsia="等线" w:cs="等线"/>
          <w:lang w:val="en" w:eastAsia="zh-CN"/>
        </w:rPr>
        <w:t>5</w:t>
      </w:r>
      <w:r>
        <w:rPr>
          <w:rFonts w:hint="eastAsia" w:ascii="等线" w:hAnsi="等线" w:eastAsia="等线" w:cs="等线"/>
          <w:lang w:val="en-US" w:eastAsia="zh-CN"/>
        </w:rPr>
        <w:t>、乙方不得以任何名义、形式向不承担保密义务的乙方人员或任何第三方泄密、展示甲方的保密信息，不得许可任何第三方使用甲方的保密信息，也不得在本项目之外使用甲方的保密信息，乙方不得对甲方数据、信息进行截留、复制、传播，不得擅自使用侵犯他人的合法权益的</w:t>
      </w:r>
      <w:r>
        <w:rPr>
          <w:rFonts w:hint="eastAsia" w:ascii="等线" w:hAnsi="等线" w:eastAsia="等线" w:cs="Calibri"/>
          <w:kern w:val="2"/>
          <w:sz w:val="21"/>
          <w:szCs w:val="21"/>
          <w:lang w:val="en-US" w:eastAsia="zh-CN" w:bidi="ar-SA"/>
        </w:rPr>
        <w:t>保密信息或其他智力成果。</w:t>
      </w:r>
    </w:p>
    <w:p>
      <w:pPr>
        <w:pStyle w:val="4"/>
        <w:spacing w:line="360" w:lineRule="auto"/>
        <w:ind w:firstLine="420" w:firstLineChars="200"/>
        <w:rPr>
          <w:rFonts w:hint="eastAsia" w:ascii="等线" w:hAnsi="等线" w:eastAsia="等线" w:cs="Calibri"/>
          <w:kern w:val="2"/>
          <w:sz w:val="21"/>
          <w:szCs w:val="21"/>
          <w:lang w:val="en-US" w:eastAsia="zh-CN" w:bidi="ar-SA"/>
        </w:rPr>
      </w:pPr>
      <w:r>
        <w:rPr>
          <w:rFonts w:hint="default" w:ascii="等线" w:hAnsi="等线" w:eastAsia="等线" w:cs="Calibri"/>
          <w:kern w:val="2"/>
          <w:sz w:val="21"/>
          <w:szCs w:val="21"/>
          <w:lang w:val="en" w:eastAsia="zh-CN" w:bidi="ar-SA"/>
        </w:rPr>
        <w:t>6</w:t>
      </w:r>
      <w:r>
        <w:rPr>
          <w:rFonts w:hint="eastAsia" w:ascii="等线" w:hAnsi="等线" w:eastAsia="等线" w:cs="Calibri"/>
          <w:kern w:val="2"/>
          <w:sz w:val="21"/>
          <w:szCs w:val="21"/>
          <w:lang w:val="en-US" w:eastAsia="zh-CN" w:bidi="ar-SA"/>
        </w:rPr>
        <w:t>、乙方的保密义务不因甲乙双方合作的终止而免除，乙方应履行保密义务直到甲方的保密信息已合法成为公开的信息为止。</w:t>
      </w:r>
    </w:p>
    <w:p>
      <w:pPr>
        <w:rPr>
          <w:rFonts w:hint="eastAsia"/>
          <w:lang w:val="en-US" w:eastAsia="zh-CN"/>
        </w:rPr>
      </w:pPr>
    </w:p>
    <w:p>
      <w:pPr>
        <w:spacing w:line="360" w:lineRule="auto"/>
        <w:ind w:firstLine="359" w:firstLineChars="171"/>
        <w:rPr>
          <w:rFonts w:ascii="等线" w:hAnsi="等线" w:eastAsia="等线"/>
          <w:szCs w:val="21"/>
        </w:rPr>
      </w:pPr>
      <w:r>
        <w:rPr>
          <w:rFonts w:hint="eastAsia" w:ascii="等线" w:hAnsi="等线" w:eastAsia="等线"/>
          <w:b/>
          <w:szCs w:val="21"/>
          <w:lang w:eastAsia="zh-CN"/>
        </w:rPr>
        <w:t>八</w:t>
      </w:r>
      <w:r>
        <w:rPr>
          <w:rFonts w:hint="eastAsia" w:ascii="等线" w:hAnsi="等线" w:eastAsia="等线"/>
          <w:b/>
          <w:szCs w:val="21"/>
        </w:rPr>
        <w:t>、</w:t>
      </w:r>
      <w:r>
        <w:rPr>
          <w:rFonts w:hint="eastAsia" w:ascii="等线" w:hAnsi="等线" w:eastAsia="等线"/>
          <w:b/>
          <w:szCs w:val="21"/>
          <w:lang w:eastAsia="zh-CN"/>
        </w:rPr>
        <w:t>知识产权</w:t>
      </w:r>
      <w:r>
        <w:rPr>
          <w:rFonts w:hint="eastAsia" w:ascii="等线" w:hAnsi="等线" w:eastAsia="等线"/>
          <w:b/>
          <w:szCs w:val="21"/>
        </w:rPr>
        <w:t>：</w:t>
      </w:r>
    </w:p>
    <w:p>
      <w:pPr>
        <w:spacing w:line="360" w:lineRule="auto"/>
        <w:ind w:firstLine="420" w:firstLineChars="200"/>
        <w:rPr>
          <w:rFonts w:hint="eastAsia" w:ascii="等线" w:hAnsi="等线" w:eastAsia="等线" w:cs="Calibri"/>
          <w:kern w:val="2"/>
          <w:sz w:val="21"/>
          <w:szCs w:val="21"/>
          <w:lang w:val="en-US" w:eastAsia="zh-CN" w:bidi="ar-SA"/>
        </w:rPr>
      </w:pPr>
      <w:r>
        <w:rPr>
          <w:rFonts w:hint="eastAsia" w:ascii="等线" w:hAnsi="等线" w:eastAsia="等线"/>
          <w:szCs w:val="21"/>
        </w:rPr>
        <w:t>1、乙方</w:t>
      </w:r>
      <w:r>
        <w:rPr>
          <w:rFonts w:hint="eastAsia" w:ascii="等线" w:hAnsi="等线" w:eastAsia="等线"/>
          <w:szCs w:val="21"/>
          <w:lang w:eastAsia="zh-CN"/>
        </w:rPr>
        <w:t>保证所提供的云服务涉及的软件产品均为正版或合法授权且不侵犯任何第三方的知识</w:t>
      </w:r>
      <w:r>
        <w:rPr>
          <w:rFonts w:hint="eastAsia" w:ascii="等线" w:hAnsi="等线" w:eastAsia="等线" w:cs="Calibri"/>
          <w:kern w:val="2"/>
          <w:sz w:val="21"/>
          <w:szCs w:val="21"/>
          <w:lang w:val="en-US" w:eastAsia="zh-CN" w:bidi="ar-SA"/>
        </w:rPr>
        <w:t>产权。</w:t>
      </w:r>
    </w:p>
    <w:p>
      <w:pPr>
        <w:pStyle w:val="4"/>
        <w:spacing w:line="360" w:lineRule="auto"/>
        <w:rPr>
          <w:rFonts w:hint="eastAsia" w:ascii="等线" w:hAnsi="等线" w:eastAsia="等线" w:cs="Calibri"/>
          <w:kern w:val="2"/>
          <w:sz w:val="21"/>
          <w:szCs w:val="21"/>
          <w:lang w:val="en-US" w:eastAsia="zh-CN" w:bidi="ar-SA"/>
        </w:rPr>
      </w:pPr>
      <w:r>
        <w:rPr>
          <w:rFonts w:hint="eastAsia" w:ascii="等线" w:hAnsi="等线" w:eastAsia="等线" w:cs="Calibri"/>
          <w:kern w:val="2"/>
          <w:sz w:val="21"/>
          <w:szCs w:val="21"/>
          <w:lang w:val="en-US" w:eastAsia="zh-CN" w:bidi="ar-SA"/>
        </w:rPr>
        <w:t xml:space="preserve">  2、如本合同项下服务、软件或其任何部分被依法认定为侵犯第三人的合法权益，乙方负责消除影响和承担由此产生的责任，如无法取得相关授权的，在得到甲方认可后，用相同功能且非侵权的服务、软件进行替换，以使甲方能够继续享有本合同所规定的各项权利。</w:t>
      </w:r>
    </w:p>
    <w:p>
      <w:pPr>
        <w:tabs>
          <w:tab w:val="left" w:pos="207"/>
        </w:tabs>
        <w:spacing w:line="360" w:lineRule="auto"/>
        <w:ind w:firstLine="359" w:firstLineChars="171"/>
        <w:rPr>
          <w:rFonts w:hint="eastAsia" w:ascii="等线" w:hAnsi="等线" w:eastAsia="等线" w:cs="Calibri"/>
          <w:kern w:val="2"/>
          <w:sz w:val="21"/>
          <w:szCs w:val="21"/>
          <w:lang w:val="en-US" w:eastAsia="zh-CN" w:bidi="ar-SA"/>
        </w:rPr>
      </w:pPr>
      <w:r>
        <w:rPr>
          <w:rFonts w:hint="eastAsia" w:ascii="等线" w:hAnsi="等线" w:eastAsia="等线" w:cs="Calibri"/>
          <w:kern w:val="2"/>
          <w:sz w:val="21"/>
          <w:szCs w:val="21"/>
          <w:lang w:val="en-US" w:eastAsia="zh-CN" w:bidi="ar-SA"/>
        </w:rPr>
        <w:tab/>
      </w:r>
      <w:r>
        <w:rPr>
          <w:rFonts w:hint="eastAsia" w:ascii="等线" w:hAnsi="等线" w:eastAsia="等线" w:cs="Calibri"/>
          <w:kern w:val="2"/>
          <w:sz w:val="21"/>
          <w:szCs w:val="21"/>
          <w:lang w:val="en-US" w:eastAsia="zh-CN" w:bidi="ar-SA"/>
        </w:rPr>
        <w:t xml:space="preserve"> 3、由使用单位安装并使用的软件，其软件版权、许可、使用权由使用单位自行解决。</w:t>
      </w:r>
    </w:p>
    <w:p>
      <w:pPr>
        <w:tabs>
          <w:tab w:val="left" w:pos="207"/>
        </w:tabs>
        <w:spacing w:line="360" w:lineRule="auto"/>
        <w:ind w:firstLine="359" w:firstLineChars="171"/>
        <w:rPr>
          <w:rFonts w:hint="default" w:ascii="等线" w:hAnsi="等线" w:eastAsia="等线" w:cs="Calibri"/>
          <w:kern w:val="2"/>
          <w:sz w:val="21"/>
          <w:szCs w:val="21"/>
          <w:lang w:val="en-US" w:eastAsia="zh-CN" w:bidi="ar-SA"/>
        </w:rPr>
      </w:pPr>
      <w:r>
        <w:rPr>
          <w:rFonts w:hint="eastAsia" w:ascii="等线" w:hAnsi="等线" w:eastAsia="等线" w:cs="Calibri"/>
          <w:kern w:val="2"/>
          <w:sz w:val="21"/>
          <w:szCs w:val="21"/>
          <w:lang w:val="en-US" w:eastAsia="zh-CN" w:bidi="ar-SA"/>
        </w:rPr>
        <w:t>九、</w:t>
      </w:r>
      <w:r>
        <w:rPr>
          <w:rFonts w:hint="default" w:ascii="等线" w:hAnsi="等线" w:eastAsia="等线" w:cs="Calibri"/>
          <w:kern w:val="2"/>
          <w:sz w:val="21"/>
          <w:szCs w:val="21"/>
          <w:lang w:val="en-US" w:eastAsia="zh-CN" w:bidi="ar-SA"/>
        </w:rPr>
        <w:t>甲</w:t>
      </w:r>
      <w:r>
        <w:rPr>
          <w:rFonts w:hint="eastAsia" w:ascii="等线" w:hAnsi="等线" w:eastAsia="等线" w:cs="Calibri"/>
          <w:kern w:val="2"/>
          <w:sz w:val="21"/>
          <w:szCs w:val="21"/>
          <w:lang w:val="en-US" w:eastAsia="zh-CN" w:bidi="ar-SA"/>
        </w:rPr>
        <w:t>、乙双</w:t>
      </w:r>
      <w:r>
        <w:rPr>
          <w:rFonts w:hint="default" w:ascii="等线" w:hAnsi="等线" w:eastAsia="等线" w:cs="Calibri"/>
          <w:kern w:val="2"/>
          <w:sz w:val="21"/>
          <w:szCs w:val="21"/>
          <w:lang w:val="en-US" w:eastAsia="zh-CN" w:bidi="ar-SA"/>
        </w:rPr>
        <w:t>方的权利和义务</w:t>
      </w:r>
    </w:p>
    <w:p>
      <w:pPr>
        <w:spacing w:line="360" w:lineRule="auto"/>
        <w:ind w:firstLine="359" w:firstLineChars="171"/>
        <w:rPr>
          <w:rFonts w:hint="eastAsia" w:ascii="等线" w:hAnsi="等线" w:eastAsia="等线" w:cs="Calibri"/>
          <w:kern w:val="2"/>
          <w:sz w:val="21"/>
          <w:szCs w:val="21"/>
          <w:lang w:val="en-US" w:eastAsia="zh-CN" w:bidi="ar-SA"/>
        </w:rPr>
      </w:pPr>
      <w:r>
        <w:rPr>
          <w:rFonts w:hint="eastAsia" w:ascii="等线" w:hAnsi="等线" w:eastAsia="等线" w:cs="Calibri"/>
          <w:kern w:val="2"/>
          <w:sz w:val="21"/>
          <w:szCs w:val="21"/>
          <w:lang w:val="en-US" w:eastAsia="zh-CN" w:bidi="ar-SA"/>
        </w:rPr>
        <w:t>1、甲方使用本协议项下云业务服务的，必须遵守《中华人民共和国电信条例》、《中华人民共和国计算机信息网络国际联网管理暂行规定》和其他有关法律、法规的相关规定，不得存在任何违法违规行为，不得侵犯乙方以及任何第三方的合法权益。</w:t>
      </w:r>
    </w:p>
    <w:p>
      <w:pPr>
        <w:spacing w:line="360" w:lineRule="auto"/>
        <w:ind w:firstLine="359" w:firstLineChars="171"/>
        <w:rPr>
          <w:rFonts w:hint="eastAsia" w:ascii="等线" w:hAnsi="等线" w:eastAsia="等线" w:cs="Calibri"/>
          <w:kern w:val="2"/>
          <w:sz w:val="21"/>
          <w:szCs w:val="21"/>
          <w:lang w:val="en-US" w:eastAsia="zh-CN" w:bidi="ar-SA"/>
        </w:rPr>
      </w:pPr>
      <w:r>
        <w:rPr>
          <w:rFonts w:hint="eastAsia" w:ascii="等线" w:hAnsi="等线" w:eastAsia="等线" w:cs="Calibri"/>
          <w:kern w:val="2"/>
          <w:sz w:val="21"/>
          <w:szCs w:val="21"/>
          <w:lang w:val="en-US" w:eastAsia="zh-CN" w:bidi="ar-SA"/>
        </w:rPr>
        <w:t>2、除遵从本协议其他条款及附件要求外，甲方使用本服务所发布、传输或存储的信息内容不得存在以下任一情形，且不得为他人发布、传输或存储该类信息内容提供任何便利（包括但不限于设置URL、链接等）：</w:t>
      </w:r>
    </w:p>
    <w:p>
      <w:pPr>
        <w:spacing w:line="360" w:lineRule="auto"/>
        <w:ind w:firstLine="359" w:firstLineChars="171"/>
        <w:rPr>
          <w:rFonts w:hint="eastAsia" w:ascii="等线" w:hAnsi="等线" w:eastAsia="等线" w:cs="Calibri"/>
          <w:kern w:val="2"/>
          <w:sz w:val="21"/>
          <w:szCs w:val="21"/>
          <w:lang w:val="en-US" w:eastAsia="zh-CN" w:bidi="ar-SA"/>
        </w:rPr>
      </w:pPr>
      <w:r>
        <w:rPr>
          <w:rFonts w:hint="eastAsia" w:ascii="等线" w:hAnsi="等线" w:eastAsia="等线" w:cs="Calibri"/>
          <w:kern w:val="2"/>
          <w:sz w:val="21"/>
          <w:szCs w:val="21"/>
          <w:lang w:val="en-US" w:eastAsia="zh-CN" w:bidi="ar-SA"/>
        </w:rPr>
        <w:t>（1）违反国家规定的政治宜传和/或新闻信息；涉及国家秘密和/或安全的信息。</w:t>
      </w:r>
    </w:p>
    <w:p>
      <w:pPr>
        <w:spacing w:line="360" w:lineRule="auto"/>
        <w:ind w:firstLine="359" w:firstLineChars="171"/>
        <w:rPr>
          <w:rFonts w:hint="eastAsia" w:ascii="等线" w:hAnsi="等线" w:eastAsia="等线" w:cs="Calibri"/>
          <w:kern w:val="2"/>
          <w:sz w:val="21"/>
          <w:szCs w:val="21"/>
          <w:lang w:val="en-US" w:eastAsia="zh-CN" w:bidi="ar-SA"/>
        </w:rPr>
      </w:pPr>
      <w:r>
        <w:rPr>
          <w:rFonts w:hint="eastAsia" w:ascii="等线" w:hAnsi="等线" w:eastAsia="等线" w:cs="Calibri"/>
          <w:kern w:val="2"/>
          <w:sz w:val="21"/>
          <w:szCs w:val="21"/>
          <w:lang w:val="en-US" w:eastAsia="zh-CN" w:bidi="ar-SA"/>
        </w:rPr>
        <w:t>（2）涉及封建迷倌、淫秽色情、赌博、暴力、恐怖的信息内容和教唆犯罪的内容。</w:t>
      </w:r>
    </w:p>
    <w:p>
      <w:pPr>
        <w:spacing w:line="360" w:lineRule="auto"/>
        <w:ind w:firstLine="359" w:firstLineChars="171"/>
        <w:rPr>
          <w:rFonts w:hint="eastAsia" w:ascii="等线" w:hAnsi="等线" w:eastAsia="等线" w:cs="Calibri"/>
          <w:kern w:val="2"/>
          <w:sz w:val="21"/>
          <w:szCs w:val="21"/>
          <w:lang w:val="en-US" w:eastAsia="zh-CN" w:bidi="ar-SA"/>
        </w:rPr>
      </w:pPr>
      <w:r>
        <w:rPr>
          <w:rFonts w:hint="eastAsia" w:ascii="等线" w:hAnsi="等线" w:eastAsia="等线" w:cs="Calibri"/>
          <w:kern w:val="2"/>
          <w:sz w:val="21"/>
          <w:szCs w:val="21"/>
          <w:lang w:val="en-US" w:eastAsia="zh-CN" w:bidi="ar-SA"/>
        </w:rPr>
        <w:t>（3）违反国家民族政策和宗教政策的信息内容。</w:t>
      </w:r>
    </w:p>
    <w:p>
      <w:pPr>
        <w:spacing w:line="360" w:lineRule="auto"/>
        <w:ind w:firstLine="359" w:firstLineChars="171"/>
        <w:rPr>
          <w:rFonts w:hint="eastAsia" w:ascii="等线" w:hAnsi="等线" w:eastAsia="等线" w:cs="Calibri"/>
          <w:kern w:val="2"/>
          <w:sz w:val="21"/>
          <w:szCs w:val="21"/>
          <w:lang w:val="en-US" w:eastAsia="zh-CN" w:bidi="ar-SA"/>
        </w:rPr>
      </w:pPr>
      <w:r>
        <w:rPr>
          <w:rFonts w:hint="eastAsia" w:ascii="等线" w:hAnsi="等线" w:eastAsia="等线" w:cs="Calibri"/>
          <w:kern w:val="2"/>
          <w:sz w:val="21"/>
          <w:szCs w:val="21"/>
          <w:lang w:val="en-US" w:eastAsia="zh-CN" w:bidi="ar-SA"/>
        </w:rPr>
        <w:t>（4）博彩有奖、赌博游戏、“私服”、“外挂”等非法互联网出版活动。</w:t>
      </w:r>
    </w:p>
    <w:p>
      <w:pPr>
        <w:spacing w:line="360" w:lineRule="auto"/>
        <w:ind w:firstLine="359" w:firstLineChars="171"/>
        <w:rPr>
          <w:rFonts w:hint="eastAsia" w:ascii="等线" w:hAnsi="等线" w:eastAsia="等线" w:cs="Calibri"/>
          <w:kern w:val="2"/>
          <w:sz w:val="21"/>
          <w:szCs w:val="21"/>
          <w:lang w:val="en-US" w:eastAsia="zh-CN" w:bidi="ar-SA"/>
        </w:rPr>
      </w:pPr>
      <w:r>
        <w:rPr>
          <w:rFonts w:hint="eastAsia" w:ascii="等线" w:hAnsi="等线" w:eastAsia="等线" w:cs="Calibri"/>
          <w:kern w:val="2"/>
          <w:sz w:val="21"/>
          <w:szCs w:val="21"/>
          <w:lang w:val="en-US" w:eastAsia="zh-CN" w:bidi="ar-SA"/>
        </w:rPr>
        <w:t>（5）)侮辱或者诽谤他人，侵害他人所有权或知识产权等合法权益。</w:t>
      </w:r>
    </w:p>
    <w:p>
      <w:pPr>
        <w:spacing w:line="360" w:lineRule="auto"/>
        <w:ind w:firstLine="359" w:firstLineChars="171"/>
        <w:rPr>
          <w:rFonts w:hint="eastAsia" w:ascii="等线" w:hAnsi="等线" w:eastAsia="等线" w:cs="Calibri"/>
          <w:kern w:val="2"/>
          <w:sz w:val="21"/>
          <w:szCs w:val="21"/>
          <w:lang w:val="en-US" w:eastAsia="zh-CN" w:bidi="ar-SA"/>
        </w:rPr>
      </w:pPr>
      <w:r>
        <w:rPr>
          <w:rFonts w:hint="eastAsia" w:ascii="等线" w:hAnsi="等线" w:eastAsia="等线" w:cs="Calibri"/>
          <w:kern w:val="2"/>
          <w:sz w:val="21"/>
          <w:szCs w:val="21"/>
          <w:lang w:val="en-US" w:eastAsia="zh-CN" w:bidi="ar-SA"/>
        </w:rPr>
        <w:t>（6）其它有损于社会秩序、社会治安、社会公共道德，违反法律法规强制性规定，或侵害他人合法权益的信息内容。</w:t>
      </w:r>
    </w:p>
    <w:p>
      <w:pPr>
        <w:spacing w:line="360" w:lineRule="auto"/>
        <w:ind w:firstLine="359" w:firstLineChars="171"/>
        <w:rPr>
          <w:rFonts w:hint="eastAsia" w:ascii="等线" w:hAnsi="等线" w:eastAsia="等线" w:cs="Calibri"/>
          <w:kern w:val="2"/>
          <w:sz w:val="21"/>
          <w:szCs w:val="21"/>
          <w:lang w:val="en-US" w:eastAsia="zh-CN" w:bidi="ar-SA"/>
        </w:rPr>
      </w:pPr>
      <w:r>
        <w:rPr>
          <w:rFonts w:hint="eastAsia" w:ascii="等线" w:hAnsi="等线" w:eastAsia="等线" w:cs="Calibri"/>
          <w:kern w:val="2"/>
          <w:sz w:val="21"/>
          <w:szCs w:val="21"/>
          <w:lang w:val="en-US" w:eastAsia="zh-CN" w:bidi="ar-SA"/>
        </w:rPr>
        <w:t>3、甲方不得有任何危害或可能危害政务云业务服务相关平台及网络安全和信息安全的行为，包括但不限于：</w:t>
      </w:r>
    </w:p>
    <w:p>
      <w:pPr>
        <w:spacing w:line="360" w:lineRule="auto"/>
        <w:ind w:firstLine="359" w:firstLineChars="171"/>
        <w:rPr>
          <w:rFonts w:hint="eastAsia" w:ascii="等线" w:hAnsi="等线" w:eastAsia="等线" w:cs="Calibri"/>
          <w:kern w:val="2"/>
          <w:sz w:val="21"/>
          <w:szCs w:val="21"/>
          <w:lang w:val="en-US" w:eastAsia="zh-CN" w:bidi="ar-SA"/>
        </w:rPr>
      </w:pPr>
      <w:r>
        <w:rPr>
          <w:rFonts w:hint="eastAsia" w:ascii="等线" w:hAnsi="等线" w:eastAsia="等线" w:cs="Calibri"/>
          <w:kern w:val="2"/>
          <w:sz w:val="21"/>
          <w:szCs w:val="21"/>
          <w:lang w:val="en-US" w:eastAsia="zh-CN" w:bidi="ar-SA"/>
        </w:rPr>
        <w:t>（1）对政务云业务服务相关平台的功能或者存储、处理、传输的数据和应用程序进行删除或者修改。</w:t>
      </w:r>
    </w:p>
    <w:p>
      <w:pPr>
        <w:spacing w:line="360" w:lineRule="auto"/>
        <w:ind w:firstLine="359" w:firstLineChars="171"/>
        <w:rPr>
          <w:rFonts w:hint="eastAsia" w:ascii="等线" w:hAnsi="等线" w:eastAsia="等线" w:cs="Calibri"/>
          <w:kern w:val="2"/>
          <w:sz w:val="21"/>
          <w:szCs w:val="21"/>
          <w:lang w:val="en-US" w:eastAsia="zh-CN" w:bidi="ar-SA"/>
        </w:rPr>
      </w:pPr>
      <w:r>
        <w:rPr>
          <w:rFonts w:hint="eastAsia" w:ascii="等线" w:hAnsi="等线" w:eastAsia="等线" w:cs="Calibri"/>
          <w:kern w:val="2"/>
          <w:sz w:val="21"/>
          <w:szCs w:val="21"/>
          <w:lang w:val="en-US" w:eastAsia="zh-CN" w:bidi="ar-SA"/>
        </w:rPr>
        <w:t>（2）利用网络及系统从事窃取或者破坏他人信息、损害他人合法权益的活动。</w:t>
      </w:r>
    </w:p>
    <w:p>
      <w:pPr>
        <w:spacing w:line="360" w:lineRule="auto"/>
        <w:ind w:firstLine="359" w:firstLineChars="171"/>
        <w:rPr>
          <w:rFonts w:hint="eastAsia" w:ascii="等线" w:hAnsi="等线" w:eastAsia="等线" w:cs="Calibri"/>
          <w:kern w:val="2"/>
          <w:sz w:val="21"/>
          <w:szCs w:val="21"/>
          <w:lang w:val="en-US" w:eastAsia="zh-CN" w:bidi="ar-SA"/>
        </w:rPr>
      </w:pPr>
      <w:r>
        <w:rPr>
          <w:rFonts w:hint="eastAsia" w:ascii="等线" w:hAnsi="等线" w:eastAsia="等线" w:cs="Calibri"/>
          <w:kern w:val="2"/>
          <w:sz w:val="21"/>
          <w:szCs w:val="21"/>
          <w:lang w:val="en-US" w:eastAsia="zh-CN" w:bidi="ar-SA"/>
        </w:rPr>
        <w:t>（3）故意制作、复制、传播计算机病毒或者以其他方式攻击他人服务。</w:t>
      </w:r>
    </w:p>
    <w:p>
      <w:pPr>
        <w:spacing w:line="360" w:lineRule="auto"/>
        <w:ind w:firstLine="359" w:firstLineChars="171"/>
        <w:rPr>
          <w:rFonts w:hint="eastAsia" w:ascii="等线" w:hAnsi="等线" w:eastAsia="等线" w:cs="Calibri"/>
          <w:kern w:val="2"/>
          <w:sz w:val="21"/>
          <w:szCs w:val="21"/>
          <w:lang w:val="en-US" w:eastAsia="zh-CN" w:bidi="ar-SA"/>
        </w:rPr>
      </w:pPr>
      <w:r>
        <w:rPr>
          <w:rFonts w:hint="eastAsia" w:ascii="等线" w:hAnsi="等线" w:eastAsia="等线" w:cs="Calibri"/>
          <w:kern w:val="2"/>
          <w:sz w:val="21"/>
          <w:szCs w:val="21"/>
          <w:lang w:val="en-US" w:eastAsia="zh-CN" w:bidi="ar-SA"/>
        </w:rPr>
        <w:t>（4）进行钓鱼、黑客、网络诈骗等非法行为，网站或空间中含有或涉嫌散播病毒、木马、恶意代码等，或通过虚拟主机对其他网站、主机进行涉嫌攻击行为如扫描、嗅探、ARP欺骗、DOS等。</w:t>
      </w:r>
    </w:p>
    <w:p>
      <w:pPr>
        <w:spacing w:line="360" w:lineRule="auto"/>
        <w:ind w:firstLine="359" w:firstLineChars="171"/>
        <w:rPr>
          <w:rFonts w:hint="eastAsia" w:ascii="等线" w:hAnsi="等线" w:eastAsia="等线" w:cs="Calibri"/>
          <w:kern w:val="2"/>
          <w:sz w:val="21"/>
          <w:szCs w:val="21"/>
          <w:lang w:val="en-US" w:eastAsia="zh-CN" w:bidi="ar-SA"/>
        </w:rPr>
      </w:pPr>
      <w:r>
        <w:rPr>
          <w:rFonts w:hint="eastAsia" w:ascii="等线" w:hAnsi="等线" w:eastAsia="等线" w:cs="Calibri"/>
          <w:kern w:val="2"/>
          <w:sz w:val="21"/>
          <w:szCs w:val="21"/>
          <w:lang w:val="en-US" w:eastAsia="zh-CN" w:bidi="ar-SA"/>
        </w:rPr>
        <w:t>（5）危害电信网络安全和信息安全的其他行为。</w:t>
      </w:r>
    </w:p>
    <w:p>
      <w:pPr>
        <w:spacing w:line="360" w:lineRule="auto"/>
        <w:ind w:firstLine="359" w:firstLineChars="171"/>
        <w:rPr>
          <w:rFonts w:hint="eastAsia" w:ascii="等线" w:hAnsi="等线" w:eastAsia="等线" w:cs="Calibri"/>
          <w:kern w:val="2"/>
          <w:sz w:val="21"/>
          <w:szCs w:val="21"/>
          <w:lang w:val="en-US" w:eastAsia="zh-CN" w:bidi="ar-SA"/>
        </w:rPr>
      </w:pPr>
      <w:r>
        <w:rPr>
          <w:rFonts w:hint="eastAsia" w:ascii="等线" w:hAnsi="等线" w:eastAsia="等线" w:cs="Calibri"/>
          <w:kern w:val="2"/>
          <w:sz w:val="21"/>
          <w:szCs w:val="21"/>
          <w:lang w:val="en-US" w:eastAsia="zh-CN" w:bidi="ar-SA"/>
        </w:rPr>
        <w:t>4、若甲方存在上述2~3条约定的任一情形的，乙方有权按相关规定暂停或终止提供政务云业务服务，保存有关记录，并向政府主管部门报告，由此引起的一切后果和责任由甲方负贵。</w:t>
      </w:r>
    </w:p>
    <w:p>
      <w:pPr>
        <w:spacing w:line="360" w:lineRule="auto"/>
        <w:ind w:firstLine="359" w:firstLineChars="171"/>
        <w:rPr>
          <w:rFonts w:hint="eastAsia" w:ascii="等线" w:hAnsi="等线" w:eastAsia="等线" w:cs="Calibri"/>
          <w:kern w:val="2"/>
          <w:sz w:val="21"/>
          <w:szCs w:val="21"/>
          <w:lang w:val="en-US" w:eastAsia="zh-CN" w:bidi="ar-SA"/>
        </w:rPr>
      </w:pPr>
      <w:r>
        <w:rPr>
          <w:rFonts w:hint="eastAsia" w:ascii="等线" w:hAnsi="等线" w:eastAsia="等线" w:cs="Calibri"/>
          <w:kern w:val="2"/>
          <w:sz w:val="21"/>
          <w:szCs w:val="21"/>
          <w:lang w:val="en-US" w:eastAsia="zh-CN" w:bidi="ar-SA"/>
        </w:rPr>
        <w:t>5、对于甲方使用政务云业务服务过程中所涉自身信息和资料、数据（包括但不限于商业机密等）、最终用户及其他相关主体的信息和资料、数据等，甲方负责保密，并自行承担因其过错产生的后果和责任。</w:t>
      </w:r>
    </w:p>
    <w:p>
      <w:pPr>
        <w:spacing w:line="360" w:lineRule="auto"/>
        <w:ind w:firstLine="359" w:firstLineChars="171"/>
        <w:rPr>
          <w:rFonts w:hint="eastAsia" w:ascii="等线" w:hAnsi="等线" w:eastAsia="等线" w:cs="Calibri"/>
          <w:kern w:val="2"/>
          <w:sz w:val="21"/>
          <w:szCs w:val="21"/>
          <w:lang w:val="en-US" w:eastAsia="zh-CN" w:bidi="ar-SA"/>
        </w:rPr>
      </w:pPr>
      <w:r>
        <w:rPr>
          <w:rFonts w:hint="eastAsia" w:ascii="等线" w:hAnsi="等线" w:eastAsia="等线" w:cs="Calibri"/>
          <w:kern w:val="2"/>
          <w:sz w:val="21"/>
          <w:szCs w:val="21"/>
          <w:lang w:val="en-US" w:eastAsia="zh-CN" w:bidi="ar-SA"/>
        </w:rPr>
        <w:t>6、乙方负责按照本协议约定的条件提供政务云业务服务及相关的支撑服务。</w:t>
      </w:r>
    </w:p>
    <w:p>
      <w:pPr>
        <w:spacing w:line="360" w:lineRule="auto"/>
        <w:ind w:firstLine="359" w:firstLineChars="171"/>
        <w:rPr>
          <w:rFonts w:hint="eastAsia" w:ascii="等线" w:hAnsi="等线" w:eastAsia="等线" w:cs="Calibri"/>
          <w:kern w:val="2"/>
          <w:sz w:val="21"/>
          <w:szCs w:val="21"/>
          <w:lang w:val="en-US" w:eastAsia="zh-CN" w:bidi="ar-SA"/>
        </w:rPr>
      </w:pPr>
      <w:r>
        <w:rPr>
          <w:rFonts w:hint="eastAsia" w:ascii="等线" w:hAnsi="等线" w:eastAsia="等线" w:cs="Calibri"/>
          <w:kern w:val="2"/>
          <w:sz w:val="21"/>
          <w:szCs w:val="21"/>
          <w:lang w:val="en-US" w:eastAsia="zh-CN" w:bidi="ar-SA"/>
        </w:rPr>
        <w:t>7、乙方将消除甲方非人为操作所出现的云计算资源、云存储资源、互联网接入故障，但因甲方原因和/或不可抗力以及非乙方控制范围之内的事项除外。</w:t>
      </w:r>
    </w:p>
    <w:p>
      <w:pPr>
        <w:spacing w:line="360" w:lineRule="auto"/>
        <w:ind w:firstLine="359" w:firstLineChars="171"/>
        <w:rPr>
          <w:rFonts w:hint="eastAsia" w:ascii="等线" w:hAnsi="等线" w:eastAsia="等线" w:cs="Calibri"/>
          <w:b/>
          <w:szCs w:val="21"/>
          <w:lang w:eastAsia="zh-CN"/>
        </w:rPr>
      </w:pPr>
      <w:r>
        <w:rPr>
          <w:rFonts w:hint="eastAsia" w:ascii="等线" w:hAnsi="等线" w:eastAsia="等线" w:cs="Calibri"/>
          <w:b/>
          <w:szCs w:val="21"/>
          <w:lang w:eastAsia="zh-CN"/>
        </w:rPr>
        <w:t>十、争议的解决：</w:t>
      </w:r>
    </w:p>
    <w:p>
      <w:pPr>
        <w:spacing w:line="360" w:lineRule="auto"/>
        <w:ind w:firstLine="420" w:firstLineChars="200"/>
        <w:rPr>
          <w:rFonts w:hint="default"/>
          <w:lang w:val="en-US" w:eastAsia="zh-CN"/>
        </w:rPr>
      </w:pPr>
      <w:r>
        <w:rPr>
          <w:rFonts w:hint="eastAsia" w:ascii="等线" w:hAnsi="等线" w:eastAsia="等线"/>
          <w:szCs w:val="21"/>
        </w:rPr>
        <w:t>1、甲乙双方应通过友好协商，解决在执行本合同中所发生的或与本合同有关的一切争端，如果协商得不到解决，任何一方均可按《中华人民共和国民法典》规定提交诉讼，诉讼应在甲方所在地进行。</w:t>
      </w:r>
    </w:p>
    <w:p>
      <w:pPr>
        <w:spacing w:line="360" w:lineRule="auto"/>
        <w:ind w:firstLine="359" w:firstLineChars="171"/>
        <w:rPr>
          <w:rFonts w:hint="eastAsia" w:ascii="等线" w:hAnsi="等线" w:eastAsia="等线" w:cs="Calibri"/>
          <w:b/>
          <w:szCs w:val="21"/>
          <w:lang w:eastAsia="zh-CN"/>
        </w:rPr>
      </w:pPr>
      <w:r>
        <w:rPr>
          <w:rFonts w:hint="eastAsia" w:ascii="等线" w:hAnsi="等线" w:eastAsia="等线" w:cs="Calibri"/>
          <w:b/>
          <w:szCs w:val="21"/>
          <w:lang w:eastAsia="zh-CN"/>
        </w:rPr>
        <w:t>十一、争议的解决：</w:t>
      </w:r>
    </w:p>
    <w:p>
      <w:pPr>
        <w:spacing w:line="360" w:lineRule="auto"/>
        <w:ind w:firstLine="420" w:firstLineChars="200"/>
        <w:rPr>
          <w:rFonts w:ascii="等线" w:hAnsi="等线" w:eastAsia="等线"/>
          <w:szCs w:val="21"/>
        </w:rPr>
      </w:pPr>
      <w:r>
        <w:rPr>
          <w:rFonts w:hint="eastAsia" w:ascii="等线" w:hAnsi="等线" w:eastAsia="等线"/>
          <w:szCs w:val="21"/>
        </w:rPr>
        <w:t>1、甲乙双方应通过友好协商，解决在执行本合同中所发生的或与本合同有关的一切争端，如果协商得不到解决，任何一方均可按《中华人民共和国民法典》规定提交诉讼，诉讼应在甲方所在地进行。</w:t>
      </w:r>
    </w:p>
    <w:p>
      <w:pPr>
        <w:spacing w:line="360" w:lineRule="auto"/>
        <w:ind w:firstLine="420" w:firstLineChars="200"/>
        <w:rPr>
          <w:rFonts w:ascii="等线" w:hAnsi="等线" w:eastAsia="等线"/>
          <w:szCs w:val="21"/>
        </w:rPr>
      </w:pPr>
      <w:r>
        <w:rPr>
          <w:rFonts w:hint="eastAsia" w:ascii="等线" w:hAnsi="等线" w:eastAsia="等线"/>
          <w:szCs w:val="21"/>
        </w:rPr>
        <w:t>2、诉讼费应由败诉方负担。</w:t>
      </w:r>
    </w:p>
    <w:p>
      <w:pPr>
        <w:spacing w:line="360" w:lineRule="auto"/>
        <w:ind w:firstLine="420" w:firstLineChars="200"/>
        <w:rPr>
          <w:rFonts w:ascii="等线" w:hAnsi="等线" w:eastAsia="等线"/>
          <w:szCs w:val="21"/>
        </w:rPr>
      </w:pPr>
      <w:r>
        <w:rPr>
          <w:rFonts w:hint="eastAsia" w:ascii="等线" w:hAnsi="等线" w:eastAsia="等线"/>
          <w:b/>
          <w:szCs w:val="21"/>
        </w:rPr>
        <w:t>十</w:t>
      </w:r>
      <w:r>
        <w:rPr>
          <w:rFonts w:hint="eastAsia" w:ascii="等线" w:hAnsi="等线" w:eastAsia="等线"/>
          <w:b/>
          <w:szCs w:val="21"/>
          <w:lang w:eastAsia="zh-CN"/>
        </w:rPr>
        <w:t>二</w:t>
      </w:r>
      <w:r>
        <w:rPr>
          <w:rFonts w:hint="eastAsia" w:ascii="等线" w:hAnsi="等线" w:eastAsia="等线"/>
          <w:b/>
          <w:szCs w:val="21"/>
        </w:rPr>
        <w:t>、合同修改：</w:t>
      </w:r>
    </w:p>
    <w:p>
      <w:pPr>
        <w:spacing w:line="360" w:lineRule="auto"/>
        <w:ind w:firstLine="420" w:firstLineChars="200"/>
        <w:rPr>
          <w:rFonts w:ascii="等线" w:hAnsi="等线" w:eastAsia="等线"/>
          <w:szCs w:val="21"/>
        </w:rPr>
      </w:pPr>
      <w:r>
        <w:rPr>
          <w:rFonts w:hint="eastAsia" w:ascii="等线" w:hAnsi="等线" w:eastAsia="等线"/>
          <w:szCs w:val="21"/>
        </w:rPr>
        <w:t>合同条款的任何改动，均须由合同签署双方签署合同修改书或合同补充协议。该合同修改或补充被视为本合同的组成部分，具有与本合同同等法律效力。</w:t>
      </w:r>
    </w:p>
    <w:p>
      <w:pPr>
        <w:spacing w:line="360" w:lineRule="auto"/>
        <w:ind w:firstLine="420" w:firstLineChars="200"/>
        <w:rPr>
          <w:rFonts w:ascii="等线" w:hAnsi="等线" w:eastAsia="等线"/>
          <w:szCs w:val="21"/>
        </w:rPr>
      </w:pPr>
      <w:r>
        <w:rPr>
          <w:rFonts w:hint="eastAsia" w:ascii="等线" w:hAnsi="等线" w:eastAsia="等线"/>
          <w:b/>
          <w:szCs w:val="21"/>
        </w:rPr>
        <w:t>十</w:t>
      </w:r>
      <w:r>
        <w:rPr>
          <w:rFonts w:hint="eastAsia" w:ascii="等线" w:hAnsi="等线" w:eastAsia="等线"/>
          <w:b/>
          <w:szCs w:val="21"/>
          <w:lang w:eastAsia="zh-CN"/>
        </w:rPr>
        <w:t>三</w:t>
      </w:r>
      <w:r>
        <w:rPr>
          <w:rFonts w:hint="eastAsia" w:ascii="等线" w:hAnsi="等线" w:eastAsia="等线"/>
          <w:b/>
          <w:szCs w:val="21"/>
        </w:rPr>
        <w:t xml:space="preserve"> 、不可抗力的处理：</w:t>
      </w:r>
    </w:p>
    <w:p>
      <w:pPr>
        <w:spacing w:line="360" w:lineRule="auto"/>
        <w:ind w:firstLine="420" w:firstLineChars="200"/>
        <w:rPr>
          <w:rFonts w:ascii="等线" w:hAnsi="等线" w:eastAsia="等线"/>
          <w:szCs w:val="21"/>
        </w:rPr>
      </w:pPr>
      <w:r>
        <w:rPr>
          <w:rFonts w:hint="eastAsia" w:ascii="等线" w:hAnsi="等线" w:eastAsia="等线"/>
          <w:szCs w:val="21"/>
        </w:rPr>
        <w:t>1、在合同有效期内，任何一方因不可抗力事件导致不能履行合同，则合同履行期可延长，其延长期与不可抗力影响期相同。</w:t>
      </w:r>
    </w:p>
    <w:p>
      <w:pPr>
        <w:spacing w:line="360" w:lineRule="auto"/>
        <w:ind w:firstLine="420" w:firstLineChars="200"/>
        <w:rPr>
          <w:rFonts w:ascii="等线" w:hAnsi="等线" w:eastAsia="等线"/>
          <w:szCs w:val="21"/>
        </w:rPr>
      </w:pPr>
      <w:r>
        <w:rPr>
          <w:rFonts w:hint="eastAsia" w:ascii="等线" w:hAnsi="等线" w:eastAsia="等线"/>
          <w:szCs w:val="21"/>
        </w:rPr>
        <w:t>2、不可抗力的事故发生后尽快通知另一方，将有关部门出具的证明文件用挂号信邮寄或派人送达另一方。</w:t>
      </w:r>
    </w:p>
    <w:p>
      <w:pPr>
        <w:spacing w:line="360" w:lineRule="auto"/>
        <w:ind w:firstLine="420" w:firstLineChars="200"/>
        <w:rPr>
          <w:rFonts w:ascii="等线" w:hAnsi="等线" w:eastAsia="等线"/>
          <w:szCs w:val="21"/>
        </w:rPr>
      </w:pPr>
      <w:r>
        <w:rPr>
          <w:rFonts w:hint="eastAsia" w:ascii="等线" w:hAnsi="等线" w:eastAsia="等线"/>
          <w:b/>
          <w:szCs w:val="21"/>
        </w:rPr>
        <w:t>十</w:t>
      </w:r>
      <w:r>
        <w:rPr>
          <w:rFonts w:hint="eastAsia" w:ascii="等线" w:hAnsi="等线" w:eastAsia="等线"/>
          <w:b/>
          <w:szCs w:val="21"/>
          <w:lang w:eastAsia="zh-CN"/>
        </w:rPr>
        <w:t>四</w:t>
      </w:r>
      <w:r>
        <w:rPr>
          <w:rFonts w:hint="eastAsia" w:ascii="等线" w:hAnsi="等线" w:eastAsia="等线"/>
          <w:b/>
          <w:szCs w:val="21"/>
        </w:rPr>
        <w:t>、适用法律：</w:t>
      </w:r>
    </w:p>
    <w:p>
      <w:pPr>
        <w:spacing w:line="360" w:lineRule="auto"/>
        <w:ind w:firstLine="420" w:firstLineChars="200"/>
        <w:rPr>
          <w:rFonts w:ascii="等线" w:hAnsi="等线" w:eastAsia="等线" w:cs="宋体"/>
          <w:szCs w:val="21"/>
        </w:rPr>
      </w:pPr>
      <w:r>
        <w:rPr>
          <w:rFonts w:hint="eastAsia" w:ascii="等线" w:hAnsi="等线" w:eastAsia="等线"/>
          <w:szCs w:val="21"/>
        </w:rPr>
        <w:t>甲乙双方所订立的合同应按照中华人民共和国的法律进行解释。</w:t>
      </w:r>
    </w:p>
    <w:p>
      <w:pPr>
        <w:spacing w:line="360" w:lineRule="auto"/>
        <w:ind w:firstLine="420" w:firstLineChars="200"/>
        <w:rPr>
          <w:rFonts w:ascii="等线" w:hAnsi="等线" w:eastAsia="等线" w:cs="宋体"/>
          <w:szCs w:val="21"/>
        </w:rPr>
      </w:pPr>
      <w:r>
        <w:rPr>
          <w:rFonts w:hint="eastAsia" w:ascii="等线" w:hAnsi="等线" w:eastAsia="等线" w:cs="宋体"/>
          <w:b/>
          <w:szCs w:val="21"/>
        </w:rPr>
        <w:t>十</w:t>
      </w:r>
      <w:r>
        <w:rPr>
          <w:rFonts w:hint="eastAsia" w:ascii="等线" w:hAnsi="等线" w:eastAsia="等线" w:cs="宋体"/>
          <w:b/>
          <w:szCs w:val="21"/>
          <w:lang w:eastAsia="zh-CN"/>
        </w:rPr>
        <w:t>五</w:t>
      </w:r>
      <w:r>
        <w:rPr>
          <w:rFonts w:hint="eastAsia" w:ascii="等线" w:hAnsi="等线" w:eastAsia="等线" w:cs="宋体"/>
          <w:b/>
          <w:szCs w:val="21"/>
        </w:rPr>
        <w:t>、合同生效及其它</w:t>
      </w:r>
    </w:p>
    <w:p>
      <w:pPr>
        <w:spacing w:line="360" w:lineRule="auto"/>
        <w:ind w:firstLine="420" w:firstLineChars="200"/>
        <w:rPr>
          <w:rFonts w:ascii="等线" w:hAnsi="等线" w:eastAsia="等线" w:cs="宋体"/>
          <w:szCs w:val="21"/>
        </w:rPr>
      </w:pPr>
      <w:r>
        <w:rPr>
          <w:rFonts w:hint="eastAsia" w:ascii="等线" w:hAnsi="等线" w:eastAsia="等线" w:cs="宋体"/>
          <w:szCs w:val="21"/>
        </w:rPr>
        <w:t>1、合同经双方法定代表人或授权委托代理人签字并加盖单位公章后生效。</w:t>
      </w:r>
    </w:p>
    <w:p>
      <w:pPr>
        <w:spacing w:line="360" w:lineRule="auto"/>
        <w:ind w:firstLine="420" w:firstLineChars="200"/>
        <w:rPr>
          <w:rFonts w:ascii="等线" w:hAnsi="等线" w:eastAsia="等线" w:cs="宋体"/>
          <w:szCs w:val="21"/>
        </w:rPr>
      </w:pPr>
      <w:r>
        <w:rPr>
          <w:rFonts w:hint="eastAsia" w:ascii="等线" w:hAnsi="等线" w:eastAsia="等线" w:cs="宋体"/>
          <w:szCs w:val="21"/>
        </w:rPr>
        <w:t>2、合同执行中涉及采购资金和采购内容修改或补充的，须经财政部门审批，并签书面补充协议报舟山市政府采购监督管理部门备案，方可作为主合同不可分割的一部分。</w:t>
      </w:r>
    </w:p>
    <w:p>
      <w:pPr>
        <w:spacing w:line="360" w:lineRule="auto"/>
        <w:ind w:firstLine="420" w:firstLineChars="200"/>
        <w:rPr>
          <w:rFonts w:hint="eastAsia" w:ascii="等线" w:hAnsi="等线" w:eastAsia="等线" w:cs="宋体"/>
          <w:szCs w:val="21"/>
        </w:rPr>
      </w:pPr>
      <w:r>
        <w:rPr>
          <w:rFonts w:hint="eastAsia" w:ascii="等线" w:hAnsi="等线" w:eastAsia="等线" w:cs="宋体"/>
          <w:szCs w:val="21"/>
        </w:rPr>
        <w:t>3、本</w:t>
      </w:r>
      <w:r>
        <w:rPr>
          <w:rFonts w:hint="eastAsia" w:ascii="等线" w:hAnsi="等线" w:eastAsia="等线" w:cs="宋体"/>
          <w:szCs w:val="21"/>
          <w:lang w:val="en-US" w:eastAsia="zh-CN"/>
        </w:rPr>
        <w:t>合同未尽事宜，遵</w:t>
      </w:r>
      <w:r>
        <w:rPr>
          <w:rFonts w:hint="eastAsia" w:ascii="等线" w:hAnsi="等线" w:eastAsia="等线" w:cs="宋体"/>
          <w:szCs w:val="21"/>
        </w:rPr>
        <w:t>照《中华人民共和国民法典》有关条文执行。</w:t>
      </w:r>
    </w:p>
    <w:p>
      <w:pPr>
        <w:spacing w:line="360" w:lineRule="auto"/>
        <w:ind w:firstLine="420" w:firstLineChars="200"/>
        <w:rPr>
          <w:rFonts w:hint="eastAsia" w:ascii="等线" w:hAnsi="等线" w:eastAsia="等线" w:cs="宋体"/>
          <w:szCs w:val="21"/>
        </w:rPr>
      </w:pPr>
      <w:r>
        <w:rPr>
          <w:rFonts w:hint="eastAsia" w:ascii="等线" w:hAnsi="等线" w:eastAsia="等线" w:cs="宋体"/>
          <w:szCs w:val="21"/>
        </w:rPr>
        <w:t>4、本合同正本一式五份，具有同等法律效力，甲乙双方各执两份。</w:t>
      </w:r>
    </w:p>
    <w:p>
      <w:pPr>
        <w:spacing w:line="360" w:lineRule="auto"/>
        <w:ind w:firstLine="420" w:firstLineChars="200"/>
        <w:rPr>
          <w:rFonts w:hint="default" w:ascii="等线" w:hAnsi="等线" w:eastAsia="等线" w:cs="宋体"/>
          <w:szCs w:val="21"/>
          <w:lang w:val="en-US" w:eastAsia="zh-CN"/>
        </w:rPr>
      </w:pPr>
      <w:r>
        <w:rPr>
          <w:rFonts w:hint="eastAsia" w:ascii="等线" w:hAnsi="等线" w:eastAsia="等线" w:cs="宋体"/>
          <w:szCs w:val="21"/>
          <w:lang w:val="en-US" w:eastAsia="zh-CN"/>
        </w:rPr>
        <w:t>5</w:t>
      </w:r>
      <w:r>
        <w:rPr>
          <w:rFonts w:hint="eastAsia" w:ascii="等线" w:hAnsi="等线" w:eastAsia="等线" w:cs="宋体"/>
          <w:szCs w:val="21"/>
        </w:rPr>
        <w:t>、</w:t>
      </w:r>
      <w:r>
        <w:rPr>
          <w:rFonts w:hint="default" w:ascii="等线" w:hAnsi="等线" w:eastAsia="等线" w:cs="宋体"/>
          <w:szCs w:val="21"/>
          <w:lang w:val="en-US" w:eastAsia="zh-CN"/>
        </w:rPr>
        <w:t>供应商一年服务期满并通过验收，通过采购人的考核，绩效评价好、服务对象满意度高，在预算保障的前提下，采购人可以根据原采购合同的约定续签合同。续签合同的实行一年一签，续签时均应满足上述要求且符合相关规定，原合同和续签合同累计履行期限不超过3年，且中标单价不予调整。合同期满但采购人未获得预算批复或需求取消，经采购人提前书面通知原供应商后，合同到期终止，不再顺延。</w:t>
      </w:r>
    </w:p>
    <w:p>
      <w:pPr>
        <w:spacing w:line="360" w:lineRule="auto"/>
        <w:ind w:firstLine="420" w:firstLineChars="200"/>
        <w:rPr>
          <w:rFonts w:hint="eastAsia" w:ascii="等线" w:hAnsi="等线" w:eastAsia="等线" w:cs="宋体"/>
          <w:szCs w:val="21"/>
        </w:rPr>
      </w:pPr>
    </w:p>
    <w:p>
      <w:pPr>
        <w:spacing w:line="360" w:lineRule="auto"/>
        <w:ind w:firstLine="420" w:firstLineChars="200"/>
        <w:rPr>
          <w:rFonts w:ascii="等线" w:hAnsi="等线" w:eastAsia="等线" w:cs="宋体"/>
          <w:szCs w:val="21"/>
        </w:rPr>
      </w:pPr>
      <w:r>
        <w:rPr>
          <w:rFonts w:hint="eastAsia" w:ascii="等线" w:hAnsi="等线" w:eastAsia="等线" w:cs="宋体"/>
          <w:szCs w:val="21"/>
        </w:rPr>
        <w:t xml:space="preserve">甲方：（盖章）                              乙方：（盖章） </w:t>
      </w:r>
    </w:p>
    <w:p>
      <w:pPr>
        <w:spacing w:line="360" w:lineRule="auto"/>
        <w:ind w:firstLine="420" w:firstLineChars="200"/>
        <w:rPr>
          <w:rFonts w:ascii="等线" w:hAnsi="等线" w:eastAsia="等线" w:cs="宋体"/>
          <w:szCs w:val="21"/>
        </w:rPr>
      </w:pPr>
      <w:r>
        <w:rPr>
          <w:rFonts w:hint="eastAsia" w:ascii="等线" w:hAnsi="等线" w:eastAsia="等线" w:cs="宋体"/>
          <w:szCs w:val="21"/>
        </w:rPr>
        <w:t>地址：舟山市地址： 舟山市</w:t>
      </w:r>
    </w:p>
    <w:p>
      <w:pPr>
        <w:spacing w:line="360" w:lineRule="auto"/>
        <w:ind w:firstLine="420" w:firstLineChars="200"/>
        <w:rPr>
          <w:rFonts w:ascii="等线" w:hAnsi="等线" w:eastAsia="等线" w:cs="宋体"/>
          <w:szCs w:val="21"/>
        </w:rPr>
      </w:pPr>
      <w:r>
        <w:rPr>
          <w:rFonts w:hint="eastAsia" w:ascii="等线" w:hAnsi="等线" w:eastAsia="等线" w:cs="宋体"/>
          <w:szCs w:val="21"/>
        </w:rPr>
        <w:t>法定代表人或授权签字代表：                 法定代表人或授权签字代表：</w:t>
      </w:r>
    </w:p>
    <w:p>
      <w:pPr>
        <w:spacing w:line="360" w:lineRule="auto"/>
        <w:ind w:firstLine="420" w:firstLineChars="200"/>
        <w:rPr>
          <w:rFonts w:ascii="等线" w:hAnsi="等线" w:eastAsia="等线" w:cs="宋体"/>
          <w:szCs w:val="21"/>
        </w:rPr>
      </w:pPr>
      <w:r>
        <w:rPr>
          <w:rFonts w:hint="eastAsia" w:ascii="等线" w:hAnsi="等线" w:eastAsia="等线" w:cs="宋体"/>
          <w:szCs w:val="21"/>
        </w:rPr>
        <w:t>签订日期：   年  月  日                    签订日期：   年  月  日</w:t>
      </w:r>
    </w:p>
    <w:p>
      <w:pPr>
        <w:tabs>
          <w:tab w:val="left" w:pos="2472"/>
        </w:tabs>
        <w:snapToGrid w:val="0"/>
        <w:spacing w:before="120" w:after="120"/>
        <w:rPr>
          <w:rFonts w:ascii="等线" w:hAnsi="等线" w:eastAsia="等线" w:cs="宋体"/>
          <w:b/>
          <w:szCs w:val="21"/>
        </w:rPr>
      </w:pPr>
    </w:p>
    <w:p>
      <w:pPr>
        <w:spacing w:line="360" w:lineRule="auto"/>
        <w:ind w:firstLine="420" w:firstLineChars="200"/>
        <w:rPr>
          <w:rFonts w:ascii="等线" w:hAnsi="等线" w:eastAsia="等线" w:cs="宋体"/>
          <w:szCs w:val="21"/>
        </w:rPr>
      </w:pPr>
      <w:r>
        <w:rPr>
          <w:rFonts w:hint="eastAsia" w:ascii="等线" w:hAnsi="等线" w:eastAsia="等线" w:cs="宋体"/>
          <w:szCs w:val="21"/>
        </w:rPr>
        <w:t>甲方收款银行：                             乙方收款银行：</w:t>
      </w:r>
    </w:p>
    <w:p>
      <w:pPr>
        <w:spacing w:line="360" w:lineRule="auto"/>
        <w:ind w:firstLine="420" w:firstLineChars="200"/>
        <w:rPr>
          <w:rFonts w:ascii="仿宋_GB2312" w:eastAsia="仿宋_GB2312"/>
          <w:sz w:val="28"/>
          <w:szCs w:val="28"/>
        </w:rPr>
      </w:pPr>
      <w:r>
        <w:rPr>
          <w:rFonts w:hint="eastAsia" w:ascii="等线" w:hAnsi="等线" w:eastAsia="等线" w:cs="宋体"/>
          <w:szCs w:val="21"/>
        </w:rPr>
        <w:t>甲方收款开户账号：                         乙方收款开户账号：</w:t>
      </w:r>
      <w:bookmarkEnd w:id="392"/>
      <w:bookmarkEnd w:id="393"/>
    </w:p>
    <w:p>
      <w:pPr>
        <w:spacing w:line="540" w:lineRule="exact"/>
        <w:contextualSpacing/>
        <w:jc w:val="center"/>
        <w:rPr>
          <w:rFonts w:hint="eastAsia" w:ascii="仿宋_GB2312" w:eastAsia="仿宋_GB2312"/>
          <w:sz w:val="28"/>
          <w:szCs w:val="28"/>
        </w:rPr>
      </w:pPr>
    </w:p>
    <w:p>
      <w:pPr>
        <w:spacing w:line="540" w:lineRule="exact"/>
        <w:contextualSpacing/>
        <w:jc w:val="center"/>
        <w:rPr>
          <w:rFonts w:hint="eastAsia" w:ascii="仿宋_GB2312" w:eastAsia="仿宋_GB2312"/>
          <w:sz w:val="28"/>
          <w:szCs w:val="28"/>
        </w:rPr>
      </w:pPr>
    </w:p>
    <w:p>
      <w:pPr>
        <w:pStyle w:val="2"/>
        <w:rPr>
          <w:rFonts w:hint="eastAsia" w:ascii="仿宋_GB2312" w:eastAsia="仿宋_GB2312"/>
          <w:sz w:val="28"/>
          <w:szCs w:val="28"/>
        </w:rPr>
      </w:pPr>
    </w:p>
    <w:p>
      <w:pPr>
        <w:pStyle w:val="3"/>
        <w:rPr>
          <w:rFonts w:hint="eastAsia" w:ascii="仿宋_GB2312" w:eastAsia="仿宋_GB2312"/>
          <w:sz w:val="28"/>
          <w:szCs w:val="28"/>
        </w:rPr>
      </w:pPr>
    </w:p>
    <w:p>
      <w:pPr>
        <w:pStyle w:val="4"/>
        <w:rPr>
          <w:rFonts w:hint="eastAsia" w:ascii="仿宋_GB2312" w:eastAsia="仿宋_GB2312"/>
          <w:sz w:val="28"/>
          <w:szCs w:val="28"/>
        </w:rPr>
      </w:pPr>
    </w:p>
    <w:p>
      <w:pPr>
        <w:rPr>
          <w:rFonts w:hint="eastAsia" w:ascii="仿宋_GB2312" w:eastAsia="仿宋_GB2312"/>
          <w:sz w:val="28"/>
          <w:szCs w:val="28"/>
        </w:rPr>
      </w:pPr>
    </w:p>
    <w:p>
      <w:pPr>
        <w:pStyle w:val="2"/>
        <w:rPr>
          <w:rFonts w:hint="eastAsia" w:ascii="仿宋_GB2312" w:eastAsia="仿宋_GB2312"/>
          <w:sz w:val="28"/>
          <w:szCs w:val="28"/>
        </w:rPr>
      </w:pPr>
    </w:p>
    <w:p>
      <w:pPr>
        <w:pStyle w:val="3"/>
        <w:rPr>
          <w:rFonts w:hint="eastAsia" w:ascii="仿宋_GB2312" w:eastAsia="仿宋_GB2312"/>
          <w:sz w:val="28"/>
          <w:szCs w:val="28"/>
        </w:rPr>
      </w:pPr>
    </w:p>
    <w:p>
      <w:pPr>
        <w:pStyle w:val="2"/>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合同附件1</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舟山市大数据管理局</w:t>
      </w:r>
    </w:p>
    <w:p>
      <w:pPr>
        <w:jc w:val="center"/>
        <w:rPr>
          <w:rFonts w:hint="eastAsia" w:ascii="宋体" w:hAnsi="宋体" w:eastAsia="宋体" w:cs="宋体"/>
          <w:b/>
          <w:sz w:val="32"/>
          <w:szCs w:val="32"/>
        </w:rPr>
      </w:pPr>
      <w:r>
        <w:rPr>
          <w:rFonts w:hint="eastAsia" w:ascii="宋体" w:hAnsi="宋体" w:eastAsia="宋体" w:cs="宋体"/>
          <w:b/>
          <w:bCs/>
          <w:sz w:val="44"/>
          <w:szCs w:val="44"/>
        </w:rPr>
        <w:t>第三方人员管理规定</w:t>
      </w:r>
    </w:p>
    <w:p>
      <w:pPr>
        <w:jc w:val="center"/>
        <w:rPr>
          <w:rFonts w:hint="eastAsia" w:ascii="宋体" w:hAnsi="宋体" w:eastAsia="宋体" w:cs="宋体"/>
          <w:b/>
          <w:sz w:val="32"/>
          <w:szCs w:val="32"/>
        </w:rPr>
      </w:pPr>
      <w:r>
        <w:rPr>
          <w:rFonts w:hint="eastAsia" w:ascii="宋体" w:hAnsi="宋体" w:eastAsia="宋体" w:cs="宋体"/>
          <w:b/>
          <w:sz w:val="32"/>
          <w:szCs w:val="32"/>
        </w:rPr>
        <w:t>目 录</w:t>
      </w:r>
    </w:p>
    <w:p>
      <w:pPr>
        <w:rPr>
          <w:rFonts w:hint="eastAsia" w:ascii="宋体" w:hAnsi="宋体" w:eastAsia="宋体" w:cs="宋体"/>
        </w:rPr>
      </w:pPr>
    </w:p>
    <w:p>
      <w:pPr>
        <w:pStyle w:val="13"/>
        <w:tabs>
          <w:tab w:val="left" w:pos="960"/>
          <w:tab w:val="right" w:leader="dot" w:pos="9060"/>
        </w:tabs>
        <w:rPr>
          <w:rFonts w:hint="eastAsia" w:ascii="宋体" w:hAnsi="宋体" w:eastAsia="宋体" w:cs="宋体"/>
          <w:b w:val="0"/>
          <w:bCs w:val="0"/>
          <w:caps w:val="0"/>
          <w:sz w:val="24"/>
        </w:rPr>
      </w:pPr>
      <w:r>
        <w:rPr>
          <w:rFonts w:hint="eastAsia" w:ascii="宋体" w:hAnsi="宋体" w:eastAsia="宋体" w:cs="宋体"/>
          <w:b w:val="0"/>
          <w:bCs w:val="0"/>
          <w:caps w:val="0"/>
          <w:sz w:val="24"/>
        </w:rPr>
        <w:fldChar w:fldCharType="begin"/>
      </w:r>
      <w:r>
        <w:rPr>
          <w:rFonts w:hint="eastAsia" w:ascii="宋体" w:hAnsi="宋体" w:eastAsia="宋体" w:cs="宋体"/>
          <w:b w:val="0"/>
          <w:bCs w:val="0"/>
          <w:caps w:val="0"/>
          <w:sz w:val="24"/>
        </w:rPr>
        <w:instrText xml:space="preserve"> TOC \o "1-1" \h \z \u </w:instrText>
      </w:r>
      <w:r>
        <w:rPr>
          <w:rFonts w:hint="eastAsia" w:ascii="宋体" w:hAnsi="宋体" w:eastAsia="宋体" w:cs="宋体"/>
          <w:b w:val="0"/>
          <w:bCs w:val="0"/>
          <w:caps w:val="0"/>
          <w:sz w:val="24"/>
        </w:rPr>
        <w:fldChar w:fldCharType="separate"/>
      </w: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"_Toc517876735"</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第一章</w:t>
      </w:r>
      <w:r>
        <w:rPr>
          <w:rFonts w:hint="eastAsia" w:ascii="宋体" w:hAnsi="宋体" w:eastAsia="宋体" w:cs="宋体"/>
          <w:b w:val="0"/>
          <w:bCs w:val="0"/>
          <w:caps w:val="0"/>
          <w:sz w:val="24"/>
        </w:rPr>
        <w:tab/>
      </w:r>
      <w:r>
        <w:rPr>
          <w:rStyle w:val="17"/>
          <w:rFonts w:hint="eastAsia" w:ascii="宋体" w:hAnsi="宋体" w:eastAsia="宋体" w:cs="宋体"/>
        </w:rPr>
        <w:t>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_Toc517876735 \h </w:instrText>
      </w:r>
      <w:r>
        <w:rPr>
          <w:rFonts w:hint="eastAsia" w:ascii="宋体" w:hAnsi="宋体" w:eastAsia="宋体" w:cs="宋体"/>
        </w:rPr>
        <w:fldChar w:fldCharType="separate"/>
      </w:r>
      <w:r>
        <w:rPr>
          <w:rFonts w:hint="eastAsia" w:ascii="宋体" w:hAnsi="宋体" w:eastAsia="宋体" w:cs="宋体"/>
        </w:rPr>
        <w:t>78</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96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"_Toc517876736"</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第二章</w:t>
      </w:r>
      <w:r>
        <w:rPr>
          <w:rFonts w:hint="eastAsia" w:ascii="宋体" w:hAnsi="宋体" w:eastAsia="宋体" w:cs="宋体"/>
          <w:b w:val="0"/>
          <w:bCs w:val="0"/>
          <w:caps w:val="0"/>
          <w:sz w:val="24"/>
        </w:rPr>
        <w:tab/>
      </w:r>
      <w:r>
        <w:rPr>
          <w:rStyle w:val="17"/>
          <w:rFonts w:hint="eastAsia" w:ascii="宋体" w:hAnsi="宋体" w:eastAsia="宋体" w:cs="宋体"/>
        </w:rPr>
        <w:t>适用范围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_Toc517876736 \h </w:instrText>
      </w:r>
      <w:r>
        <w:rPr>
          <w:rFonts w:hint="eastAsia" w:ascii="宋体" w:hAnsi="宋体" w:eastAsia="宋体" w:cs="宋体"/>
        </w:rPr>
        <w:fldChar w:fldCharType="separate"/>
      </w:r>
      <w:r>
        <w:rPr>
          <w:rFonts w:hint="eastAsia" w:ascii="宋体" w:hAnsi="宋体" w:eastAsia="宋体" w:cs="宋体"/>
        </w:rPr>
        <w:t>78</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96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"_Toc517876737"</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第三章</w:t>
      </w:r>
      <w:r>
        <w:rPr>
          <w:rFonts w:hint="eastAsia" w:ascii="宋体" w:hAnsi="宋体" w:eastAsia="宋体" w:cs="宋体"/>
          <w:b w:val="0"/>
          <w:bCs w:val="0"/>
          <w:caps w:val="0"/>
          <w:sz w:val="24"/>
        </w:rPr>
        <w:tab/>
      </w:r>
      <w:r>
        <w:rPr>
          <w:rStyle w:val="17"/>
          <w:rFonts w:hint="eastAsia" w:ascii="宋体" w:hAnsi="宋体" w:eastAsia="宋体" w:cs="宋体"/>
        </w:rPr>
        <w:t>术语定义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_Toc517876737 \h </w:instrText>
      </w:r>
      <w:r>
        <w:rPr>
          <w:rFonts w:hint="eastAsia" w:ascii="宋体" w:hAnsi="宋体" w:eastAsia="宋体" w:cs="宋体"/>
        </w:rPr>
        <w:fldChar w:fldCharType="separate"/>
      </w:r>
      <w:r>
        <w:rPr>
          <w:rFonts w:hint="eastAsia" w:ascii="宋体" w:hAnsi="宋体" w:eastAsia="宋体" w:cs="宋体"/>
        </w:rPr>
        <w:t>78</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96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"_Toc517876738"</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第四章</w:t>
      </w:r>
      <w:r>
        <w:rPr>
          <w:rFonts w:hint="eastAsia" w:ascii="宋体" w:hAnsi="宋体" w:eastAsia="宋体" w:cs="宋体"/>
          <w:b w:val="0"/>
          <w:bCs w:val="0"/>
          <w:caps w:val="0"/>
          <w:sz w:val="24"/>
        </w:rPr>
        <w:tab/>
      </w:r>
      <w:r>
        <w:rPr>
          <w:rStyle w:val="17"/>
          <w:rFonts w:hint="eastAsia" w:ascii="宋体" w:hAnsi="宋体" w:eastAsia="宋体" w:cs="宋体"/>
        </w:rPr>
        <w:t>组织职责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_Toc517876738 \h </w:instrText>
      </w:r>
      <w:r>
        <w:rPr>
          <w:rFonts w:hint="eastAsia" w:ascii="宋体" w:hAnsi="宋体" w:eastAsia="宋体" w:cs="宋体"/>
        </w:rPr>
        <w:fldChar w:fldCharType="separate"/>
      </w:r>
      <w:r>
        <w:rPr>
          <w:rFonts w:hint="eastAsia" w:ascii="宋体" w:hAnsi="宋体" w:eastAsia="宋体" w:cs="宋体"/>
        </w:rPr>
        <w:t>78</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96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"_Toc517876739"</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第五章</w:t>
      </w:r>
      <w:r>
        <w:rPr>
          <w:rFonts w:hint="eastAsia" w:ascii="宋体" w:hAnsi="宋体" w:eastAsia="宋体" w:cs="宋体"/>
          <w:b w:val="0"/>
          <w:bCs w:val="0"/>
          <w:caps w:val="0"/>
          <w:sz w:val="24"/>
        </w:rPr>
        <w:tab/>
      </w:r>
      <w:r>
        <w:rPr>
          <w:rStyle w:val="17"/>
          <w:rFonts w:hint="eastAsia" w:ascii="宋体" w:hAnsi="宋体" w:eastAsia="宋体" w:cs="宋体"/>
        </w:rPr>
        <w:t>第三方选择要求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_Toc517876739 \h </w:instrText>
      </w:r>
      <w:r>
        <w:rPr>
          <w:rFonts w:hint="eastAsia" w:ascii="宋体" w:hAnsi="宋体" w:eastAsia="宋体" w:cs="宋体"/>
        </w:rPr>
        <w:fldChar w:fldCharType="separate"/>
      </w:r>
      <w:r>
        <w:rPr>
          <w:rFonts w:hint="eastAsia" w:ascii="宋体" w:hAnsi="宋体" w:eastAsia="宋体" w:cs="宋体"/>
        </w:rPr>
        <w:t>78</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96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"_Toc517876740"</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第六章</w:t>
      </w:r>
      <w:r>
        <w:rPr>
          <w:rFonts w:hint="eastAsia" w:ascii="宋体" w:hAnsi="宋体" w:eastAsia="宋体" w:cs="宋体"/>
          <w:b w:val="0"/>
          <w:bCs w:val="0"/>
          <w:caps w:val="0"/>
          <w:sz w:val="24"/>
        </w:rPr>
        <w:tab/>
      </w:r>
      <w:r>
        <w:rPr>
          <w:rStyle w:val="17"/>
          <w:rFonts w:hint="eastAsia" w:ascii="宋体" w:hAnsi="宋体" w:eastAsia="宋体" w:cs="宋体"/>
        </w:rPr>
        <w:t>第三方合同要求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_Toc517876740 \h </w:instrText>
      </w:r>
      <w:r>
        <w:rPr>
          <w:rFonts w:hint="eastAsia" w:ascii="宋体" w:hAnsi="宋体" w:eastAsia="宋体" w:cs="宋体"/>
        </w:rPr>
        <w:fldChar w:fldCharType="separate"/>
      </w:r>
      <w:r>
        <w:rPr>
          <w:rFonts w:hint="eastAsia" w:ascii="宋体" w:hAnsi="宋体" w:eastAsia="宋体" w:cs="宋体"/>
        </w:rPr>
        <w:t>79</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96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"_Toc517876741"</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第七章</w:t>
      </w:r>
      <w:r>
        <w:rPr>
          <w:rFonts w:hint="eastAsia" w:ascii="宋体" w:hAnsi="宋体" w:eastAsia="宋体" w:cs="宋体"/>
          <w:b w:val="0"/>
          <w:bCs w:val="0"/>
          <w:caps w:val="0"/>
          <w:sz w:val="24"/>
        </w:rPr>
        <w:tab/>
      </w:r>
      <w:r>
        <w:rPr>
          <w:rStyle w:val="17"/>
          <w:rFonts w:hint="eastAsia" w:ascii="宋体" w:hAnsi="宋体" w:eastAsia="宋体" w:cs="宋体"/>
        </w:rPr>
        <w:t>第三方服务交付管理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_Toc517876741 \h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96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"_Toc517876742"</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第八章</w:t>
      </w:r>
      <w:r>
        <w:rPr>
          <w:rFonts w:hint="eastAsia" w:ascii="宋体" w:hAnsi="宋体" w:eastAsia="宋体" w:cs="宋体"/>
          <w:b w:val="0"/>
          <w:bCs w:val="0"/>
          <w:caps w:val="0"/>
          <w:sz w:val="24"/>
        </w:rPr>
        <w:tab/>
      </w:r>
      <w:r>
        <w:rPr>
          <w:rStyle w:val="17"/>
          <w:rFonts w:hint="eastAsia" w:ascii="宋体" w:hAnsi="宋体" w:eastAsia="宋体" w:cs="宋体"/>
        </w:rPr>
        <w:t>第三方信息传输</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_Toc517876742 \h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96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"_Toc517876743"</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第九章</w:t>
      </w:r>
      <w:r>
        <w:rPr>
          <w:rFonts w:hint="eastAsia" w:ascii="宋体" w:hAnsi="宋体" w:eastAsia="宋体" w:cs="宋体"/>
          <w:b w:val="0"/>
          <w:bCs w:val="0"/>
          <w:caps w:val="0"/>
          <w:sz w:val="24"/>
        </w:rPr>
        <w:tab/>
      </w:r>
      <w:r>
        <w:rPr>
          <w:rStyle w:val="17"/>
          <w:rFonts w:hint="eastAsia" w:ascii="宋体" w:hAnsi="宋体" w:eastAsia="宋体" w:cs="宋体"/>
        </w:rPr>
        <w:t>第三方变更管理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_Toc517876743 \h </w:instrText>
      </w:r>
      <w:r>
        <w:rPr>
          <w:rFonts w:hint="eastAsia" w:ascii="宋体" w:hAnsi="宋体" w:eastAsia="宋体" w:cs="宋体"/>
        </w:rPr>
        <w:fldChar w:fldCharType="separate"/>
      </w:r>
      <w:r>
        <w:rPr>
          <w:rFonts w:hint="eastAsia" w:ascii="宋体" w:hAnsi="宋体" w:eastAsia="宋体" w:cs="宋体"/>
        </w:rPr>
        <w:t>81</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96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"_Toc517876744"</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第十章</w:t>
      </w:r>
      <w:r>
        <w:rPr>
          <w:rFonts w:hint="eastAsia" w:ascii="宋体" w:hAnsi="宋体" w:eastAsia="宋体" w:cs="宋体"/>
          <w:b w:val="0"/>
          <w:bCs w:val="0"/>
          <w:caps w:val="0"/>
          <w:sz w:val="24"/>
        </w:rPr>
        <w:tab/>
      </w:r>
      <w:r>
        <w:rPr>
          <w:rStyle w:val="17"/>
          <w:rFonts w:hint="eastAsia" w:ascii="宋体" w:hAnsi="宋体" w:eastAsia="宋体" w:cs="宋体"/>
        </w:rPr>
        <w:t>第三方出入管理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_Toc517876744 \h </w:instrText>
      </w:r>
      <w:r>
        <w:rPr>
          <w:rFonts w:hint="eastAsia" w:ascii="宋体" w:hAnsi="宋体" w:eastAsia="宋体" w:cs="宋体"/>
        </w:rPr>
        <w:fldChar w:fldCharType="separate"/>
      </w:r>
      <w:r>
        <w:rPr>
          <w:rFonts w:hint="eastAsia" w:ascii="宋体" w:hAnsi="宋体" w:eastAsia="宋体" w:cs="宋体"/>
        </w:rPr>
        <w:t>81</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120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"_Toc517876745"</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第十一章</w:t>
      </w:r>
      <w:r>
        <w:rPr>
          <w:rFonts w:hint="eastAsia" w:ascii="宋体" w:hAnsi="宋体" w:eastAsia="宋体" w:cs="宋体"/>
          <w:b w:val="0"/>
          <w:bCs w:val="0"/>
          <w:caps w:val="0"/>
          <w:sz w:val="24"/>
        </w:rPr>
        <w:tab/>
      </w:r>
      <w:r>
        <w:rPr>
          <w:rStyle w:val="17"/>
          <w:rFonts w:hint="eastAsia" w:ascii="宋体" w:hAnsi="宋体" w:eastAsia="宋体" w:cs="宋体"/>
        </w:rPr>
        <w:t>信息系统使用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_Toc517876745 \h </w:instrText>
      </w:r>
      <w:r>
        <w:rPr>
          <w:rFonts w:hint="eastAsia" w:ascii="宋体" w:hAnsi="宋体" w:eastAsia="宋体" w:cs="宋体"/>
        </w:rPr>
        <w:fldChar w:fldCharType="separate"/>
      </w:r>
      <w:r>
        <w:rPr>
          <w:rFonts w:hint="eastAsia" w:ascii="宋体" w:hAnsi="宋体" w:eastAsia="宋体" w:cs="宋体"/>
        </w:rPr>
        <w:t>83</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120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"_Toc517876746"</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第十二章</w:t>
      </w:r>
      <w:r>
        <w:rPr>
          <w:rFonts w:hint="eastAsia" w:ascii="宋体" w:hAnsi="宋体" w:eastAsia="宋体" w:cs="宋体"/>
          <w:b w:val="0"/>
          <w:bCs w:val="0"/>
          <w:caps w:val="0"/>
          <w:sz w:val="24"/>
        </w:rPr>
        <w:tab/>
      </w:r>
      <w:r>
        <w:rPr>
          <w:rStyle w:val="17"/>
          <w:rFonts w:hint="eastAsia" w:ascii="宋体" w:hAnsi="宋体" w:eastAsia="宋体" w:cs="宋体"/>
        </w:rPr>
        <w:t>持续改进</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_Toc517876746 \h </w:instrText>
      </w:r>
      <w:r>
        <w:rPr>
          <w:rFonts w:hint="eastAsia" w:ascii="宋体" w:hAnsi="宋体" w:eastAsia="宋体" w:cs="宋体"/>
        </w:rPr>
        <w:fldChar w:fldCharType="separate"/>
      </w:r>
      <w:r>
        <w:rPr>
          <w:rFonts w:hint="eastAsia" w:ascii="宋体" w:hAnsi="宋体" w:eastAsia="宋体" w:cs="宋体"/>
        </w:rPr>
        <w:t>83</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120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"_Toc517876747"</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第十三章</w:t>
      </w:r>
      <w:r>
        <w:rPr>
          <w:rFonts w:hint="eastAsia" w:ascii="宋体" w:hAnsi="宋体" w:eastAsia="宋体" w:cs="宋体"/>
          <w:b w:val="0"/>
          <w:bCs w:val="0"/>
          <w:caps w:val="0"/>
          <w:sz w:val="24"/>
        </w:rPr>
        <w:tab/>
      </w:r>
      <w:r>
        <w:rPr>
          <w:rStyle w:val="17"/>
          <w:rFonts w:hint="eastAsia" w:ascii="宋体" w:hAnsi="宋体" w:eastAsia="宋体" w:cs="宋体"/>
        </w:rPr>
        <w:t>附则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_Toc517876747 \h </w:instrText>
      </w:r>
      <w:r>
        <w:rPr>
          <w:rFonts w:hint="eastAsia" w:ascii="宋体" w:hAnsi="宋体" w:eastAsia="宋体" w:cs="宋体"/>
        </w:rPr>
        <w:fldChar w:fldCharType="separate"/>
      </w:r>
      <w:r>
        <w:rPr>
          <w:rFonts w:hint="eastAsia" w:ascii="宋体" w:hAnsi="宋体" w:eastAsia="宋体" w:cs="宋体"/>
        </w:rPr>
        <w:t>84</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120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"_Toc517876748"</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第十四章</w:t>
      </w:r>
      <w:r>
        <w:rPr>
          <w:rFonts w:hint="eastAsia" w:ascii="宋体" w:hAnsi="宋体" w:eastAsia="宋体" w:cs="宋体"/>
          <w:b w:val="0"/>
          <w:bCs w:val="0"/>
          <w:caps w:val="0"/>
          <w:sz w:val="24"/>
        </w:rPr>
        <w:tab/>
      </w:r>
      <w:r>
        <w:rPr>
          <w:rStyle w:val="17"/>
          <w:rFonts w:hint="eastAsia" w:ascii="宋体" w:hAnsi="宋体" w:eastAsia="宋体" w:cs="宋体"/>
        </w:rPr>
        <w:t>附录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_Toc517876748 \h </w:instrText>
      </w:r>
      <w:r>
        <w:rPr>
          <w:rFonts w:hint="eastAsia" w:ascii="宋体" w:hAnsi="宋体" w:eastAsia="宋体" w:cs="宋体"/>
        </w:rPr>
        <w:fldChar w:fldCharType="separate"/>
      </w:r>
      <w:r>
        <w:rPr>
          <w:rFonts w:hint="eastAsia" w:ascii="宋体" w:hAnsi="宋体" w:eastAsia="宋体" w:cs="宋体"/>
        </w:rPr>
        <w:t>84</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1050"/>
          <w:tab w:val="right" w:leader="dot" w:pos="9060"/>
        </w:tabs>
        <w:rPr>
          <w:rFonts w:hint="eastAsia" w:ascii="宋体" w:hAnsi="宋体" w:eastAsia="宋体" w:cs="宋体"/>
        </w:rPr>
      </w:pPr>
      <w:r>
        <w:rPr>
          <w:rFonts w:hint="eastAsia" w:ascii="宋体" w:hAnsi="宋体" w:eastAsia="宋体" w:cs="宋体"/>
          <w:bCs w:val="0"/>
          <w:caps w:val="0"/>
          <w:sz w:val="24"/>
        </w:rPr>
        <w:fldChar w:fldCharType="end"/>
      </w:r>
      <w:r>
        <w:rPr>
          <w:rFonts w:hint="eastAsia" w:ascii="宋体" w:hAnsi="宋体" w:eastAsia="宋体" w:cs="宋体"/>
          <w:sz w:val="24"/>
        </w:rPr>
        <w:fldChar w:fldCharType="begin"/>
      </w:r>
      <w:r>
        <w:rPr>
          <w:rFonts w:hint="eastAsia" w:ascii="宋体" w:hAnsi="宋体" w:eastAsia="宋体" w:cs="宋体"/>
          <w:sz w:val="24"/>
        </w:rPr>
        <w:instrText xml:space="preserve"> TOC \o "1-1" \h \z \u </w:instrText>
      </w:r>
      <w:r>
        <w:rPr>
          <w:rFonts w:hint="eastAsia" w:ascii="宋体" w:hAnsi="宋体" w:eastAsia="宋体" w:cs="宋体"/>
          <w:sz w:val="24"/>
        </w:rPr>
        <w:fldChar w:fldCharType="separate"/>
      </w:r>
    </w:p>
    <w:p>
      <w:pPr>
        <w:pStyle w:val="13"/>
        <w:tabs>
          <w:tab w:val="left" w:pos="96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"_Toc517876662"</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第一章</w:t>
      </w:r>
      <w:r>
        <w:rPr>
          <w:rFonts w:hint="eastAsia" w:ascii="宋体" w:hAnsi="宋体" w:eastAsia="宋体" w:cs="宋体"/>
          <w:b w:val="0"/>
          <w:bCs w:val="0"/>
          <w:caps w:val="0"/>
          <w:sz w:val="24"/>
        </w:rPr>
        <w:tab/>
      </w:r>
      <w:r>
        <w:rPr>
          <w:rStyle w:val="17"/>
          <w:rFonts w:hint="eastAsia" w:ascii="宋体" w:hAnsi="宋体" w:eastAsia="宋体" w:cs="宋体"/>
        </w:rPr>
        <w:t>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_Toc517876662 \h </w:instrText>
      </w:r>
      <w:r>
        <w:rPr>
          <w:rFonts w:hint="eastAsia" w:ascii="宋体" w:hAnsi="宋体" w:eastAsia="宋体" w:cs="宋体"/>
        </w:rPr>
        <w:fldChar w:fldCharType="separate"/>
      </w:r>
      <w:r>
        <w:rPr>
          <w:rFonts w:hint="eastAsia" w:ascii="宋体" w:hAnsi="宋体" w:eastAsia="宋体" w:cs="宋体"/>
        </w:rPr>
        <w:t>78</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96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"_Toc517876663"</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第二章</w:t>
      </w:r>
      <w:r>
        <w:rPr>
          <w:rFonts w:hint="eastAsia" w:ascii="宋体" w:hAnsi="宋体" w:eastAsia="宋体" w:cs="宋体"/>
          <w:b w:val="0"/>
          <w:bCs w:val="0"/>
          <w:caps w:val="0"/>
          <w:sz w:val="24"/>
        </w:rPr>
        <w:tab/>
      </w:r>
      <w:r>
        <w:rPr>
          <w:rStyle w:val="17"/>
          <w:rFonts w:hint="eastAsia" w:ascii="宋体" w:hAnsi="宋体" w:eastAsia="宋体" w:cs="宋体"/>
        </w:rPr>
        <w:t>适用范围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_Toc517876663 \h </w:instrText>
      </w:r>
      <w:r>
        <w:rPr>
          <w:rFonts w:hint="eastAsia" w:ascii="宋体" w:hAnsi="宋体" w:eastAsia="宋体" w:cs="宋体"/>
        </w:rPr>
        <w:fldChar w:fldCharType="separate"/>
      </w:r>
      <w:r>
        <w:rPr>
          <w:rFonts w:hint="eastAsia" w:ascii="宋体" w:hAnsi="宋体" w:eastAsia="宋体" w:cs="宋体"/>
        </w:rPr>
        <w:t>78</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96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"_Toc517876664"</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第三章</w:t>
      </w:r>
      <w:r>
        <w:rPr>
          <w:rFonts w:hint="eastAsia" w:ascii="宋体" w:hAnsi="宋体" w:eastAsia="宋体" w:cs="宋体"/>
          <w:b w:val="0"/>
          <w:bCs w:val="0"/>
          <w:caps w:val="0"/>
          <w:sz w:val="24"/>
        </w:rPr>
        <w:tab/>
      </w:r>
      <w:r>
        <w:rPr>
          <w:rStyle w:val="17"/>
          <w:rFonts w:hint="eastAsia" w:ascii="宋体" w:hAnsi="宋体" w:eastAsia="宋体" w:cs="宋体"/>
        </w:rPr>
        <w:t>术语定义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_Toc517876664 \h </w:instrText>
      </w:r>
      <w:r>
        <w:rPr>
          <w:rFonts w:hint="eastAsia" w:ascii="宋体" w:hAnsi="宋体" w:eastAsia="宋体" w:cs="宋体"/>
        </w:rPr>
        <w:fldChar w:fldCharType="separate"/>
      </w:r>
      <w:r>
        <w:rPr>
          <w:rFonts w:hint="eastAsia" w:ascii="宋体" w:hAnsi="宋体" w:eastAsia="宋体" w:cs="宋体"/>
        </w:rPr>
        <w:t>78</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96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"_Toc517876665"</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第四章</w:t>
      </w:r>
      <w:r>
        <w:rPr>
          <w:rFonts w:hint="eastAsia" w:ascii="宋体" w:hAnsi="宋体" w:eastAsia="宋体" w:cs="宋体"/>
          <w:b w:val="0"/>
          <w:bCs w:val="0"/>
          <w:caps w:val="0"/>
          <w:sz w:val="24"/>
        </w:rPr>
        <w:tab/>
      </w:r>
      <w:r>
        <w:rPr>
          <w:rStyle w:val="17"/>
          <w:rFonts w:hint="eastAsia" w:ascii="宋体" w:hAnsi="宋体" w:eastAsia="宋体" w:cs="宋体"/>
        </w:rPr>
        <w:t>组织职责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_Toc517876665 \h </w:instrText>
      </w:r>
      <w:r>
        <w:rPr>
          <w:rFonts w:hint="eastAsia" w:ascii="宋体" w:hAnsi="宋体" w:eastAsia="宋体" w:cs="宋体"/>
        </w:rPr>
        <w:fldChar w:fldCharType="separate"/>
      </w:r>
      <w:r>
        <w:rPr>
          <w:rFonts w:hint="eastAsia" w:ascii="宋体" w:hAnsi="宋体" w:eastAsia="宋体" w:cs="宋体"/>
        </w:rPr>
        <w:t>78</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96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"_Toc517876666"</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第五章</w:t>
      </w:r>
      <w:r>
        <w:rPr>
          <w:rFonts w:hint="eastAsia" w:ascii="宋体" w:hAnsi="宋体" w:eastAsia="宋体" w:cs="宋体"/>
          <w:b w:val="0"/>
          <w:bCs w:val="0"/>
          <w:caps w:val="0"/>
          <w:sz w:val="24"/>
        </w:rPr>
        <w:tab/>
      </w:r>
      <w:r>
        <w:rPr>
          <w:rStyle w:val="17"/>
          <w:rFonts w:hint="eastAsia" w:ascii="宋体" w:hAnsi="宋体" w:eastAsia="宋体" w:cs="宋体"/>
        </w:rPr>
        <w:t>第三方选择要求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_Toc517876666 \h </w:instrText>
      </w:r>
      <w:r>
        <w:rPr>
          <w:rFonts w:hint="eastAsia" w:ascii="宋体" w:hAnsi="宋体" w:eastAsia="宋体" w:cs="宋体"/>
        </w:rPr>
        <w:fldChar w:fldCharType="separate"/>
      </w:r>
      <w:r>
        <w:rPr>
          <w:rFonts w:hint="eastAsia" w:ascii="宋体" w:hAnsi="宋体" w:eastAsia="宋体" w:cs="宋体"/>
        </w:rPr>
        <w:t>78</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96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"_Toc517876667"</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第六章</w:t>
      </w:r>
      <w:r>
        <w:rPr>
          <w:rFonts w:hint="eastAsia" w:ascii="宋体" w:hAnsi="宋体" w:eastAsia="宋体" w:cs="宋体"/>
          <w:b w:val="0"/>
          <w:bCs w:val="0"/>
          <w:caps w:val="0"/>
          <w:sz w:val="24"/>
        </w:rPr>
        <w:tab/>
      </w:r>
      <w:r>
        <w:rPr>
          <w:rStyle w:val="17"/>
          <w:rFonts w:hint="eastAsia" w:ascii="宋体" w:hAnsi="宋体" w:eastAsia="宋体" w:cs="宋体"/>
        </w:rPr>
        <w:t>第三方合同要求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_Toc517876667 \h </w:instrText>
      </w:r>
      <w:r>
        <w:rPr>
          <w:rFonts w:hint="eastAsia" w:ascii="宋体" w:hAnsi="宋体" w:eastAsia="宋体" w:cs="宋体"/>
        </w:rPr>
        <w:fldChar w:fldCharType="separate"/>
      </w:r>
      <w:r>
        <w:rPr>
          <w:rFonts w:hint="eastAsia" w:ascii="宋体" w:hAnsi="宋体" w:eastAsia="宋体" w:cs="宋体"/>
        </w:rPr>
        <w:t>79</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96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"_Toc517876668"</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第七章</w:t>
      </w:r>
      <w:r>
        <w:rPr>
          <w:rFonts w:hint="eastAsia" w:ascii="宋体" w:hAnsi="宋体" w:eastAsia="宋体" w:cs="宋体"/>
          <w:b w:val="0"/>
          <w:bCs w:val="0"/>
          <w:caps w:val="0"/>
          <w:sz w:val="24"/>
        </w:rPr>
        <w:tab/>
      </w:r>
      <w:r>
        <w:rPr>
          <w:rStyle w:val="17"/>
          <w:rFonts w:hint="eastAsia" w:ascii="宋体" w:hAnsi="宋体" w:eastAsia="宋体" w:cs="宋体"/>
        </w:rPr>
        <w:t>第三方服务交付管理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_Toc517876668 \h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96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"_Toc517876669"</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第八章</w:t>
      </w:r>
      <w:r>
        <w:rPr>
          <w:rFonts w:hint="eastAsia" w:ascii="宋体" w:hAnsi="宋体" w:eastAsia="宋体" w:cs="宋体"/>
          <w:b w:val="0"/>
          <w:bCs w:val="0"/>
          <w:caps w:val="0"/>
          <w:sz w:val="24"/>
        </w:rPr>
        <w:tab/>
      </w:r>
      <w:r>
        <w:rPr>
          <w:rStyle w:val="17"/>
          <w:rFonts w:hint="eastAsia" w:ascii="宋体" w:hAnsi="宋体" w:eastAsia="宋体" w:cs="宋体"/>
        </w:rPr>
        <w:t>第三方信息传输</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_Toc517876669 \h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96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"_Toc517876670"</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第九章</w:t>
      </w:r>
      <w:r>
        <w:rPr>
          <w:rFonts w:hint="eastAsia" w:ascii="宋体" w:hAnsi="宋体" w:eastAsia="宋体" w:cs="宋体"/>
          <w:b w:val="0"/>
          <w:bCs w:val="0"/>
          <w:caps w:val="0"/>
          <w:sz w:val="24"/>
        </w:rPr>
        <w:tab/>
      </w:r>
      <w:r>
        <w:rPr>
          <w:rStyle w:val="17"/>
          <w:rFonts w:hint="eastAsia" w:ascii="宋体" w:hAnsi="宋体" w:eastAsia="宋体" w:cs="宋体"/>
        </w:rPr>
        <w:t>第三方变更管理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_Toc517876670 \h </w:instrText>
      </w:r>
      <w:r>
        <w:rPr>
          <w:rFonts w:hint="eastAsia" w:ascii="宋体" w:hAnsi="宋体" w:eastAsia="宋体" w:cs="宋体"/>
        </w:rPr>
        <w:fldChar w:fldCharType="separate"/>
      </w:r>
      <w:r>
        <w:rPr>
          <w:rFonts w:hint="eastAsia" w:ascii="宋体" w:hAnsi="宋体" w:eastAsia="宋体" w:cs="宋体"/>
        </w:rPr>
        <w:t>81</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96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"_Toc517876671"</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第十章</w:t>
      </w:r>
      <w:r>
        <w:rPr>
          <w:rFonts w:hint="eastAsia" w:ascii="宋体" w:hAnsi="宋体" w:eastAsia="宋体" w:cs="宋体"/>
          <w:b w:val="0"/>
          <w:bCs w:val="0"/>
          <w:caps w:val="0"/>
          <w:sz w:val="24"/>
        </w:rPr>
        <w:tab/>
      </w:r>
      <w:r>
        <w:rPr>
          <w:rStyle w:val="17"/>
          <w:rFonts w:hint="eastAsia" w:ascii="宋体" w:hAnsi="宋体" w:eastAsia="宋体" w:cs="宋体"/>
        </w:rPr>
        <w:t>第三方出入管理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_Toc517876671 \h </w:instrText>
      </w:r>
      <w:r>
        <w:rPr>
          <w:rFonts w:hint="eastAsia" w:ascii="宋体" w:hAnsi="宋体" w:eastAsia="宋体" w:cs="宋体"/>
        </w:rPr>
        <w:fldChar w:fldCharType="separate"/>
      </w:r>
      <w:r>
        <w:rPr>
          <w:rFonts w:hint="eastAsia" w:ascii="宋体" w:hAnsi="宋体" w:eastAsia="宋体" w:cs="宋体"/>
        </w:rPr>
        <w:t>81</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120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"_Toc517876672"</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第十一章</w:t>
      </w:r>
      <w:r>
        <w:rPr>
          <w:rFonts w:hint="eastAsia" w:ascii="宋体" w:hAnsi="宋体" w:eastAsia="宋体" w:cs="宋体"/>
          <w:b w:val="0"/>
          <w:bCs w:val="0"/>
          <w:caps w:val="0"/>
          <w:sz w:val="24"/>
        </w:rPr>
        <w:tab/>
      </w:r>
      <w:r>
        <w:rPr>
          <w:rStyle w:val="17"/>
          <w:rFonts w:hint="eastAsia" w:ascii="宋体" w:hAnsi="宋体" w:eastAsia="宋体" w:cs="宋体"/>
        </w:rPr>
        <w:t>信息系统使用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_Toc517876672 \h </w:instrText>
      </w:r>
      <w:r>
        <w:rPr>
          <w:rFonts w:hint="eastAsia" w:ascii="宋体" w:hAnsi="宋体" w:eastAsia="宋体" w:cs="宋体"/>
        </w:rPr>
        <w:fldChar w:fldCharType="separate"/>
      </w:r>
      <w:r>
        <w:rPr>
          <w:rFonts w:hint="eastAsia" w:ascii="宋体" w:hAnsi="宋体" w:eastAsia="宋体" w:cs="宋体"/>
        </w:rPr>
        <w:t>83</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120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"_Toc517876673"</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第十二章</w:t>
      </w:r>
      <w:r>
        <w:rPr>
          <w:rFonts w:hint="eastAsia" w:ascii="宋体" w:hAnsi="宋体" w:eastAsia="宋体" w:cs="宋体"/>
          <w:b w:val="0"/>
          <w:bCs w:val="0"/>
          <w:caps w:val="0"/>
          <w:sz w:val="24"/>
        </w:rPr>
        <w:tab/>
      </w:r>
      <w:r>
        <w:rPr>
          <w:rStyle w:val="17"/>
          <w:rFonts w:hint="eastAsia" w:ascii="宋体" w:hAnsi="宋体" w:eastAsia="宋体" w:cs="宋体"/>
        </w:rPr>
        <w:t>持续改进</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_Toc517876673 \h </w:instrText>
      </w:r>
      <w:r>
        <w:rPr>
          <w:rFonts w:hint="eastAsia" w:ascii="宋体" w:hAnsi="宋体" w:eastAsia="宋体" w:cs="宋体"/>
        </w:rPr>
        <w:fldChar w:fldCharType="separate"/>
      </w:r>
      <w:r>
        <w:rPr>
          <w:rFonts w:hint="eastAsia" w:ascii="宋体" w:hAnsi="宋体" w:eastAsia="宋体" w:cs="宋体"/>
        </w:rPr>
        <w:t>83</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120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"_Toc517876674"</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第十三章</w:t>
      </w:r>
      <w:r>
        <w:rPr>
          <w:rFonts w:hint="eastAsia" w:ascii="宋体" w:hAnsi="宋体" w:eastAsia="宋体" w:cs="宋体"/>
          <w:b w:val="0"/>
          <w:bCs w:val="0"/>
          <w:caps w:val="0"/>
          <w:sz w:val="24"/>
        </w:rPr>
        <w:tab/>
      </w:r>
      <w:r>
        <w:rPr>
          <w:rStyle w:val="17"/>
          <w:rFonts w:hint="eastAsia" w:ascii="宋体" w:hAnsi="宋体" w:eastAsia="宋体" w:cs="宋体"/>
        </w:rPr>
        <w:t>附则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_Toc517876674 \h </w:instrText>
      </w:r>
      <w:r>
        <w:rPr>
          <w:rFonts w:hint="eastAsia" w:ascii="宋体" w:hAnsi="宋体" w:eastAsia="宋体" w:cs="宋体"/>
        </w:rPr>
        <w:fldChar w:fldCharType="separate"/>
      </w:r>
      <w:r>
        <w:rPr>
          <w:rFonts w:hint="eastAsia" w:ascii="宋体" w:hAnsi="宋体" w:eastAsia="宋体" w:cs="宋体"/>
        </w:rPr>
        <w:t>84</w:t>
      </w:r>
      <w:r>
        <w:rPr>
          <w:rFonts w:hint="eastAsia" w:ascii="宋体" w:hAnsi="宋体" w:eastAsia="宋体" w:cs="宋体"/>
        </w:rPr>
        <w:fldChar w:fldCharType="end"/>
      </w:r>
      <w:r>
        <w:rPr>
          <w:rStyle w:val="17"/>
          <w:rFonts w:hint="eastAsia" w:ascii="宋体" w:hAnsi="宋体" w:eastAsia="宋体" w:cs="宋体"/>
        </w:rPr>
        <w:fldChar w:fldCharType="end"/>
      </w:r>
    </w:p>
    <w:p>
      <w:pPr>
        <w:pStyle w:val="13"/>
        <w:tabs>
          <w:tab w:val="left" w:pos="1200"/>
          <w:tab w:val="right" w:leader="dot" w:pos="9060"/>
        </w:tabs>
        <w:rPr>
          <w:rFonts w:hint="eastAsia" w:ascii="宋体" w:hAnsi="宋体" w:eastAsia="宋体" w:cs="宋体"/>
          <w:b w:val="0"/>
          <w:bCs w:val="0"/>
          <w:caps w:val="0"/>
          <w:sz w:val="24"/>
        </w:rPr>
      </w:pPr>
      <w:r>
        <w:rPr>
          <w:rStyle w:val="17"/>
          <w:rFonts w:hint="eastAsia" w:ascii="宋体" w:hAnsi="宋体" w:eastAsia="宋体" w:cs="宋体"/>
        </w:rPr>
        <w:fldChar w:fldCharType="begin"/>
      </w:r>
      <w:r>
        <w:rPr>
          <w:rStyle w:val="17"/>
          <w:rFonts w:hint="eastAsia" w:ascii="宋体" w:hAnsi="宋体" w:eastAsia="宋体" w:cs="宋体"/>
        </w:rPr>
        <w:instrText xml:space="preserve"> </w:instrText>
      </w:r>
      <w:r>
        <w:rPr>
          <w:rFonts w:hint="eastAsia" w:ascii="宋体" w:hAnsi="宋体" w:eastAsia="宋体" w:cs="宋体"/>
        </w:rPr>
        <w:instrText xml:space="preserve">HYPERLINK \l "_Toc517876675"</w:instrText>
      </w:r>
      <w:r>
        <w:rPr>
          <w:rStyle w:val="17"/>
          <w:rFonts w:hint="eastAsia" w:ascii="宋体" w:hAnsi="宋体" w:eastAsia="宋体" w:cs="宋体"/>
        </w:rPr>
        <w:instrText xml:space="preserve"> </w:instrText>
      </w:r>
      <w:r>
        <w:rPr>
          <w:rStyle w:val="17"/>
          <w:rFonts w:hint="eastAsia" w:ascii="宋体" w:hAnsi="宋体" w:eastAsia="宋体" w:cs="宋体"/>
        </w:rPr>
        <w:fldChar w:fldCharType="separate"/>
      </w:r>
      <w:r>
        <w:rPr>
          <w:rStyle w:val="17"/>
          <w:rFonts w:hint="eastAsia" w:ascii="宋体" w:hAnsi="宋体" w:eastAsia="宋体" w:cs="宋体"/>
        </w:rPr>
        <w:t>第十四章</w:t>
      </w:r>
      <w:r>
        <w:rPr>
          <w:rFonts w:hint="eastAsia" w:ascii="宋体" w:hAnsi="宋体" w:eastAsia="宋体" w:cs="宋体"/>
          <w:b w:val="0"/>
          <w:bCs w:val="0"/>
          <w:caps w:val="0"/>
          <w:sz w:val="24"/>
        </w:rPr>
        <w:tab/>
      </w:r>
      <w:r>
        <w:rPr>
          <w:rStyle w:val="17"/>
          <w:rFonts w:hint="eastAsia" w:ascii="宋体" w:hAnsi="宋体" w:eastAsia="宋体" w:cs="宋体"/>
        </w:rPr>
        <w:t>附录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_Toc517876675 \h </w:instrText>
      </w:r>
      <w:r>
        <w:rPr>
          <w:rFonts w:hint="eastAsia" w:ascii="宋体" w:hAnsi="宋体" w:eastAsia="宋体" w:cs="宋体"/>
        </w:rPr>
        <w:fldChar w:fldCharType="separate"/>
      </w:r>
      <w:r>
        <w:rPr>
          <w:rFonts w:hint="eastAsia" w:ascii="宋体" w:hAnsi="宋体" w:eastAsia="宋体" w:cs="宋体"/>
        </w:rPr>
        <w:t>84</w:t>
      </w:r>
      <w:r>
        <w:rPr>
          <w:rFonts w:hint="eastAsia" w:ascii="宋体" w:hAnsi="宋体" w:eastAsia="宋体" w:cs="宋体"/>
        </w:rPr>
        <w:fldChar w:fldCharType="end"/>
      </w:r>
      <w:r>
        <w:rPr>
          <w:rStyle w:val="17"/>
          <w:rFonts w:hint="eastAsia" w:ascii="宋体" w:hAnsi="宋体" w:eastAsia="宋体" w:cs="宋体"/>
        </w:rPr>
        <w:fldChar w:fldCharType="end"/>
      </w:r>
    </w:p>
    <w:p>
      <w:pPr>
        <w:rPr>
          <w:rFonts w:hint="eastAsia" w:ascii="宋体" w:hAnsi="宋体" w:eastAsia="宋体" w:cs="宋体"/>
        </w:rPr>
        <w:sectPr>
          <w:footerReference r:id="rId9" w:type="first"/>
          <w:pgSz w:w="11906" w:h="16838"/>
          <w:pgMar w:top="1418" w:right="1418" w:bottom="1247" w:left="1418" w:header="851" w:footer="567" w:gutter="0"/>
          <w:cols w:space="720" w:num="1"/>
          <w:titlePg/>
          <w:docGrid w:type="lines" w:linePitch="312" w:charSpace="0"/>
        </w:sectPr>
      </w:pPr>
      <w:r>
        <w:rPr>
          <w:rFonts w:hint="eastAsia" w:ascii="宋体" w:hAnsi="宋体" w:eastAsia="宋体" w:cs="宋体"/>
          <w:sz w:val="24"/>
          <w:szCs w:val="24"/>
        </w:rPr>
        <w:fldChar w:fldCharType="end"/>
      </w:r>
    </w:p>
    <w:p>
      <w:pPr>
        <w:pStyle w:val="5"/>
        <w:numPr>
          <w:ilvl w:val="0"/>
          <w:numId w:val="0"/>
        </w:numPr>
        <w:spacing w:line="360" w:lineRule="auto"/>
        <w:ind w:leftChars="0"/>
        <w:jc w:val="center"/>
        <w:rPr>
          <w:rFonts w:hint="eastAsia" w:ascii="宋体" w:hAnsi="宋体" w:eastAsia="宋体" w:cs="宋体"/>
          <w:sz w:val="28"/>
          <w:szCs w:val="28"/>
        </w:rPr>
      </w:pPr>
      <w:bookmarkStart w:id="394" w:name="_Toc517876735"/>
      <w:bookmarkStart w:id="395" w:name="_Toc257192976"/>
      <w:bookmarkStart w:id="396" w:name="_Toc517876662"/>
      <w:r>
        <w:rPr>
          <w:rFonts w:hint="eastAsia" w:ascii="宋体" w:hAnsi="宋体" w:eastAsia="宋体" w:cs="宋体"/>
          <w:sz w:val="28"/>
          <w:szCs w:val="28"/>
          <w:lang w:val="en-US" w:eastAsia="zh-CN"/>
        </w:rPr>
        <w:t xml:space="preserve">第一章 </w:t>
      </w:r>
      <w:r>
        <w:rPr>
          <w:rFonts w:hint="eastAsia" w:ascii="宋体" w:hAnsi="宋体" w:eastAsia="宋体" w:cs="宋体"/>
          <w:sz w:val="28"/>
          <w:szCs w:val="28"/>
        </w:rPr>
        <w:t>总则</w:t>
      </w:r>
      <w:bookmarkEnd w:id="394"/>
      <w:bookmarkEnd w:id="395"/>
      <w:bookmarkEnd w:id="396"/>
    </w:p>
    <w:p>
      <w:pPr>
        <w:pStyle w:val="6"/>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第一条 </w:t>
      </w:r>
      <w:r>
        <w:rPr>
          <w:rFonts w:hint="eastAsia" w:ascii="宋体" w:hAnsi="宋体" w:eastAsia="宋体" w:cs="宋体"/>
          <w:b w:val="0"/>
          <w:bCs w:val="0"/>
          <w:sz w:val="24"/>
          <w:szCs w:val="24"/>
        </w:rPr>
        <w:t>为了加强对第三方的安全管理，明确定义第三方必须遵守的安全管理规定以及服务交付的安全要求等，特制定本文件。</w:t>
      </w:r>
    </w:p>
    <w:p>
      <w:pPr>
        <w:pStyle w:val="5"/>
        <w:numPr>
          <w:ilvl w:val="0"/>
          <w:numId w:val="0"/>
        </w:numPr>
        <w:spacing w:line="360" w:lineRule="auto"/>
        <w:ind w:leftChars="0"/>
        <w:jc w:val="center"/>
        <w:rPr>
          <w:rFonts w:hint="eastAsia" w:ascii="宋体" w:hAnsi="宋体" w:eastAsia="宋体" w:cs="宋体"/>
        </w:rPr>
      </w:pPr>
      <w:bookmarkStart w:id="397" w:name="_Toc257192977"/>
      <w:bookmarkStart w:id="398" w:name="_Toc517876663"/>
      <w:bookmarkStart w:id="399" w:name="_Toc517876736"/>
      <w:r>
        <w:rPr>
          <w:rFonts w:hint="eastAsia" w:ascii="宋体" w:hAnsi="宋体" w:eastAsia="宋体" w:cs="宋体"/>
          <w:sz w:val="28"/>
          <w:szCs w:val="28"/>
          <w:lang w:val="en-US" w:eastAsia="zh-CN"/>
        </w:rPr>
        <w:t xml:space="preserve">第二章 </w:t>
      </w:r>
      <w:r>
        <w:rPr>
          <w:rFonts w:hint="eastAsia" w:ascii="宋体" w:hAnsi="宋体" w:eastAsia="宋体" w:cs="宋体"/>
          <w:sz w:val="28"/>
          <w:szCs w:val="28"/>
        </w:rPr>
        <w:t>适用范围</w:t>
      </w:r>
      <w:bookmarkEnd w:id="397"/>
      <w:bookmarkEnd w:id="398"/>
      <w:bookmarkEnd w:id="399"/>
    </w:p>
    <w:p>
      <w:pPr>
        <w:pStyle w:val="6"/>
        <w:spacing w:line="360" w:lineRule="auto"/>
        <w:rPr>
          <w:rFonts w:hint="eastAsia" w:ascii="宋体" w:hAnsi="宋体" w:eastAsia="宋体" w:cs="宋体"/>
        </w:rPr>
      </w:pPr>
      <w:r>
        <w:rPr>
          <w:rFonts w:hint="eastAsia" w:ascii="宋体" w:hAnsi="宋体" w:eastAsia="宋体" w:cs="宋体"/>
          <w:sz w:val="24"/>
          <w:szCs w:val="24"/>
          <w:lang w:val="en-US" w:eastAsia="zh-CN"/>
        </w:rPr>
        <w:t xml:space="preserve">第二条 </w:t>
      </w:r>
      <w:r>
        <w:rPr>
          <w:rFonts w:hint="eastAsia" w:ascii="宋体" w:hAnsi="宋体" w:eastAsia="宋体" w:cs="宋体"/>
          <w:b w:val="0"/>
          <w:bCs w:val="0"/>
          <w:sz w:val="24"/>
          <w:szCs w:val="24"/>
        </w:rPr>
        <w:t>本文件适用于</w:t>
      </w:r>
      <w:r>
        <w:rPr>
          <w:rFonts w:hint="eastAsia" w:ascii="宋体" w:hAnsi="宋体" w:eastAsia="宋体" w:cs="宋体"/>
          <w:b w:val="0"/>
          <w:bCs w:val="0"/>
          <w:sz w:val="24"/>
          <w:szCs w:val="24"/>
          <w:lang w:eastAsia="zh-CN"/>
        </w:rPr>
        <w:t>舟山市大数据管理局</w:t>
      </w:r>
      <w:r>
        <w:rPr>
          <w:rFonts w:hint="eastAsia" w:ascii="宋体" w:hAnsi="宋体" w:eastAsia="宋体" w:cs="宋体"/>
          <w:b w:val="0"/>
          <w:bCs w:val="0"/>
          <w:sz w:val="24"/>
          <w:szCs w:val="24"/>
        </w:rPr>
        <w:t>对第三方以及外包服务的安全管理。</w:t>
      </w:r>
    </w:p>
    <w:p>
      <w:pPr>
        <w:pStyle w:val="5"/>
        <w:numPr>
          <w:ilvl w:val="0"/>
          <w:numId w:val="0"/>
        </w:numPr>
        <w:spacing w:line="360" w:lineRule="auto"/>
        <w:ind w:leftChars="0"/>
        <w:jc w:val="center"/>
        <w:rPr>
          <w:rFonts w:hint="eastAsia" w:ascii="宋体" w:hAnsi="宋体" w:eastAsia="宋体" w:cs="宋体"/>
        </w:rPr>
      </w:pPr>
      <w:bookmarkStart w:id="400" w:name="_Toc257192978"/>
      <w:bookmarkStart w:id="401" w:name="_Toc517876737"/>
      <w:bookmarkStart w:id="402" w:name="_Toc517876664"/>
      <w:r>
        <w:rPr>
          <w:rFonts w:hint="eastAsia" w:ascii="宋体" w:hAnsi="宋体" w:eastAsia="宋体" w:cs="宋体"/>
          <w:sz w:val="28"/>
          <w:szCs w:val="28"/>
          <w:lang w:val="en-US" w:eastAsia="zh-CN"/>
        </w:rPr>
        <w:t xml:space="preserve">第三章 </w:t>
      </w:r>
      <w:r>
        <w:rPr>
          <w:rFonts w:hint="eastAsia" w:ascii="宋体" w:hAnsi="宋体" w:eastAsia="宋体" w:cs="宋体"/>
          <w:sz w:val="28"/>
          <w:szCs w:val="28"/>
        </w:rPr>
        <w:t>术语定义</w:t>
      </w:r>
      <w:bookmarkEnd w:id="400"/>
      <w:bookmarkEnd w:id="401"/>
      <w:bookmarkEnd w:id="402"/>
    </w:p>
    <w:p>
      <w:pPr>
        <w:pStyle w:val="6"/>
        <w:spacing w:line="360" w:lineRule="auto"/>
        <w:rPr>
          <w:rFonts w:hint="eastAsia" w:ascii="宋体" w:hAnsi="宋体" w:eastAsia="宋体" w:cs="宋体"/>
        </w:rPr>
      </w:pPr>
      <w:r>
        <w:rPr>
          <w:rFonts w:hint="eastAsia" w:ascii="宋体" w:hAnsi="宋体" w:eastAsia="宋体" w:cs="宋体"/>
          <w:sz w:val="24"/>
          <w:szCs w:val="24"/>
          <w:lang w:val="en-US" w:eastAsia="zh-CN"/>
        </w:rPr>
        <w:t xml:space="preserve">第三条 </w:t>
      </w:r>
      <w:r>
        <w:rPr>
          <w:rFonts w:hint="eastAsia" w:ascii="宋体" w:hAnsi="宋体" w:eastAsia="宋体" w:cs="宋体"/>
          <w:b w:val="0"/>
          <w:bCs w:val="0"/>
          <w:sz w:val="24"/>
          <w:szCs w:val="24"/>
          <w:lang w:val="en-US" w:eastAsia="zh-CN"/>
        </w:rPr>
        <w:t>本文件中第三方</w:t>
      </w:r>
      <w:r>
        <w:rPr>
          <w:rFonts w:hint="eastAsia" w:ascii="宋体" w:hAnsi="宋体" w:eastAsia="宋体" w:cs="宋体"/>
          <w:b w:val="0"/>
          <w:bCs w:val="0"/>
          <w:sz w:val="24"/>
          <w:szCs w:val="24"/>
          <w:lang w:eastAsia="zh-CN"/>
        </w:rPr>
        <w:t>是指所有进入舟山市大数据管理局内部提供相关技术服务的非舟山市大数据管理局人员（包括但不限于供应商、合作厂商、服务商）</w:t>
      </w:r>
      <w:r>
        <w:rPr>
          <w:rFonts w:hint="eastAsia" w:ascii="宋体" w:hAnsi="宋体" w:eastAsia="宋体" w:cs="宋体"/>
          <w:b w:val="0"/>
          <w:bCs w:val="0"/>
          <w:sz w:val="24"/>
          <w:szCs w:val="24"/>
          <w:lang w:val="en-US" w:eastAsia="zh-CN"/>
        </w:rPr>
        <w:t>。</w:t>
      </w:r>
    </w:p>
    <w:p>
      <w:pPr>
        <w:pStyle w:val="5"/>
        <w:numPr>
          <w:ilvl w:val="0"/>
          <w:numId w:val="0"/>
        </w:numPr>
        <w:spacing w:line="360" w:lineRule="auto"/>
        <w:ind w:leftChars="0"/>
        <w:jc w:val="center"/>
        <w:rPr>
          <w:rFonts w:hint="eastAsia" w:ascii="宋体" w:hAnsi="宋体" w:eastAsia="宋体" w:cs="宋体"/>
        </w:rPr>
      </w:pPr>
      <w:bookmarkStart w:id="403" w:name="_Toc517876665"/>
      <w:bookmarkStart w:id="404" w:name="_Toc517876738"/>
      <w:bookmarkStart w:id="405" w:name="_Toc257192979"/>
      <w:r>
        <w:rPr>
          <w:rFonts w:hint="eastAsia" w:ascii="宋体" w:hAnsi="宋体" w:eastAsia="宋体" w:cs="宋体"/>
          <w:sz w:val="28"/>
          <w:szCs w:val="28"/>
          <w:lang w:val="en-US" w:eastAsia="zh-CN"/>
        </w:rPr>
        <w:t xml:space="preserve">第四章 </w:t>
      </w:r>
      <w:r>
        <w:rPr>
          <w:rFonts w:hint="eastAsia" w:ascii="宋体" w:hAnsi="宋体" w:eastAsia="宋体" w:cs="宋体"/>
          <w:sz w:val="28"/>
          <w:szCs w:val="28"/>
        </w:rPr>
        <w:t>组织职责</w:t>
      </w:r>
      <w:bookmarkEnd w:id="403"/>
      <w:bookmarkEnd w:id="404"/>
      <w:bookmarkEnd w:id="405"/>
    </w:p>
    <w:p>
      <w:pPr>
        <w:pStyle w:val="6"/>
        <w:spacing w:line="360" w:lineRule="auto"/>
        <w:rPr>
          <w:rFonts w:hint="eastAsia" w:ascii="宋体" w:hAnsi="宋体" w:eastAsia="宋体" w:cs="宋体"/>
        </w:rPr>
      </w:pPr>
      <w:r>
        <w:rPr>
          <w:rFonts w:hint="eastAsia" w:ascii="宋体" w:hAnsi="宋体" w:eastAsia="宋体" w:cs="宋体"/>
          <w:sz w:val="24"/>
          <w:szCs w:val="24"/>
          <w:lang w:val="en-US" w:eastAsia="zh-CN"/>
        </w:rPr>
        <w:t xml:space="preserve">第四条 </w:t>
      </w:r>
      <w:r>
        <w:rPr>
          <w:rFonts w:hint="eastAsia" w:ascii="宋体" w:hAnsi="宋体" w:eastAsia="宋体" w:cs="宋体"/>
          <w:b w:val="0"/>
          <w:bCs w:val="0"/>
          <w:sz w:val="24"/>
          <w:szCs w:val="24"/>
          <w:lang w:eastAsia="zh-CN"/>
        </w:rPr>
        <w:t>第三方管理部门或人员一般为信息系统相关外包服务项目管理部门或人员，职责：</w:t>
      </w:r>
    </w:p>
    <w:p>
      <w:pPr>
        <w:widowControl/>
        <w:numPr>
          <w:ilvl w:val="0"/>
          <w:numId w:val="7"/>
        </w:numPr>
        <w:spacing w:line="360" w:lineRule="auto"/>
        <w:ind w:left="1259"/>
        <w:jc w:val="left"/>
        <w:outlineLvl w:val="2"/>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按照权限最小的原则，负责第三方权限的申请工作。</w:t>
      </w:r>
    </w:p>
    <w:p>
      <w:pPr>
        <w:widowControl/>
        <w:numPr>
          <w:ilvl w:val="0"/>
          <w:numId w:val="7"/>
        </w:numPr>
        <w:spacing w:line="360" w:lineRule="auto"/>
        <w:ind w:left="1259"/>
        <w:jc w:val="left"/>
        <w:outlineLvl w:val="2"/>
        <w:rPr>
          <w:rFonts w:hint="eastAsia" w:ascii="宋体" w:hAnsi="宋体" w:eastAsia="宋体" w:cs="宋体"/>
          <w:b w:val="0"/>
          <w:bCs w:val="0"/>
          <w:kern w:val="0"/>
          <w:sz w:val="24"/>
          <w:szCs w:val="24"/>
          <w:lang w:val="en-US" w:eastAsia="zh-CN" w:bidi="ar"/>
        </w:rPr>
      </w:pPr>
      <w:bookmarkStart w:id="406" w:name="_Toc165438945"/>
      <w:bookmarkStart w:id="407" w:name="_Toc165196025"/>
      <w:bookmarkStart w:id="408" w:name="_Toc165193889"/>
      <w:bookmarkStart w:id="409" w:name="_Toc165438872"/>
      <w:r>
        <w:rPr>
          <w:rFonts w:hint="eastAsia" w:ascii="宋体" w:hAnsi="宋体" w:eastAsia="宋体" w:cs="宋体"/>
          <w:b w:val="0"/>
          <w:bCs w:val="0"/>
          <w:kern w:val="0"/>
          <w:sz w:val="24"/>
          <w:szCs w:val="24"/>
          <w:lang w:val="en-US" w:eastAsia="zh-CN" w:bidi="ar"/>
        </w:rPr>
        <w:t>按照</w:t>
      </w:r>
      <w:bookmarkEnd w:id="406"/>
      <w:bookmarkEnd w:id="407"/>
      <w:bookmarkEnd w:id="408"/>
      <w:bookmarkEnd w:id="409"/>
      <w:bookmarkStart w:id="410" w:name="_Toc165193890"/>
      <w:bookmarkStart w:id="411" w:name="_Toc165438946"/>
      <w:bookmarkStart w:id="412" w:name="_Toc165438873"/>
      <w:bookmarkStart w:id="413" w:name="_Toc162846312"/>
      <w:bookmarkStart w:id="414" w:name="_Toc162846107"/>
      <w:bookmarkStart w:id="415" w:name="_Toc165196026"/>
      <w:r>
        <w:rPr>
          <w:rFonts w:hint="eastAsia" w:ascii="宋体" w:hAnsi="宋体" w:eastAsia="宋体" w:cs="宋体"/>
          <w:b w:val="0"/>
          <w:bCs w:val="0"/>
          <w:kern w:val="0"/>
          <w:sz w:val="24"/>
          <w:szCs w:val="24"/>
          <w:lang w:val="en-US" w:eastAsia="zh-CN" w:bidi="ar"/>
        </w:rPr>
        <w:t>单位的相关规定选择声誉良好，值得信赖的第三方服务商。</w:t>
      </w:r>
    </w:p>
    <w:bookmarkEnd w:id="410"/>
    <w:bookmarkEnd w:id="411"/>
    <w:bookmarkEnd w:id="412"/>
    <w:bookmarkEnd w:id="413"/>
    <w:bookmarkEnd w:id="414"/>
    <w:bookmarkEnd w:id="415"/>
    <w:p>
      <w:pPr>
        <w:widowControl/>
        <w:numPr>
          <w:ilvl w:val="0"/>
          <w:numId w:val="7"/>
        </w:numPr>
        <w:spacing w:line="360" w:lineRule="auto"/>
        <w:ind w:left="1259"/>
        <w:jc w:val="left"/>
        <w:outlineLvl w:val="2"/>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负责对第三方的信息安全培训以及第三方人员现场工作的管理。</w:t>
      </w:r>
    </w:p>
    <w:p>
      <w:pPr>
        <w:widowControl/>
        <w:numPr>
          <w:ilvl w:val="0"/>
          <w:numId w:val="7"/>
        </w:numPr>
        <w:spacing w:line="360" w:lineRule="auto"/>
        <w:ind w:left="1259"/>
        <w:jc w:val="left"/>
        <w:outlineLvl w:val="2"/>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负责在协议或合同谈判阶段，与第三方签订保密协议以及确定服务安全的要求。</w:t>
      </w:r>
    </w:p>
    <w:p>
      <w:pPr>
        <w:widowControl/>
        <w:numPr>
          <w:ilvl w:val="0"/>
          <w:numId w:val="7"/>
        </w:numPr>
        <w:spacing w:line="360" w:lineRule="auto"/>
        <w:ind w:left="1259"/>
        <w:jc w:val="left"/>
        <w:outlineLvl w:val="2"/>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根据合同或服务协议对第三方服务交付进行管理，保证服务交付质量。</w:t>
      </w:r>
    </w:p>
    <w:p>
      <w:pPr>
        <w:pStyle w:val="5"/>
        <w:numPr>
          <w:ilvl w:val="0"/>
          <w:numId w:val="0"/>
        </w:numPr>
        <w:spacing w:line="360" w:lineRule="auto"/>
        <w:ind w:leftChars="0"/>
        <w:jc w:val="center"/>
        <w:rPr>
          <w:rFonts w:hint="eastAsia" w:ascii="宋体" w:hAnsi="宋体" w:eastAsia="宋体" w:cs="宋体"/>
          <w:b w:val="0"/>
          <w:bCs w:val="0"/>
          <w:kern w:val="0"/>
          <w:sz w:val="24"/>
          <w:szCs w:val="24"/>
          <w:lang w:val="en-US" w:eastAsia="zh-CN" w:bidi="ar"/>
        </w:rPr>
      </w:pPr>
      <w:bookmarkStart w:id="416" w:name="_Toc517876739"/>
      <w:bookmarkStart w:id="417" w:name="_Toc257192980"/>
      <w:bookmarkStart w:id="418" w:name="_Toc517876666"/>
      <w:r>
        <w:rPr>
          <w:rFonts w:hint="eastAsia" w:ascii="宋体" w:hAnsi="宋体" w:eastAsia="宋体" w:cs="宋体"/>
          <w:sz w:val="28"/>
          <w:szCs w:val="28"/>
          <w:lang w:val="en-US" w:eastAsia="zh-CN"/>
        </w:rPr>
        <w:t xml:space="preserve">第五章 </w:t>
      </w:r>
      <w:r>
        <w:rPr>
          <w:rFonts w:hint="eastAsia" w:ascii="宋体" w:hAnsi="宋体" w:eastAsia="宋体" w:cs="宋体"/>
          <w:sz w:val="28"/>
          <w:szCs w:val="28"/>
        </w:rPr>
        <w:t>第三方选择要求</w:t>
      </w:r>
      <w:bookmarkEnd w:id="416"/>
      <w:bookmarkEnd w:id="417"/>
      <w:bookmarkEnd w:id="418"/>
    </w:p>
    <w:p>
      <w:pPr>
        <w:pStyle w:val="6"/>
        <w:spacing w:line="360" w:lineRule="auto"/>
        <w:rPr>
          <w:rFonts w:hint="eastAsia" w:ascii="宋体" w:hAnsi="宋体" w:eastAsia="宋体" w:cs="宋体"/>
        </w:rPr>
      </w:pPr>
      <w:bookmarkStart w:id="419" w:name="_Toc165448791"/>
      <w:r>
        <w:rPr>
          <w:rFonts w:hint="eastAsia" w:ascii="宋体" w:hAnsi="宋体" w:eastAsia="宋体" w:cs="宋体"/>
          <w:sz w:val="24"/>
          <w:szCs w:val="24"/>
          <w:lang w:val="en-US" w:eastAsia="zh-CN"/>
        </w:rPr>
        <w:t>第五条</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第三方选择基本要求</w:t>
      </w:r>
      <w:bookmarkEnd w:id="419"/>
      <w:r>
        <w:rPr>
          <w:rFonts w:hint="eastAsia" w:ascii="宋体" w:hAnsi="宋体" w:eastAsia="宋体" w:cs="宋体"/>
          <w:b w:val="0"/>
          <w:bCs w:val="0"/>
          <w:sz w:val="24"/>
          <w:szCs w:val="24"/>
          <w:lang w:eastAsia="zh-CN"/>
        </w:rPr>
        <w:t>：</w:t>
      </w:r>
    </w:p>
    <w:p>
      <w:pPr>
        <w:widowControl/>
        <w:numPr>
          <w:ilvl w:val="0"/>
          <w:numId w:val="8"/>
        </w:numPr>
        <w:spacing w:line="360" w:lineRule="auto"/>
        <w:ind w:left="1259"/>
        <w:jc w:val="left"/>
        <w:outlineLvl w:val="2"/>
        <w:rPr>
          <w:rFonts w:hint="eastAsia" w:ascii="宋体" w:hAnsi="宋体" w:eastAsia="宋体" w:cs="宋体"/>
          <w:b w:val="0"/>
          <w:bCs w:val="0"/>
          <w:kern w:val="0"/>
          <w:sz w:val="24"/>
          <w:szCs w:val="24"/>
          <w:lang w:val="en-US" w:eastAsia="zh-CN" w:bidi="ar"/>
        </w:rPr>
      </w:pPr>
      <w:bookmarkStart w:id="420" w:name="_Toc143075328"/>
      <w:bookmarkStart w:id="421" w:name="_Toc143074871"/>
      <w:bookmarkStart w:id="422" w:name="_Toc143075493"/>
      <w:r>
        <w:rPr>
          <w:rFonts w:hint="eastAsia" w:ascii="宋体" w:hAnsi="宋体" w:eastAsia="宋体" w:cs="宋体"/>
          <w:b w:val="0"/>
          <w:bCs w:val="0"/>
          <w:kern w:val="0"/>
          <w:sz w:val="24"/>
          <w:szCs w:val="24"/>
          <w:lang w:val="en-US" w:eastAsia="zh-CN" w:bidi="ar"/>
        </w:rPr>
        <w:t>准确理解需求原则：第三方必须对舟山市大数据管理局信息系统外包服务的需求有深刻的理解，凡不能准确理解需求或与需求相背者不予选择。</w:t>
      </w:r>
    </w:p>
    <w:p>
      <w:pPr>
        <w:widowControl/>
        <w:numPr>
          <w:ilvl w:val="0"/>
          <w:numId w:val="8"/>
        </w:numPr>
        <w:spacing w:line="360" w:lineRule="auto"/>
        <w:ind w:left="1259"/>
        <w:jc w:val="left"/>
        <w:outlineLvl w:val="2"/>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技术能力：要求第三方具备所需的技术能力、工作经验和专业知识，或者能够合理地预期第三方最终会得到这些技术能力、工作经验和专业知识。</w:t>
      </w:r>
    </w:p>
    <w:p>
      <w:pPr>
        <w:widowControl/>
        <w:numPr>
          <w:ilvl w:val="0"/>
          <w:numId w:val="8"/>
        </w:numPr>
        <w:spacing w:line="360" w:lineRule="auto"/>
        <w:ind w:left="1259"/>
        <w:jc w:val="left"/>
        <w:outlineLvl w:val="2"/>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管理水平：第三方是否已经具备，或者能够合理地预期第三方最终能够开发出项目所需资源的管理能力。、</w:t>
      </w:r>
    </w:p>
    <w:p>
      <w:pPr>
        <w:widowControl/>
        <w:numPr>
          <w:ilvl w:val="0"/>
          <w:numId w:val="8"/>
        </w:numPr>
        <w:spacing w:line="360" w:lineRule="auto"/>
        <w:ind w:left="1259"/>
        <w:jc w:val="left"/>
        <w:outlineLvl w:val="2"/>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财务能力：第三方是否已经具备，或能否合理地预期第三方能够具备项目所需的财力资源和财务能力。</w:t>
      </w:r>
    </w:p>
    <w:p>
      <w:pPr>
        <w:pStyle w:val="6"/>
        <w:spacing w:line="360" w:lineRule="auto"/>
        <w:rPr>
          <w:rFonts w:hint="eastAsia" w:ascii="宋体" w:hAnsi="宋体" w:eastAsia="宋体" w:cs="宋体"/>
        </w:rPr>
      </w:pPr>
      <w:r>
        <w:rPr>
          <w:rFonts w:hint="eastAsia" w:ascii="宋体" w:hAnsi="宋体" w:eastAsia="宋体" w:cs="宋体"/>
          <w:sz w:val="24"/>
          <w:szCs w:val="24"/>
          <w:lang w:val="en-US" w:eastAsia="zh-CN"/>
        </w:rPr>
        <w:t>第六条</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资质要求：</w:t>
      </w:r>
    </w:p>
    <w:p>
      <w:pPr>
        <w:widowControl/>
        <w:numPr>
          <w:ilvl w:val="0"/>
          <w:numId w:val="9"/>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按国家、行业、单位明确规定的服务资质要求考查第三方，如规定缺失，则根据项目实际要求确定第三方资质要求。</w:t>
      </w:r>
    </w:p>
    <w:p>
      <w:pPr>
        <w:widowControl/>
        <w:numPr>
          <w:ilvl w:val="0"/>
          <w:numId w:val="9"/>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按服务项目专业要求设定关键技术人员和管理人员的资质要求和具备相应资质的人员数量要求。</w:t>
      </w:r>
    </w:p>
    <w:p>
      <w:pPr>
        <w:pStyle w:val="5"/>
        <w:numPr>
          <w:ilvl w:val="0"/>
          <w:numId w:val="0"/>
        </w:numPr>
        <w:spacing w:line="360" w:lineRule="auto"/>
        <w:ind w:leftChars="0"/>
        <w:jc w:val="center"/>
        <w:rPr>
          <w:rFonts w:hint="eastAsia" w:ascii="宋体" w:hAnsi="宋体" w:eastAsia="宋体" w:cs="宋体"/>
        </w:rPr>
      </w:pPr>
      <w:bookmarkStart w:id="423" w:name="_Toc517876667"/>
      <w:bookmarkStart w:id="424" w:name="_Toc257192981"/>
      <w:bookmarkStart w:id="425" w:name="_Toc517876740"/>
      <w:r>
        <w:rPr>
          <w:rFonts w:hint="eastAsia" w:ascii="宋体" w:hAnsi="宋体" w:eastAsia="宋体" w:cs="宋体"/>
          <w:sz w:val="28"/>
          <w:szCs w:val="28"/>
          <w:lang w:val="en-US" w:eastAsia="zh-CN"/>
        </w:rPr>
        <w:t xml:space="preserve">第六章 </w:t>
      </w:r>
      <w:r>
        <w:rPr>
          <w:rFonts w:hint="eastAsia" w:ascii="宋体" w:hAnsi="宋体" w:eastAsia="宋体" w:cs="宋体"/>
          <w:sz w:val="28"/>
          <w:szCs w:val="28"/>
        </w:rPr>
        <w:t>第三方合同要求</w:t>
      </w:r>
      <w:bookmarkEnd w:id="423"/>
      <w:bookmarkEnd w:id="424"/>
      <w:bookmarkEnd w:id="425"/>
    </w:p>
    <w:bookmarkEnd w:id="420"/>
    <w:bookmarkEnd w:id="421"/>
    <w:bookmarkEnd w:id="422"/>
    <w:p>
      <w:pPr>
        <w:pStyle w:val="6"/>
        <w:spacing w:line="360" w:lineRule="auto"/>
        <w:rPr>
          <w:rFonts w:hint="eastAsia" w:ascii="宋体" w:hAnsi="宋体" w:eastAsia="宋体" w:cs="宋体"/>
          <w:b w:val="0"/>
          <w:bCs w:val="0"/>
          <w:sz w:val="24"/>
          <w:szCs w:val="24"/>
          <w:lang w:eastAsia="zh-CN"/>
        </w:rPr>
      </w:pPr>
      <w:r>
        <w:rPr>
          <w:rFonts w:hint="eastAsia" w:ascii="宋体" w:hAnsi="宋体" w:eastAsia="宋体" w:cs="宋体"/>
          <w:sz w:val="24"/>
          <w:szCs w:val="24"/>
          <w:lang w:val="en-US" w:eastAsia="zh-CN"/>
        </w:rPr>
        <w:t>第七条</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第三方需要对敏感的信息资产进行访问时，要签订保密协议或正式的合同，合同中有关的安全要求符合舟山市大数据管理局信息系统总体安全策略。</w:t>
      </w:r>
    </w:p>
    <w:p>
      <w:pPr>
        <w:pStyle w:val="6"/>
        <w:spacing w:line="360" w:lineRule="auto"/>
        <w:rPr>
          <w:rFonts w:hint="eastAsia" w:ascii="宋体" w:hAnsi="宋体" w:eastAsia="宋体" w:cs="宋体"/>
        </w:rPr>
      </w:pPr>
      <w:r>
        <w:rPr>
          <w:rFonts w:hint="eastAsia" w:ascii="宋体" w:hAnsi="宋体" w:eastAsia="宋体" w:cs="宋体"/>
          <w:sz w:val="24"/>
          <w:szCs w:val="24"/>
          <w:lang w:val="en-US" w:eastAsia="zh-CN"/>
        </w:rPr>
        <w:t>第八条</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与第三方签署的合同中要考虑如下因素：</w:t>
      </w:r>
    </w:p>
    <w:p>
      <w:pPr>
        <w:widowControl/>
        <w:numPr>
          <w:ilvl w:val="0"/>
          <w:numId w:val="10"/>
        </w:numPr>
        <w:spacing w:line="360" w:lineRule="auto"/>
        <w:ind w:left="1259"/>
        <w:jc w:val="left"/>
        <w:outlineLvl w:val="2"/>
        <w:rPr>
          <w:rFonts w:hint="eastAsia" w:ascii="宋体" w:hAnsi="宋体" w:eastAsia="宋体" w:cs="宋体"/>
          <w:bCs/>
          <w:sz w:val="24"/>
        </w:rPr>
      </w:pPr>
      <w:bookmarkStart w:id="426" w:name="_Toc143074872"/>
      <w:bookmarkStart w:id="427" w:name="_Toc143075494"/>
      <w:bookmarkStart w:id="428" w:name="_Toc143075329"/>
      <w:r>
        <w:rPr>
          <w:rFonts w:hint="eastAsia" w:ascii="宋体" w:hAnsi="宋体" w:eastAsia="宋体" w:cs="宋体"/>
          <w:bCs/>
          <w:sz w:val="24"/>
        </w:rPr>
        <w:t>合同双方各自的相关责任；</w:t>
      </w:r>
    </w:p>
    <w:p>
      <w:pPr>
        <w:widowControl/>
        <w:numPr>
          <w:ilvl w:val="0"/>
          <w:numId w:val="10"/>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明确对第三方的保密要求；</w:t>
      </w:r>
    </w:p>
    <w:p>
      <w:pPr>
        <w:widowControl/>
        <w:numPr>
          <w:ilvl w:val="0"/>
          <w:numId w:val="10"/>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明确保护信息资产的内容和要求；</w:t>
      </w:r>
    </w:p>
    <w:p>
      <w:pPr>
        <w:widowControl/>
        <w:numPr>
          <w:ilvl w:val="0"/>
          <w:numId w:val="10"/>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明确描述服务内容和服务标准；</w:t>
      </w:r>
    </w:p>
    <w:p>
      <w:pPr>
        <w:widowControl/>
        <w:numPr>
          <w:ilvl w:val="0"/>
          <w:numId w:val="10"/>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人员的安全要求；</w:t>
      </w:r>
    </w:p>
    <w:p>
      <w:pPr>
        <w:widowControl/>
        <w:numPr>
          <w:ilvl w:val="0"/>
          <w:numId w:val="10"/>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符合相关国家和地区的法律、法规要求；</w:t>
      </w:r>
    </w:p>
    <w:p>
      <w:pPr>
        <w:widowControl/>
        <w:numPr>
          <w:ilvl w:val="0"/>
          <w:numId w:val="10"/>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明确对知识产权的归属及保护；</w:t>
      </w:r>
    </w:p>
    <w:p>
      <w:pPr>
        <w:widowControl/>
        <w:numPr>
          <w:ilvl w:val="0"/>
          <w:numId w:val="10"/>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必须声明</w:t>
      </w:r>
      <w:r>
        <w:rPr>
          <w:rFonts w:hint="eastAsia" w:ascii="宋体" w:hAnsi="宋体" w:eastAsia="宋体" w:cs="宋体"/>
          <w:sz w:val="24"/>
          <w:szCs w:val="24"/>
          <w:lang w:eastAsia="zh-CN"/>
        </w:rPr>
        <w:t>舟山市大数据管理局</w:t>
      </w:r>
      <w:r>
        <w:rPr>
          <w:rFonts w:hint="eastAsia" w:ascii="宋体" w:hAnsi="宋体" w:eastAsia="宋体" w:cs="宋体"/>
          <w:bCs/>
          <w:sz w:val="24"/>
        </w:rPr>
        <w:t>所拥有的权力，包括：监督、限制第三方活动的权力；对合同权责进行监理或指定第三方监理的权力；</w:t>
      </w:r>
    </w:p>
    <w:p>
      <w:pPr>
        <w:widowControl/>
        <w:numPr>
          <w:ilvl w:val="0"/>
          <w:numId w:val="10"/>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软、硬件安装和维护方面的责任；</w:t>
      </w:r>
    </w:p>
    <w:p>
      <w:pPr>
        <w:widowControl/>
        <w:numPr>
          <w:ilvl w:val="0"/>
          <w:numId w:val="10"/>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清晰具体的变更控制流程；</w:t>
      </w:r>
    </w:p>
    <w:p>
      <w:pPr>
        <w:widowControl/>
        <w:numPr>
          <w:ilvl w:val="0"/>
          <w:numId w:val="10"/>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用于安全事故和安全违规事件的报告、通知和调查程序。</w:t>
      </w:r>
    </w:p>
    <w:p>
      <w:pPr>
        <w:pStyle w:val="5"/>
        <w:numPr>
          <w:ilvl w:val="0"/>
          <w:numId w:val="0"/>
        </w:numPr>
        <w:spacing w:line="360" w:lineRule="auto"/>
        <w:ind w:leftChars="0"/>
        <w:jc w:val="center"/>
        <w:rPr>
          <w:rFonts w:hint="eastAsia" w:ascii="宋体" w:hAnsi="宋体" w:eastAsia="宋体" w:cs="宋体"/>
        </w:rPr>
      </w:pPr>
      <w:bookmarkStart w:id="429" w:name="_Toc517876741"/>
      <w:bookmarkStart w:id="430" w:name="_Toc517876668"/>
      <w:bookmarkStart w:id="431" w:name="_Toc257192982"/>
      <w:r>
        <w:rPr>
          <w:rFonts w:hint="eastAsia" w:ascii="宋体" w:hAnsi="宋体" w:eastAsia="宋体" w:cs="宋体"/>
          <w:sz w:val="28"/>
          <w:szCs w:val="28"/>
          <w:lang w:val="en-US" w:eastAsia="zh-CN"/>
        </w:rPr>
        <w:t xml:space="preserve">第七章 </w:t>
      </w:r>
      <w:r>
        <w:rPr>
          <w:rFonts w:hint="eastAsia" w:ascii="宋体" w:hAnsi="宋体" w:eastAsia="宋体" w:cs="宋体"/>
          <w:sz w:val="28"/>
          <w:szCs w:val="28"/>
        </w:rPr>
        <w:t>第三方服务交付管理</w:t>
      </w:r>
      <w:bookmarkEnd w:id="429"/>
      <w:bookmarkEnd w:id="430"/>
      <w:bookmarkEnd w:id="431"/>
    </w:p>
    <w:p>
      <w:pPr>
        <w:pStyle w:val="6"/>
        <w:spacing w:line="360" w:lineRule="auto"/>
        <w:rPr>
          <w:rFonts w:hint="eastAsia" w:ascii="宋体" w:hAnsi="宋体" w:eastAsia="宋体" w:cs="宋体"/>
        </w:rPr>
      </w:pPr>
      <w:bookmarkStart w:id="432" w:name="_Toc165448799"/>
      <w:r>
        <w:rPr>
          <w:rFonts w:hint="eastAsia" w:ascii="宋体" w:hAnsi="宋体" w:eastAsia="宋体" w:cs="宋体"/>
          <w:sz w:val="24"/>
          <w:szCs w:val="24"/>
          <w:lang w:val="en-US" w:eastAsia="zh-CN"/>
        </w:rPr>
        <w:t>第九条</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服务质量要求</w:t>
      </w:r>
      <w:bookmarkEnd w:id="432"/>
      <w:r>
        <w:rPr>
          <w:rFonts w:hint="eastAsia" w:ascii="宋体" w:hAnsi="宋体" w:eastAsia="宋体" w:cs="宋体"/>
          <w:b w:val="0"/>
          <w:bCs w:val="0"/>
          <w:sz w:val="24"/>
          <w:szCs w:val="24"/>
          <w:lang w:eastAsia="zh-CN"/>
        </w:rPr>
        <w:t>：</w:t>
      </w:r>
    </w:p>
    <w:p>
      <w:pPr>
        <w:widowControl/>
        <w:numPr>
          <w:ilvl w:val="0"/>
          <w:numId w:val="11"/>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第三方必须依据合同或独立的服务协议中的关键指标提供服务；</w:t>
      </w:r>
    </w:p>
    <w:p>
      <w:pPr>
        <w:widowControl/>
        <w:numPr>
          <w:ilvl w:val="0"/>
          <w:numId w:val="11"/>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在服务提供期间，</w:t>
      </w:r>
      <w:r>
        <w:rPr>
          <w:rFonts w:hint="eastAsia" w:ascii="宋体" w:hAnsi="宋体" w:eastAsia="宋体" w:cs="宋体"/>
          <w:sz w:val="24"/>
          <w:szCs w:val="24"/>
          <w:lang w:eastAsia="zh-CN"/>
        </w:rPr>
        <w:t>舟山市大数据管理局</w:t>
      </w:r>
      <w:r>
        <w:rPr>
          <w:rFonts w:hint="eastAsia" w:ascii="宋体" w:hAnsi="宋体" w:eastAsia="宋体" w:cs="宋体"/>
          <w:bCs/>
          <w:sz w:val="24"/>
        </w:rPr>
        <w:t>信息系统项目管理部门或人员应该经常对第三方的人员资质进行确认，保证服务期间服务人员的稳定性；</w:t>
      </w:r>
    </w:p>
    <w:p>
      <w:pPr>
        <w:widowControl/>
        <w:numPr>
          <w:ilvl w:val="0"/>
          <w:numId w:val="11"/>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制定对第三方服务的评价指标和测量体系，以确保第三方服务提供的质量。</w:t>
      </w:r>
    </w:p>
    <w:p>
      <w:pPr>
        <w:pStyle w:val="6"/>
        <w:spacing w:line="360" w:lineRule="auto"/>
        <w:rPr>
          <w:rFonts w:hint="eastAsia" w:ascii="宋体" w:hAnsi="宋体" w:eastAsia="宋体" w:cs="宋体"/>
        </w:rPr>
      </w:pPr>
      <w:bookmarkStart w:id="433" w:name="_Toc165448800"/>
      <w:r>
        <w:rPr>
          <w:rFonts w:hint="eastAsia" w:ascii="宋体" w:hAnsi="宋体" w:eastAsia="宋体" w:cs="宋体"/>
          <w:sz w:val="24"/>
          <w:szCs w:val="24"/>
          <w:lang w:val="en-US" w:eastAsia="zh-CN"/>
        </w:rPr>
        <w:t>第十条</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服务的改进</w:t>
      </w:r>
      <w:bookmarkEnd w:id="433"/>
      <w:r>
        <w:rPr>
          <w:rFonts w:hint="eastAsia" w:ascii="宋体" w:hAnsi="宋体" w:eastAsia="宋体" w:cs="宋体"/>
          <w:b w:val="0"/>
          <w:bCs w:val="0"/>
          <w:sz w:val="24"/>
          <w:szCs w:val="24"/>
          <w:lang w:eastAsia="zh-CN"/>
        </w:rPr>
        <w:t>：</w:t>
      </w:r>
    </w:p>
    <w:p>
      <w:pPr>
        <w:widowControl/>
        <w:numPr>
          <w:ilvl w:val="0"/>
          <w:numId w:val="12"/>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第三方在服务提供过程中，发现与服务的需求有较大差距时，双方必须对服务进行评估，如果是未达到服务合同或服务协议的要求，则责成第三方对服务进行改进；</w:t>
      </w:r>
    </w:p>
    <w:p>
      <w:pPr>
        <w:widowControl/>
        <w:numPr>
          <w:ilvl w:val="0"/>
          <w:numId w:val="12"/>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如果第三方服务达到合同或服务协议的要求，但是还是不能满足服务的实际需求，则双方可以协商对合同或服务协议进行变更，提高关键指标以适应服务的实际需求。</w:t>
      </w:r>
    </w:p>
    <w:p>
      <w:pPr>
        <w:pStyle w:val="5"/>
        <w:numPr>
          <w:ilvl w:val="0"/>
          <w:numId w:val="0"/>
        </w:numPr>
        <w:spacing w:line="360" w:lineRule="auto"/>
        <w:ind w:leftChars="0"/>
        <w:jc w:val="center"/>
        <w:rPr>
          <w:rFonts w:hint="eastAsia" w:ascii="宋体" w:hAnsi="宋体" w:eastAsia="宋体" w:cs="宋体"/>
        </w:rPr>
      </w:pPr>
      <w:bookmarkStart w:id="434" w:name="_Toc257192983"/>
      <w:bookmarkStart w:id="435" w:name="_Toc517876669"/>
      <w:bookmarkStart w:id="436" w:name="_Toc517876742"/>
      <w:r>
        <w:rPr>
          <w:rFonts w:hint="eastAsia" w:ascii="宋体" w:hAnsi="宋体" w:eastAsia="宋体" w:cs="宋体"/>
          <w:sz w:val="28"/>
          <w:szCs w:val="28"/>
          <w:lang w:val="en-US" w:eastAsia="zh-CN"/>
        </w:rPr>
        <w:t xml:space="preserve">第八章 </w:t>
      </w:r>
      <w:r>
        <w:rPr>
          <w:rFonts w:hint="eastAsia" w:ascii="宋体" w:hAnsi="宋体" w:eastAsia="宋体" w:cs="宋体"/>
          <w:sz w:val="28"/>
          <w:szCs w:val="28"/>
        </w:rPr>
        <w:t>第三方信息传输</w:t>
      </w:r>
      <w:bookmarkEnd w:id="434"/>
      <w:bookmarkEnd w:id="435"/>
      <w:bookmarkEnd w:id="436"/>
    </w:p>
    <w:p>
      <w:pPr>
        <w:pStyle w:val="6"/>
        <w:spacing w:line="360" w:lineRule="auto"/>
        <w:rPr>
          <w:rFonts w:hint="eastAsia" w:ascii="宋体" w:hAnsi="宋体" w:eastAsia="宋体" w:cs="宋体"/>
          <w:b w:val="0"/>
          <w:bCs w:val="0"/>
          <w:sz w:val="24"/>
          <w:szCs w:val="24"/>
          <w:lang w:eastAsia="zh-CN"/>
        </w:rPr>
      </w:pPr>
      <w:r>
        <w:rPr>
          <w:rFonts w:hint="eastAsia" w:ascii="宋体" w:hAnsi="宋体" w:eastAsia="宋体" w:cs="宋体"/>
          <w:sz w:val="24"/>
          <w:szCs w:val="24"/>
          <w:lang w:val="en-US" w:eastAsia="zh-CN"/>
        </w:rPr>
        <w:t>第十一条</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第三方必须按合同中规定的保密条款对服务过程中接触到的任何信息和数据进行保密。</w:t>
      </w:r>
    </w:p>
    <w:p>
      <w:pPr>
        <w:pStyle w:val="6"/>
        <w:spacing w:line="360" w:lineRule="auto"/>
        <w:rPr>
          <w:rFonts w:hint="eastAsia" w:ascii="宋体" w:hAnsi="宋体" w:eastAsia="宋体" w:cs="宋体"/>
        </w:rPr>
      </w:pPr>
      <w:r>
        <w:rPr>
          <w:rFonts w:hint="eastAsia" w:ascii="宋体" w:hAnsi="宋体" w:eastAsia="宋体" w:cs="宋体"/>
          <w:sz w:val="24"/>
          <w:szCs w:val="24"/>
          <w:lang w:val="en-US" w:eastAsia="zh-CN"/>
        </w:rPr>
        <w:t>第十二条</w:t>
      </w:r>
      <w:r>
        <w:rPr>
          <w:rFonts w:hint="eastAsia" w:ascii="宋体" w:hAnsi="宋体" w:eastAsia="宋体" w:cs="宋体"/>
          <w:b w:val="0"/>
          <w:bCs w:val="0"/>
          <w:sz w:val="24"/>
          <w:szCs w:val="24"/>
          <w:lang w:val="en-US" w:eastAsia="zh-CN"/>
        </w:rPr>
        <w:t xml:space="preserve"> 第三方在服务过程中必须保证数据的完整性和可用性，如果对数据的完整性和可用性会造成影响，必须事先申明，并取得相关部门的批准，才可以实施相关的操作。</w:t>
      </w:r>
    </w:p>
    <w:p>
      <w:pPr>
        <w:pStyle w:val="6"/>
        <w:spacing w:line="360" w:lineRule="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第十三条</w:t>
      </w:r>
      <w:r>
        <w:rPr>
          <w:rFonts w:hint="eastAsia" w:ascii="宋体" w:hAnsi="宋体" w:eastAsia="宋体" w:cs="宋体"/>
          <w:b w:val="0"/>
          <w:bCs w:val="0"/>
          <w:sz w:val="24"/>
          <w:szCs w:val="24"/>
          <w:lang w:val="en-US" w:eastAsia="zh-CN"/>
        </w:rPr>
        <w:t xml:space="preserve"> 如因业务需要向第三方提供含有舟山市大数据管理局保密信息的文件、资料或实物时，接待人应当获得相应的批准或授权，并与第三方签订保密协议后提供，提供时应开具清单请第三方签收。</w:t>
      </w:r>
    </w:p>
    <w:p>
      <w:pPr>
        <w:pStyle w:val="6"/>
        <w:spacing w:line="360" w:lineRule="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第十四条</w:t>
      </w:r>
      <w:r>
        <w:rPr>
          <w:rFonts w:hint="eastAsia" w:ascii="宋体" w:hAnsi="宋体" w:eastAsia="宋体" w:cs="宋体"/>
          <w:b w:val="0"/>
          <w:bCs w:val="0"/>
          <w:sz w:val="24"/>
          <w:szCs w:val="24"/>
          <w:lang w:val="en-US" w:eastAsia="zh-CN"/>
        </w:rPr>
        <w:t xml:space="preserve"> 对第三方的工作人员因业务需要须在舟山市大数据管理局进行工作时，应与其签订个人保密协议，明确保密制度,如需接触或查阅内部文件的，必须经过相关部门负责人签字批准，并由其本人填写查阅记录。</w:t>
      </w:r>
    </w:p>
    <w:p>
      <w:pPr>
        <w:pStyle w:val="5"/>
        <w:numPr>
          <w:ilvl w:val="0"/>
          <w:numId w:val="0"/>
        </w:numPr>
        <w:spacing w:line="360" w:lineRule="auto"/>
        <w:ind w:leftChars="0"/>
        <w:jc w:val="center"/>
        <w:rPr>
          <w:rFonts w:hint="eastAsia" w:ascii="宋体" w:hAnsi="宋体" w:eastAsia="宋体" w:cs="宋体"/>
        </w:rPr>
      </w:pPr>
      <w:bookmarkStart w:id="437" w:name="_Toc257192984"/>
      <w:bookmarkStart w:id="438" w:name="_Toc517876670"/>
      <w:bookmarkStart w:id="439" w:name="_Toc517876743"/>
      <w:r>
        <w:rPr>
          <w:rFonts w:hint="eastAsia" w:ascii="宋体" w:hAnsi="宋体" w:eastAsia="宋体" w:cs="宋体"/>
          <w:sz w:val="28"/>
          <w:szCs w:val="28"/>
          <w:lang w:val="en-US" w:eastAsia="zh-CN"/>
        </w:rPr>
        <w:t xml:space="preserve">第九章 </w:t>
      </w:r>
      <w:r>
        <w:rPr>
          <w:rFonts w:hint="eastAsia" w:ascii="宋体" w:hAnsi="宋体" w:eastAsia="宋体" w:cs="宋体"/>
          <w:sz w:val="28"/>
          <w:szCs w:val="28"/>
        </w:rPr>
        <w:t>第三方变更管理</w:t>
      </w:r>
      <w:bookmarkEnd w:id="437"/>
      <w:bookmarkEnd w:id="438"/>
      <w:bookmarkEnd w:id="439"/>
    </w:p>
    <w:p>
      <w:pPr>
        <w:pStyle w:val="6"/>
        <w:spacing w:line="360" w:lineRule="auto"/>
        <w:rPr>
          <w:rFonts w:hint="eastAsia" w:ascii="宋体" w:hAnsi="宋体" w:eastAsia="宋体" w:cs="宋体"/>
        </w:rPr>
      </w:pPr>
      <w:bookmarkStart w:id="440" w:name="_Toc165448804"/>
      <w:r>
        <w:rPr>
          <w:rFonts w:hint="eastAsia" w:ascii="宋体" w:hAnsi="宋体" w:eastAsia="宋体" w:cs="宋体"/>
          <w:sz w:val="24"/>
          <w:szCs w:val="24"/>
          <w:lang w:val="en-US" w:eastAsia="zh-CN"/>
        </w:rPr>
        <w:t>第十五条</w:t>
      </w:r>
      <w:r>
        <w:rPr>
          <w:rFonts w:hint="eastAsia" w:ascii="宋体" w:hAnsi="宋体" w:eastAsia="宋体" w:cs="宋体"/>
          <w:b w:val="0"/>
          <w:bCs w:val="0"/>
          <w:sz w:val="24"/>
          <w:szCs w:val="24"/>
          <w:lang w:val="en-US" w:eastAsia="zh-CN"/>
        </w:rPr>
        <w:t xml:space="preserve"> 服务项目范围变更</w:t>
      </w:r>
      <w:bookmarkEnd w:id="440"/>
      <w:r>
        <w:rPr>
          <w:rFonts w:hint="eastAsia" w:ascii="宋体" w:hAnsi="宋体" w:eastAsia="宋体" w:cs="宋体"/>
          <w:b w:val="0"/>
          <w:bCs w:val="0"/>
          <w:sz w:val="24"/>
          <w:szCs w:val="24"/>
          <w:lang w:val="en-US" w:eastAsia="zh-CN"/>
        </w:rPr>
        <w:t>：</w:t>
      </w:r>
    </w:p>
    <w:p>
      <w:pPr>
        <w:widowControl/>
        <w:numPr>
          <w:ilvl w:val="0"/>
          <w:numId w:val="13"/>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如果合同执行中，发现第三方的服务能力不能满足服务外包的需求，经双方协商，一般要求更换服务提供商。</w:t>
      </w:r>
    </w:p>
    <w:p>
      <w:pPr>
        <w:widowControl/>
        <w:numPr>
          <w:ilvl w:val="0"/>
          <w:numId w:val="13"/>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如果合同执行中，发现服务需求的范围超过了合同里所约定的服务范围，而这些需求与合同所规定的服务范围是相同的系统或设备，并且正好是第三方的服务能力范围之内，可以通过协商变更服务合同，增加服务范围。</w:t>
      </w:r>
    </w:p>
    <w:p>
      <w:pPr>
        <w:widowControl/>
        <w:numPr>
          <w:ilvl w:val="0"/>
          <w:numId w:val="13"/>
        </w:numPr>
        <w:spacing w:line="360" w:lineRule="auto"/>
        <w:ind w:left="1259"/>
        <w:jc w:val="left"/>
        <w:outlineLvl w:val="2"/>
        <w:rPr>
          <w:rFonts w:hint="eastAsia" w:ascii="宋体" w:hAnsi="宋体" w:eastAsia="宋体" w:cs="宋体"/>
          <w:kern w:val="0"/>
          <w:lang w:val="en-GB"/>
        </w:rPr>
      </w:pPr>
      <w:r>
        <w:rPr>
          <w:rFonts w:hint="eastAsia" w:ascii="宋体" w:hAnsi="宋体" w:eastAsia="宋体" w:cs="宋体"/>
          <w:kern w:val="0"/>
          <w:sz w:val="24"/>
          <w:lang w:val="en-GB"/>
        </w:rPr>
        <w:t>服务项目变更必须经过所属项目管理部门的审批。</w:t>
      </w:r>
      <w:bookmarkStart w:id="441" w:name="_Toc165448805"/>
    </w:p>
    <w:p>
      <w:pPr>
        <w:pStyle w:val="6"/>
        <w:spacing w:line="360" w:lineRule="auto"/>
        <w:rPr>
          <w:rFonts w:hint="eastAsia" w:ascii="宋体" w:hAnsi="宋体" w:eastAsia="宋体" w:cs="宋体"/>
        </w:rPr>
      </w:pPr>
      <w:r>
        <w:rPr>
          <w:rFonts w:hint="eastAsia" w:ascii="宋体" w:hAnsi="宋体" w:eastAsia="宋体" w:cs="宋体"/>
          <w:sz w:val="24"/>
          <w:szCs w:val="24"/>
          <w:lang w:val="en-US" w:eastAsia="zh-CN"/>
        </w:rPr>
        <w:t>第十六条</w:t>
      </w:r>
      <w:r>
        <w:rPr>
          <w:rFonts w:hint="eastAsia" w:ascii="宋体" w:hAnsi="宋体" w:eastAsia="宋体" w:cs="宋体"/>
          <w:b w:val="0"/>
          <w:bCs w:val="0"/>
          <w:sz w:val="24"/>
          <w:szCs w:val="24"/>
          <w:lang w:val="en-US" w:eastAsia="zh-CN"/>
        </w:rPr>
        <w:t xml:space="preserve"> 服务提供商变更</w:t>
      </w:r>
      <w:bookmarkEnd w:id="441"/>
      <w:r>
        <w:rPr>
          <w:rFonts w:hint="eastAsia" w:ascii="宋体" w:hAnsi="宋体" w:eastAsia="宋体" w:cs="宋体"/>
          <w:b w:val="0"/>
          <w:bCs w:val="0"/>
          <w:sz w:val="24"/>
          <w:szCs w:val="24"/>
          <w:lang w:val="en-US" w:eastAsia="zh-CN"/>
        </w:rPr>
        <w:t>：</w:t>
      </w:r>
    </w:p>
    <w:p>
      <w:pPr>
        <w:widowControl/>
        <w:numPr>
          <w:ilvl w:val="0"/>
          <w:numId w:val="14"/>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在对第三方考评不合格时，给以书面的形式要求第三方提高服务质量，并明确指出服务质量存在的具体问题和改进办法；</w:t>
      </w:r>
    </w:p>
    <w:p>
      <w:pPr>
        <w:widowControl/>
        <w:numPr>
          <w:ilvl w:val="0"/>
          <w:numId w:val="14"/>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如果第三方服务能力不能满足服务要求，并造成系统运行不良影响时，可以考虑对服务提供商进行变更，以信息系统的正常稳定运行。</w:t>
      </w:r>
    </w:p>
    <w:p>
      <w:pPr>
        <w:pStyle w:val="5"/>
        <w:numPr>
          <w:ilvl w:val="0"/>
          <w:numId w:val="0"/>
        </w:numPr>
        <w:spacing w:line="360" w:lineRule="auto"/>
        <w:jc w:val="center"/>
        <w:rPr>
          <w:rFonts w:hint="eastAsia" w:ascii="宋体" w:hAnsi="宋体" w:eastAsia="宋体" w:cs="宋体"/>
        </w:rPr>
      </w:pPr>
      <w:bookmarkStart w:id="442" w:name="_Toc517876744"/>
      <w:bookmarkStart w:id="443" w:name="_Toc257192985"/>
      <w:bookmarkStart w:id="444" w:name="_Toc517876671"/>
      <w:r>
        <w:rPr>
          <w:rFonts w:hint="eastAsia" w:ascii="宋体" w:hAnsi="宋体" w:eastAsia="宋体" w:cs="宋体"/>
          <w:sz w:val="28"/>
          <w:szCs w:val="28"/>
          <w:lang w:val="en-US" w:eastAsia="zh-CN"/>
        </w:rPr>
        <w:t xml:space="preserve">第十章 </w:t>
      </w:r>
      <w:r>
        <w:rPr>
          <w:rFonts w:hint="eastAsia" w:ascii="宋体" w:hAnsi="宋体" w:eastAsia="宋体" w:cs="宋体"/>
          <w:sz w:val="28"/>
          <w:szCs w:val="28"/>
        </w:rPr>
        <w:t>第三方出入管理</w:t>
      </w:r>
      <w:bookmarkEnd w:id="442"/>
      <w:bookmarkEnd w:id="443"/>
      <w:bookmarkEnd w:id="444"/>
    </w:p>
    <w:p>
      <w:pPr>
        <w:pStyle w:val="6"/>
        <w:spacing w:line="360" w:lineRule="auto"/>
        <w:rPr>
          <w:rFonts w:hint="eastAsia" w:ascii="宋体" w:hAnsi="宋体" w:eastAsia="宋体" w:cs="宋体"/>
        </w:rPr>
      </w:pPr>
      <w:bookmarkStart w:id="445" w:name="_Toc165448807"/>
      <w:r>
        <w:rPr>
          <w:rFonts w:hint="eastAsia" w:ascii="宋体" w:hAnsi="宋体" w:eastAsia="宋体" w:cs="宋体"/>
          <w:sz w:val="24"/>
          <w:szCs w:val="24"/>
          <w:lang w:val="en-US" w:eastAsia="zh-CN"/>
        </w:rPr>
        <w:t>第十七条</w:t>
      </w:r>
      <w:r>
        <w:rPr>
          <w:rFonts w:hint="eastAsia" w:ascii="宋体" w:hAnsi="宋体" w:eastAsia="宋体" w:cs="宋体"/>
          <w:b w:val="0"/>
          <w:bCs w:val="0"/>
          <w:sz w:val="24"/>
          <w:szCs w:val="24"/>
          <w:lang w:val="en-US" w:eastAsia="zh-CN"/>
        </w:rPr>
        <w:t xml:space="preserve"> 人员出入</w:t>
      </w:r>
      <w:bookmarkEnd w:id="445"/>
      <w:r>
        <w:rPr>
          <w:rFonts w:hint="eastAsia" w:ascii="宋体" w:hAnsi="宋体" w:eastAsia="宋体" w:cs="宋体"/>
          <w:b w:val="0"/>
          <w:bCs w:val="0"/>
          <w:sz w:val="24"/>
          <w:szCs w:val="24"/>
          <w:lang w:val="en-US" w:eastAsia="zh-CN"/>
        </w:rPr>
        <w:t>：</w:t>
      </w:r>
    </w:p>
    <w:p>
      <w:pPr>
        <w:widowControl/>
        <w:numPr>
          <w:ilvl w:val="0"/>
          <w:numId w:val="15"/>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第三方人员进入</w:t>
      </w:r>
      <w:r>
        <w:rPr>
          <w:rFonts w:hint="eastAsia" w:ascii="宋体" w:hAnsi="宋体" w:eastAsia="宋体" w:cs="宋体"/>
          <w:sz w:val="24"/>
          <w:szCs w:val="24"/>
          <w:lang w:eastAsia="zh-CN"/>
        </w:rPr>
        <w:t>舟山市大数据管理局</w:t>
      </w:r>
      <w:r>
        <w:rPr>
          <w:rFonts w:hint="eastAsia" w:ascii="宋体" w:hAnsi="宋体" w:eastAsia="宋体" w:cs="宋体"/>
          <w:bCs/>
          <w:sz w:val="24"/>
        </w:rPr>
        <w:t>各种场合禁止携带易燃、易爆物品，并在门卫处接受检查；</w:t>
      </w:r>
    </w:p>
    <w:p>
      <w:pPr>
        <w:widowControl/>
        <w:numPr>
          <w:ilvl w:val="0"/>
          <w:numId w:val="15"/>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第三方人员进入</w:t>
      </w:r>
      <w:r>
        <w:rPr>
          <w:rFonts w:hint="eastAsia" w:ascii="宋体" w:hAnsi="宋体" w:eastAsia="宋体" w:cs="宋体"/>
          <w:sz w:val="24"/>
          <w:szCs w:val="24"/>
          <w:lang w:eastAsia="zh-CN"/>
        </w:rPr>
        <w:t>舟山市大数据管理局</w:t>
      </w:r>
      <w:r>
        <w:rPr>
          <w:rFonts w:hint="eastAsia" w:ascii="宋体" w:hAnsi="宋体" w:eastAsia="宋体" w:cs="宋体"/>
          <w:bCs/>
          <w:sz w:val="24"/>
        </w:rPr>
        <w:t>时，必须在门卫处出示有效证件，按门卫或接待处的要求登记相关信息；</w:t>
      </w:r>
    </w:p>
    <w:p>
      <w:pPr>
        <w:widowControl/>
        <w:numPr>
          <w:ilvl w:val="0"/>
          <w:numId w:val="15"/>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临时来访第三方必须由接待人全程陪同，告知有关安全管理规定，不得任其自行走动和未经允许使用</w:t>
      </w:r>
      <w:r>
        <w:rPr>
          <w:rFonts w:hint="eastAsia" w:ascii="宋体" w:hAnsi="宋体" w:eastAsia="宋体" w:cs="宋体"/>
          <w:sz w:val="24"/>
          <w:szCs w:val="24"/>
          <w:lang w:eastAsia="zh-CN"/>
        </w:rPr>
        <w:t>舟山市大数据管理局</w:t>
      </w:r>
      <w:r>
        <w:rPr>
          <w:rFonts w:hint="eastAsia" w:ascii="宋体" w:hAnsi="宋体" w:eastAsia="宋体" w:cs="宋体"/>
          <w:bCs/>
          <w:sz w:val="24"/>
        </w:rPr>
        <w:t>计算机设备；</w:t>
      </w:r>
    </w:p>
    <w:p>
      <w:pPr>
        <w:widowControl/>
        <w:numPr>
          <w:ilvl w:val="0"/>
          <w:numId w:val="15"/>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第三方人员进出机房等重要区域时，必须遵守该区域的进出管理规定；</w:t>
      </w:r>
    </w:p>
    <w:p>
      <w:pPr>
        <w:widowControl/>
        <w:numPr>
          <w:ilvl w:val="0"/>
          <w:numId w:val="15"/>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临时第三方人员离开</w:t>
      </w:r>
      <w:r>
        <w:rPr>
          <w:rFonts w:hint="eastAsia" w:ascii="宋体" w:hAnsi="宋体" w:eastAsia="宋体" w:cs="宋体"/>
          <w:sz w:val="24"/>
          <w:szCs w:val="24"/>
          <w:lang w:eastAsia="zh-CN"/>
        </w:rPr>
        <w:t>舟山市大数据管理局</w:t>
      </w:r>
      <w:r>
        <w:rPr>
          <w:rFonts w:hint="eastAsia" w:ascii="宋体" w:hAnsi="宋体" w:eastAsia="宋体" w:cs="宋体"/>
          <w:bCs/>
          <w:sz w:val="24"/>
        </w:rPr>
        <w:t>时应由接待人陪送，接待人应在登记表上签名，并签署确认离开时间及相关权限、物品、交接时间；接待人在无法陪送的情况下应委托本部门其他人陪送；</w:t>
      </w:r>
    </w:p>
    <w:p>
      <w:pPr>
        <w:widowControl/>
        <w:numPr>
          <w:ilvl w:val="0"/>
          <w:numId w:val="15"/>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非临时第三方人人员作完成后，由所属项目管理部门或人员对第三方人员的工作进行安全检查和安全评估后方可离场。</w:t>
      </w:r>
    </w:p>
    <w:p>
      <w:pPr>
        <w:pStyle w:val="6"/>
        <w:spacing w:line="360" w:lineRule="auto"/>
        <w:rPr>
          <w:rFonts w:hint="eastAsia" w:ascii="宋体" w:hAnsi="宋体" w:eastAsia="宋体" w:cs="宋体"/>
        </w:rPr>
      </w:pPr>
      <w:bookmarkStart w:id="446" w:name="_Toc165448808"/>
      <w:r>
        <w:rPr>
          <w:rFonts w:hint="eastAsia" w:ascii="宋体" w:hAnsi="宋体" w:eastAsia="宋体" w:cs="宋体"/>
          <w:sz w:val="24"/>
          <w:szCs w:val="24"/>
          <w:lang w:val="en-US" w:eastAsia="zh-CN"/>
        </w:rPr>
        <w:t>第十八条</w:t>
      </w:r>
      <w:r>
        <w:rPr>
          <w:rFonts w:hint="eastAsia" w:ascii="宋体" w:hAnsi="宋体" w:eastAsia="宋体" w:cs="宋体"/>
          <w:b w:val="0"/>
          <w:bCs w:val="0"/>
          <w:sz w:val="24"/>
          <w:szCs w:val="24"/>
          <w:lang w:val="en-US" w:eastAsia="zh-CN"/>
        </w:rPr>
        <w:t xml:space="preserve"> 设备携入携出</w:t>
      </w:r>
      <w:bookmarkEnd w:id="446"/>
      <w:r>
        <w:rPr>
          <w:rFonts w:hint="eastAsia" w:ascii="宋体" w:hAnsi="宋体" w:eastAsia="宋体" w:cs="宋体"/>
          <w:b w:val="0"/>
          <w:bCs w:val="0"/>
          <w:sz w:val="24"/>
          <w:szCs w:val="24"/>
          <w:lang w:val="en-US" w:eastAsia="zh-CN"/>
        </w:rPr>
        <w:t>：</w:t>
      </w:r>
    </w:p>
    <w:p>
      <w:pPr>
        <w:widowControl/>
        <w:numPr>
          <w:ilvl w:val="0"/>
          <w:numId w:val="16"/>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第三方人员携带设备（如笔记本电脑、计算机及配件、网络设备等）进入，必须进行登记；携带设备离开，必须经过按照事先登记的内容进行检查；</w:t>
      </w:r>
    </w:p>
    <w:p>
      <w:pPr>
        <w:widowControl/>
        <w:numPr>
          <w:ilvl w:val="0"/>
          <w:numId w:val="16"/>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第三方人员携带的维修配件必须在进入维修区域前向接待人员出示，并登记；</w:t>
      </w:r>
    </w:p>
    <w:p>
      <w:pPr>
        <w:widowControl/>
        <w:numPr>
          <w:ilvl w:val="0"/>
          <w:numId w:val="16"/>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第三方人员将维修设备的损坏配件携出</w:t>
      </w:r>
      <w:r>
        <w:rPr>
          <w:rFonts w:hint="eastAsia" w:ascii="宋体" w:hAnsi="宋体" w:eastAsia="宋体" w:cs="宋体"/>
          <w:sz w:val="24"/>
          <w:szCs w:val="24"/>
          <w:lang w:eastAsia="zh-CN"/>
        </w:rPr>
        <w:t>舟山市大数据管理局</w:t>
      </w:r>
      <w:r>
        <w:rPr>
          <w:rFonts w:hint="eastAsia" w:ascii="宋体" w:hAnsi="宋体" w:eastAsia="宋体" w:cs="宋体"/>
          <w:bCs/>
          <w:sz w:val="24"/>
        </w:rPr>
        <w:t>信息系统的运行场所时，必须在</w:t>
      </w:r>
      <w:r>
        <w:rPr>
          <w:rFonts w:hint="eastAsia" w:ascii="宋体" w:hAnsi="宋体" w:eastAsia="宋体" w:cs="宋体"/>
          <w:sz w:val="24"/>
          <w:szCs w:val="24"/>
          <w:lang w:eastAsia="zh-CN"/>
        </w:rPr>
        <w:t>舟山市大数据管理局</w:t>
      </w:r>
      <w:r>
        <w:rPr>
          <w:rFonts w:hint="eastAsia" w:ascii="宋体" w:hAnsi="宋体" w:eastAsia="宋体" w:cs="宋体"/>
          <w:bCs/>
          <w:sz w:val="24"/>
        </w:rPr>
        <w:t>信息系统设备的管理人员说明情况并在维护记录中登记；</w:t>
      </w:r>
    </w:p>
    <w:p>
      <w:pPr>
        <w:widowControl/>
        <w:numPr>
          <w:ilvl w:val="0"/>
          <w:numId w:val="16"/>
        </w:numPr>
        <w:spacing w:line="360" w:lineRule="auto"/>
        <w:ind w:left="1259"/>
        <w:jc w:val="left"/>
        <w:outlineLvl w:val="2"/>
        <w:rPr>
          <w:rFonts w:hint="eastAsia" w:ascii="宋体" w:hAnsi="宋体" w:eastAsia="宋体" w:cs="宋体"/>
          <w:kern w:val="0"/>
          <w:lang w:val="en-GB"/>
        </w:rPr>
      </w:pPr>
      <w:r>
        <w:rPr>
          <w:rFonts w:hint="eastAsia" w:ascii="宋体" w:hAnsi="宋体" w:eastAsia="宋体" w:cs="宋体"/>
          <w:kern w:val="0"/>
          <w:sz w:val="24"/>
          <w:lang w:val="en-GB"/>
        </w:rPr>
        <w:t>第三方人员将好的配件换入维修设备时，必须向</w:t>
      </w:r>
      <w:r>
        <w:rPr>
          <w:rFonts w:hint="eastAsia" w:ascii="宋体" w:hAnsi="宋体" w:eastAsia="宋体" w:cs="宋体"/>
          <w:sz w:val="24"/>
          <w:szCs w:val="24"/>
          <w:lang w:eastAsia="zh-CN"/>
        </w:rPr>
        <w:t>舟山市大数据管理局</w:t>
      </w:r>
      <w:r>
        <w:rPr>
          <w:rFonts w:hint="eastAsia" w:ascii="宋体" w:hAnsi="宋体" w:eastAsia="宋体" w:cs="宋体"/>
          <w:kern w:val="0"/>
          <w:sz w:val="24"/>
          <w:lang w:val="en-GB"/>
        </w:rPr>
        <w:t>信息系统设备的管理人员说明情况，并在维修记录中记录。</w:t>
      </w:r>
      <w:bookmarkStart w:id="447" w:name="_Toc165448809"/>
    </w:p>
    <w:p>
      <w:pPr>
        <w:pStyle w:val="6"/>
        <w:spacing w:line="360" w:lineRule="auto"/>
        <w:rPr>
          <w:rFonts w:hint="eastAsia" w:ascii="宋体" w:hAnsi="宋体" w:eastAsia="宋体" w:cs="宋体"/>
        </w:rPr>
      </w:pPr>
      <w:r>
        <w:rPr>
          <w:rFonts w:hint="eastAsia" w:ascii="宋体" w:hAnsi="宋体" w:eastAsia="宋体" w:cs="宋体"/>
          <w:sz w:val="24"/>
          <w:szCs w:val="24"/>
          <w:lang w:val="en-US" w:eastAsia="zh-CN"/>
        </w:rPr>
        <w:t>第十九条</w:t>
      </w:r>
      <w:r>
        <w:rPr>
          <w:rFonts w:hint="eastAsia" w:ascii="宋体" w:hAnsi="宋体" w:eastAsia="宋体" w:cs="宋体"/>
          <w:b w:val="0"/>
          <w:bCs w:val="0"/>
          <w:sz w:val="24"/>
          <w:szCs w:val="24"/>
          <w:lang w:val="en-US" w:eastAsia="zh-CN"/>
        </w:rPr>
        <w:t xml:space="preserve"> 办公场所</w:t>
      </w:r>
      <w:bookmarkEnd w:id="447"/>
      <w:r>
        <w:rPr>
          <w:rFonts w:hint="eastAsia" w:ascii="宋体" w:hAnsi="宋体" w:eastAsia="宋体" w:cs="宋体"/>
          <w:b w:val="0"/>
          <w:bCs w:val="0"/>
          <w:sz w:val="24"/>
          <w:szCs w:val="24"/>
          <w:lang w:val="en-US" w:eastAsia="zh-CN"/>
        </w:rPr>
        <w:t>：</w:t>
      </w:r>
    </w:p>
    <w:p>
      <w:pPr>
        <w:widowControl/>
        <w:numPr>
          <w:ilvl w:val="0"/>
          <w:numId w:val="17"/>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业务洽谈和技术交流应当在接待室、会议室或培训教室内进行，招标、谈判等正式洽谈和重大项目的会谈应当在专门的会议室进行，不得在办公室内进行；</w:t>
      </w:r>
    </w:p>
    <w:p>
      <w:pPr>
        <w:widowControl/>
        <w:numPr>
          <w:ilvl w:val="0"/>
          <w:numId w:val="17"/>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必须指定非临时第三方人员的办公区域，只允许第三方人员在指定区域范围内进行业务活动。</w:t>
      </w:r>
    </w:p>
    <w:p>
      <w:pPr>
        <w:pStyle w:val="5"/>
        <w:numPr>
          <w:ilvl w:val="0"/>
          <w:numId w:val="0"/>
        </w:numPr>
        <w:spacing w:line="360" w:lineRule="auto"/>
        <w:ind w:leftChars="0"/>
        <w:jc w:val="center"/>
        <w:rPr>
          <w:rFonts w:hint="eastAsia" w:ascii="宋体" w:hAnsi="宋体" w:eastAsia="宋体" w:cs="宋体"/>
        </w:rPr>
      </w:pPr>
      <w:bookmarkStart w:id="448" w:name="_Toc257192986"/>
      <w:bookmarkStart w:id="449" w:name="_Toc517876672"/>
      <w:bookmarkStart w:id="450" w:name="_Toc517876745"/>
      <w:r>
        <w:rPr>
          <w:rFonts w:hint="eastAsia" w:ascii="宋体" w:hAnsi="宋体" w:eastAsia="宋体" w:cs="宋体"/>
          <w:sz w:val="28"/>
          <w:szCs w:val="28"/>
          <w:lang w:val="en-US" w:eastAsia="zh-CN"/>
        </w:rPr>
        <w:t>第十一章 信息系统使用</w:t>
      </w:r>
      <w:bookmarkEnd w:id="448"/>
      <w:bookmarkEnd w:id="449"/>
      <w:bookmarkEnd w:id="450"/>
    </w:p>
    <w:p>
      <w:pPr>
        <w:pStyle w:val="6"/>
        <w:spacing w:line="360" w:lineRule="auto"/>
        <w:rPr>
          <w:rFonts w:hint="eastAsia" w:ascii="宋体" w:hAnsi="宋体" w:eastAsia="宋体" w:cs="宋体"/>
        </w:rPr>
      </w:pPr>
      <w:bookmarkStart w:id="451" w:name="_Toc165448811"/>
      <w:bookmarkStart w:id="452" w:name="_Toc164794930"/>
      <w:r>
        <w:rPr>
          <w:rFonts w:hint="eastAsia" w:ascii="宋体" w:hAnsi="宋体" w:eastAsia="宋体" w:cs="宋体"/>
          <w:sz w:val="24"/>
          <w:szCs w:val="24"/>
          <w:lang w:val="en-US" w:eastAsia="zh-CN"/>
        </w:rPr>
        <w:t>第二十条</w:t>
      </w:r>
      <w:r>
        <w:rPr>
          <w:rFonts w:hint="eastAsia" w:ascii="宋体" w:hAnsi="宋体" w:eastAsia="宋体" w:cs="宋体"/>
          <w:b w:val="0"/>
          <w:bCs w:val="0"/>
          <w:sz w:val="24"/>
          <w:szCs w:val="24"/>
          <w:lang w:val="en-US" w:eastAsia="zh-CN"/>
        </w:rPr>
        <w:t xml:space="preserve"> 一般规定</w:t>
      </w:r>
      <w:bookmarkEnd w:id="451"/>
      <w:r>
        <w:rPr>
          <w:rFonts w:hint="eastAsia" w:ascii="宋体" w:hAnsi="宋体" w:eastAsia="宋体" w:cs="宋体"/>
          <w:b w:val="0"/>
          <w:bCs w:val="0"/>
          <w:sz w:val="24"/>
          <w:szCs w:val="24"/>
          <w:lang w:val="en-US" w:eastAsia="zh-CN"/>
        </w:rPr>
        <w:t>：</w:t>
      </w:r>
    </w:p>
    <w:p>
      <w:pPr>
        <w:widowControl/>
        <w:numPr>
          <w:ilvl w:val="0"/>
          <w:numId w:val="18"/>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第三方人员不得越权使用信息系统的任何功能；</w:t>
      </w:r>
    </w:p>
    <w:p>
      <w:pPr>
        <w:widowControl/>
        <w:numPr>
          <w:ilvl w:val="0"/>
          <w:numId w:val="18"/>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第三方人员不得私自拷贝信息系统中的任何数据和程序；</w:t>
      </w:r>
    </w:p>
    <w:p>
      <w:pPr>
        <w:widowControl/>
        <w:numPr>
          <w:ilvl w:val="0"/>
          <w:numId w:val="18"/>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第三方人员将信息系统的软硬件携入与携出信息系统的运行场所必须遵守相关的管理规定；</w:t>
      </w:r>
    </w:p>
    <w:p>
      <w:pPr>
        <w:widowControl/>
        <w:numPr>
          <w:ilvl w:val="0"/>
          <w:numId w:val="18"/>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第三方人员不得私自将含有密钥的设备（或配件）携出信息系统的运行场所；</w:t>
      </w:r>
    </w:p>
    <w:p>
      <w:pPr>
        <w:widowControl/>
        <w:numPr>
          <w:ilvl w:val="0"/>
          <w:numId w:val="18"/>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第三方人员使用信息系统的操作记录应进行登记（附录一、第三方人员操作记录表）；</w:t>
      </w:r>
    </w:p>
    <w:p>
      <w:pPr>
        <w:widowControl/>
        <w:numPr>
          <w:ilvl w:val="0"/>
          <w:numId w:val="18"/>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未经允许，第三方不得使用信息系统。</w:t>
      </w:r>
    </w:p>
    <w:p>
      <w:pPr>
        <w:pStyle w:val="6"/>
        <w:spacing w:line="360" w:lineRule="auto"/>
        <w:rPr>
          <w:rFonts w:hint="eastAsia" w:ascii="宋体" w:hAnsi="宋体" w:eastAsia="宋体" w:cs="宋体"/>
        </w:rPr>
      </w:pPr>
      <w:bookmarkStart w:id="453" w:name="_Toc165448812"/>
      <w:r>
        <w:rPr>
          <w:rFonts w:hint="eastAsia" w:ascii="宋体" w:hAnsi="宋体" w:eastAsia="宋体" w:cs="宋体"/>
          <w:sz w:val="24"/>
          <w:szCs w:val="24"/>
          <w:lang w:val="en-US" w:eastAsia="zh-CN"/>
        </w:rPr>
        <w:t>第二十一条</w:t>
      </w:r>
      <w:r>
        <w:rPr>
          <w:rFonts w:hint="eastAsia" w:ascii="宋体" w:hAnsi="宋体" w:eastAsia="宋体" w:cs="宋体"/>
          <w:b w:val="0"/>
          <w:bCs w:val="0"/>
          <w:sz w:val="24"/>
          <w:szCs w:val="24"/>
          <w:lang w:val="en-US" w:eastAsia="zh-CN"/>
        </w:rPr>
        <w:t xml:space="preserve"> 账号控制</w:t>
      </w:r>
      <w:bookmarkEnd w:id="452"/>
      <w:bookmarkEnd w:id="453"/>
      <w:r>
        <w:rPr>
          <w:rFonts w:hint="eastAsia" w:ascii="宋体" w:hAnsi="宋体" w:eastAsia="宋体" w:cs="宋体"/>
          <w:b w:val="0"/>
          <w:bCs w:val="0"/>
          <w:sz w:val="24"/>
          <w:szCs w:val="24"/>
          <w:lang w:val="en-US" w:eastAsia="zh-CN"/>
        </w:rPr>
        <w:t>：</w:t>
      </w:r>
    </w:p>
    <w:p>
      <w:pPr>
        <w:widowControl/>
        <w:numPr>
          <w:ilvl w:val="0"/>
          <w:numId w:val="19"/>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第三方人员使用信息系统必须遵守信息系统使用的账号管理规定；</w:t>
      </w:r>
    </w:p>
    <w:p>
      <w:pPr>
        <w:widowControl/>
        <w:numPr>
          <w:ilvl w:val="0"/>
          <w:numId w:val="19"/>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第三方人员必须保证信息系统账号的安全，不能泄露给无关的第三方；</w:t>
      </w:r>
    </w:p>
    <w:p>
      <w:pPr>
        <w:widowControl/>
        <w:numPr>
          <w:ilvl w:val="0"/>
          <w:numId w:val="19"/>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第三方人员在工作人员变动时，必须向项目管理部门或人员报告，由安全管理员对账号进行安全处理。</w:t>
      </w:r>
    </w:p>
    <w:p>
      <w:pPr>
        <w:pStyle w:val="6"/>
        <w:spacing w:line="360" w:lineRule="auto"/>
        <w:rPr>
          <w:rFonts w:hint="eastAsia" w:ascii="宋体" w:hAnsi="宋体" w:eastAsia="宋体" w:cs="宋体"/>
        </w:rPr>
      </w:pPr>
      <w:bookmarkStart w:id="454" w:name="_Toc164794931"/>
      <w:bookmarkStart w:id="455" w:name="_Toc165448813"/>
      <w:r>
        <w:rPr>
          <w:rFonts w:hint="eastAsia" w:ascii="宋体" w:hAnsi="宋体" w:eastAsia="宋体" w:cs="宋体"/>
          <w:sz w:val="24"/>
          <w:szCs w:val="24"/>
          <w:lang w:val="en-US" w:eastAsia="zh-CN"/>
        </w:rPr>
        <w:t>第二十二条</w:t>
      </w:r>
      <w:r>
        <w:rPr>
          <w:rFonts w:hint="eastAsia" w:ascii="宋体" w:hAnsi="宋体" w:eastAsia="宋体" w:cs="宋体"/>
          <w:b w:val="0"/>
          <w:bCs w:val="0"/>
          <w:sz w:val="24"/>
          <w:szCs w:val="24"/>
          <w:lang w:val="en-US" w:eastAsia="zh-CN"/>
        </w:rPr>
        <w:t xml:space="preserve"> 密码控制</w:t>
      </w:r>
      <w:bookmarkEnd w:id="454"/>
      <w:bookmarkEnd w:id="455"/>
      <w:r>
        <w:rPr>
          <w:rFonts w:hint="eastAsia" w:ascii="宋体" w:hAnsi="宋体" w:eastAsia="宋体" w:cs="宋体"/>
          <w:b w:val="0"/>
          <w:bCs w:val="0"/>
          <w:sz w:val="24"/>
          <w:szCs w:val="24"/>
          <w:lang w:val="en-US" w:eastAsia="zh-CN"/>
        </w:rPr>
        <w:t>：</w:t>
      </w:r>
    </w:p>
    <w:p>
      <w:pPr>
        <w:widowControl/>
        <w:numPr>
          <w:ilvl w:val="0"/>
          <w:numId w:val="20"/>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第三方人员必须保证密码不泄露，当不慎泄露密码时，应立即通知</w:t>
      </w:r>
      <w:r>
        <w:rPr>
          <w:rFonts w:hint="eastAsia" w:ascii="宋体" w:hAnsi="宋体" w:eastAsia="宋体" w:cs="宋体"/>
          <w:sz w:val="24"/>
          <w:szCs w:val="24"/>
          <w:lang w:eastAsia="zh-CN"/>
        </w:rPr>
        <w:t>舟山市大数据管理局</w:t>
      </w:r>
      <w:r>
        <w:rPr>
          <w:rFonts w:hint="eastAsia" w:ascii="宋体" w:hAnsi="宋体" w:eastAsia="宋体" w:cs="宋体"/>
          <w:bCs/>
          <w:sz w:val="24"/>
        </w:rPr>
        <w:t>信息系统相关管理人员；</w:t>
      </w:r>
    </w:p>
    <w:p>
      <w:pPr>
        <w:widowControl/>
        <w:numPr>
          <w:ilvl w:val="0"/>
          <w:numId w:val="20"/>
        </w:numPr>
        <w:spacing w:line="360" w:lineRule="auto"/>
        <w:ind w:left="1259"/>
        <w:jc w:val="left"/>
        <w:outlineLvl w:val="2"/>
        <w:rPr>
          <w:rFonts w:hint="eastAsia" w:ascii="宋体" w:hAnsi="宋体" w:eastAsia="宋体" w:cs="宋体"/>
          <w:bCs/>
          <w:sz w:val="24"/>
        </w:rPr>
      </w:pPr>
      <w:r>
        <w:rPr>
          <w:rFonts w:hint="eastAsia" w:ascii="宋体" w:hAnsi="宋体" w:eastAsia="宋体" w:cs="宋体"/>
          <w:bCs/>
          <w:sz w:val="24"/>
        </w:rPr>
        <w:t>服务提供的密码由信息系统相关管理员定期更换，更换后信息系统相关管理人员向第三方人员通知密码。</w:t>
      </w:r>
      <w:bookmarkEnd w:id="426"/>
      <w:bookmarkEnd w:id="427"/>
      <w:bookmarkEnd w:id="428"/>
    </w:p>
    <w:p>
      <w:pPr>
        <w:pStyle w:val="5"/>
        <w:numPr>
          <w:ilvl w:val="0"/>
          <w:numId w:val="0"/>
        </w:numPr>
        <w:spacing w:line="360" w:lineRule="auto"/>
        <w:ind w:leftChars="0"/>
        <w:jc w:val="center"/>
        <w:rPr>
          <w:rFonts w:hint="eastAsia" w:ascii="宋体" w:hAnsi="宋体" w:eastAsia="宋体" w:cs="宋体"/>
        </w:rPr>
      </w:pPr>
      <w:bookmarkStart w:id="456" w:name="_Toc517876673"/>
      <w:bookmarkStart w:id="457" w:name="_Toc257192987"/>
      <w:bookmarkStart w:id="458" w:name="_Toc517876746"/>
      <w:r>
        <w:rPr>
          <w:rFonts w:hint="eastAsia" w:ascii="宋体" w:hAnsi="宋体" w:eastAsia="宋体" w:cs="宋体"/>
          <w:sz w:val="28"/>
          <w:szCs w:val="28"/>
          <w:lang w:val="en-US" w:eastAsia="zh-CN"/>
        </w:rPr>
        <w:t>第十二章 持续改进</w:t>
      </w:r>
      <w:bookmarkEnd w:id="456"/>
      <w:bookmarkEnd w:id="457"/>
      <w:bookmarkEnd w:id="458"/>
    </w:p>
    <w:p>
      <w:pPr>
        <w:pStyle w:val="6"/>
        <w:spacing w:line="360" w:lineRule="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第二十三条</w:t>
      </w:r>
      <w:r>
        <w:rPr>
          <w:rFonts w:hint="eastAsia" w:ascii="宋体" w:hAnsi="宋体" w:eastAsia="宋体" w:cs="宋体"/>
          <w:b w:val="0"/>
          <w:bCs w:val="0"/>
          <w:sz w:val="24"/>
          <w:szCs w:val="24"/>
          <w:lang w:val="en-US" w:eastAsia="zh-CN"/>
        </w:rPr>
        <w:t xml:space="preserve"> 为了保证本文件的时效性、可行性，必须根据相关审核规定进行评审和修订，修订后重新发布。</w:t>
      </w:r>
    </w:p>
    <w:p>
      <w:pPr>
        <w:pStyle w:val="5"/>
        <w:numPr>
          <w:ilvl w:val="0"/>
          <w:numId w:val="0"/>
        </w:numPr>
        <w:spacing w:line="360" w:lineRule="auto"/>
        <w:ind w:leftChars="0"/>
        <w:jc w:val="center"/>
        <w:rPr>
          <w:rFonts w:hint="eastAsia" w:ascii="宋体" w:hAnsi="宋体" w:eastAsia="宋体" w:cs="宋体"/>
        </w:rPr>
      </w:pPr>
      <w:bookmarkStart w:id="459" w:name="_Toc517876674"/>
      <w:bookmarkStart w:id="460" w:name="_Toc257192988"/>
      <w:bookmarkStart w:id="461" w:name="_Toc517876747"/>
      <w:r>
        <w:rPr>
          <w:rFonts w:hint="eastAsia" w:ascii="宋体" w:hAnsi="宋体" w:eastAsia="宋体" w:cs="宋体"/>
          <w:sz w:val="28"/>
          <w:szCs w:val="28"/>
          <w:lang w:val="en-US" w:eastAsia="zh-CN"/>
        </w:rPr>
        <w:t>第十三章 附则</w:t>
      </w:r>
      <w:bookmarkEnd w:id="459"/>
      <w:bookmarkEnd w:id="460"/>
      <w:bookmarkEnd w:id="461"/>
    </w:p>
    <w:p>
      <w:pPr>
        <w:pStyle w:val="6"/>
        <w:spacing w:line="360" w:lineRule="auto"/>
        <w:rPr>
          <w:rFonts w:hint="eastAsia" w:ascii="宋体" w:hAnsi="宋体" w:eastAsia="宋体" w:cs="宋体"/>
        </w:rPr>
      </w:pPr>
      <w:r>
        <w:rPr>
          <w:rFonts w:hint="eastAsia" w:ascii="宋体" w:hAnsi="宋体" w:eastAsia="宋体" w:cs="宋体"/>
          <w:sz w:val="24"/>
          <w:szCs w:val="24"/>
          <w:lang w:val="en-US" w:eastAsia="zh-CN"/>
        </w:rPr>
        <w:t>第二十四条</w:t>
      </w:r>
      <w:r>
        <w:rPr>
          <w:rFonts w:hint="eastAsia" w:ascii="宋体" w:hAnsi="宋体" w:eastAsia="宋体" w:cs="宋体"/>
          <w:b w:val="0"/>
          <w:bCs w:val="0"/>
          <w:sz w:val="24"/>
          <w:szCs w:val="24"/>
          <w:lang w:val="en-US" w:eastAsia="zh-CN"/>
        </w:rPr>
        <w:t xml:space="preserve"> 本文件由舟山市大数据管理局负责制定、解释和修改。</w:t>
      </w:r>
    </w:p>
    <w:p>
      <w:pPr>
        <w:pStyle w:val="6"/>
        <w:spacing w:line="360" w:lineRule="auto"/>
        <w:rPr>
          <w:rFonts w:hint="eastAsia" w:ascii="宋体" w:hAnsi="宋体" w:eastAsia="宋体" w:cs="宋体"/>
        </w:rPr>
      </w:pPr>
      <w:r>
        <w:rPr>
          <w:rFonts w:hint="eastAsia" w:ascii="宋体" w:hAnsi="宋体" w:eastAsia="宋体" w:cs="宋体"/>
          <w:sz w:val="24"/>
          <w:szCs w:val="24"/>
          <w:lang w:val="en-US" w:eastAsia="zh-CN"/>
        </w:rPr>
        <w:t>第二十五条</w:t>
      </w:r>
      <w:r>
        <w:rPr>
          <w:rFonts w:hint="eastAsia" w:ascii="宋体" w:hAnsi="宋体" w:eastAsia="宋体" w:cs="宋体"/>
          <w:b w:val="0"/>
          <w:bCs w:val="0"/>
          <w:sz w:val="24"/>
          <w:szCs w:val="24"/>
          <w:lang w:val="en-US" w:eastAsia="zh-CN"/>
        </w:rPr>
        <w:t xml:space="preserve"> 本文件自发布之日起执行。</w:t>
      </w:r>
    </w:p>
    <w:p>
      <w:pPr>
        <w:pStyle w:val="5"/>
        <w:numPr>
          <w:ilvl w:val="0"/>
          <w:numId w:val="0"/>
        </w:numPr>
        <w:spacing w:line="360" w:lineRule="auto"/>
        <w:ind w:leftChars="0"/>
        <w:jc w:val="center"/>
        <w:rPr>
          <w:rFonts w:hint="eastAsia" w:ascii="宋体" w:hAnsi="宋体" w:eastAsia="宋体" w:cs="宋体"/>
          <w:sz w:val="24"/>
          <w:lang w:val="en-GB"/>
        </w:rPr>
      </w:pPr>
      <w:bookmarkStart w:id="462" w:name="_Toc517876675"/>
      <w:bookmarkStart w:id="463" w:name="_Toc517876748"/>
      <w:r>
        <w:rPr>
          <w:rFonts w:hint="eastAsia" w:ascii="宋体" w:hAnsi="宋体" w:eastAsia="宋体" w:cs="宋体"/>
          <w:sz w:val="28"/>
          <w:szCs w:val="28"/>
          <w:lang w:val="en-US" w:eastAsia="zh-CN"/>
        </w:rPr>
        <w:t>第十四章 附录</w:t>
      </w:r>
      <w:bookmarkEnd w:id="462"/>
      <w:bookmarkEnd w:id="463"/>
    </w:p>
    <w:p>
      <w:pPr>
        <w:spacing w:line="360" w:lineRule="auto"/>
        <w:rPr>
          <w:rFonts w:hint="eastAsia" w:ascii="宋体" w:hAnsi="宋体" w:eastAsia="宋体" w:cs="宋体"/>
          <w:szCs w:val="21"/>
        </w:rPr>
      </w:pPr>
      <w:r>
        <w:rPr>
          <w:rFonts w:hint="eastAsia" w:ascii="宋体" w:hAnsi="宋体" w:eastAsia="宋体" w:cs="宋体"/>
          <w:szCs w:val="21"/>
        </w:rPr>
        <w:t>附录一、第三方人员操作记录</w:t>
      </w:r>
    </w:p>
    <w:p>
      <w:pPr>
        <w:spacing w:line="360" w:lineRule="auto"/>
        <w:rPr>
          <w:rFonts w:hint="eastAsia" w:ascii="宋体" w:hAnsi="宋体" w:eastAsia="宋体" w:cs="宋体"/>
          <w:szCs w:val="21"/>
        </w:rPr>
      </w:pP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第三方人员操作记录表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329"/>
        <w:gridCol w:w="1770"/>
        <w:gridCol w:w="1601"/>
        <w:gridCol w:w="1203"/>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29" w:type="dxa"/>
            <w:noWrap w:val="0"/>
            <w:vAlign w:val="center"/>
          </w:tcPr>
          <w:p>
            <w:pPr>
              <w:pStyle w:val="25"/>
              <w:spacing w:before="120" w:line="360" w:lineRule="auto"/>
              <w:ind w:left="0" w:leftChars="0" w:firstLine="0" w:firstLineChar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操作人员</w:t>
            </w:r>
          </w:p>
        </w:tc>
        <w:tc>
          <w:tcPr>
            <w:tcW w:w="1329" w:type="dxa"/>
            <w:noWrap w:val="0"/>
            <w:vAlign w:val="center"/>
          </w:tcPr>
          <w:p>
            <w:pPr>
              <w:pStyle w:val="25"/>
              <w:spacing w:before="120" w:line="360" w:lineRule="auto"/>
              <w:ind w:left="0" w:leftChars="0" w:firstLine="0" w:firstLineChar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所属单位</w:t>
            </w:r>
          </w:p>
        </w:tc>
        <w:tc>
          <w:tcPr>
            <w:tcW w:w="1770" w:type="dxa"/>
            <w:noWrap w:val="0"/>
            <w:vAlign w:val="center"/>
          </w:tcPr>
          <w:p>
            <w:pPr>
              <w:pStyle w:val="25"/>
              <w:spacing w:before="120" w:line="360" w:lineRule="auto"/>
              <w:ind w:left="0" w:leftChars="0" w:firstLine="0" w:firstLineChar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操作事由</w:t>
            </w:r>
          </w:p>
        </w:tc>
        <w:tc>
          <w:tcPr>
            <w:tcW w:w="1601" w:type="dxa"/>
            <w:noWrap w:val="0"/>
            <w:vAlign w:val="center"/>
          </w:tcPr>
          <w:p>
            <w:pPr>
              <w:pStyle w:val="25"/>
              <w:spacing w:before="120" w:line="360" w:lineRule="auto"/>
              <w:ind w:left="0" w:leftChars="0" w:firstLine="0" w:firstLineChar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操作设备名</w:t>
            </w:r>
          </w:p>
        </w:tc>
        <w:tc>
          <w:tcPr>
            <w:tcW w:w="1203" w:type="dxa"/>
            <w:noWrap w:val="0"/>
            <w:vAlign w:val="center"/>
          </w:tcPr>
          <w:p>
            <w:pPr>
              <w:pStyle w:val="25"/>
              <w:spacing w:before="120" w:line="360" w:lineRule="auto"/>
              <w:ind w:left="0" w:leftChars="0" w:firstLine="0" w:firstLineChar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操作内容</w:t>
            </w:r>
          </w:p>
        </w:tc>
        <w:tc>
          <w:tcPr>
            <w:tcW w:w="1457" w:type="dxa"/>
            <w:noWrap w:val="0"/>
            <w:vAlign w:val="center"/>
          </w:tcPr>
          <w:p>
            <w:pPr>
              <w:pStyle w:val="25"/>
              <w:spacing w:before="120" w:line="360" w:lineRule="auto"/>
              <w:ind w:left="0" w:leftChars="0" w:firstLine="0" w:firstLineChar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陪同人员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29"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329"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770"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601"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203"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457"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29"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329"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770"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601"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203"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457"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29"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329"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770"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601"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203"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457"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29"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329"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770"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601"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203"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457"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29"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329"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770"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601"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203"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457"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29"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329"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770"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601"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203"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457"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29"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329"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770"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601"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203"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c>
          <w:tcPr>
            <w:tcW w:w="1457" w:type="dxa"/>
            <w:noWrap w:val="0"/>
            <w:vAlign w:val="top"/>
          </w:tcPr>
          <w:p>
            <w:pPr>
              <w:pStyle w:val="25"/>
              <w:spacing w:before="120" w:line="360" w:lineRule="auto"/>
              <w:ind w:left="0" w:leftChars="0" w:firstLine="0" w:firstLineChars="0"/>
              <w:rPr>
                <w:rFonts w:hint="eastAsia" w:ascii="宋体" w:hAnsi="宋体" w:eastAsia="宋体" w:cs="宋体"/>
                <w:color w:val="000000"/>
                <w:sz w:val="21"/>
                <w:szCs w:val="21"/>
              </w:rPr>
            </w:pPr>
          </w:p>
        </w:tc>
      </w:tr>
    </w:tbl>
    <w:p>
      <w:pPr>
        <w:spacing w:line="360" w:lineRule="auto"/>
        <w:rPr>
          <w:rFonts w:hint="eastAsia" w:ascii="宋体" w:hAnsi="宋体" w:eastAsia="宋体" w:cs="宋体"/>
          <w:sz w:val="24"/>
          <w:lang w:val="en-GB"/>
        </w:rPr>
        <w:sectPr>
          <w:footerReference r:id="rId10" w:type="default"/>
          <w:pgSz w:w="11906" w:h="16838"/>
          <w:pgMar w:top="1418" w:right="1418" w:bottom="1247" w:left="1418" w:header="851" w:footer="567" w:gutter="0"/>
          <w:cols w:space="720" w:num="1"/>
          <w:docGrid w:type="lines" w:linePitch="312" w:charSpace="0"/>
        </w:sectPr>
      </w:pPr>
    </w:p>
    <w:p>
      <w:pPr>
        <w:pStyle w:val="2"/>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合同附件2</w:t>
      </w:r>
    </w:p>
    <w:p>
      <w:pPr>
        <w:rPr>
          <w:rFonts w:hint="eastAsia" w:ascii="宋体" w:hAnsi="宋体" w:eastAsia="宋体" w:cs="宋体"/>
        </w:rPr>
      </w:pPr>
    </w:p>
    <w:p>
      <w:pPr>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舟山市公共数据安全风险发现与处置工作细则</w:t>
      </w:r>
    </w:p>
    <w:p>
      <w:pPr>
        <w:pStyle w:val="6"/>
        <w:tabs>
          <w:tab w:val="left" w:pos="1259"/>
        </w:tabs>
        <w:spacing w:line="360" w:lineRule="auto"/>
        <w:ind w:right="323"/>
        <w:jc w:val="center"/>
        <w:rPr>
          <w:rFonts w:hint="eastAsia" w:ascii="宋体" w:hAnsi="宋体" w:eastAsia="宋体" w:cs="宋体"/>
        </w:rPr>
      </w:pPr>
      <w:r>
        <w:rPr>
          <w:rFonts w:hint="eastAsia" w:ascii="宋体" w:hAnsi="宋体" w:eastAsia="宋体" w:cs="宋体"/>
        </w:rPr>
        <w:t>第一章</w:t>
      </w:r>
      <w:r>
        <w:rPr>
          <w:rFonts w:hint="eastAsia" w:ascii="宋体" w:hAnsi="宋体" w:eastAsia="宋体" w:cs="宋体"/>
        </w:rPr>
        <w:tab/>
      </w:r>
      <w:r>
        <w:rPr>
          <w:rFonts w:hint="eastAsia" w:ascii="宋体" w:hAnsi="宋体" w:eastAsia="宋体" w:cs="宋体"/>
        </w:rPr>
        <w:t>总则</w:t>
      </w:r>
    </w:p>
    <w:p>
      <w:pPr>
        <w:spacing w:line="360" w:lineRule="auto"/>
        <w:ind w:firstLine="562" w:firstLineChars="200"/>
        <w:jc w:val="both"/>
        <w:rPr>
          <w:rFonts w:hint="eastAsia" w:ascii="宋体" w:hAnsi="宋体" w:eastAsia="宋体" w:cs="宋体"/>
          <w:sz w:val="28"/>
          <w:szCs w:val="28"/>
        </w:rPr>
      </w:pPr>
      <w:r>
        <w:rPr>
          <w:rFonts w:hint="eastAsia" w:ascii="宋体" w:hAnsi="宋体" w:eastAsia="宋体" w:cs="宋体"/>
          <w:b/>
          <w:bCs/>
          <w:sz w:val="28"/>
          <w:szCs w:val="28"/>
          <w:lang w:val="en-US" w:eastAsia="zh-CN"/>
        </w:rPr>
        <w:t>第一条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为加强公共数据安全管理，建立健全公共数据安全</w:t>
      </w:r>
      <w:r>
        <w:rPr>
          <w:rFonts w:hint="eastAsia" w:ascii="宋体" w:hAnsi="宋体" w:eastAsia="宋体" w:cs="宋体"/>
          <w:w w:val="95"/>
          <w:sz w:val="28"/>
          <w:szCs w:val="28"/>
        </w:rPr>
        <w:t>保障体系</w:t>
      </w:r>
      <w:r>
        <w:rPr>
          <w:rFonts w:hint="eastAsia" w:ascii="宋体" w:hAnsi="宋体" w:eastAsia="宋体" w:cs="宋体"/>
          <w:spacing w:val="-27"/>
          <w:w w:val="95"/>
          <w:sz w:val="28"/>
          <w:szCs w:val="28"/>
        </w:rPr>
        <w:t>，</w:t>
      </w:r>
      <w:r>
        <w:rPr>
          <w:rFonts w:hint="eastAsia" w:ascii="宋体" w:hAnsi="宋体" w:eastAsia="宋体" w:cs="宋体"/>
          <w:w w:val="95"/>
          <w:sz w:val="28"/>
          <w:szCs w:val="28"/>
        </w:rPr>
        <w:t>完善公共数据风险</w:t>
      </w:r>
      <w:r>
        <w:rPr>
          <w:rFonts w:hint="eastAsia" w:ascii="宋体" w:hAnsi="宋体" w:eastAsia="宋体" w:cs="宋体"/>
          <w:w w:val="95"/>
          <w:sz w:val="28"/>
          <w:szCs w:val="28"/>
          <w:lang w:val="en-US" w:eastAsia="zh-CN"/>
        </w:rPr>
        <w:t>发现和处置</w:t>
      </w:r>
      <w:r>
        <w:rPr>
          <w:rFonts w:hint="eastAsia" w:ascii="宋体" w:hAnsi="宋体" w:eastAsia="宋体" w:cs="宋体"/>
          <w:w w:val="95"/>
          <w:sz w:val="28"/>
          <w:szCs w:val="28"/>
        </w:rPr>
        <w:t>机制</w:t>
      </w:r>
      <w:r>
        <w:rPr>
          <w:rFonts w:hint="eastAsia" w:ascii="宋体" w:hAnsi="宋体" w:eastAsia="宋体" w:cs="宋体"/>
          <w:spacing w:val="-27"/>
          <w:w w:val="95"/>
          <w:sz w:val="28"/>
          <w:szCs w:val="28"/>
        </w:rPr>
        <w:t>，</w:t>
      </w:r>
      <w:r>
        <w:rPr>
          <w:rFonts w:hint="eastAsia" w:ascii="宋体" w:hAnsi="宋体" w:eastAsia="宋体" w:cs="宋体"/>
          <w:w w:val="95"/>
          <w:sz w:val="28"/>
          <w:szCs w:val="28"/>
        </w:rPr>
        <w:t>防患于未然，</w:t>
      </w:r>
      <w:r>
        <w:rPr>
          <w:rFonts w:hint="eastAsia" w:ascii="宋体" w:hAnsi="宋体" w:eastAsia="宋体" w:cs="宋体"/>
          <w:spacing w:val="5"/>
          <w:sz w:val="28"/>
          <w:szCs w:val="28"/>
        </w:rPr>
        <w:t>依据《中华人民共</w:t>
      </w:r>
      <w:r>
        <w:rPr>
          <w:rFonts w:hint="eastAsia" w:ascii="宋体" w:hAnsi="宋体" w:eastAsia="宋体" w:cs="宋体"/>
          <w:sz w:val="28"/>
          <w:szCs w:val="28"/>
        </w:rPr>
        <w:t>和</w:t>
      </w:r>
      <w:r>
        <w:rPr>
          <w:rFonts w:hint="eastAsia" w:ascii="宋体" w:hAnsi="宋体" w:eastAsia="宋体" w:cs="宋体"/>
          <w:spacing w:val="5"/>
          <w:sz w:val="28"/>
          <w:szCs w:val="28"/>
        </w:rPr>
        <w:t>国网络安全法》《中华人民共和</w:t>
      </w:r>
      <w:r>
        <w:rPr>
          <w:rFonts w:hint="eastAsia" w:ascii="宋体" w:hAnsi="宋体" w:eastAsia="宋体" w:cs="宋体"/>
          <w:sz w:val="28"/>
          <w:szCs w:val="28"/>
        </w:rPr>
        <w:t>国</w:t>
      </w:r>
      <w:r>
        <w:rPr>
          <w:rFonts w:hint="eastAsia" w:ascii="宋体" w:hAnsi="宋体" w:eastAsia="宋体" w:cs="宋体"/>
          <w:spacing w:val="5"/>
          <w:sz w:val="28"/>
          <w:szCs w:val="28"/>
        </w:rPr>
        <w:t>数据安</w:t>
      </w:r>
      <w:r>
        <w:rPr>
          <w:rFonts w:hint="eastAsia" w:ascii="宋体" w:hAnsi="宋体" w:eastAsia="宋体" w:cs="宋体"/>
          <w:sz w:val="28"/>
          <w:szCs w:val="28"/>
        </w:rPr>
        <w:t>全</w:t>
      </w:r>
      <w:r>
        <w:rPr>
          <w:rFonts w:hint="eastAsia" w:ascii="宋体" w:hAnsi="宋体" w:eastAsia="宋体" w:cs="宋体"/>
          <w:spacing w:val="5"/>
          <w:sz w:val="28"/>
          <w:szCs w:val="28"/>
        </w:rPr>
        <w:t>法》《浙江省公共</w:t>
      </w:r>
      <w:r>
        <w:rPr>
          <w:rFonts w:hint="eastAsia" w:ascii="宋体" w:hAnsi="宋体" w:eastAsia="宋体" w:cs="宋体"/>
          <w:sz w:val="28"/>
          <w:szCs w:val="28"/>
        </w:rPr>
        <w:t>数</w:t>
      </w:r>
      <w:r>
        <w:rPr>
          <w:rFonts w:hint="eastAsia" w:ascii="宋体" w:hAnsi="宋体" w:eastAsia="宋体" w:cs="宋体"/>
          <w:spacing w:val="5"/>
          <w:sz w:val="28"/>
          <w:szCs w:val="28"/>
        </w:rPr>
        <w:t>据和电子政务管理办法》《浙江省</w:t>
      </w:r>
      <w:r>
        <w:rPr>
          <w:rFonts w:hint="eastAsia" w:ascii="宋体" w:hAnsi="宋体" w:eastAsia="宋体" w:cs="宋体"/>
          <w:sz w:val="28"/>
          <w:szCs w:val="28"/>
        </w:rPr>
        <w:t>公</w:t>
      </w:r>
      <w:r>
        <w:rPr>
          <w:rFonts w:hint="eastAsia" w:ascii="宋体" w:hAnsi="宋体" w:eastAsia="宋体" w:cs="宋体"/>
          <w:spacing w:val="5"/>
          <w:sz w:val="28"/>
          <w:szCs w:val="28"/>
        </w:rPr>
        <w:t>共数</w:t>
      </w:r>
      <w:r>
        <w:rPr>
          <w:rFonts w:hint="eastAsia" w:ascii="宋体" w:hAnsi="宋体" w:eastAsia="宋体" w:cs="宋体"/>
          <w:sz w:val="28"/>
          <w:szCs w:val="28"/>
        </w:rPr>
        <w:t>据</w:t>
      </w:r>
      <w:r>
        <w:rPr>
          <w:rFonts w:hint="eastAsia" w:ascii="宋体" w:hAnsi="宋体" w:eastAsia="宋体" w:cs="宋体"/>
          <w:spacing w:val="5"/>
          <w:sz w:val="28"/>
          <w:szCs w:val="28"/>
        </w:rPr>
        <w:t>开放与安全管理暂</w:t>
      </w:r>
      <w:r>
        <w:rPr>
          <w:rFonts w:hint="eastAsia" w:ascii="宋体" w:hAnsi="宋体" w:eastAsia="宋体" w:cs="宋体"/>
          <w:sz w:val="28"/>
          <w:szCs w:val="28"/>
        </w:rPr>
        <w:t>行</w:t>
      </w:r>
      <w:r>
        <w:rPr>
          <w:rFonts w:hint="eastAsia" w:ascii="宋体" w:hAnsi="宋体" w:eastAsia="宋体" w:cs="宋体"/>
          <w:spacing w:val="5"/>
          <w:sz w:val="28"/>
          <w:szCs w:val="28"/>
        </w:rPr>
        <w:t>办法》《浙江省公共数据</w:t>
      </w:r>
      <w:r>
        <w:rPr>
          <w:rFonts w:hint="eastAsia" w:ascii="宋体" w:hAnsi="宋体" w:eastAsia="宋体" w:cs="宋体"/>
          <w:sz w:val="28"/>
          <w:szCs w:val="28"/>
        </w:rPr>
        <w:t>安</w:t>
      </w:r>
      <w:r>
        <w:rPr>
          <w:rFonts w:hint="eastAsia" w:ascii="宋体" w:hAnsi="宋体" w:eastAsia="宋体" w:cs="宋体"/>
          <w:spacing w:val="5"/>
          <w:sz w:val="28"/>
          <w:szCs w:val="28"/>
        </w:rPr>
        <w:t>全管理总则（</w:t>
      </w:r>
      <w:r>
        <w:rPr>
          <w:rFonts w:hint="eastAsia" w:ascii="宋体" w:hAnsi="宋体" w:eastAsia="宋体" w:cs="宋体"/>
          <w:sz w:val="28"/>
          <w:szCs w:val="28"/>
        </w:rPr>
        <w:t>试行）》</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浙江省公共数据条例</w:t>
      </w:r>
      <w:r>
        <w:rPr>
          <w:rFonts w:hint="eastAsia" w:ascii="宋体" w:hAnsi="宋体" w:eastAsia="宋体" w:cs="宋体"/>
          <w:sz w:val="28"/>
          <w:szCs w:val="28"/>
          <w:lang w:eastAsia="zh-CN"/>
        </w:rPr>
        <w:t>》</w:t>
      </w:r>
      <w:r>
        <w:rPr>
          <w:rFonts w:hint="eastAsia" w:ascii="宋体" w:hAnsi="宋体" w:eastAsia="宋体" w:cs="宋体"/>
          <w:sz w:val="28"/>
          <w:szCs w:val="28"/>
        </w:rPr>
        <w:t>等有关法律法规的规定，结合</w:t>
      </w:r>
      <w:r>
        <w:rPr>
          <w:rFonts w:hint="eastAsia" w:ascii="宋体" w:hAnsi="宋体" w:eastAsia="宋体" w:cs="宋体"/>
          <w:sz w:val="28"/>
          <w:szCs w:val="28"/>
          <w:lang w:val="en-US" w:eastAsia="zh-CN"/>
        </w:rPr>
        <w:t>舟山</w:t>
      </w:r>
      <w:r>
        <w:rPr>
          <w:rFonts w:hint="eastAsia" w:ascii="宋体" w:hAnsi="宋体" w:eastAsia="宋体" w:cs="宋体"/>
          <w:sz w:val="28"/>
          <w:szCs w:val="28"/>
        </w:rPr>
        <w:t>实际，制定本细则。</w:t>
      </w:r>
    </w:p>
    <w:p>
      <w:pPr>
        <w:pStyle w:val="3"/>
        <w:tabs>
          <w:tab w:val="left" w:pos="2107"/>
        </w:tabs>
        <w:spacing w:line="360" w:lineRule="auto"/>
        <w:ind w:left="747"/>
        <w:rPr>
          <w:rFonts w:hint="eastAsia" w:ascii="宋体" w:hAnsi="宋体" w:eastAsia="宋体" w:cs="宋体"/>
        </w:rPr>
      </w:pPr>
      <w:r>
        <w:rPr>
          <w:rFonts w:hint="eastAsia" w:ascii="宋体" w:hAnsi="宋体" w:eastAsia="宋体" w:cs="宋体"/>
          <w:b/>
          <w:bCs/>
          <w:kern w:val="2"/>
          <w:sz w:val="28"/>
          <w:szCs w:val="28"/>
          <w:lang w:val="en-US" w:eastAsia="zh-CN" w:bidi="ar-SA"/>
        </w:rPr>
        <w:t xml:space="preserve">第二条 </w:t>
      </w:r>
      <w:r>
        <w:rPr>
          <w:rFonts w:hint="eastAsia" w:ascii="宋体" w:hAnsi="宋体" w:eastAsia="宋体" w:cs="宋体"/>
          <w:b/>
          <w:bCs/>
          <w:sz w:val="28"/>
          <w:szCs w:val="28"/>
        </w:rPr>
        <w:t>数据安全事件定义</w:t>
      </w:r>
    </w:p>
    <w:p>
      <w:pPr>
        <w:pStyle w:val="3"/>
        <w:spacing w:before="139" w:line="360" w:lineRule="auto"/>
        <w:ind w:right="429" w:firstLine="638"/>
        <w:rPr>
          <w:rFonts w:hint="eastAsia" w:ascii="宋体" w:hAnsi="宋体" w:eastAsia="宋体" w:cs="宋体"/>
          <w:spacing w:val="5"/>
          <w:kern w:val="2"/>
          <w:sz w:val="28"/>
          <w:szCs w:val="28"/>
          <w:lang w:val="en-US" w:eastAsia="zh-CN" w:bidi="ar-SA"/>
        </w:rPr>
      </w:pPr>
      <w:r>
        <w:rPr>
          <w:rFonts w:hint="eastAsia" w:ascii="宋体" w:hAnsi="宋体" w:eastAsia="宋体" w:cs="宋体"/>
          <w:spacing w:val="5"/>
          <w:kern w:val="2"/>
          <w:sz w:val="28"/>
          <w:szCs w:val="28"/>
          <w:lang w:val="en-US" w:eastAsia="zh-CN" w:bidi="ar-SA"/>
        </w:rPr>
        <w:t>（一）网络突然发生中断导致数据库故障，如停电、线路故 障、网络通信设备损坏等。</w:t>
      </w:r>
    </w:p>
    <w:p>
      <w:pPr>
        <w:pStyle w:val="3"/>
        <w:spacing w:line="360" w:lineRule="auto"/>
        <w:ind w:right="195" w:firstLine="638"/>
        <w:rPr>
          <w:rFonts w:hint="eastAsia" w:ascii="宋体" w:hAnsi="宋体" w:eastAsia="宋体" w:cs="宋体"/>
          <w:spacing w:val="5"/>
          <w:kern w:val="2"/>
          <w:sz w:val="28"/>
          <w:szCs w:val="28"/>
          <w:lang w:val="en-US" w:eastAsia="zh-CN" w:bidi="ar-SA"/>
        </w:rPr>
      </w:pPr>
      <w:r>
        <w:rPr>
          <w:rFonts w:hint="eastAsia" w:ascii="宋体" w:hAnsi="宋体" w:eastAsia="宋体" w:cs="宋体"/>
          <w:spacing w:val="5"/>
          <w:kern w:val="2"/>
          <w:sz w:val="28"/>
          <w:szCs w:val="28"/>
          <w:lang w:val="en-US" w:eastAsia="zh-CN" w:bidi="ar-SA"/>
        </w:rPr>
        <w:t>（二）本系统网络受到黑客攻击，数据被恶意篡改、交互式栏目里发表有煽动分裂国家、破坏国家统一和民族团结、推翻社会主义制度；煽动抗拒、破坏宪法和国家法律、行政法规的实施； 捏造或者歪曲事实，故意散布谣言，扰乱秩序；破坏社会稳定的信息及损害国家声誉和稳定的谣言等。</w:t>
      </w:r>
    </w:p>
    <w:p>
      <w:pPr>
        <w:pStyle w:val="3"/>
        <w:spacing w:before="185" w:line="360" w:lineRule="auto"/>
        <w:ind w:firstLine="580" w:firstLineChars="200"/>
        <w:rPr>
          <w:rFonts w:hint="eastAsia" w:ascii="宋体" w:hAnsi="宋体" w:eastAsia="宋体" w:cs="宋体"/>
          <w:spacing w:val="5"/>
          <w:kern w:val="2"/>
          <w:sz w:val="28"/>
          <w:szCs w:val="28"/>
          <w:lang w:val="en-US" w:eastAsia="zh-CN" w:bidi="ar-SA"/>
        </w:rPr>
      </w:pPr>
      <w:r>
        <w:rPr>
          <w:rFonts w:hint="eastAsia" w:ascii="宋体" w:hAnsi="宋体" w:eastAsia="宋体" w:cs="宋体"/>
          <w:spacing w:val="5"/>
          <w:kern w:val="2"/>
          <w:sz w:val="28"/>
          <w:szCs w:val="28"/>
          <w:lang w:val="en-US" w:eastAsia="zh-CN" w:bidi="ar-SA"/>
        </w:rPr>
        <w:t>（三）由于不可抗力对政务系统造成物理破坏而导致的公共数据安全事件。包括水灾、台风、地震、雷击、坍塌、火灾、恐怖袭击、战争等导致的公共数据安全事件。</w:t>
      </w:r>
    </w:p>
    <w:p>
      <w:pPr>
        <w:pStyle w:val="3"/>
        <w:spacing w:before="185" w:line="360" w:lineRule="auto"/>
        <w:ind w:firstLine="580" w:firstLineChars="200"/>
        <w:rPr>
          <w:rFonts w:hint="eastAsia" w:ascii="宋体" w:hAnsi="宋体" w:eastAsia="宋体" w:cs="宋体"/>
          <w:spacing w:val="5"/>
          <w:kern w:val="2"/>
          <w:sz w:val="28"/>
          <w:szCs w:val="28"/>
          <w:lang w:val="en-US" w:eastAsia="zh-CN" w:bidi="ar-SA"/>
        </w:rPr>
      </w:pPr>
      <w:r>
        <w:rPr>
          <w:rFonts w:hint="eastAsia" w:ascii="宋体" w:hAnsi="宋体" w:eastAsia="宋体" w:cs="宋体"/>
          <w:spacing w:val="5"/>
          <w:kern w:val="2"/>
          <w:sz w:val="28"/>
          <w:szCs w:val="28"/>
          <w:lang w:val="en-US" w:eastAsia="zh-CN" w:bidi="ar-SA"/>
        </w:rPr>
        <w:t>（四）由于信息系统自身故障或外围保障设施故障而导致的数据安全事件，以及人为的使用非技术手段有意或无意的造成政务系统破坏而导致的数据安全事件。包括软硬件自身故障、外围保障设施故障、人为破坏事故和其它设备设施故障。</w:t>
      </w:r>
    </w:p>
    <w:p>
      <w:pPr>
        <w:pStyle w:val="3"/>
        <w:spacing w:before="185" w:line="360" w:lineRule="auto"/>
        <w:ind w:firstLine="580" w:firstLineChars="200"/>
        <w:rPr>
          <w:rFonts w:hint="eastAsia" w:ascii="宋体" w:hAnsi="宋体" w:eastAsia="宋体" w:cs="宋体"/>
          <w:spacing w:val="5"/>
          <w:kern w:val="2"/>
          <w:sz w:val="28"/>
          <w:szCs w:val="28"/>
          <w:lang w:val="en-US" w:eastAsia="zh-CN" w:bidi="ar-SA"/>
        </w:rPr>
      </w:pPr>
      <w:r>
        <w:rPr>
          <w:rFonts w:hint="eastAsia" w:ascii="宋体" w:hAnsi="宋体" w:eastAsia="宋体" w:cs="宋体"/>
          <w:spacing w:val="5"/>
          <w:kern w:val="2"/>
          <w:sz w:val="28"/>
          <w:szCs w:val="28"/>
          <w:lang w:val="en-US" w:eastAsia="zh-CN" w:bidi="ar-SA"/>
        </w:rPr>
        <w:t>（五）其他不能归为以上基本分类的数据安全事件。</w:t>
      </w:r>
    </w:p>
    <w:p>
      <w:pPr>
        <w:pStyle w:val="3"/>
        <w:tabs>
          <w:tab w:val="left" w:pos="1360"/>
        </w:tabs>
        <w:spacing w:before="152" w:line="360" w:lineRule="auto"/>
        <w:ind w:left="0" w:right="3650" w:firstLine="873" w:firstLineChars="300"/>
        <w:jc w:val="both"/>
        <w:rPr>
          <w:rFonts w:hint="eastAsia" w:ascii="宋体" w:hAnsi="宋体" w:eastAsia="宋体" w:cs="宋体"/>
          <w:sz w:val="28"/>
          <w:szCs w:val="28"/>
        </w:rPr>
      </w:pPr>
      <w:r>
        <w:rPr>
          <w:rFonts w:hint="eastAsia" w:ascii="宋体" w:hAnsi="宋体" w:eastAsia="宋体" w:cs="宋体"/>
          <w:b/>
          <w:bCs/>
          <w:spacing w:val="5"/>
          <w:kern w:val="2"/>
          <w:sz w:val="28"/>
          <w:szCs w:val="28"/>
          <w:lang w:val="en-US" w:eastAsia="zh-CN" w:bidi="ar-SA"/>
        </w:rPr>
        <w:t xml:space="preserve">第三条 </w:t>
      </w:r>
      <w:r>
        <w:rPr>
          <w:rFonts w:hint="eastAsia" w:ascii="宋体" w:hAnsi="宋体" w:eastAsia="宋体" w:cs="宋体"/>
          <w:w w:val="95"/>
          <w:sz w:val="28"/>
          <w:szCs w:val="28"/>
        </w:rPr>
        <w:t>编制依据及规范性引用文件</w:t>
      </w:r>
    </w:p>
    <w:p>
      <w:pPr>
        <w:pStyle w:val="3"/>
        <w:spacing w:before="149" w:line="360" w:lineRule="auto"/>
        <w:ind w:right="427" w:firstLine="638"/>
        <w:rPr>
          <w:rFonts w:hint="eastAsia" w:ascii="宋体" w:hAnsi="宋体" w:eastAsia="宋体" w:cs="宋体"/>
          <w:sz w:val="28"/>
          <w:szCs w:val="28"/>
        </w:rPr>
      </w:pPr>
      <w:r>
        <w:rPr>
          <w:rFonts w:hint="eastAsia" w:ascii="宋体" w:hAnsi="宋体" w:eastAsia="宋体" w:cs="宋体"/>
          <w:w w:val="95"/>
          <w:sz w:val="28"/>
          <w:szCs w:val="28"/>
        </w:rPr>
        <w:t>（一）</w:t>
      </w:r>
      <w:r>
        <w:rPr>
          <w:rFonts w:hint="eastAsia" w:ascii="宋体" w:hAnsi="宋体" w:eastAsia="宋体" w:cs="宋体"/>
          <w:spacing w:val="4"/>
          <w:w w:val="95"/>
          <w:sz w:val="28"/>
          <w:szCs w:val="28"/>
        </w:rPr>
        <w:t xml:space="preserve">《浙江省深化“最多跑一次”改革推进政府数字化转 </w:t>
      </w:r>
      <w:r>
        <w:rPr>
          <w:rFonts w:hint="eastAsia" w:ascii="宋体" w:hAnsi="宋体" w:eastAsia="宋体" w:cs="宋体"/>
          <w:sz w:val="28"/>
          <w:szCs w:val="28"/>
        </w:rPr>
        <w:t>型工作总体方案》(浙政发〔2018〕48</w:t>
      </w:r>
      <w:r>
        <w:rPr>
          <w:rFonts w:hint="eastAsia" w:ascii="宋体" w:hAnsi="宋体" w:eastAsia="宋体" w:cs="宋体"/>
          <w:spacing w:val="-1"/>
          <w:sz w:val="28"/>
          <w:szCs w:val="28"/>
        </w:rPr>
        <w:t xml:space="preserve"> 号)</w:t>
      </w:r>
    </w:p>
    <w:p>
      <w:pPr>
        <w:pStyle w:val="3"/>
        <w:spacing w:before="6" w:line="360" w:lineRule="auto"/>
        <w:ind w:right="427" w:firstLine="638"/>
        <w:rPr>
          <w:rFonts w:hint="eastAsia" w:ascii="宋体" w:hAnsi="宋体" w:eastAsia="宋体" w:cs="宋体"/>
          <w:sz w:val="28"/>
          <w:szCs w:val="28"/>
        </w:rPr>
      </w:pPr>
      <w:r>
        <w:rPr>
          <w:rFonts w:hint="eastAsia" w:ascii="宋体" w:hAnsi="宋体" w:eastAsia="宋体" w:cs="宋体"/>
          <w:w w:val="95"/>
          <w:sz w:val="28"/>
          <w:szCs w:val="28"/>
        </w:rPr>
        <w:t>（二）</w:t>
      </w:r>
      <w:r>
        <w:rPr>
          <w:rFonts w:hint="eastAsia" w:ascii="宋体" w:hAnsi="宋体" w:eastAsia="宋体" w:cs="宋体"/>
          <w:spacing w:val="-3"/>
          <w:w w:val="95"/>
          <w:sz w:val="28"/>
          <w:szCs w:val="28"/>
        </w:rPr>
        <w:t xml:space="preserve">《浙江省公共数据开放与安全管理暂行办法》(省政府 </w:t>
      </w:r>
      <w:r>
        <w:rPr>
          <w:rFonts w:hint="eastAsia" w:ascii="宋体" w:hAnsi="宋体" w:eastAsia="宋体" w:cs="宋体"/>
          <w:spacing w:val="-3"/>
          <w:sz w:val="28"/>
          <w:szCs w:val="28"/>
        </w:rPr>
        <w:t>令第 381</w:t>
      </w:r>
      <w:r>
        <w:rPr>
          <w:rFonts w:hint="eastAsia" w:ascii="宋体" w:hAnsi="宋体" w:eastAsia="宋体" w:cs="宋体"/>
          <w:spacing w:val="-1"/>
          <w:sz w:val="28"/>
          <w:szCs w:val="28"/>
        </w:rPr>
        <w:t xml:space="preserve"> 号)</w:t>
      </w:r>
    </w:p>
    <w:p>
      <w:pPr>
        <w:pStyle w:val="3"/>
        <w:spacing w:before="3" w:line="360" w:lineRule="auto"/>
        <w:ind w:left="747"/>
        <w:rPr>
          <w:rFonts w:hint="eastAsia" w:ascii="宋体" w:hAnsi="宋体" w:eastAsia="宋体" w:cs="宋体"/>
          <w:sz w:val="28"/>
          <w:szCs w:val="28"/>
        </w:rPr>
      </w:pPr>
      <w:r>
        <w:rPr>
          <w:rFonts w:hint="eastAsia" w:ascii="宋体" w:hAnsi="宋体" w:eastAsia="宋体" w:cs="宋体"/>
          <w:sz w:val="28"/>
          <w:szCs w:val="28"/>
        </w:rPr>
        <w:t>（三）《信息网络攻击事件管理指南》(GB/Z20985-2007)</w:t>
      </w:r>
    </w:p>
    <w:p>
      <w:pPr>
        <w:pStyle w:val="3"/>
        <w:spacing w:before="151" w:line="360" w:lineRule="auto"/>
        <w:ind w:left="747"/>
        <w:rPr>
          <w:rFonts w:hint="eastAsia" w:ascii="宋体" w:hAnsi="宋体" w:eastAsia="宋体" w:cs="宋体"/>
          <w:sz w:val="28"/>
          <w:szCs w:val="28"/>
          <w:lang w:eastAsia="zh-CN"/>
        </w:rPr>
      </w:pPr>
      <w:r>
        <w:rPr>
          <w:rFonts w:hint="eastAsia" w:ascii="宋体" w:hAnsi="宋体" w:eastAsia="宋体" w:cs="宋体"/>
          <w:sz w:val="28"/>
          <w:szCs w:val="28"/>
        </w:rPr>
        <w:t>（四）</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浙江省公共数据条例</w:t>
      </w:r>
      <w:r>
        <w:rPr>
          <w:rFonts w:hint="eastAsia" w:ascii="宋体" w:hAnsi="宋体" w:eastAsia="宋体" w:cs="宋体"/>
          <w:sz w:val="28"/>
          <w:szCs w:val="28"/>
          <w:lang w:eastAsia="zh-CN"/>
        </w:rPr>
        <w:t>》</w:t>
      </w:r>
    </w:p>
    <w:p>
      <w:pPr>
        <w:pStyle w:val="3"/>
        <w:spacing w:before="149" w:line="360" w:lineRule="auto"/>
        <w:ind w:left="747"/>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五</w:t>
      </w:r>
      <w:r>
        <w:rPr>
          <w:rFonts w:hint="eastAsia" w:ascii="宋体" w:hAnsi="宋体" w:eastAsia="宋体" w:cs="宋体"/>
          <w:sz w:val="28"/>
          <w:szCs w:val="28"/>
        </w:rPr>
        <w:t>）《国家网络与信息安全事件应急预案》</w:t>
      </w:r>
    </w:p>
    <w:p>
      <w:pPr>
        <w:pStyle w:val="3"/>
        <w:numPr>
          <w:ilvl w:val="0"/>
          <w:numId w:val="21"/>
        </w:numPr>
        <w:spacing w:before="149" w:line="360" w:lineRule="auto"/>
        <w:ind w:left="747"/>
        <w:jc w:val="center"/>
        <w:rPr>
          <w:rFonts w:hint="eastAsia" w:ascii="宋体" w:hAnsi="宋体" w:eastAsia="宋体" w:cs="宋体"/>
          <w:sz w:val="32"/>
          <w:szCs w:val="32"/>
        </w:rPr>
      </w:pPr>
      <w:r>
        <w:rPr>
          <w:rFonts w:hint="eastAsia" w:ascii="宋体" w:hAnsi="宋体" w:eastAsia="宋体" w:cs="宋体"/>
          <w:sz w:val="32"/>
          <w:szCs w:val="32"/>
        </w:rPr>
        <w:t>组织建设</w:t>
      </w:r>
    </w:p>
    <w:p>
      <w:pPr>
        <w:pStyle w:val="3"/>
        <w:spacing w:before="149" w:line="360" w:lineRule="auto"/>
        <w:ind w:firstLine="562" w:firstLineChars="200"/>
        <w:rPr>
          <w:rFonts w:hint="eastAsia" w:ascii="宋体" w:hAnsi="宋体" w:eastAsia="宋体" w:cs="宋体"/>
          <w:sz w:val="28"/>
          <w:szCs w:val="28"/>
        </w:rPr>
      </w:pPr>
      <w:r>
        <w:rPr>
          <w:rFonts w:hint="eastAsia" w:ascii="宋体" w:hAnsi="宋体" w:eastAsia="宋体" w:cs="宋体"/>
          <w:b/>
          <w:bCs/>
          <w:sz w:val="28"/>
          <w:szCs w:val="28"/>
        </w:rPr>
        <w:t>第五条</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舟山</w:t>
      </w:r>
      <w:r>
        <w:rPr>
          <w:rFonts w:hint="eastAsia" w:ascii="宋体" w:hAnsi="宋体" w:eastAsia="宋体" w:cs="宋体"/>
          <w:sz w:val="28"/>
          <w:szCs w:val="28"/>
        </w:rPr>
        <w:t>市大数据发展管理局负责对本市公共数据</w:t>
      </w:r>
      <w:r>
        <w:rPr>
          <w:rFonts w:hint="eastAsia" w:ascii="宋体" w:hAnsi="宋体" w:eastAsia="宋体" w:cs="宋体"/>
          <w:sz w:val="28"/>
          <w:szCs w:val="28"/>
          <w:lang w:val="en-US" w:eastAsia="zh-CN"/>
        </w:rPr>
        <w:t>风险</w:t>
      </w:r>
      <w:r>
        <w:rPr>
          <w:rFonts w:hint="eastAsia" w:ascii="宋体" w:hAnsi="宋体" w:eastAsia="宋体" w:cs="宋体"/>
          <w:sz w:val="28"/>
          <w:szCs w:val="28"/>
        </w:rPr>
        <w:t>的总体把控，并出具相应的整改意见及建议；</w:t>
      </w:r>
      <w:r>
        <w:rPr>
          <w:rFonts w:hint="eastAsia" w:ascii="宋体" w:hAnsi="宋体" w:eastAsia="宋体" w:cs="宋体"/>
          <w:sz w:val="28"/>
          <w:szCs w:val="28"/>
          <w:lang w:val="en-US" w:eastAsia="zh-CN"/>
        </w:rPr>
        <w:t>负责</w:t>
      </w:r>
      <w:r>
        <w:rPr>
          <w:rFonts w:hint="eastAsia" w:ascii="宋体" w:hAnsi="宋体" w:eastAsia="宋体" w:cs="宋体"/>
          <w:sz w:val="28"/>
          <w:szCs w:val="28"/>
        </w:rPr>
        <w:t>本市政务系统网络安全突发事件的应急指挥、协调、监督管理、事件处置的具体实施；组织突发事件期间相关设备的准备和调拨，协调紧急资源的调配。</w:t>
      </w:r>
    </w:p>
    <w:p>
      <w:pPr>
        <w:pStyle w:val="3"/>
        <w:spacing w:before="149" w:line="360" w:lineRule="auto"/>
        <w:ind w:firstLine="562" w:firstLineChars="200"/>
        <w:rPr>
          <w:rFonts w:hint="eastAsia" w:ascii="宋体" w:hAnsi="宋体" w:eastAsia="宋体" w:cs="宋体"/>
          <w:sz w:val="28"/>
          <w:szCs w:val="28"/>
        </w:rPr>
      </w:pPr>
      <w:r>
        <w:rPr>
          <w:rFonts w:hint="eastAsia" w:ascii="宋体" w:hAnsi="宋体" w:eastAsia="宋体" w:cs="宋体"/>
          <w:b/>
          <w:bCs/>
          <w:sz w:val="28"/>
          <w:szCs w:val="28"/>
        </w:rPr>
        <w:t>第六条</w:t>
      </w:r>
      <w:r>
        <w:rPr>
          <w:rFonts w:hint="eastAsia" w:ascii="宋体" w:hAnsi="宋体" w:eastAsia="宋体" w:cs="宋体"/>
          <w:sz w:val="28"/>
          <w:szCs w:val="28"/>
        </w:rPr>
        <w:t xml:space="preserve"> 各部门（单位）明确数据资产的责任归属，相关分管领导协调解决实际问题，规避、降低</w:t>
      </w:r>
      <w:r>
        <w:rPr>
          <w:rFonts w:hint="eastAsia" w:ascii="宋体" w:hAnsi="宋体" w:eastAsia="宋体" w:cs="宋体"/>
          <w:sz w:val="28"/>
          <w:szCs w:val="28"/>
          <w:lang w:val="en-US" w:eastAsia="zh-CN"/>
        </w:rPr>
        <w:t>公共</w:t>
      </w:r>
      <w:r>
        <w:rPr>
          <w:rFonts w:hint="eastAsia" w:ascii="宋体" w:hAnsi="宋体" w:eastAsia="宋体" w:cs="宋体"/>
          <w:sz w:val="28"/>
          <w:szCs w:val="28"/>
        </w:rPr>
        <w:t>数据风险，对数据资产的风险把控负责。</w:t>
      </w:r>
    </w:p>
    <w:p>
      <w:pPr>
        <w:pStyle w:val="3"/>
        <w:spacing w:before="149"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rPr>
        <w:t>第七条</w:t>
      </w:r>
      <w:r>
        <w:rPr>
          <w:rFonts w:hint="eastAsia" w:ascii="宋体" w:hAnsi="宋体" w:eastAsia="宋体" w:cs="宋体"/>
          <w:sz w:val="28"/>
          <w:szCs w:val="28"/>
        </w:rPr>
        <w:t xml:space="preserve"> 各部门（单位）</w:t>
      </w:r>
      <w:r>
        <w:rPr>
          <w:rFonts w:hint="eastAsia" w:ascii="宋体" w:hAnsi="宋体" w:eastAsia="宋体" w:cs="宋体"/>
          <w:sz w:val="28"/>
          <w:szCs w:val="28"/>
          <w:lang w:val="en-US" w:eastAsia="zh-CN"/>
        </w:rPr>
        <w:t>数据安全</w:t>
      </w:r>
      <w:r>
        <w:rPr>
          <w:rFonts w:hint="eastAsia" w:ascii="宋体" w:hAnsi="宋体" w:eastAsia="宋体" w:cs="宋体"/>
          <w:sz w:val="28"/>
          <w:szCs w:val="28"/>
        </w:rPr>
        <w:t>管理</w:t>
      </w:r>
      <w:r>
        <w:rPr>
          <w:rFonts w:hint="eastAsia" w:ascii="宋体" w:hAnsi="宋体" w:eastAsia="宋体" w:cs="宋体"/>
          <w:sz w:val="28"/>
          <w:szCs w:val="28"/>
          <w:lang w:val="en-US" w:eastAsia="zh-CN"/>
        </w:rPr>
        <w:t>机构</w:t>
      </w:r>
      <w:r>
        <w:rPr>
          <w:rFonts w:hint="eastAsia" w:ascii="宋体" w:hAnsi="宋体" w:eastAsia="宋体" w:cs="宋体"/>
          <w:sz w:val="28"/>
          <w:szCs w:val="28"/>
        </w:rPr>
        <w:t>实行节假日值班制</w:t>
      </w:r>
      <w:r>
        <w:rPr>
          <w:rFonts w:hint="eastAsia" w:ascii="宋体" w:hAnsi="宋体" w:eastAsia="宋体" w:cs="宋体"/>
          <w:sz w:val="28"/>
          <w:szCs w:val="28"/>
          <w:lang w:val="en-US" w:eastAsia="zh-CN"/>
        </w:rPr>
        <w:t>度，设置</w:t>
      </w:r>
      <w:r>
        <w:rPr>
          <w:rFonts w:hint="eastAsia" w:ascii="宋体" w:hAnsi="宋体" w:eastAsia="宋体" w:cs="宋体"/>
          <w:sz w:val="28"/>
          <w:szCs w:val="28"/>
        </w:rPr>
        <w:t>值班电话，保证与</w:t>
      </w:r>
      <w:r>
        <w:rPr>
          <w:rFonts w:hint="eastAsia" w:ascii="宋体" w:hAnsi="宋体" w:eastAsia="宋体" w:cs="宋体"/>
          <w:sz w:val="28"/>
          <w:szCs w:val="28"/>
          <w:lang w:val="en-US" w:eastAsia="zh-CN"/>
        </w:rPr>
        <w:t>同</w:t>
      </w:r>
      <w:r>
        <w:rPr>
          <w:rFonts w:hint="eastAsia" w:ascii="宋体" w:hAnsi="宋体" w:eastAsia="宋体" w:cs="宋体"/>
          <w:sz w:val="28"/>
          <w:szCs w:val="28"/>
        </w:rPr>
        <w:t>级</w:t>
      </w:r>
      <w:r>
        <w:rPr>
          <w:rFonts w:hint="eastAsia" w:ascii="宋体" w:hAnsi="宋体" w:eastAsia="宋体" w:cs="宋体"/>
          <w:sz w:val="28"/>
          <w:szCs w:val="28"/>
          <w:lang w:val="en-US" w:eastAsia="zh-CN"/>
        </w:rPr>
        <w:t>公共数据</w:t>
      </w:r>
      <w:r>
        <w:rPr>
          <w:rFonts w:hint="eastAsia" w:ascii="宋体" w:hAnsi="宋体" w:eastAsia="宋体" w:cs="宋体"/>
          <w:sz w:val="28"/>
          <w:szCs w:val="28"/>
        </w:rPr>
        <w:t>主管部门和本市公安机关的联系畅通。若发现数据安全异常应立即向有关部门、分管责任领导报告</w:t>
      </w:r>
      <w:r>
        <w:rPr>
          <w:rFonts w:hint="eastAsia" w:ascii="宋体" w:hAnsi="宋体" w:eastAsia="宋体" w:cs="宋体"/>
          <w:sz w:val="28"/>
          <w:szCs w:val="28"/>
          <w:lang w:eastAsia="zh-CN"/>
        </w:rPr>
        <w:t>。</w:t>
      </w:r>
    </w:p>
    <w:p>
      <w:pPr>
        <w:pStyle w:val="3"/>
        <w:spacing w:before="149" w:line="360" w:lineRule="auto"/>
        <w:ind w:left="747"/>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第三章</w:t>
      </w:r>
      <w:r>
        <w:rPr>
          <w:rFonts w:hint="eastAsia" w:ascii="宋体" w:hAnsi="宋体" w:eastAsia="宋体" w:cs="宋体"/>
          <w:sz w:val="32"/>
          <w:szCs w:val="32"/>
          <w:lang w:eastAsia="zh-CN"/>
        </w:rPr>
        <w:tab/>
      </w:r>
      <w:r>
        <w:rPr>
          <w:rFonts w:hint="eastAsia" w:ascii="宋体" w:hAnsi="宋体" w:eastAsia="宋体" w:cs="宋体"/>
          <w:sz w:val="32"/>
          <w:szCs w:val="32"/>
          <w:lang w:eastAsia="zh-CN"/>
        </w:rPr>
        <w:t>风险评估与监督</w:t>
      </w:r>
    </w:p>
    <w:p>
      <w:pPr>
        <w:pStyle w:val="3"/>
        <w:spacing w:before="149"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第八条</w:t>
      </w:r>
      <w:r>
        <w:rPr>
          <w:rFonts w:hint="eastAsia" w:ascii="宋体" w:hAnsi="宋体" w:eastAsia="宋体" w:cs="宋体"/>
          <w:sz w:val="28"/>
          <w:szCs w:val="28"/>
          <w:lang w:eastAsia="zh-CN"/>
        </w:rPr>
        <w:tab/>
      </w:r>
      <w:r>
        <w:rPr>
          <w:rFonts w:hint="eastAsia" w:ascii="宋体" w:hAnsi="宋体" w:eastAsia="宋体" w:cs="宋体"/>
          <w:sz w:val="28"/>
          <w:szCs w:val="28"/>
          <w:lang w:eastAsia="zh-CN"/>
        </w:rPr>
        <w:t>各部门（单位）应建立有效的数据安全风险监测预警工作机制，包括</w:t>
      </w:r>
      <w:r>
        <w:rPr>
          <w:rFonts w:hint="eastAsia" w:ascii="宋体" w:hAnsi="宋体" w:eastAsia="宋体" w:cs="宋体"/>
          <w:sz w:val="28"/>
          <w:szCs w:val="28"/>
          <w:lang w:val="en-US" w:eastAsia="zh-CN"/>
        </w:rPr>
        <w:t>数据安全态势感知、</w:t>
      </w:r>
      <w:r>
        <w:rPr>
          <w:rFonts w:hint="eastAsia" w:ascii="宋体" w:hAnsi="宋体" w:eastAsia="宋体" w:cs="宋体"/>
          <w:sz w:val="28"/>
          <w:szCs w:val="28"/>
          <w:lang w:eastAsia="zh-CN"/>
        </w:rPr>
        <w:t>数据审计、权限访问、数据脱敏、分类分级、</w:t>
      </w:r>
      <w:r>
        <w:rPr>
          <w:rFonts w:hint="eastAsia" w:ascii="宋体" w:hAnsi="宋体" w:eastAsia="宋体" w:cs="宋体"/>
          <w:sz w:val="28"/>
          <w:szCs w:val="28"/>
          <w:lang w:val="en-US" w:eastAsia="zh-CN"/>
        </w:rPr>
        <w:t>应用审计</w:t>
      </w:r>
      <w:r>
        <w:rPr>
          <w:rFonts w:hint="eastAsia" w:ascii="宋体" w:hAnsi="宋体" w:eastAsia="宋体" w:cs="宋体"/>
          <w:sz w:val="28"/>
          <w:szCs w:val="28"/>
          <w:lang w:eastAsia="zh-CN"/>
        </w:rPr>
        <w:t>等安全技术，及时发现风险、</w:t>
      </w:r>
      <w:r>
        <w:rPr>
          <w:rFonts w:hint="eastAsia" w:ascii="宋体" w:hAnsi="宋体" w:eastAsia="宋体" w:cs="宋体"/>
          <w:sz w:val="28"/>
          <w:szCs w:val="28"/>
          <w:lang w:val="en-US" w:eastAsia="zh-CN"/>
        </w:rPr>
        <w:t>处置</w:t>
      </w:r>
      <w:r>
        <w:rPr>
          <w:rFonts w:hint="eastAsia" w:ascii="宋体" w:hAnsi="宋体" w:eastAsia="宋体" w:cs="宋体"/>
          <w:sz w:val="28"/>
          <w:szCs w:val="28"/>
          <w:lang w:eastAsia="zh-CN"/>
        </w:rPr>
        <w:t>风险、</w:t>
      </w:r>
      <w:r>
        <w:rPr>
          <w:rFonts w:hint="eastAsia" w:ascii="宋体" w:hAnsi="宋体" w:eastAsia="宋体" w:cs="宋体"/>
          <w:sz w:val="28"/>
          <w:szCs w:val="28"/>
          <w:lang w:val="en-US" w:eastAsia="zh-CN"/>
        </w:rPr>
        <w:t>预防</w:t>
      </w:r>
      <w:r>
        <w:rPr>
          <w:rFonts w:hint="eastAsia" w:ascii="宋体" w:hAnsi="宋体" w:eastAsia="宋体" w:cs="宋体"/>
          <w:sz w:val="28"/>
          <w:szCs w:val="28"/>
          <w:lang w:eastAsia="zh-CN"/>
        </w:rPr>
        <w:t>风险、</w:t>
      </w:r>
      <w:r>
        <w:rPr>
          <w:rFonts w:hint="eastAsia" w:ascii="宋体" w:hAnsi="宋体" w:eastAsia="宋体" w:cs="宋体"/>
          <w:sz w:val="28"/>
          <w:szCs w:val="28"/>
          <w:lang w:val="en-US" w:eastAsia="zh-CN"/>
        </w:rPr>
        <w:t>弱化</w:t>
      </w:r>
      <w:r>
        <w:rPr>
          <w:rFonts w:hint="eastAsia" w:ascii="宋体" w:hAnsi="宋体" w:eastAsia="宋体" w:cs="宋体"/>
          <w:sz w:val="28"/>
          <w:szCs w:val="28"/>
          <w:lang w:eastAsia="zh-CN"/>
        </w:rPr>
        <w:t>风险。</w:t>
      </w:r>
    </w:p>
    <w:p>
      <w:pPr>
        <w:pStyle w:val="3"/>
        <w:spacing w:before="149"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第九条</w:t>
      </w:r>
      <w:r>
        <w:rPr>
          <w:rFonts w:hint="eastAsia" w:ascii="宋体" w:hAnsi="宋体" w:eastAsia="宋体" w:cs="宋体"/>
          <w:sz w:val="28"/>
          <w:szCs w:val="28"/>
          <w:lang w:eastAsia="zh-CN"/>
        </w:rPr>
        <w:t xml:space="preserve"> 各部门（单位）应加强</w:t>
      </w:r>
      <w:r>
        <w:rPr>
          <w:rFonts w:hint="eastAsia" w:ascii="宋体" w:hAnsi="宋体" w:eastAsia="宋体" w:cs="宋体"/>
          <w:sz w:val="28"/>
          <w:szCs w:val="28"/>
          <w:lang w:val="en-US" w:eastAsia="zh-CN"/>
        </w:rPr>
        <w:t>数据</w:t>
      </w:r>
      <w:r>
        <w:rPr>
          <w:rFonts w:hint="eastAsia" w:ascii="宋体" w:hAnsi="宋体" w:eastAsia="宋体" w:cs="宋体"/>
          <w:sz w:val="28"/>
          <w:szCs w:val="28"/>
          <w:lang w:eastAsia="zh-CN"/>
        </w:rPr>
        <w:t>安全审查工作，若发现数据被恶意更改，应立即停止服务并恢复正确内容，同时检查分析被更改的原因，在被更改的原因找到并排除之前，不得重新开放数据服务。</w:t>
      </w:r>
    </w:p>
    <w:p>
      <w:pPr>
        <w:pStyle w:val="3"/>
        <w:spacing w:before="149"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第十条</w:t>
      </w:r>
      <w:r>
        <w:rPr>
          <w:rFonts w:hint="eastAsia" w:ascii="宋体" w:hAnsi="宋体" w:eastAsia="宋体" w:cs="宋体"/>
          <w:sz w:val="28"/>
          <w:szCs w:val="28"/>
          <w:lang w:eastAsia="zh-CN"/>
        </w:rPr>
        <w:t xml:space="preserve"> 各部门（单位）</w:t>
      </w:r>
      <w:r>
        <w:rPr>
          <w:rFonts w:hint="eastAsia" w:ascii="宋体" w:hAnsi="宋体" w:eastAsia="宋体" w:cs="宋体"/>
          <w:sz w:val="28"/>
          <w:szCs w:val="28"/>
          <w:lang w:val="en-US" w:eastAsia="zh-CN"/>
        </w:rPr>
        <w:t>应</w:t>
      </w:r>
      <w:r>
        <w:rPr>
          <w:rFonts w:hint="eastAsia" w:ascii="宋体" w:hAnsi="宋体" w:eastAsia="宋体" w:cs="宋体"/>
          <w:sz w:val="28"/>
          <w:szCs w:val="28"/>
          <w:lang w:eastAsia="zh-CN"/>
        </w:rPr>
        <w:t>积极</w:t>
      </w:r>
      <w:r>
        <w:rPr>
          <w:rFonts w:hint="eastAsia" w:ascii="宋体" w:hAnsi="宋体" w:eastAsia="宋体" w:cs="宋体"/>
          <w:sz w:val="28"/>
          <w:szCs w:val="28"/>
          <w:lang w:val="en-US" w:eastAsia="zh-CN"/>
        </w:rPr>
        <w:t>定期</w:t>
      </w:r>
      <w:r>
        <w:rPr>
          <w:rFonts w:hint="eastAsia" w:ascii="宋体" w:hAnsi="宋体" w:eastAsia="宋体" w:cs="宋体"/>
          <w:sz w:val="28"/>
          <w:szCs w:val="28"/>
          <w:lang w:eastAsia="zh-CN"/>
        </w:rPr>
        <w:t>开展</w:t>
      </w:r>
      <w:r>
        <w:rPr>
          <w:rFonts w:hint="eastAsia" w:ascii="宋体" w:hAnsi="宋体" w:eastAsia="宋体" w:cs="宋体"/>
          <w:sz w:val="28"/>
          <w:szCs w:val="28"/>
          <w:lang w:val="en-US" w:eastAsia="zh-CN"/>
        </w:rPr>
        <w:t>公共数据</w:t>
      </w:r>
      <w:r>
        <w:rPr>
          <w:rFonts w:hint="eastAsia" w:ascii="宋体" w:hAnsi="宋体" w:eastAsia="宋体" w:cs="宋体"/>
          <w:sz w:val="28"/>
          <w:szCs w:val="28"/>
          <w:lang w:eastAsia="zh-CN"/>
        </w:rPr>
        <w:t>风险自查工作，通过自身或专业检测与监测机构对</w:t>
      </w:r>
      <w:r>
        <w:rPr>
          <w:rFonts w:hint="eastAsia" w:ascii="宋体" w:hAnsi="宋体" w:eastAsia="宋体" w:cs="宋体"/>
          <w:sz w:val="28"/>
          <w:szCs w:val="28"/>
          <w:lang w:val="en-US" w:eastAsia="zh-CN"/>
        </w:rPr>
        <w:t>本部门</w:t>
      </w:r>
      <w:r>
        <w:rPr>
          <w:rFonts w:hint="eastAsia" w:ascii="宋体" w:hAnsi="宋体" w:eastAsia="宋体" w:cs="宋体"/>
          <w:sz w:val="28"/>
          <w:szCs w:val="28"/>
          <w:lang w:eastAsia="zh-CN"/>
        </w:rPr>
        <w:t>数据安全情况进行检查，及时发现数据安全风险问题并整改加固。</w:t>
      </w:r>
    </w:p>
    <w:p>
      <w:pPr>
        <w:pStyle w:val="3"/>
        <w:spacing w:before="149"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第十一条</w:t>
      </w:r>
      <w:r>
        <w:rPr>
          <w:rFonts w:hint="eastAsia" w:ascii="宋体" w:hAnsi="宋体" w:eastAsia="宋体" w:cs="宋体"/>
          <w:sz w:val="28"/>
          <w:szCs w:val="28"/>
          <w:lang w:eastAsia="zh-CN"/>
        </w:rPr>
        <w:t xml:space="preserve"> 对于经由自查发现的数据</w:t>
      </w:r>
      <w:r>
        <w:rPr>
          <w:rFonts w:hint="eastAsia" w:ascii="宋体" w:hAnsi="宋体" w:eastAsia="宋体" w:cs="宋体"/>
          <w:sz w:val="28"/>
          <w:szCs w:val="28"/>
          <w:lang w:val="en-US" w:eastAsia="zh-CN"/>
        </w:rPr>
        <w:t>访问操作异常行为、</w:t>
      </w:r>
      <w:r>
        <w:rPr>
          <w:rFonts w:hint="eastAsia" w:ascii="宋体" w:hAnsi="宋体" w:eastAsia="宋体" w:cs="宋体"/>
          <w:sz w:val="28"/>
          <w:szCs w:val="28"/>
          <w:lang w:eastAsia="zh-CN"/>
        </w:rPr>
        <w:t>漏洞等风险，需及时进行</w:t>
      </w:r>
      <w:r>
        <w:rPr>
          <w:rFonts w:hint="eastAsia" w:ascii="宋体" w:hAnsi="宋体" w:eastAsia="宋体" w:cs="宋体"/>
          <w:sz w:val="28"/>
          <w:szCs w:val="28"/>
          <w:lang w:val="en-US" w:eastAsia="zh-CN"/>
        </w:rPr>
        <w:t>处置</w:t>
      </w:r>
      <w:r>
        <w:rPr>
          <w:rFonts w:hint="eastAsia" w:ascii="宋体" w:hAnsi="宋体" w:eastAsia="宋体" w:cs="宋体"/>
          <w:sz w:val="28"/>
          <w:szCs w:val="28"/>
          <w:lang w:eastAsia="zh-CN"/>
        </w:rPr>
        <w:t>。对于紧急级、高危级风险需即时</w:t>
      </w:r>
      <w:r>
        <w:rPr>
          <w:rFonts w:hint="eastAsia" w:ascii="宋体" w:hAnsi="宋体" w:eastAsia="宋体" w:cs="宋体"/>
          <w:sz w:val="28"/>
          <w:szCs w:val="28"/>
          <w:lang w:val="en-US" w:eastAsia="zh-CN"/>
        </w:rPr>
        <w:t>反馈</w:t>
      </w:r>
      <w:r>
        <w:rPr>
          <w:rFonts w:hint="eastAsia" w:ascii="宋体" w:hAnsi="宋体" w:eastAsia="宋体" w:cs="宋体"/>
          <w:sz w:val="28"/>
          <w:szCs w:val="28"/>
          <w:lang w:eastAsia="zh-CN"/>
        </w:rPr>
        <w:t>到</w:t>
      </w:r>
      <w:r>
        <w:rPr>
          <w:rFonts w:hint="eastAsia" w:ascii="宋体" w:hAnsi="宋体" w:eastAsia="宋体" w:cs="宋体"/>
          <w:sz w:val="28"/>
          <w:szCs w:val="28"/>
          <w:lang w:val="en-US" w:eastAsia="zh-CN"/>
        </w:rPr>
        <w:t>舟山市</w:t>
      </w:r>
      <w:r>
        <w:rPr>
          <w:rFonts w:hint="eastAsia" w:ascii="宋体" w:hAnsi="宋体" w:eastAsia="宋体" w:cs="宋体"/>
          <w:sz w:val="28"/>
          <w:szCs w:val="28"/>
          <w:lang w:eastAsia="zh-CN"/>
        </w:rPr>
        <w:t>大数据发展管理局，不得隐瞒、缓报、谎报；如因不上报导致的安全事件后果自负。</w:t>
      </w:r>
    </w:p>
    <w:p>
      <w:pPr>
        <w:pStyle w:val="3"/>
        <w:spacing w:before="149"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第十二条</w:t>
      </w:r>
      <w:r>
        <w:rPr>
          <w:rFonts w:hint="eastAsia" w:ascii="宋体" w:hAnsi="宋体" w:eastAsia="宋体" w:cs="宋体"/>
          <w:sz w:val="28"/>
          <w:szCs w:val="28"/>
          <w:lang w:eastAsia="zh-CN"/>
        </w:rPr>
        <w:t xml:space="preserve"> 由</w:t>
      </w:r>
      <w:r>
        <w:rPr>
          <w:rFonts w:hint="eastAsia" w:ascii="宋体" w:hAnsi="宋体" w:eastAsia="宋体" w:cs="宋体"/>
          <w:sz w:val="28"/>
          <w:szCs w:val="28"/>
          <w:lang w:val="en-US" w:eastAsia="zh-CN"/>
        </w:rPr>
        <w:t>舟山</w:t>
      </w:r>
      <w:r>
        <w:rPr>
          <w:rFonts w:hint="eastAsia" w:ascii="宋体" w:hAnsi="宋体" w:eastAsia="宋体" w:cs="宋体"/>
          <w:sz w:val="28"/>
          <w:szCs w:val="28"/>
          <w:lang w:eastAsia="zh-CN"/>
        </w:rPr>
        <w:t>市大数据发展管理局与市网信办、市公安及其他专业监测机构等，协同开展</w:t>
      </w:r>
      <w:r>
        <w:rPr>
          <w:rFonts w:hint="eastAsia" w:ascii="宋体" w:hAnsi="宋体" w:eastAsia="宋体" w:cs="宋体"/>
          <w:sz w:val="28"/>
          <w:szCs w:val="28"/>
          <w:lang w:val="en-US" w:eastAsia="zh-CN"/>
        </w:rPr>
        <w:t>公共</w:t>
      </w:r>
      <w:r>
        <w:rPr>
          <w:rFonts w:hint="eastAsia" w:ascii="宋体" w:hAnsi="宋体" w:eastAsia="宋体" w:cs="宋体"/>
          <w:sz w:val="28"/>
          <w:szCs w:val="28"/>
          <w:lang w:eastAsia="zh-CN"/>
        </w:rPr>
        <w:t>数据风险监测</w:t>
      </w:r>
      <w:r>
        <w:rPr>
          <w:rFonts w:hint="eastAsia" w:ascii="宋体" w:hAnsi="宋体" w:eastAsia="宋体" w:cs="宋体"/>
          <w:sz w:val="28"/>
          <w:szCs w:val="28"/>
          <w:lang w:val="en-US" w:eastAsia="zh-CN"/>
        </w:rPr>
        <w:t>检查</w:t>
      </w:r>
      <w:r>
        <w:rPr>
          <w:rFonts w:hint="eastAsia" w:ascii="宋体" w:hAnsi="宋体" w:eastAsia="宋体" w:cs="宋体"/>
          <w:sz w:val="28"/>
          <w:szCs w:val="28"/>
          <w:lang w:eastAsia="zh-CN"/>
        </w:rPr>
        <w:t>，进一步加强本市数据安全风险把控。</w:t>
      </w:r>
    </w:p>
    <w:p>
      <w:pPr>
        <w:pStyle w:val="3"/>
        <w:spacing w:before="149"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第十三条</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lang w:eastAsia="zh-CN"/>
        </w:rPr>
        <w:t>各部门（单位）需明确</w:t>
      </w:r>
      <w:r>
        <w:rPr>
          <w:rFonts w:hint="eastAsia" w:ascii="宋体" w:hAnsi="宋体" w:eastAsia="宋体" w:cs="宋体"/>
          <w:sz w:val="28"/>
          <w:szCs w:val="28"/>
          <w:lang w:val="en-US" w:eastAsia="zh-CN"/>
        </w:rPr>
        <w:t>公共</w:t>
      </w:r>
      <w:r>
        <w:rPr>
          <w:rFonts w:hint="eastAsia" w:ascii="宋体" w:hAnsi="宋体" w:eastAsia="宋体" w:cs="宋体"/>
          <w:sz w:val="28"/>
          <w:szCs w:val="28"/>
          <w:lang w:eastAsia="zh-CN"/>
        </w:rPr>
        <w:t>数据风险信息接报电话、传真、电子邮箱等信息，加强宣传培训，做好来自协作单位、机房环境监控管理单位和数据运营使用管理单位的预警信息、事件信息的接收，建立并完善</w:t>
      </w:r>
      <w:r>
        <w:rPr>
          <w:rFonts w:hint="eastAsia" w:ascii="宋体" w:hAnsi="宋体" w:eastAsia="宋体" w:cs="宋体"/>
          <w:sz w:val="28"/>
          <w:szCs w:val="28"/>
          <w:lang w:val="en-US" w:eastAsia="zh-CN"/>
        </w:rPr>
        <w:t>公共</w:t>
      </w:r>
      <w:r>
        <w:rPr>
          <w:rFonts w:hint="eastAsia" w:ascii="宋体" w:hAnsi="宋体" w:eastAsia="宋体" w:cs="宋体"/>
          <w:sz w:val="28"/>
          <w:szCs w:val="28"/>
          <w:lang w:eastAsia="zh-CN"/>
        </w:rPr>
        <w:t>数据风险信息的接收机制。</w:t>
      </w:r>
    </w:p>
    <w:p>
      <w:pPr>
        <w:pStyle w:val="3"/>
        <w:spacing w:before="149"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第十</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lang w:eastAsia="zh-CN"/>
        </w:rPr>
        <w:t>条</w:t>
      </w:r>
      <w:r>
        <w:rPr>
          <w:rFonts w:hint="eastAsia" w:ascii="宋体" w:hAnsi="宋体" w:eastAsia="宋体" w:cs="宋体"/>
          <w:sz w:val="28"/>
          <w:szCs w:val="28"/>
          <w:lang w:eastAsia="zh-CN"/>
        </w:rPr>
        <w:t xml:space="preserve"> 根据数据安全事件对数据库系统的影响程度和范围及恢复所需时间，将事件划分为四个等级：特别重大事件（I 级）、重大事件（II 级）、较大事件（III 级）和一般事件（IV 级）。</w:t>
      </w:r>
    </w:p>
    <w:p>
      <w:pPr>
        <w:pStyle w:val="3"/>
        <w:spacing w:before="149" w:line="360" w:lineRule="auto"/>
        <w:ind w:left="0" w:leftChars="0"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第十</w:t>
      </w:r>
      <w:r>
        <w:rPr>
          <w:rFonts w:hint="eastAsia" w:ascii="宋体" w:hAnsi="宋体" w:eastAsia="宋体" w:cs="宋体"/>
          <w:b/>
          <w:bCs/>
          <w:sz w:val="28"/>
          <w:szCs w:val="28"/>
          <w:lang w:val="en-US" w:eastAsia="zh-CN"/>
        </w:rPr>
        <w:t>五</w:t>
      </w:r>
      <w:r>
        <w:rPr>
          <w:rFonts w:hint="eastAsia" w:ascii="宋体" w:hAnsi="宋体" w:eastAsia="宋体" w:cs="宋体"/>
          <w:b/>
          <w:bCs/>
          <w:sz w:val="28"/>
          <w:szCs w:val="28"/>
          <w:lang w:eastAsia="zh-CN"/>
        </w:rPr>
        <w:t>条</w:t>
      </w:r>
      <w:r>
        <w:rPr>
          <w:rFonts w:hint="eastAsia" w:ascii="宋体" w:hAnsi="宋体" w:eastAsia="宋体" w:cs="宋体"/>
          <w:sz w:val="28"/>
          <w:szCs w:val="28"/>
          <w:lang w:eastAsia="zh-CN"/>
        </w:rPr>
        <w:t xml:space="preserve"> 特别重大事件（I 级）特别重大事件是指能够导致特别严重影响或破坏的数据安全事件，包括以下情况：</w:t>
      </w:r>
    </w:p>
    <w:p>
      <w:pPr>
        <w:pStyle w:val="3"/>
        <w:spacing w:before="149"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（一） 重要基础设施与信息系统遭受特别严重的系统损失，造成系统全市性大面积瘫痪，丧失业务处理能力，事态发展可能超出本市范围的控制能力的突发事件。</w:t>
      </w:r>
    </w:p>
    <w:p>
      <w:pPr>
        <w:pStyle w:val="3"/>
        <w:spacing w:before="149"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（二）</w:t>
      </w:r>
      <w:r>
        <w:rPr>
          <w:rFonts w:hint="eastAsia" w:ascii="宋体" w:hAnsi="宋体" w:eastAsia="宋体" w:cs="宋体"/>
          <w:sz w:val="28"/>
          <w:szCs w:val="28"/>
          <w:lang w:eastAsia="zh-CN"/>
        </w:rPr>
        <w:tab/>
      </w:r>
      <w:r>
        <w:rPr>
          <w:rFonts w:hint="eastAsia" w:ascii="宋体" w:hAnsi="宋体" w:eastAsia="宋体" w:cs="宋体"/>
          <w:sz w:val="28"/>
          <w:szCs w:val="28"/>
          <w:lang w:eastAsia="zh-CN"/>
        </w:rPr>
        <w:t>重要敏感信息和关键数据丢失或被窃取、篡改、假冒，造成严重社会影响或巨大经济损失，使特别重要数据库系统遭受特别严重的系统损失；</w:t>
      </w:r>
    </w:p>
    <w:p>
      <w:pPr>
        <w:pStyle w:val="3"/>
        <w:spacing w:before="149"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（三）</w:t>
      </w:r>
      <w:r>
        <w:rPr>
          <w:rFonts w:hint="eastAsia" w:ascii="宋体" w:hAnsi="宋体" w:eastAsia="宋体" w:cs="宋体"/>
          <w:sz w:val="28"/>
          <w:szCs w:val="28"/>
          <w:lang w:eastAsia="zh-CN"/>
        </w:rPr>
        <w:tab/>
      </w:r>
      <w:r>
        <w:rPr>
          <w:rFonts w:hint="eastAsia" w:ascii="宋体" w:hAnsi="宋体" w:eastAsia="宋体" w:cs="宋体"/>
          <w:sz w:val="28"/>
          <w:szCs w:val="28"/>
          <w:lang w:eastAsia="zh-CN"/>
        </w:rPr>
        <w:t>产生特别重大的社会影响。</w:t>
      </w:r>
    </w:p>
    <w:p>
      <w:pPr>
        <w:pStyle w:val="3"/>
        <w:spacing w:before="149"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第十</w:t>
      </w:r>
      <w:r>
        <w:rPr>
          <w:rFonts w:hint="eastAsia" w:ascii="宋体" w:hAnsi="宋体" w:eastAsia="宋体" w:cs="宋体"/>
          <w:b/>
          <w:bCs/>
          <w:sz w:val="28"/>
          <w:szCs w:val="28"/>
          <w:lang w:val="en-US" w:eastAsia="zh-CN"/>
        </w:rPr>
        <w:t>六</w:t>
      </w:r>
      <w:r>
        <w:rPr>
          <w:rFonts w:hint="eastAsia" w:ascii="宋体" w:hAnsi="宋体" w:eastAsia="宋体" w:cs="宋体"/>
          <w:b/>
          <w:bCs/>
          <w:sz w:val="28"/>
          <w:szCs w:val="28"/>
          <w:lang w:eastAsia="zh-CN"/>
        </w:rPr>
        <w:t>条</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lang w:eastAsia="zh-CN"/>
        </w:rPr>
        <w:t>重大事件（II 级）是指能够导致严重影响或破坏的信息安全事件，包括以下情况：</w:t>
      </w:r>
    </w:p>
    <w:p>
      <w:pPr>
        <w:pStyle w:val="3"/>
        <w:spacing w:before="149"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（一）</w:t>
      </w:r>
      <w:r>
        <w:rPr>
          <w:rFonts w:hint="eastAsia" w:ascii="宋体" w:hAnsi="宋体" w:eastAsia="宋体" w:cs="宋体"/>
          <w:sz w:val="28"/>
          <w:szCs w:val="28"/>
          <w:lang w:eastAsia="zh-CN"/>
        </w:rPr>
        <w:tab/>
      </w:r>
      <w:r>
        <w:rPr>
          <w:rFonts w:hint="eastAsia" w:ascii="宋体" w:hAnsi="宋体" w:eastAsia="宋体" w:cs="宋体"/>
          <w:sz w:val="28"/>
          <w:szCs w:val="28"/>
          <w:lang w:eastAsia="zh-CN"/>
        </w:rPr>
        <w:t>重要基础设施与信息系统遭受严重的系统损失，造成系统全市性长时间中断或局部瘫痪，业务处理能力受到极大影响，可能需要区、县（市），跨部门协同处置的突发事件；</w:t>
      </w:r>
    </w:p>
    <w:p>
      <w:pPr>
        <w:pStyle w:val="3"/>
        <w:spacing w:before="149"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（二）</w:t>
      </w:r>
      <w:r>
        <w:rPr>
          <w:rFonts w:hint="eastAsia" w:ascii="宋体" w:hAnsi="宋体" w:eastAsia="宋体" w:cs="宋体"/>
          <w:sz w:val="28"/>
          <w:szCs w:val="28"/>
          <w:lang w:eastAsia="zh-CN"/>
        </w:rPr>
        <w:tab/>
      </w:r>
      <w:r>
        <w:rPr>
          <w:rFonts w:hint="eastAsia" w:ascii="宋体" w:hAnsi="宋体" w:eastAsia="宋体" w:cs="宋体"/>
          <w:sz w:val="28"/>
          <w:szCs w:val="28"/>
          <w:lang w:eastAsia="zh-CN"/>
        </w:rPr>
        <w:t>重要敏感信息和关键数据丢失或被窃取、篡改、假冒，造成较大社会影响或较大经济损失，使特别重要数据库系统遭受严重的系统损失、或使重要数据库系统遭受特别严重的系统损失；</w:t>
      </w:r>
    </w:p>
    <w:p>
      <w:pPr>
        <w:pStyle w:val="3"/>
        <w:spacing w:before="149"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（三）</w:t>
      </w:r>
      <w:r>
        <w:rPr>
          <w:rFonts w:hint="eastAsia" w:ascii="宋体" w:hAnsi="宋体" w:eastAsia="宋体" w:cs="宋体"/>
          <w:sz w:val="28"/>
          <w:szCs w:val="28"/>
          <w:lang w:eastAsia="zh-CN"/>
        </w:rPr>
        <w:tab/>
      </w:r>
      <w:r>
        <w:rPr>
          <w:rFonts w:hint="eastAsia" w:ascii="宋体" w:hAnsi="宋体" w:eastAsia="宋体" w:cs="宋体"/>
          <w:sz w:val="28"/>
          <w:szCs w:val="28"/>
          <w:lang w:eastAsia="zh-CN"/>
        </w:rPr>
        <w:t>产生重大的社会影响。</w:t>
      </w:r>
    </w:p>
    <w:p>
      <w:pPr>
        <w:pStyle w:val="3"/>
        <w:spacing w:before="149"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第十</w:t>
      </w:r>
      <w:r>
        <w:rPr>
          <w:rFonts w:hint="eastAsia" w:ascii="宋体" w:hAnsi="宋体" w:eastAsia="宋体" w:cs="宋体"/>
          <w:b/>
          <w:bCs/>
          <w:sz w:val="28"/>
          <w:szCs w:val="28"/>
          <w:lang w:val="en-US" w:eastAsia="zh-CN"/>
        </w:rPr>
        <w:t>七</w:t>
      </w:r>
      <w:r>
        <w:rPr>
          <w:rFonts w:hint="eastAsia" w:ascii="宋体" w:hAnsi="宋体" w:eastAsia="宋体" w:cs="宋体"/>
          <w:b/>
          <w:bCs/>
          <w:sz w:val="28"/>
          <w:szCs w:val="28"/>
          <w:lang w:eastAsia="zh-CN"/>
        </w:rPr>
        <w:t>条</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lang w:eastAsia="zh-CN"/>
        </w:rPr>
        <w:t>较大事件（III 级）较大事件是指能够导致较严重影响或破坏的信息安全事件，包括以下情况：</w:t>
      </w:r>
    </w:p>
    <w:p>
      <w:pPr>
        <w:pStyle w:val="3"/>
        <w:spacing w:before="149"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（一）</w:t>
      </w:r>
      <w:r>
        <w:rPr>
          <w:rFonts w:hint="eastAsia" w:ascii="宋体" w:hAnsi="宋体" w:eastAsia="宋体" w:cs="宋体"/>
          <w:sz w:val="28"/>
          <w:szCs w:val="28"/>
          <w:lang w:eastAsia="zh-CN"/>
        </w:rPr>
        <w:tab/>
      </w:r>
      <w:r>
        <w:rPr>
          <w:rFonts w:hint="eastAsia" w:ascii="宋体" w:hAnsi="宋体" w:eastAsia="宋体" w:cs="宋体"/>
          <w:sz w:val="28"/>
          <w:szCs w:val="28"/>
          <w:lang w:eastAsia="zh-CN"/>
        </w:rPr>
        <w:t>某区域重要基础设施与信息系统遭受较大的系统损失，造成系统中断，明显影响系统效率，业务处理能力受到极大影响不需要区、县（市）、跨部门协同处置的突发事件；</w:t>
      </w:r>
    </w:p>
    <w:p>
      <w:pPr>
        <w:pStyle w:val="3"/>
        <w:spacing w:before="149"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（二）</w:t>
      </w:r>
      <w:r>
        <w:rPr>
          <w:rFonts w:hint="eastAsia" w:ascii="宋体" w:hAnsi="宋体" w:eastAsia="宋体" w:cs="宋体"/>
          <w:sz w:val="28"/>
          <w:szCs w:val="28"/>
          <w:lang w:eastAsia="zh-CN"/>
        </w:rPr>
        <w:tab/>
      </w:r>
      <w:r>
        <w:rPr>
          <w:rFonts w:hint="eastAsia" w:ascii="宋体" w:hAnsi="宋体" w:eastAsia="宋体" w:cs="宋体"/>
          <w:sz w:val="28"/>
          <w:szCs w:val="28"/>
          <w:lang w:eastAsia="zh-CN"/>
        </w:rPr>
        <w:t>重要敏感信息和关键数据丢失或被窃取、篡改、假冒，可能造成社会影响或一定经济损失，会使特别重要数据库系统遭受较大的系统损失、或使重要数据库系统遭受严重的系统损失、一般数据库系统遭受特别严重的系统损失；</w:t>
      </w:r>
    </w:p>
    <w:p>
      <w:pPr>
        <w:pStyle w:val="3"/>
        <w:spacing w:before="149"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（三）</w:t>
      </w:r>
      <w:r>
        <w:rPr>
          <w:rFonts w:hint="eastAsia" w:ascii="宋体" w:hAnsi="宋体" w:eastAsia="宋体" w:cs="宋体"/>
          <w:sz w:val="28"/>
          <w:szCs w:val="28"/>
          <w:lang w:eastAsia="zh-CN"/>
        </w:rPr>
        <w:tab/>
      </w:r>
      <w:r>
        <w:rPr>
          <w:rFonts w:hint="eastAsia" w:ascii="宋体" w:hAnsi="宋体" w:eastAsia="宋体" w:cs="宋体"/>
          <w:sz w:val="28"/>
          <w:szCs w:val="28"/>
          <w:lang w:eastAsia="zh-CN"/>
        </w:rPr>
        <w:t>产生较大的社会影响。</w:t>
      </w:r>
    </w:p>
    <w:p>
      <w:pPr>
        <w:pStyle w:val="3"/>
        <w:spacing w:before="149"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第</w:t>
      </w:r>
      <w:r>
        <w:rPr>
          <w:rFonts w:hint="eastAsia" w:ascii="宋体" w:hAnsi="宋体" w:eastAsia="宋体" w:cs="宋体"/>
          <w:b/>
          <w:bCs/>
          <w:sz w:val="28"/>
          <w:szCs w:val="28"/>
          <w:lang w:val="en-US" w:eastAsia="zh-CN"/>
        </w:rPr>
        <w:t>十八</w:t>
      </w:r>
      <w:r>
        <w:rPr>
          <w:rFonts w:hint="eastAsia" w:ascii="宋体" w:hAnsi="宋体" w:eastAsia="宋体" w:cs="宋体"/>
          <w:b/>
          <w:bCs/>
          <w:sz w:val="28"/>
          <w:szCs w:val="28"/>
          <w:lang w:eastAsia="zh-CN"/>
        </w:rPr>
        <w:t>条</w:t>
      </w:r>
      <w:r>
        <w:rPr>
          <w:rFonts w:hint="eastAsia" w:ascii="宋体" w:hAnsi="宋体" w:eastAsia="宋体" w:cs="宋体"/>
          <w:sz w:val="28"/>
          <w:szCs w:val="28"/>
          <w:lang w:eastAsia="zh-CN"/>
        </w:rPr>
        <w:t xml:space="preserve"> 一般事件（IV 级）一般事件是指不满足以上条件的数据安全事件，包括以下情况：</w:t>
      </w:r>
    </w:p>
    <w:p>
      <w:pPr>
        <w:pStyle w:val="3"/>
        <w:spacing w:before="149"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（一） 重要基础设施与信息系统小范围遭受一定损失，影响系统效率，业务处理能力受到一定影响；</w:t>
      </w:r>
    </w:p>
    <w:p>
      <w:pPr>
        <w:pStyle w:val="3"/>
        <w:spacing w:before="149"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（二） 会使特别重要数据库系统遭受较小的系统损失、或使重要数据库系统遭受较大的系统损失、一般数据库系统遭受严重 或严重以下级别的系统损失；</w:t>
      </w:r>
    </w:p>
    <w:p>
      <w:pPr>
        <w:pStyle w:val="3"/>
        <w:spacing w:before="149"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（三） 产生一般的社会影响。</w:t>
      </w:r>
    </w:p>
    <w:p>
      <w:pPr>
        <w:pStyle w:val="3"/>
        <w:spacing w:before="149"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第十</w:t>
      </w:r>
      <w:r>
        <w:rPr>
          <w:rFonts w:hint="eastAsia" w:ascii="宋体" w:hAnsi="宋体" w:eastAsia="宋体" w:cs="宋体"/>
          <w:b/>
          <w:bCs/>
          <w:sz w:val="28"/>
          <w:szCs w:val="28"/>
          <w:lang w:val="en-US" w:eastAsia="zh-CN"/>
        </w:rPr>
        <w:t>九</w:t>
      </w:r>
      <w:r>
        <w:rPr>
          <w:rFonts w:hint="eastAsia" w:ascii="宋体" w:hAnsi="宋体" w:eastAsia="宋体" w:cs="宋体"/>
          <w:b/>
          <w:bCs/>
          <w:sz w:val="28"/>
          <w:szCs w:val="28"/>
          <w:lang w:eastAsia="zh-CN"/>
        </w:rPr>
        <w:t>条</w:t>
      </w:r>
      <w:r>
        <w:rPr>
          <w:rFonts w:hint="eastAsia" w:ascii="宋体" w:hAnsi="宋体" w:eastAsia="宋体" w:cs="宋体"/>
          <w:sz w:val="28"/>
          <w:szCs w:val="28"/>
          <w:lang w:eastAsia="zh-CN"/>
        </w:rPr>
        <w:t xml:space="preserve"> 特别重大事件（I 级）和重大事件（II 级）数据安全事件出现时，及时上报</w:t>
      </w:r>
      <w:r>
        <w:rPr>
          <w:rFonts w:hint="eastAsia" w:ascii="宋体" w:hAnsi="宋体" w:eastAsia="宋体" w:cs="宋体"/>
          <w:sz w:val="28"/>
          <w:szCs w:val="28"/>
          <w:lang w:val="en-US" w:eastAsia="zh-CN"/>
        </w:rPr>
        <w:t>舟山</w:t>
      </w:r>
      <w:r>
        <w:rPr>
          <w:rFonts w:hint="eastAsia" w:ascii="宋体" w:hAnsi="宋体" w:eastAsia="宋体" w:cs="宋体"/>
          <w:sz w:val="28"/>
          <w:szCs w:val="28"/>
          <w:lang w:eastAsia="zh-CN"/>
        </w:rPr>
        <w:t>市大数据</w:t>
      </w:r>
      <w:r>
        <w:rPr>
          <w:rFonts w:hint="eastAsia" w:ascii="宋体" w:hAnsi="宋体" w:eastAsia="宋体" w:cs="宋体"/>
          <w:sz w:val="28"/>
          <w:szCs w:val="28"/>
          <w:lang w:val="en-US" w:eastAsia="zh-CN"/>
        </w:rPr>
        <w:t>管理</w:t>
      </w:r>
      <w:r>
        <w:rPr>
          <w:rFonts w:hint="eastAsia" w:ascii="宋体" w:hAnsi="宋体" w:eastAsia="宋体" w:cs="宋体"/>
          <w:sz w:val="28"/>
          <w:szCs w:val="28"/>
          <w:lang w:eastAsia="zh-CN"/>
        </w:rPr>
        <w:t>中心，由中心数据安全应急协调小组协调启动应急预案并监督执行；较大事件（III 级）和一般事件（IV 级）数据安全事件出现时，由本单位系统恢复小组负责启动应急预案并执行。</w:t>
      </w:r>
    </w:p>
    <w:p>
      <w:pPr>
        <w:pStyle w:val="3"/>
        <w:spacing w:before="149" w:line="360" w:lineRule="auto"/>
        <w:jc w:val="center"/>
        <w:rPr>
          <w:rFonts w:hint="eastAsia" w:ascii="宋体" w:hAnsi="宋体" w:eastAsia="宋体" w:cs="宋体"/>
          <w:sz w:val="28"/>
          <w:szCs w:val="28"/>
          <w:lang w:eastAsia="zh-CN"/>
        </w:rPr>
      </w:pPr>
      <w:r>
        <w:rPr>
          <w:rFonts w:hint="eastAsia" w:ascii="宋体" w:hAnsi="宋体" w:eastAsia="宋体" w:cs="宋体"/>
          <w:b/>
          <w:bCs/>
          <w:sz w:val="32"/>
          <w:szCs w:val="32"/>
          <w:lang w:eastAsia="zh-CN"/>
        </w:rPr>
        <w:t>第四章</w:t>
      </w:r>
      <w:r>
        <w:rPr>
          <w:rFonts w:hint="eastAsia" w:ascii="宋体" w:hAnsi="宋体" w:eastAsia="宋体" w:cs="宋体"/>
          <w:b/>
          <w:bCs/>
          <w:sz w:val="32"/>
          <w:szCs w:val="32"/>
          <w:lang w:eastAsia="zh-CN"/>
        </w:rPr>
        <w:tab/>
      </w:r>
      <w:r>
        <w:rPr>
          <w:rFonts w:hint="eastAsia" w:ascii="宋体" w:hAnsi="宋体" w:eastAsia="宋体" w:cs="宋体"/>
          <w:b/>
          <w:bCs/>
          <w:sz w:val="32"/>
          <w:szCs w:val="32"/>
          <w:lang w:eastAsia="zh-CN"/>
        </w:rPr>
        <w:t>整改上报</w:t>
      </w:r>
    </w:p>
    <w:p>
      <w:pPr>
        <w:pStyle w:val="3"/>
        <w:spacing w:before="149"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第二十条</w:t>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舟山</w:t>
      </w:r>
      <w:r>
        <w:rPr>
          <w:rFonts w:hint="eastAsia" w:ascii="宋体" w:hAnsi="宋体" w:eastAsia="宋体" w:cs="宋体"/>
          <w:sz w:val="28"/>
          <w:szCs w:val="28"/>
          <w:lang w:eastAsia="zh-CN"/>
        </w:rPr>
        <w:t>市大数据发展管理局应对适用范围内的所有单位的数据安全风险进行动态监测、评估，及时将风险性质、危害程度、修复整改建议通知到责任单位，并限期七</w:t>
      </w:r>
      <w:r>
        <w:rPr>
          <w:rFonts w:hint="eastAsia" w:ascii="宋体" w:hAnsi="宋体" w:eastAsia="宋体" w:cs="宋体"/>
          <w:sz w:val="28"/>
          <w:szCs w:val="28"/>
          <w:lang w:val="en-US" w:eastAsia="zh-CN"/>
        </w:rPr>
        <w:t>个工作</w:t>
      </w:r>
      <w:r>
        <w:rPr>
          <w:rFonts w:hint="eastAsia" w:ascii="宋体" w:hAnsi="宋体" w:eastAsia="宋体" w:cs="宋体"/>
          <w:sz w:val="28"/>
          <w:szCs w:val="28"/>
          <w:lang w:eastAsia="zh-CN"/>
        </w:rPr>
        <w:t>日内</w:t>
      </w:r>
      <w:r>
        <w:rPr>
          <w:rFonts w:hint="eastAsia" w:ascii="宋体" w:hAnsi="宋体" w:eastAsia="宋体" w:cs="宋体"/>
          <w:sz w:val="28"/>
          <w:szCs w:val="28"/>
          <w:lang w:val="en-US" w:eastAsia="zh-CN"/>
        </w:rPr>
        <w:t>完成</w:t>
      </w:r>
      <w:r>
        <w:rPr>
          <w:rFonts w:hint="eastAsia" w:ascii="宋体" w:hAnsi="宋体" w:eastAsia="宋体" w:cs="宋体"/>
          <w:sz w:val="28"/>
          <w:szCs w:val="28"/>
          <w:lang w:eastAsia="zh-CN"/>
        </w:rPr>
        <w:t>整改。</w:t>
      </w:r>
    </w:p>
    <w:p>
      <w:pPr>
        <w:pStyle w:val="3"/>
        <w:spacing w:before="149"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第二十</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lang w:eastAsia="zh-CN"/>
        </w:rPr>
        <w:t>条</w:t>
      </w:r>
      <w:r>
        <w:rPr>
          <w:rFonts w:hint="eastAsia" w:ascii="宋体" w:hAnsi="宋体" w:eastAsia="宋体" w:cs="宋体"/>
          <w:sz w:val="28"/>
          <w:szCs w:val="28"/>
          <w:lang w:eastAsia="zh-CN"/>
        </w:rPr>
        <w:t xml:space="preserve"> 在相关单位处置</w:t>
      </w:r>
      <w:r>
        <w:rPr>
          <w:rFonts w:hint="eastAsia" w:ascii="宋体" w:hAnsi="宋体" w:eastAsia="宋体" w:cs="宋体"/>
          <w:sz w:val="28"/>
          <w:szCs w:val="28"/>
          <w:lang w:val="en-US" w:eastAsia="zh-CN"/>
        </w:rPr>
        <w:t>公共</w:t>
      </w:r>
      <w:r>
        <w:rPr>
          <w:rFonts w:hint="eastAsia" w:ascii="宋体" w:hAnsi="宋体" w:eastAsia="宋体" w:cs="宋体"/>
          <w:sz w:val="28"/>
          <w:szCs w:val="28"/>
          <w:lang w:eastAsia="zh-CN"/>
        </w:rPr>
        <w:t>数据安全风险的过程中，任何单位和个人不得保留、贮存、散布、传播所发现的有害信息。</w:t>
      </w:r>
    </w:p>
    <w:p>
      <w:pPr>
        <w:pStyle w:val="3"/>
        <w:spacing w:before="149"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第二十</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条</w:t>
      </w:r>
      <w:r>
        <w:rPr>
          <w:rFonts w:hint="eastAsia" w:ascii="宋体" w:hAnsi="宋体" w:eastAsia="宋体" w:cs="宋体"/>
          <w:sz w:val="28"/>
          <w:szCs w:val="28"/>
          <w:lang w:eastAsia="zh-CN"/>
        </w:rPr>
        <w:t xml:space="preserve"> 各部门（单位）按照突发事件应对有关法律、法规规定，可以要求相关单位提供具有公共属性的数据，并向自然人采集应对突发事件相关的数据。</w:t>
      </w:r>
    </w:p>
    <w:p>
      <w:pPr>
        <w:pStyle w:val="3"/>
        <w:spacing w:before="149"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第二十</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lang w:eastAsia="zh-CN"/>
        </w:rPr>
        <w:t>条</w:t>
      </w:r>
      <w:r>
        <w:rPr>
          <w:rFonts w:hint="eastAsia" w:ascii="宋体" w:hAnsi="宋体" w:eastAsia="宋体" w:cs="宋体"/>
          <w:sz w:val="28"/>
          <w:szCs w:val="28"/>
          <w:lang w:eastAsia="zh-CN"/>
        </w:rPr>
        <w:t xml:space="preserve"> 突发事件应对结束后，</w:t>
      </w:r>
      <w:r>
        <w:rPr>
          <w:rFonts w:hint="eastAsia" w:ascii="宋体" w:hAnsi="宋体" w:eastAsia="宋体" w:cs="宋体"/>
          <w:sz w:val="28"/>
          <w:szCs w:val="28"/>
          <w:lang w:val="en-US" w:eastAsia="zh-CN"/>
        </w:rPr>
        <w:t>各</w:t>
      </w:r>
      <w:r>
        <w:rPr>
          <w:rFonts w:hint="eastAsia" w:ascii="宋体" w:hAnsi="宋体" w:eastAsia="宋体" w:cs="宋体"/>
          <w:sz w:val="28"/>
          <w:szCs w:val="28"/>
          <w:lang w:eastAsia="zh-CN"/>
        </w:rPr>
        <w:t>部门（单位）应当对从其他单位和个人获得的公共数据进行分类评估，将其中涉及国家秘密、商业秘密和个人隐私的公共数据进行封存或者销毁等安全处理，并关停相关数据应用。法律、法规另有规定的，从其规定。</w:t>
      </w:r>
    </w:p>
    <w:p>
      <w:pPr>
        <w:pStyle w:val="3"/>
        <w:spacing w:before="149" w:line="360" w:lineRule="auto"/>
        <w:ind w:firstLine="626" w:firstLineChars="200"/>
        <w:rPr>
          <w:rFonts w:hint="eastAsia" w:ascii="宋体" w:hAnsi="宋体" w:eastAsia="宋体" w:cs="宋体"/>
          <w:sz w:val="28"/>
          <w:szCs w:val="28"/>
          <w:lang w:eastAsia="zh-CN"/>
        </w:rPr>
      </w:pPr>
      <w:r>
        <w:rPr>
          <w:rFonts w:hint="eastAsia" w:ascii="宋体" w:hAnsi="宋体" w:eastAsia="宋体" w:cs="宋体"/>
          <w:b/>
          <w:bCs/>
          <w:spacing w:val="16"/>
          <w:sz w:val="28"/>
          <w:szCs w:val="28"/>
        </w:rPr>
        <w:t>第二十</w:t>
      </w:r>
      <w:r>
        <w:rPr>
          <w:rFonts w:hint="eastAsia" w:ascii="宋体" w:hAnsi="宋体" w:eastAsia="宋体" w:cs="宋体"/>
          <w:b/>
          <w:bCs/>
          <w:spacing w:val="16"/>
          <w:sz w:val="28"/>
          <w:szCs w:val="28"/>
          <w:lang w:val="en-US" w:eastAsia="zh-CN"/>
        </w:rPr>
        <w:t>四</w:t>
      </w:r>
      <w:r>
        <w:rPr>
          <w:rFonts w:hint="eastAsia" w:ascii="宋体" w:hAnsi="宋体" w:eastAsia="宋体" w:cs="宋体"/>
          <w:b/>
          <w:bCs/>
          <w:spacing w:val="16"/>
          <w:sz w:val="28"/>
          <w:szCs w:val="28"/>
        </w:rPr>
        <w:t>条</w:t>
      </w:r>
      <w:r>
        <w:rPr>
          <w:rFonts w:hint="eastAsia" w:ascii="宋体" w:hAnsi="宋体" w:eastAsia="宋体" w:cs="宋体"/>
          <w:sz w:val="28"/>
          <w:szCs w:val="28"/>
          <w:lang w:eastAsia="zh-CN"/>
        </w:rPr>
        <w:t xml:space="preserve"> 各部门（单位）有下列情形之一的，</w:t>
      </w:r>
      <w:r>
        <w:rPr>
          <w:rFonts w:hint="eastAsia" w:ascii="宋体" w:hAnsi="宋体" w:eastAsia="宋体" w:cs="宋体"/>
          <w:sz w:val="28"/>
          <w:szCs w:val="28"/>
          <w:lang w:val="en-US" w:eastAsia="zh-CN"/>
        </w:rPr>
        <w:t>舟山</w:t>
      </w:r>
      <w:r>
        <w:rPr>
          <w:rFonts w:hint="eastAsia" w:ascii="宋体" w:hAnsi="宋体" w:eastAsia="宋体" w:cs="宋体"/>
          <w:sz w:val="28"/>
          <w:szCs w:val="28"/>
          <w:lang w:eastAsia="zh-CN"/>
        </w:rPr>
        <w:t>市大数据发展管理局将提出整改意见，并暂时关闭其获取该公共数据的权限;对未按照要求进行整改的，</w:t>
      </w:r>
      <w:r>
        <w:rPr>
          <w:rFonts w:hint="eastAsia" w:ascii="宋体" w:hAnsi="宋体" w:eastAsia="宋体" w:cs="宋体"/>
          <w:sz w:val="28"/>
          <w:szCs w:val="28"/>
          <w:lang w:val="en-US" w:eastAsia="zh-CN"/>
        </w:rPr>
        <w:t>舟山</w:t>
      </w:r>
      <w:r>
        <w:rPr>
          <w:rFonts w:hint="eastAsia" w:ascii="宋体" w:hAnsi="宋体" w:eastAsia="宋体" w:cs="宋体"/>
          <w:sz w:val="28"/>
          <w:szCs w:val="28"/>
          <w:lang w:eastAsia="zh-CN"/>
        </w:rPr>
        <w:t>市大数据发展管理局应当终止提供该公共数据开放服务:</w:t>
      </w:r>
    </w:p>
    <w:p>
      <w:pPr>
        <w:pStyle w:val="3"/>
        <w:spacing w:before="149"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（一） 未落实本单位数据安全风险评估机制;</w:t>
      </w:r>
    </w:p>
    <w:p>
      <w:pPr>
        <w:pStyle w:val="3"/>
        <w:spacing w:before="149"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（二） 未对数据安全风险积极响应并整改；</w:t>
      </w:r>
    </w:p>
    <w:p>
      <w:pPr>
        <w:pStyle w:val="3"/>
        <w:spacing w:before="149"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w:t>
      </w:r>
      <w:r>
        <w:rPr>
          <w:rFonts w:hint="eastAsia" w:ascii="宋体" w:hAnsi="宋体" w:eastAsia="宋体" w:cs="宋体"/>
          <w:sz w:val="28"/>
          <w:szCs w:val="28"/>
          <w:lang w:eastAsia="zh-CN"/>
        </w:rPr>
        <w:tab/>
      </w:r>
      <w:r>
        <w:rPr>
          <w:rFonts w:hint="eastAsia" w:ascii="宋体" w:hAnsi="宋体" w:eastAsia="宋体" w:cs="宋体"/>
          <w:sz w:val="28"/>
          <w:szCs w:val="28"/>
          <w:lang w:eastAsia="zh-CN"/>
        </w:rPr>
        <w:t>其他严重违反公共数据共享开放利用规范的情形。</w:t>
      </w:r>
    </w:p>
    <w:p>
      <w:pPr>
        <w:pStyle w:val="6"/>
        <w:tabs>
          <w:tab w:val="left" w:pos="1259"/>
        </w:tabs>
        <w:spacing w:before="1"/>
        <w:ind w:right="323"/>
        <w:rPr>
          <w:rFonts w:hint="eastAsia" w:ascii="宋体" w:hAnsi="宋体" w:eastAsia="宋体" w:cs="宋体"/>
          <w:sz w:val="28"/>
          <w:szCs w:val="28"/>
          <w:lang w:eastAsia="zh-CN"/>
        </w:rPr>
      </w:pPr>
      <w:r>
        <w:rPr>
          <w:rFonts w:hint="eastAsia" w:ascii="宋体" w:hAnsi="宋体" w:eastAsia="宋体" w:cs="宋体"/>
        </w:rPr>
        <w:t>第六章</w:t>
      </w:r>
      <w:r>
        <w:rPr>
          <w:rFonts w:hint="eastAsia" w:ascii="宋体" w:hAnsi="宋体" w:eastAsia="宋体" w:cs="宋体"/>
        </w:rPr>
        <w:tab/>
      </w:r>
      <w:r>
        <w:rPr>
          <w:rFonts w:hint="eastAsia" w:ascii="宋体" w:hAnsi="宋体" w:eastAsia="宋体" w:cs="宋体"/>
        </w:rPr>
        <w:t>附则</w:t>
      </w:r>
    </w:p>
    <w:p>
      <w:pPr>
        <w:pStyle w:val="3"/>
        <w:spacing w:before="149"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第一条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本细则由</w:t>
      </w:r>
      <w:r>
        <w:rPr>
          <w:rFonts w:hint="eastAsia" w:ascii="宋体" w:hAnsi="宋体" w:eastAsia="宋体" w:cs="宋体"/>
          <w:sz w:val="28"/>
          <w:szCs w:val="28"/>
          <w:lang w:val="en-US" w:eastAsia="zh-CN"/>
        </w:rPr>
        <w:t>舟山</w:t>
      </w:r>
      <w:r>
        <w:rPr>
          <w:rFonts w:hint="eastAsia" w:ascii="宋体" w:hAnsi="宋体" w:eastAsia="宋体" w:cs="宋体"/>
          <w:sz w:val="28"/>
          <w:szCs w:val="28"/>
          <w:lang w:eastAsia="zh-CN"/>
        </w:rPr>
        <w:t>市大数据发展管理局制定。</w:t>
      </w:r>
    </w:p>
    <w:p>
      <w:pPr>
        <w:pStyle w:val="3"/>
        <w:spacing w:before="149" w:line="360" w:lineRule="auto"/>
        <w:ind w:firstLine="562" w:firstLineChars="200"/>
        <w:rPr>
          <w:rFonts w:hint="eastAsia" w:ascii="宋体" w:hAnsi="宋体" w:eastAsia="宋体" w:cs="宋体"/>
          <w:sz w:val="28"/>
          <w:szCs w:val="28"/>
          <w:lang w:val="en-US" w:eastAsia="zh-CN"/>
        </w:rPr>
      </w:pPr>
      <w:r>
        <w:rPr>
          <w:rFonts w:hint="eastAsia" w:ascii="宋体" w:hAnsi="宋体" w:eastAsia="宋体" w:cs="宋体"/>
          <w:b/>
          <w:bCs/>
          <w:sz w:val="28"/>
          <w:szCs w:val="28"/>
          <w:lang w:eastAsia="zh-CN"/>
        </w:rPr>
        <w:t>第二条</w:t>
      </w:r>
      <w:r>
        <w:rPr>
          <w:rFonts w:hint="eastAsia" w:ascii="宋体" w:hAnsi="宋体" w:eastAsia="宋体" w:cs="宋体"/>
          <w:sz w:val="28"/>
          <w:szCs w:val="28"/>
          <w:lang w:eastAsia="zh-CN"/>
        </w:rPr>
        <w:t xml:space="preserve"> 本细则自发布之日起实施。</w:t>
      </w:r>
    </w:p>
    <w:p>
      <w:pPr>
        <w:spacing w:line="540" w:lineRule="exact"/>
        <w:contextualSpacing/>
        <w:jc w:val="both"/>
        <w:rPr>
          <w:rFonts w:hint="eastAsia" w:ascii="仿宋_GB2312" w:eastAsia="仿宋_GB2312"/>
          <w:sz w:val="28"/>
          <w:szCs w:val="28"/>
        </w:rPr>
      </w:pPr>
    </w:p>
    <w:p>
      <w:pPr>
        <w:spacing w:line="540" w:lineRule="exact"/>
        <w:contextualSpacing/>
        <w:jc w:val="both"/>
        <w:rPr>
          <w:rFonts w:hint="eastAsia" w:ascii="仿宋_GB2312" w:eastAsia="仿宋_GB2312"/>
          <w:sz w:val="28"/>
          <w:szCs w:val="28"/>
        </w:rPr>
      </w:pPr>
    </w:p>
    <w:p>
      <w:pPr>
        <w:spacing w:line="540" w:lineRule="exact"/>
        <w:contextualSpacing/>
        <w:jc w:val="both"/>
        <w:rPr>
          <w:rFonts w:hint="eastAsia" w:ascii="仿宋_GB2312" w:eastAsia="仿宋_GB2312"/>
          <w:sz w:val="28"/>
          <w:szCs w:val="28"/>
        </w:rPr>
      </w:pPr>
    </w:p>
    <w:p>
      <w:pPr>
        <w:spacing w:line="540" w:lineRule="exact"/>
        <w:contextualSpacing/>
        <w:jc w:val="both"/>
        <w:rPr>
          <w:rFonts w:hint="eastAsia" w:ascii="仿宋_GB2312" w:eastAsia="仿宋_GB2312"/>
          <w:sz w:val="28"/>
          <w:szCs w:val="28"/>
        </w:rPr>
      </w:pPr>
    </w:p>
    <w:p>
      <w:pPr>
        <w:spacing w:line="540" w:lineRule="exact"/>
        <w:contextualSpacing/>
        <w:jc w:val="both"/>
        <w:rPr>
          <w:rFonts w:hint="eastAsia" w:ascii="仿宋_GB2312" w:eastAsia="仿宋_GB2312"/>
          <w:sz w:val="28"/>
          <w:szCs w:val="28"/>
        </w:rPr>
      </w:pPr>
    </w:p>
    <w:p>
      <w:pPr>
        <w:spacing w:line="540" w:lineRule="exact"/>
        <w:contextualSpacing/>
        <w:jc w:val="both"/>
        <w:rPr>
          <w:rFonts w:hint="eastAsia" w:ascii="仿宋_GB2312" w:eastAsia="仿宋_GB2312"/>
          <w:sz w:val="28"/>
          <w:szCs w:val="28"/>
        </w:rPr>
      </w:pPr>
    </w:p>
    <w:p>
      <w:pPr>
        <w:spacing w:line="540" w:lineRule="exact"/>
        <w:contextualSpacing/>
        <w:jc w:val="both"/>
        <w:rPr>
          <w:rFonts w:hint="eastAsia" w:ascii="仿宋_GB2312" w:eastAsia="仿宋_GB2312"/>
          <w:sz w:val="28"/>
          <w:szCs w:val="28"/>
        </w:rPr>
      </w:pPr>
    </w:p>
    <w:p>
      <w:pPr>
        <w:spacing w:line="540" w:lineRule="exact"/>
        <w:contextualSpacing/>
        <w:jc w:val="both"/>
        <w:rPr>
          <w:rFonts w:hint="eastAsia" w:ascii="仿宋_GB2312" w:eastAsia="仿宋_GB2312"/>
          <w:sz w:val="28"/>
          <w:szCs w:val="28"/>
        </w:rPr>
      </w:pPr>
    </w:p>
    <w:p>
      <w:pPr>
        <w:spacing w:line="540" w:lineRule="exact"/>
        <w:contextualSpacing/>
        <w:jc w:val="center"/>
        <w:rPr>
          <w:rFonts w:ascii="仿宋_GB2312" w:eastAsia="仿宋_GB2312"/>
          <w:b/>
          <w:sz w:val="32"/>
          <w:szCs w:val="32"/>
        </w:rPr>
      </w:pPr>
      <w:r>
        <w:rPr>
          <w:rFonts w:hint="eastAsia" w:ascii="仿宋_GB2312" w:eastAsia="仿宋_GB2312"/>
          <w:b/>
          <w:sz w:val="32"/>
          <w:szCs w:val="32"/>
        </w:rPr>
        <w:t>第六部分 应提交的有关格式范例</w:t>
      </w:r>
    </w:p>
    <w:p>
      <w:pPr>
        <w:spacing w:line="540" w:lineRule="exact"/>
        <w:contextualSpacing/>
        <w:rPr>
          <w:rFonts w:ascii="仿宋_GB2312" w:eastAsia="仿宋_GB2312"/>
          <w:sz w:val="28"/>
          <w:szCs w:val="28"/>
        </w:rPr>
      </w:pPr>
    </w:p>
    <w:p>
      <w:pPr>
        <w:spacing w:line="540" w:lineRule="exact"/>
        <w:contextualSpacing/>
        <w:jc w:val="center"/>
        <w:rPr>
          <w:rFonts w:ascii="仿宋_GB2312" w:eastAsia="仿宋_GB2312"/>
          <w:sz w:val="28"/>
          <w:szCs w:val="28"/>
        </w:rPr>
      </w:pPr>
      <w:r>
        <w:rPr>
          <w:rFonts w:hint="eastAsia" w:ascii="仿宋_GB2312" w:eastAsia="仿宋_GB2312"/>
          <w:sz w:val="28"/>
          <w:szCs w:val="28"/>
        </w:rPr>
        <w:t>资格文件部分</w:t>
      </w:r>
    </w:p>
    <w:p>
      <w:pPr>
        <w:spacing w:line="540" w:lineRule="exact"/>
        <w:contextualSpacing/>
        <w:jc w:val="center"/>
        <w:rPr>
          <w:rFonts w:ascii="仿宋_GB2312" w:eastAsia="仿宋_GB2312"/>
          <w:sz w:val="28"/>
          <w:szCs w:val="28"/>
        </w:rPr>
      </w:pPr>
      <w:r>
        <w:rPr>
          <w:rFonts w:hint="eastAsia" w:ascii="仿宋_GB2312" w:eastAsia="仿宋_GB2312"/>
          <w:sz w:val="28"/>
          <w:szCs w:val="28"/>
        </w:rPr>
        <w:t>目录</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4"/>
          <w:szCs w:val="24"/>
        </w:rPr>
      </w:pPr>
      <w:r>
        <w:rPr>
          <w:rFonts w:hint="eastAsia" w:ascii="仿宋_GB2312" w:eastAsia="仿宋_GB2312"/>
          <w:sz w:val="24"/>
          <w:szCs w:val="24"/>
          <w:lang w:eastAsia="zh-CN"/>
        </w:rPr>
        <w:t>一、</w:t>
      </w:r>
      <w:r>
        <w:rPr>
          <w:rFonts w:hint="eastAsia" w:ascii="仿宋_GB2312" w:eastAsia="仿宋_GB2312"/>
          <w:sz w:val="24"/>
          <w:szCs w:val="24"/>
        </w:rPr>
        <w:t>符合参加政府采购活动应当具备的一般条件的承诺函……………（页  码）</w:t>
      </w:r>
    </w:p>
    <w:p>
      <w:pPr>
        <w:spacing w:line="540" w:lineRule="exact"/>
        <w:contextualSpacing/>
        <w:rPr>
          <w:rFonts w:ascii="仿宋_GB2312" w:eastAsia="仿宋_GB2312"/>
          <w:sz w:val="24"/>
          <w:szCs w:val="24"/>
        </w:rPr>
      </w:pPr>
      <w:r>
        <w:rPr>
          <w:rFonts w:hint="eastAsia" w:ascii="仿宋_GB2312" w:eastAsia="仿宋_GB2312"/>
          <w:sz w:val="24"/>
          <w:szCs w:val="24"/>
          <w:lang w:eastAsia="zh-CN"/>
        </w:rPr>
        <w:t>二、</w:t>
      </w:r>
      <w:r>
        <w:rPr>
          <w:rFonts w:hint="eastAsia" w:ascii="仿宋_GB2312" w:eastAsia="仿宋_GB2312"/>
          <w:sz w:val="24"/>
          <w:szCs w:val="24"/>
        </w:rPr>
        <w:t>落实政府采购政策需满足的资格要求………………………………（页  码）</w:t>
      </w:r>
    </w:p>
    <w:p>
      <w:pPr>
        <w:spacing w:line="540" w:lineRule="exact"/>
        <w:contextualSpacing/>
        <w:rPr>
          <w:rFonts w:ascii="仿宋_GB2312" w:eastAsia="仿宋_GB2312"/>
          <w:b/>
          <w:sz w:val="28"/>
          <w:szCs w:val="28"/>
        </w:rPr>
      </w:pPr>
      <w:r>
        <w:rPr>
          <w:rFonts w:hint="eastAsia" w:ascii="仿宋_GB2312" w:eastAsia="仿宋_GB2312"/>
          <w:sz w:val="24"/>
          <w:szCs w:val="24"/>
          <w:lang w:eastAsia="zh-CN"/>
        </w:rPr>
        <w:t>三、</w:t>
      </w:r>
      <w:r>
        <w:rPr>
          <w:rFonts w:hint="eastAsia" w:ascii="仿宋_GB2312" w:eastAsia="仿宋_GB2312"/>
          <w:sz w:val="24"/>
          <w:szCs w:val="24"/>
        </w:rPr>
        <w:t>本项目的特定资格要求………………………………………………（页  码）</w:t>
      </w:r>
      <w:r>
        <w:rPr>
          <w:rFonts w:hint="eastAsia" w:ascii="仿宋_GB2312" w:eastAsia="仿宋_GB2312"/>
          <w:sz w:val="28"/>
          <w:szCs w:val="28"/>
        </w:rPr>
        <w:br w:type="page"/>
      </w:r>
      <w:r>
        <w:rPr>
          <w:rFonts w:hint="eastAsia" w:ascii="仿宋_GB2312" w:eastAsia="仿宋_GB2312"/>
          <w:b/>
          <w:sz w:val="28"/>
          <w:szCs w:val="28"/>
        </w:rPr>
        <w:t>一、 符合参加政府采购活动应当具备的一般条件的承诺函</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r>
        <w:rPr>
          <w:rFonts w:hint="eastAsia" w:ascii="仿宋_GB2312" w:eastAsia="仿宋_GB2312"/>
          <w:sz w:val="28"/>
          <w:szCs w:val="28"/>
        </w:rPr>
        <w:t>（采购人）、（采购代理机构）：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我方参与（项目名称）【招标编号：（采购编号）】政府采购活动，郑重承诺：</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（一）具备《中华人民共和国政府采购法》第二十二条第一款规定的条件：</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1、具有独立承担民事责任的能力；</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 xml:space="preserve">2、具有良好的商业信誉和健全的财务会计制度；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3、具有履行合同所必需的设备和专业技术能力；</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4、有依法缴纳税收和社会保障资金的良好记录；</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5、参加政府采购活动前三年内，在经营活动中没有重大违法记录；</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6、具有法律、行政法规规定的其他条件。</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（二）未被信用中国（www.creditchina.gov.cn)、中国政府采购网（www.ccgp.gov.cn）列入失信被执行人、重大税收违法案件当事人名单、政府采购严重违法失信行为记录名单。</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（三）不存在以下情况：</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1、单位负责人为同一人或者存在直接控股、管理关系的不同供应商参加同一合同项下的政府采购活动的；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2、为采购项目提供整体设计、规范编制或者项目管理、监理、检测等服务后再参加该采购项目的其他采购活动的。</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ind w:firstLine="4480" w:firstLineChars="1600"/>
        <w:contextualSpacing/>
        <w:rPr>
          <w:rFonts w:ascii="仿宋_GB2312" w:eastAsia="仿宋_GB2312"/>
          <w:sz w:val="28"/>
          <w:szCs w:val="28"/>
        </w:rPr>
      </w:pPr>
      <w:r>
        <w:rPr>
          <w:rFonts w:hint="eastAsia" w:ascii="仿宋_GB2312" w:eastAsia="仿宋_GB2312"/>
          <w:sz w:val="28"/>
          <w:szCs w:val="28"/>
        </w:rPr>
        <w:t>投标人名称(电子签名)：</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日期：  年  月   日</w:t>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二、落实政府采购政策需满足的资格要求</w:t>
      </w:r>
    </w:p>
    <w:p>
      <w:pPr>
        <w:spacing w:line="540" w:lineRule="exact"/>
        <w:contextualSpacing/>
        <w:rPr>
          <w:rFonts w:ascii="仿宋_GB2312" w:eastAsia="仿宋_GB2312"/>
          <w:sz w:val="28"/>
          <w:szCs w:val="28"/>
        </w:rPr>
      </w:pP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（根据招标公告落实政府采购政策需满足的资格要求选择提供相应的材料；未要求的，无需提供）</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 xml:space="preserve">A.专门面向中小企业，货物全部由符合政策要求的中小企业（或小微企业）制造或者服务全部由符合政策要求的中小企业（或小微企业）承接的，提供相应的中小企业声明函（附件5）。 </w:t>
      </w:r>
    </w:p>
    <w:p>
      <w:pPr>
        <w:spacing w:line="540" w:lineRule="exact"/>
        <w:contextualSpacing/>
        <w:rPr>
          <w:rFonts w:ascii="仿宋_GB2312" w:eastAsia="仿宋_GB2312"/>
          <w:sz w:val="28"/>
          <w:szCs w:val="28"/>
        </w:rPr>
      </w:pP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B.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540" w:lineRule="exact"/>
        <w:contextualSpacing/>
        <w:jc w:val="center"/>
        <w:rPr>
          <w:rFonts w:ascii="仿宋_GB2312" w:eastAsia="仿宋_GB2312"/>
          <w:sz w:val="28"/>
          <w:szCs w:val="28"/>
        </w:rPr>
      </w:pPr>
    </w:p>
    <w:p>
      <w:pPr>
        <w:spacing w:line="540" w:lineRule="exact"/>
        <w:contextualSpacing/>
        <w:jc w:val="center"/>
        <w:rPr>
          <w:rFonts w:ascii="仿宋_GB2312" w:eastAsia="仿宋_GB2312"/>
          <w:sz w:val="28"/>
          <w:szCs w:val="28"/>
        </w:rPr>
      </w:pPr>
      <w:r>
        <w:rPr>
          <w:rFonts w:hint="eastAsia" w:ascii="仿宋_GB2312" w:eastAsia="仿宋_GB2312"/>
          <w:sz w:val="28"/>
          <w:szCs w:val="28"/>
        </w:rPr>
        <w:t>联合协议</w:t>
      </w:r>
    </w:p>
    <w:p>
      <w:pPr>
        <w:spacing w:line="540" w:lineRule="exact"/>
        <w:ind w:firstLine="560" w:firstLineChars="200"/>
        <w:contextualSpacing/>
        <w:rPr>
          <w:rFonts w:ascii="仿宋_GB2312" w:eastAsia="仿宋_GB2312"/>
          <w:sz w:val="28"/>
          <w:szCs w:val="28"/>
        </w:rPr>
      </w:pP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 xml:space="preserve">（联合体所有成员名称）自愿组成一个联合体，以一个投标人的身份参加（项目名称）【招标编号：（采购编号）】投标。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一、各方一致决定，（某联合体成员名称）为联合体牵头人，代表所有联合体成员负责投标和合同实施阶段的主办、协调工作。</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二、所有联合体成员各方签署授权书，授权书载明的授权代表根据招标文件规定及投标内容而对采购人、采购代理机构所作的任何合法承诺，包括书面澄清及相应等均对联合投标各方产生约束力。</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三、本次联合投标中，分工如下：（联合体其中一方成员名称）承担的工作和义务为：             ；（联合体其中一方成员名称）承担的工作和义务为：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四、中小企业合同金额达到  %，小微企业合同金额达到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五、如果中标，联合体各成员方共同与采购人签订合同，并就采购合同约定的事项对采购人承担连带责任。</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六、有关本次联合投标的其他事宜：</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1、联合体各方不再单独参加或者与其他供应商另外组成联合体参加同一合同项下的政府采购活动。</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2、联合体中有同类资质的各方按照联合体分工承担相同工作的，按照资质等级较低的供应商确定资质等级。</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3、本协议提交采购人、采购代理机构后，联合体各方不得以任何形式对上述内容进行修改或撤销。</w:t>
      </w:r>
    </w:p>
    <w:p>
      <w:pPr>
        <w:spacing w:line="540" w:lineRule="exact"/>
        <w:ind w:firstLine="700" w:firstLineChars="250"/>
        <w:contextualSpacing/>
        <w:rPr>
          <w:rFonts w:ascii="仿宋_GB2312" w:eastAsia="仿宋_GB2312"/>
          <w:sz w:val="28"/>
          <w:szCs w:val="28"/>
        </w:rPr>
      </w:pPr>
    </w:p>
    <w:p>
      <w:pPr>
        <w:spacing w:line="540" w:lineRule="exact"/>
        <w:ind w:firstLine="700" w:firstLineChars="250"/>
        <w:contextualSpacing/>
        <w:rPr>
          <w:rFonts w:ascii="仿宋_GB2312" w:eastAsia="仿宋_GB2312"/>
          <w:sz w:val="28"/>
          <w:szCs w:val="28"/>
        </w:rPr>
      </w:pPr>
    </w:p>
    <w:p>
      <w:pPr>
        <w:spacing w:line="540" w:lineRule="exact"/>
        <w:ind w:firstLine="700" w:firstLineChars="250"/>
        <w:contextualSpacing/>
        <w:rPr>
          <w:rFonts w:ascii="仿宋_GB2312" w:eastAsia="仿宋_GB2312"/>
          <w:sz w:val="28"/>
          <w:szCs w:val="28"/>
        </w:rPr>
      </w:pPr>
      <w:r>
        <w:rPr>
          <w:rFonts w:hint="eastAsia" w:ascii="仿宋_GB2312" w:eastAsia="仿宋_GB2312"/>
          <w:sz w:val="28"/>
          <w:szCs w:val="28"/>
        </w:rPr>
        <w:t>联合体成员名称(电子签名/公章)：</w:t>
      </w:r>
    </w:p>
    <w:p>
      <w:pPr>
        <w:spacing w:line="540" w:lineRule="exact"/>
        <w:ind w:firstLine="700" w:firstLineChars="250"/>
        <w:contextualSpacing/>
        <w:rPr>
          <w:rFonts w:ascii="仿宋_GB2312" w:eastAsia="仿宋_GB2312"/>
          <w:sz w:val="28"/>
          <w:szCs w:val="28"/>
        </w:rPr>
      </w:pPr>
      <w:r>
        <w:rPr>
          <w:rFonts w:hint="eastAsia" w:ascii="仿宋_GB2312" w:eastAsia="仿宋_GB2312"/>
          <w:sz w:val="28"/>
          <w:szCs w:val="28"/>
        </w:rPr>
        <w:t>联合体成员名称(电子签名/公章)：</w:t>
      </w:r>
    </w:p>
    <w:p>
      <w:pPr>
        <w:spacing w:line="540" w:lineRule="exact"/>
        <w:ind w:firstLine="700" w:firstLineChars="250"/>
        <w:contextualSpacing/>
        <w:rPr>
          <w:rFonts w:ascii="仿宋_GB2312" w:eastAsia="仿宋_GB2312"/>
          <w:sz w:val="28"/>
          <w:szCs w:val="28"/>
        </w:rPr>
      </w:pPr>
      <w:r>
        <w:rPr>
          <w:rFonts w:hint="eastAsia" w:ascii="仿宋_GB2312" w:eastAsia="仿宋_GB2312"/>
          <w:sz w:val="28"/>
          <w:szCs w:val="28"/>
        </w:rPr>
        <w:t>……</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日期：  年  月   日</w:t>
      </w:r>
    </w:p>
    <w:p>
      <w:pPr>
        <w:spacing w:line="540" w:lineRule="exact"/>
        <w:contextualSpacing/>
        <w:rPr>
          <w:rFonts w:hint="eastAsia" w:ascii="仿宋_GB2312" w:eastAsia="仿宋_GB2312"/>
          <w:sz w:val="28"/>
          <w:szCs w:val="28"/>
        </w:rPr>
      </w:pPr>
    </w:p>
    <w:p>
      <w:pPr>
        <w:spacing w:line="540" w:lineRule="exact"/>
        <w:contextualSpacing/>
        <w:rPr>
          <w:rFonts w:hint="eastAsia" w:ascii="仿宋_GB2312" w:eastAsia="仿宋_GB2312"/>
          <w:sz w:val="28"/>
          <w:szCs w:val="28"/>
        </w:rPr>
      </w:pPr>
    </w:p>
    <w:p>
      <w:pPr>
        <w:spacing w:line="540" w:lineRule="exact"/>
        <w:contextualSpacing/>
        <w:rPr>
          <w:rFonts w:hint="eastAsia" w:ascii="仿宋_GB2312" w:eastAsia="仿宋_GB2312"/>
          <w:sz w:val="28"/>
          <w:szCs w:val="28"/>
        </w:rPr>
      </w:pPr>
    </w:p>
    <w:p>
      <w:pPr>
        <w:spacing w:line="540" w:lineRule="exact"/>
        <w:contextualSpacing/>
        <w:rPr>
          <w:rFonts w:ascii="仿宋_GB2312" w:eastAsia="仿宋_GB2312"/>
          <w:sz w:val="28"/>
          <w:szCs w:val="28"/>
        </w:rPr>
      </w:pP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C、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pacing w:line="540" w:lineRule="exact"/>
        <w:ind w:firstLine="562" w:firstLineChars="200"/>
        <w:contextualSpacing/>
        <w:rPr>
          <w:rFonts w:ascii="仿宋_GB2312" w:eastAsia="仿宋_GB2312"/>
          <w:b/>
          <w:sz w:val="28"/>
          <w:szCs w:val="28"/>
        </w:rPr>
      </w:pPr>
      <w:r>
        <w:rPr>
          <w:rFonts w:hint="eastAsia" w:ascii="仿宋_GB2312" w:eastAsia="仿宋_GB2312"/>
          <w:b/>
          <w:sz w:val="28"/>
          <w:szCs w:val="28"/>
        </w:rPr>
        <w:t>（对于未预留份额专门面向中小企业的政府采购货物或服务项目，以及预留份额政府采购货物或服务项目中的非预留部分，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分包意向协议</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（中标后以分包方式履行合同的，提供分包意向协议；采购人不同意分包或者投标人中标后不以分包方式履行合同的，则不需要提供。）</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（投标人名称）若成为（项目名称）【招标编号：（采购编号）】的中标供应商，将依法采取分包方式履行合同。（投标人名称）与（所有分包供应商名称）达成分包意向协议。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一、分包标的及数量</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（投标人名称）将   XX工作内容   分包给（某分包供应商名称），（某分包供应商名称），具备承担XX工作内容相应资质条件且不得再次分包；</w:t>
      </w:r>
    </w:p>
    <w:p>
      <w:pPr>
        <w:spacing w:line="540" w:lineRule="exact"/>
        <w:contextualSpacing/>
        <w:rPr>
          <w:rFonts w:ascii="仿宋_GB2312" w:eastAsia="仿宋_GB2312"/>
          <w:sz w:val="28"/>
          <w:szCs w:val="28"/>
        </w:rPr>
      </w:pPr>
      <w:r>
        <w:rPr>
          <w:rFonts w:hint="eastAsia" w:ascii="仿宋_GB2312" w:eastAsia="仿宋_GB2312"/>
          <w:sz w:val="28"/>
          <w:szCs w:val="28"/>
        </w:rPr>
        <w:t>……</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二、分包工作履行期限、地点、方式</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三、质量</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四、价款或者报酬</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五、违约责任</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六、争议解决的办法</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七、其他</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（分包供应商名称）提供的货物或服务全部由该中型企业或该小微企业承接，其合同份额为合同总金额的</w:t>
      </w:r>
      <w:r>
        <w:rPr>
          <w:rFonts w:hint="eastAsia" w:ascii="仿宋_GB2312" w:eastAsia="仿宋_GB2312"/>
          <w:sz w:val="28"/>
          <w:szCs w:val="28"/>
          <w:lang w:val="en-US" w:eastAsia="zh-CN"/>
        </w:rPr>
        <w:t xml:space="preserve">   </w:t>
      </w:r>
      <w:r>
        <w:rPr>
          <w:rFonts w:hint="eastAsia" w:ascii="仿宋_GB2312" w:eastAsia="仿宋_GB2312"/>
          <w:sz w:val="28"/>
          <w:szCs w:val="28"/>
        </w:rPr>
        <w:t>%。详见申请人资格要求。</w:t>
      </w:r>
    </w:p>
    <w:p>
      <w:pPr>
        <w:spacing w:line="540" w:lineRule="exact"/>
        <w:ind w:firstLine="562" w:firstLineChars="200"/>
        <w:contextualSpacing/>
        <w:rPr>
          <w:rFonts w:ascii="仿宋_GB2312" w:eastAsia="仿宋_GB2312"/>
          <w:b/>
          <w:sz w:val="28"/>
          <w:szCs w:val="28"/>
        </w:rPr>
      </w:pPr>
      <w:r>
        <w:rPr>
          <w:rFonts w:hint="eastAsia" w:ascii="仿宋_GB2312" w:eastAsia="仿宋_GB2312"/>
          <w:b/>
          <w:sz w:val="28"/>
          <w:szCs w:val="28"/>
        </w:rPr>
        <w:t>（对于未预留份额专门面向中小企业的政府采购货物或服务项目，以及预留份额政府采购货物或服务项目中的非预留部分，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ind w:firstLine="4200" w:firstLineChars="1500"/>
        <w:contextualSpacing/>
        <w:rPr>
          <w:rFonts w:ascii="仿宋_GB2312" w:eastAsia="仿宋_GB2312"/>
          <w:sz w:val="28"/>
          <w:szCs w:val="28"/>
        </w:rPr>
      </w:pPr>
      <w:r>
        <w:rPr>
          <w:rFonts w:hint="eastAsia" w:ascii="仿宋_GB2312" w:eastAsia="仿宋_GB2312"/>
          <w:sz w:val="28"/>
          <w:szCs w:val="28"/>
        </w:rPr>
        <w:t>投标人名称(电子签名)：</w:t>
      </w:r>
    </w:p>
    <w:p>
      <w:pPr>
        <w:spacing w:line="540" w:lineRule="exact"/>
        <w:ind w:firstLine="5040" w:firstLineChars="1800"/>
        <w:contextualSpacing/>
        <w:rPr>
          <w:rFonts w:ascii="仿宋_GB2312" w:eastAsia="仿宋_GB2312"/>
          <w:sz w:val="28"/>
          <w:szCs w:val="28"/>
        </w:rPr>
      </w:pPr>
      <w:r>
        <w:rPr>
          <w:rFonts w:hint="eastAsia" w:ascii="仿宋_GB2312" w:eastAsia="仿宋_GB2312"/>
          <w:sz w:val="28"/>
          <w:szCs w:val="28"/>
        </w:rPr>
        <w:t>分包供应商名称：</w:t>
      </w:r>
    </w:p>
    <w:p>
      <w:pPr>
        <w:spacing w:line="540" w:lineRule="exact"/>
        <w:ind w:firstLine="5740" w:firstLineChars="2050"/>
        <w:contextualSpacing/>
        <w:rPr>
          <w:rFonts w:ascii="仿宋_GB2312" w:eastAsia="仿宋_GB2312"/>
          <w:sz w:val="28"/>
          <w:szCs w:val="28"/>
        </w:rPr>
      </w:pPr>
      <w:r>
        <w:rPr>
          <w:rFonts w:hint="eastAsia" w:ascii="仿宋_GB2312" w:eastAsia="仿宋_GB2312"/>
          <w:sz w:val="28"/>
          <w:szCs w:val="28"/>
        </w:rPr>
        <w:t>……</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日期：  年  月   日</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pStyle w:val="2"/>
      </w:pP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三、本项目的特定资格要求</w:t>
      </w:r>
    </w:p>
    <w:p>
      <w:pPr>
        <w:spacing w:line="540" w:lineRule="exact"/>
        <w:contextualSpacing/>
        <w:rPr>
          <w:rFonts w:ascii="仿宋_GB2312" w:eastAsia="仿宋_GB2312"/>
          <w:sz w:val="28"/>
          <w:szCs w:val="28"/>
        </w:rPr>
      </w:pPr>
      <w:r>
        <w:rPr>
          <w:rFonts w:hint="eastAsia" w:ascii="仿宋_GB2312" w:eastAsia="仿宋_GB2312"/>
          <w:sz w:val="28"/>
          <w:szCs w:val="28"/>
        </w:rPr>
        <w:t>（根据招标公告本项目的特定资格要求提供相应的材料；未要求的，无需提供）</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jc w:val="center"/>
        <w:rPr>
          <w:rFonts w:ascii="仿宋_GB2312" w:eastAsia="仿宋_GB2312"/>
          <w:b/>
          <w:sz w:val="32"/>
          <w:szCs w:val="32"/>
        </w:rPr>
      </w:pPr>
      <w:r>
        <w:rPr>
          <w:rFonts w:hint="eastAsia" w:ascii="仿宋_GB2312" w:eastAsia="仿宋_GB2312"/>
          <w:b/>
          <w:sz w:val="32"/>
          <w:szCs w:val="32"/>
        </w:rPr>
        <w:t>商务技术文件部分</w:t>
      </w:r>
    </w:p>
    <w:p>
      <w:pPr>
        <w:spacing w:line="540" w:lineRule="exact"/>
        <w:contextualSpacing/>
        <w:rPr>
          <w:rFonts w:ascii="仿宋_GB2312" w:eastAsia="仿宋_GB2312"/>
          <w:sz w:val="28"/>
          <w:szCs w:val="28"/>
        </w:rPr>
      </w:pP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目录</w:t>
      </w:r>
    </w:p>
    <w:p>
      <w:pPr>
        <w:spacing w:line="540" w:lineRule="exact"/>
        <w:contextualSpacing/>
        <w:rPr>
          <w:rFonts w:ascii="仿宋_GB2312" w:eastAsia="仿宋_GB2312"/>
          <w:sz w:val="24"/>
          <w:szCs w:val="24"/>
        </w:rPr>
      </w:pPr>
      <w:r>
        <w:rPr>
          <w:rFonts w:hint="eastAsia" w:ascii="仿宋_GB2312" w:eastAsia="仿宋_GB2312"/>
          <w:sz w:val="24"/>
          <w:szCs w:val="24"/>
        </w:rPr>
        <w:t>（1）投标函…………………………………………………………………………（页码）</w:t>
      </w:r>
    </w:p>
    <w:p>
      <w:pPr>
        <w:spacing w:line="540" w:lineRule="exact"/>
        <w:contextualSpacing/>
        <w:rPr>
          <w:rFonts w:ascii="仿宋_GB2312" w:eastAsia="仿宋_GB2312"/>
          <w:sz w:val="24"/>
          <w:szCs w:val="24"/>
        </w:rPr>
      </w:pPr>
      <w:r>
        <w:rPr>
          <w:rFonts w:hint="eastAsia" w:ascii="仿宋_GB2312" w:eastAsia="仿宋_GB2312"/>
          <w:sz w:val="24"/>
          <w:szCs w:val="24"/>
        </w:rPr>
        <w:t>（2）授权委托书或法定代表人（单位负责人、自然人本人）身份证明………（页码）</w:t>
      </w:r>
    </w:p>
    <w:p>
      <w:pPr>
        <w:spacing w:line="540" w:lineRule="exact"/>
        <w:contextualSpacing/>
        <w:rPr>
          <w:rFonts w:ascii="仿宋_GB2312" w:eastAsia="仿宋_GB2312"/>
          <w:sz w:val="24"/>
          <w:szCs w:val="24"/>
        </w:rPr>
      </w:pPr>
      <w:r>
        <w:rPr>
          <w:rFonts w:hint="eastAsia" w:ascii="仿宋_GB2312" w:eastAsia="仿宋_GB2312"/>
          <w:sz w:val="24"/>
          <w:szCs w:val="24"/>
        </w:rPr>
        <w:t>（3）联合协议………………………………………………………………………（页码）</w:t>
      </w:r>
    </w:p>
    <w:p>
      <w:pPr>
        <w:spacing w:line="540" w:lineRule="exact"/>
        <w:contextualSpacing/>
        <w:rPr>
          <w:rFonts w:ascii="仿宋_GB2312" w:eastAsia="仿宋_GB2312"/>
          <w:sz w:val="24"/>
          <w:szCs w:val="24"/>
        </w:rPr>
      </w:pPr>
      <w:r>
        <w:rPr>
          <w:rFonts w:hint="eastAsia" w:ascii="仿宋_GB2312" w:eastAsia="仿宋_GB2312"/>
          <w:sz w:val="24"/>
          <w:szCs w:val="24"/>
        </w:rPr>
        <w:t>（4）分包意向协议……………………………………………………………………（页码）</w:t>
      </w:r>
    </w:p>
    <w:p>
      <w:pPr>
        <w:spacing w:line="540" w:lineRule="exact"/>
        <w:contextualSpacing/>
        <w:rPr>
          <w:rFonts w:ascii="仿宋_GB2312" w:eastAsia="仿宋_GB2312"/>
          <w:sz w:val="24"/>
          <w:szCs w:val="24"/>
        </w:rPr>
      </w:pPr>
      <w:r>
        <w:rPr>
          <w:rFonts w:hint="eastAsia" w:ascii="仿宋_GB2312" w:eastAsia="仿宋_GB2312"/>
          <w:sz w:val="24"/>
          <w:szCs w:val="24"/>
        </w:rPr>
        <w:t>（5）符合性审查资料…………………………………………………………………（页码）</w:t>
      </w:r>
    </w:p>
    <w:p>
      <w:pPr>
        <w:spacing w:line="540" w:lineRule="exact"/>
        <w:contextualSpacing/>
        <w:rPr>
          <w:rFonts w:ascii="仿宋_GB2312" w:eastAsia="仿宋_GB2312"/>
          <w:sz w:val="24"/>
          <w:szCs w:val="24"/>
        </w:rPr>
      </w:pPr>
      <w:r>
        <w:rPr>
          <w:rFonts w:hint="eastAsia" w:ascii="仿宋_GB2312" w:eastAsia="仿宋_GB2312"/>
          <w:sz w:val="24"/>
          <w:szCs w:val="24"/>
        </w:rPr>
        <w:t>（6）拟投入的项目班子格式………………………………………………………（页码）</w:t>
      </w:r>
    </w:p>
    <w:p>
      <w:pPr>
        <w:spacing w:line="540" w:lineRule="exact"/>
        <w:contextualSpacing/>
        <w:rPr>
          <w:rFonts w:ascii="仿宋_GB2312" w:eastAsia="仿宋_GB2312"/>
          <w:sz w:val="24"/>
          <w:szCs w:val="24"/>
        </w:rPr>
      </w:pPr>
      <w:r>
        <w:rPr>
          <w:rFonts w:hint="eastAsia" w:ascii="仿宋_GB2312" w:eastAsia="仿宋_GB2312"/>
          <w:sz w:val="24"/>
          <w:szCs w:val="24"/>
        </w:rPr>
        <w:t>（7）评标标准相应的商务技术资料…………………………………………………（页码）</w:t>
      </w:r>
    </w:p>
    <w:p>
      <w:pPr>
        <w:spacing w:line="540" w:lineRule="exact"/>
        <w:contextualSpacing/>
        <w:rPr>
          <w:rFonts w:ascii="仿宋_GB2312" w:eastAsia="仿宋_GB2312"/>
          <w:sz w:val="24"/>
          <w:szCs w:val="24"/>
        </w:rPr>
      </w:pPr>
      <w:r>
        <w:rPr>
          <w:rFonts w:hint="eastAsia" w:ascii="仿宋_GB2312" w:eastAsia="仿宋_GB2312"/>
          <w:sz w:val="24"/>
          <w:szCs w:val="24"/>
        </w:rPr>
        <w:t>（8）政府采购供应商廉洁自律承诺书………………………………………………（页码）</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一、投标函</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r>
        <w:rPr>
          <w:rFonts w:hint="eastAsia" w:ascii="仿宋_GB2312" w:eastAsia="仿宋_GB2312"/>
          <w:sz w:val="28"/>
          <w:szCs w:val="28"/>
        </w:rPr>
        <w:t>（采购人）、（采购代理机构）：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我方参加你方组织的（项目名称）【招标编号：（采购编号）】招标的有关活动，并对此项目进行投标。为此：</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我方承诺投标有效期从提交投标文件的截止之日起     天（不少于90天），本投标文件在投标有效期满之前均具有约束力。</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2、我方的投标文件包括以下内容：</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2.1资格文件：</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2.1.1承诺函；</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2.1.2落实政府采购政策需满足的资格要求（如果有）；</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2.1.3本项目的特定资格要求（如果有）。</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2.2 商务技术文件：</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 xml:space="preserve">2.2.1投标函；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2.2.2授权委托书或法定代表人（单位负责人）身份证明；</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2.2.3联合协议（如果有）；</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2.2.4分包意向协议（如果有）；</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2.2.5符合性审查资料；</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2.2.6投标产品清单（如果有）；</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2.2.7评标标准相应的商务技术资料；</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2.2.8商务技术偏离表（如果有）；</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2.2.9拟投入的项目班子格式（如果有）;</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2.2.10政府采购供应商廉洁自律承诺书；</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2.3报价文件</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2.3.1开标一览表（报价表）；</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2.3.2中小企业声明函（如果有）。</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3、我方承诺除商务技术偏离表列出的偏离外，我方响应招标文件的全部要求。</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4、我方已详细审查了招标文件的全部内容及其相关补充文件（若有），并完全清晰理解全部内容及相关的补充文件（若有），不存在任何误解之处，同意放弃提出异议和质疑的权利。</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5、如我方中标，我方承诺：</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 xml:space="preserve">5.1在收到中标通知书后，在中标通知书规定的期限内与你方签订合同；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 xml:space="preserve">5.2在签订合同时不向你方提出附加条件；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 xml:space="preserve">5.3按照招标文件要求提交履约保证金；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 xml:space="preserve">5.4在合同约定的期限内完成合同规定的全部义务。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6、其他补充说明:                                        。</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ind w:firstLine="4480" w:firstLineChars="1600"/>
        <w:contextualSpacing/>
        <w:rPr>
          <w:rFonts w:ascii="仿宋_GB2312" w:eastAsia="仿宋_GB2312"/>
          <w:sz w:val="28"/>
          <w:szCs w:val="28"/>
        </w:rPr>
      </w:pPr>
      <w:r>
        <w:rPr>
          <w:rFonts w:hint="eastAsia" w:ascii="仿宋_GB2312" w:eastAsia="仿宋_GB2312"/>
          <w:sz w:val="28"/>
          <w:szCs w:val="28"/>
        </w:rPr>
        <w:t xml:space="preserve">投标人名称（电子签名）：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日期：  年   月   日</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二、授权委托书或法定代表人（单位负责人、自然人本人）身份证明</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授权委托书（适用于非联合体投标）                               </w:t>
      </w:r>
    </w:p>
    <w:p>
      <w:pPr>
        <w:spacing w:line="540" w:lineRule="exact"/>
        <w:contextualSpacing/>
        <w:rPr>
          <w:rFonts w:ascii="仿宋_GB2312" w:eastAsia="仿宋_GB2312"/>
          <w:sz w:val="28"/>
          <w:szCs w:val="28"/>
        </w:rPr>
      </w:pPr>
      <w:r>
        <w:rPr>
          <w:rFonts w:hint="eastAsia" w:ascii="仿宋_GB2312" w:eastAsia="仿宋_GB2312"/>
          <w:sz w:val="28"/>
          <w:szCs w:val="28"/>
        </w:rPr>
        <w:t>（采购人）、（采购代理机构）：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现委托          （姓名）为我方代理人（身份证号码：          ，手机：          ），以我方名义处理（项目名称）【招标编号：（采购编号）】政府采购投标的一切事项，其法律后果由我方承担。</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委托期限：自   年 月  日起至  年  月  日止。</w:t>
      </w:r>
    </w:p>
    <w:p>
      <w:pPr>
        <w:spacing w:line="540" w:lineRule="exact"/>
        <w:ind w:firstLine="552"/>
        <w:contextualSpacing/>
        <w:rPr>
          <w:rFonts w:ascii="仿宋_GB2312" w:eastAsia="仿宋_GB2312"/>
          <w:sz w:val="28"/>
          <w:szCs w:val="28"/>
        </w:rPr>
      </w:pPr>
      <w:r>
        <w:rPr>
          <w:rFonts w:hint="eastAsia" w:ascii="仿宋_GB2312" w:eastAsia="仿宋_GB2312"/>
          <w:sz w:val="28"/>
          <w:szCs w:val="28"/>
        </w:rPr>
        <w:t>特此告知。</w:t>
      </w:r>
    </w:p>
    <w:p>
      <w:pPr>
        <w:spacing w:line="540" w:lineRule="exact"/>
        <w:ind w:firstLine="552"/>
        <w:contextualSpacing/>
        <w:rPr>
          <w:rFonts w:ascii="仿宋_GB2312" w:eastAsia="仿宋_GB2312"/>
          <w:sz w:val="28"/>
          <w:szCs w:val="28"/>
        </w:rPr>
      </w:pPr>
    </w:p>
    <w:p>
      <w:pPr>
        <w:spacing w:line="540" w:lineRule="exact"/>
        <w:ind w:firstLine="552"/>
        <w:contextualSpacing/>
        <w:rPr>
          <w:rFonts w:ascii="仿宋_GB2312" w:eastAsia="仿宋_GB2312"/>
          <w:sz w:val="28"/>
          <w:szCs w:val="28"/>
        </w:rPr>
      </w:pPr>
    </w:p>
    <w:p>
      <w:pPr>
        <w:spacing w:line="540" w:lineRule="exact"/>
        <w:contextualSpacing/>
        <w:rPr>
          <w:rFonts w:ascii="仿宋_GB2312" w:eastAsia="仿宋_GB2312"/>
          <w:sz w:val="28"/>
          <w:szCs w:val="28"/>
        </w:rPr>
      </w:pPr>
      <w:r>
        <w:rPr>
          <w:rFonts w:hint="eastAsia" w:ascii="仿宋_GB2312" w:eastAsia="仿宋_GB2312"/>
          <w:sz w:val="28"/>
          <w:szCs w:val="28"/>
        </w:rPr>
        <w:t xml:space="preserve">                                   投标人名称(电子签名)：</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签发日期：  年  月   日</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jc w:val="center"/>
        <w:rPr>
          <w:rFonts w:ascii="仿宋_GB2312" w:eastAsia="仿宋_GB2312"/>
          <w:sz w:val="28"/>
          <w:szCs w:val="28"/>
        </w:rPr>
      </w:pPr>
    </w:p>
    <w:p>
      <w:pPr>
        <w:spacing w:line="540" w:lineRule="exact"/>
        <w:contextualSpacing/>
        <w:jc w:val="center"/>
        <w:rPr>
          <w:rFonts w:ascii="仿宋_GB2312" w:eastAsia="仿宋_GB2312"/>
          <w:sz w:val="28"/>
          <w:szCs w:val="28"/>
        </w:rPr>
      </w:pPr>
    </w:p>
    <w:p>
      <w:pPr>
        <w:spacing w:line="540" w:lineRule="exact"/>
        <w:contextualSpacing/>
        <w:jc w:val="center"/>
        <w:rPr>
          <w:rFonts w:ascii="仿宋_GB2312" w:eastAsia="仿宋_GB2312"/>
          <w:sz w:val="28"/>
          <w:szCs w:val="28"/>
        </w:rPr>
      </w:pPr>
    </w:p>
    <w:p>
      <w:pPr>
        <w:spacing w:line="540" w:lineRule="exact"/>
        <w:contextualSpacing/>
        <w:jc w:val="center"/>
        <w:rPr>
          <w:rFonts w:ascii="仿宋_GB2312" w:eastAsia="仿宋_GB2312"/>
          <w:sz w:val="28"/>
          <w:szCs w:val="28"/>
        </w:rPr>
      </w:pPr>
    </w:p>
    <w:p>
      <w:pPr>
        <w:spacing w:line="540" w:lineRule="exact"/>
        <w:contextualSpacing/>
        <w:jc w:val="center"/>
        <w:rPr>
          <w:rFonts w:ascii="仿宋_GB2312" w:eastAsia="仿宋_GB2312"/>
          <w:sz w:val="28"/>
          <w:szCs w:val="28"/>
        </w:rPr>
      </w:pPr>
    </w:p>
    <w:p>
      <w:pPr>
        <w:spacing w:line="540" w:lineRule="exact"/>
        <w:contextualSpacing/>
        <w:jc w:val="center"/>
        <w:rPr>
          <w:rFonts w:ascii="仿宋_GB2312" w:eastAsia="仿宋_GB2312"/>
          <w:sz w:val="28"/>
          <w:szCs w:val="28"/>
        </w:rPr>
      </w:pPr>
    </w:p>
    <w:p>
      <w:pPr>
        <w:spacing w:line="540" w:lineRule="exact"/>
        <w:contextualSpacing/>
        <w:jc w:val="center"/>
        <w:rPr>
          <w:rFonts w:ascii="仿宋_GB2312" w:eastAsia="仿宋_GB2312"/>
          <w:sz w:val="28"/>
          <w:szCs w:val="28"/>
        </w:rPr>
      </w:pPr>
    </w:p>
    <w:p>
      <w:pPr>
        <w:spacing w:line="540" w:lineRule="exact"/>
        <w:contextualSpacing/>
        <w:jc w:val="center"/>
        <w:rPr>
          <w:rFonts w:ascii="仿宋_GB2312" w:eastAsia="仿宋_GB2312"/>
          <w:sz w:val="28"/>
          <w:szCs w:val="28"/>
        </w:rPr>
      </w:pPr>
    </w:p>
    <w:p>
      <w:pPr>
        <w:spacing w:line="540" w:lineRule="exact"/>
        <w:contextualSpacing/>
        <w:jc w:val="center"/>
        <w:rPr>
          <w:rFonts w:ascii="仿宋_GB2312" w:eastAsia="仿宋_GB2312"/>
          <w:sz w:val="28"/>
          <w:szCs w:val="28"/>
        </w:rPr>
      </w:pPr>
    </w:p>
    <w:p>
      <w:pPr>
        <w:spacing w:line="540" w:lineRule="exact"/>
        <w:contextualSpacing/>
        <w:jc w:val="center"/>
        <w:rPr>
          <w:rFonts w:ascii="仿宋_GB2312" w:eastAsia="仿宋_GB2312"/>
          <w:sz w:val="28"/>
          <w:szCs w:val="28"/>
        </w:rPr>
      </w:pPr>
    </w:p>
    <w:p>
      <w:pPr>
        <w:spacing w:line="540" w:lineRule="exact"/>
        <w:contextualSpacing/>
        <w:jc w:val="center"/>
        <w:rPr>
          <w:rFonts w:ascii="仿宋_GB2312" w:eastAsia="仿宋_GB2312"/>
          <w:sz w:val="28"/>
          <w:szCs w:val="28"/>
        </w:rPr>
      </w:pPr>
    </w:p>
    <w:p>
      <w:pPr>
        <w:spacing w:line="540" w:lineRule="exact"/>
        <w:contextualSpacing/>
        <w:jc w:val="center"/>
        <w:rPr>
          <w:rFonts w:ascii="仿宋_GB2312" w:eastAsia="仿宋_GB2312"/>
          <w:sz w:val="28"/>
          <w:szCs w:val="28"/>
        </w:rPr>
      </w:pPr>
      <w:r>
        <w:rPr>
          <w:rFonts w:hint="eastAsia" w:ascii="仿宋_GB2312" w:eastAsia="仿宋_GB2312"/>
          <w:sz w:val="28"/>
          <w:szCs w:val="28"/>
        </w:rPr>
        <w:t>授权委托书（适用于联合体投标）</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r>
        <w:rPr>
          <w:rFonts w:hint="eastAsia" w:ascii="仿宋_GB2312" w:eastAsia="仿宋_GB2312"/>
          <w:sz w:val="28"/>
          <w:szCs w:val="28"/>
        </w:rPr>
        <w:t>（采购人）、（采购代理机构）：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现委托          （姓名）为我方代理人（身份证号码：          ，手机：          ），以我方名义处理（项目名称）【招标编号：（采购编号）】政府采购投标的一切事项，其法律后果由我方承担。</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委托期限：自   年 月  日起至  年  月  日止。</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特此告知。</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ind w:firstLine="2940" w:firstLineChars="1050"/>
        <w:contextualSpacing/>
        <w:rPr>
          <w:rFonts w:ascii="仿宋_GB2312" w:eastAsia="仿宋_GB2312"/>
          <w:sz w:val="28"/>
          <w:szCs w:val="28"/>
        </w:rPr>
      </w:pPr>
      <w:r>
        <w:rPr>
          <w:rFonts w:hint="eastAsia" w:ascii="仿宋_GB2312" w:eastAsia="仿宋_GB2312"/>
          <w:sz w:val="28"/>
          <w:szCs w:val="28"/>
        </w:rPr>
        <w:t>联合体成员名称(电子签名/公章)：</w:t>
      </w:r>
    </w:p>
    <w:p>
      <w:pPr>
        <w:spacing w:line="540" w:lineRule="exact"/>
        <w:ind w:firstLine="2940" w:firstLineChars="1050"/>
        <w:contextualSpacing/>
        <w:rPr>
          <w:rFonts w:ascii="仿宋_GB2312" w:eastAsia="仿宋_GB2312"/>
          <w:sz w:val="28"/>
          <w:szCs w:val="28"/>
        </w:rPr>
      </w:pPr>
      <w:r>
        <w:rPr>
          <w:rFonts w:hint="eastAsia" w:ascii="仿宋_GB2312" w:eastAsia="仿宋_GB2312"/>
          <w:sz w:val="28"/>
          <w:szCs w:val="28"/>
        </w:rPr>
        <w:t>联合体成员名称(电子签名/公章)：</w:t>
      </w:r>
    </w:p>
    <w:p>
      <w:pPr>
        <w:spacing w:line="540" w:lineRule="exact"/>
        <w:ind w:firstLine="4760" w:firstLineChars="1700"/>
        <w:contextualSpacing/>
        <w:rPr>
          <w:rFonts w:ascii="仿宋_GB2312" w:eastAsia="仿宋_GB2312"/>
          <w:sz w:val="28"/>
          <w:szCs w:val="28"/>
        </w:rPr>
      </w:pPr>
      <w:r>
        <w:rPr>
          <w:rFonts w:hint="eastAsia" w:ascii="仿宋_GB2312" w:eastAsia="仿宋_GB2312"/>
          <w:sz w:val="28"/>
          <w:szCs w:val="28"/>
        </w:rPr>
        <w:t>……</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日期：  年  月   日</w:t>
      </w:r>
    </w:p>
    <w:p>
      <w:pPr>
        <w:spacing w:line="540" w:lineRule="exact"/>
        <w:ind w:firstLine="560" w:firstLineChars="200"/>
        <w:contextualSpacing/>
        <w:rPr>
          <w:rFonts w:ascii="仿宋_GB2312" w:eastAsia="仿宋_GB2312"/>
          <w:sz w:val="28"/>
          <w:szCs w:val="28"/>
        </w:rPr>
      </w:pPr>
    </w:p>
    <w:p>
      <w:pPr>
        <w:spacing w:line="540" w:lineRule="exact"/>
        <w:ind w:firstLine="560" w:firstLineChars="200"/>
        <w:contextualSpacing/>
        <w:rPr>
          <w:rFonts w:ascii="仿宋_GB2312" w:eastAsia="仿宋_GB2312"/>
          <w:sz w:val="28"/>
          <w:szCs w:val="28"/>
        </w:rPr>
      </w:pP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法定代表人、单位负责人或自然人本人的身份证明（适用于法定代表人、单位负责人或者自然人本人代表投标人参加投标）</w:t>
      </w:r>
    </w:p>
    <w:p>
      <w:pPr>
        <w:spacing w:line="540" w:lineRule="exact"/>
        <w:contextualSpacing/>
        <w:rPr>
          <w:rFonts w:ascii="仿宋_GB2312" w:eastAsia="仿宋_GB2312"/>
          <w:sz w:val="28"/>
          <w:szCs w:val="28"/>
        </w:rPr>
      </w:pPr>
      <w:r>
        <w:rPr>
          <w:rFonts w:hint="eastAsia" w:ascii="仿宋_GB2312" w:eastAsia="仿宋_GB2312"/>
          <w:sz w:val="28"/>
          <w:szCs w:val="28"/>
        </w:rPr>
        <w:t>身份证件扫描件：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9207" w:type="dxa"/>
          </w:tcPr>
          <w:p>
            <w:pPr>
              <w:spacing w:line="540" w:lineRule="exact"/>
              <w:contextualSpacing/>
              <w:rPr>
                <w:rFonts w:ascii="仿宋_GB2312" w:eastAsia="仿宋_GB2312"/>
                <w:sz w:val="28"/>
                <w:szCs w:val="28"/>
              </w:rPr>
            </w:pPr>
            <w:r>
              <w:rPr>
                <w:rFonts w:hint="eastAsia" w:ascii="仿宋_GB2312" w:eastAsia="仿宋_GB2312"/>
                <w:sz w:val="28"/>
                <w:szCs w:val="28"/>
              </w:rPr>
              <w:t>正面：                                 反面：</w:t>
            </w:r>
          </w:p>
          <w:p>
            <w:pPr>
              <w:spacing w:line="540" w:lineRule="exact"/>
              <w:contextualSpacing/>
              <w:rPr>
                <w:rFonts w:ascii="仿宋_GB2312" w:eastAsia="仿宋_GB2312"/>
                <w:sz w:val="28"/>
                <w:szCs w:val="28"/>
              </w:rPr>
            </w:pPr>
          </w:p>
        </w:tc>
      </w:tr>
    </w:tbl>
    <w:p>
      <w:pPr>
        <w:spacing w:line="540" w:lineRule="exact"/>
        <w:contextualSpacing/>
        <w:rPr>
          <w:rFonts w:ascii="仿宋_GB2312" w:eastAsia="仿宋_GB2312"/>
          <w:sz w:val="28"/>
          <w:szCs w:val="28"/>
        </w:rPr>
      </w:pPr>
      <w:r>
        <w:rPr>
          <w:rFonts w:hint="eastAsia" w:ascii="仿宋_GB2312" w:eastAsia="仿宋_GB2312"/>
          <w:sz w:val="28"/>
          <w:szCs w:val="28"/>
        </w:rPr>
        <w:t xml:space="preserve">                                   投标人名称(电子签名)：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日期：  年  月  日</w:t>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三、联合协议</w:t>
      </w:r>
    </w:p>
    <w:p>
      <w:pPr>
        <w:spacing w:line="500" w:lineRule="exact"/>
        <w:ind w:firstLine="560" w:firstLineChars="200"/>
        <w:contextualSpacing/>
        <w:rPr>
          <w:rFonts w:ascii="仿宋_GB2312" w:eastAsia="仿宋_GB2312"/>
          <w:sz w:val="28"/>
          <w:szCs w:val="28"/>
        </w:rPr>
      </w:pP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（以联合体形式投标的，提供联合协议；本项目不接受联合体投标或者投标人不以联合体形式投标的，则不需要提供）</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（联合体所有成员名称）自愿组成一个联合体，以一个投标人的身份参加（项目名称）【招标编号：（采购编号）】投标。 </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一、各方一致决定，（某联合体成员名称）为联合体牵头人，代表所有联合体成员负责投标和合同实施阶段的主办、协调工作。</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二、所有联合体成员各方签署授权书，授权书载明的授权代表根据招标文件规定及投标内容而对采购人、采购代理机构所作的任何合法承诺，包括书面澄清及相应等均对联合投标各方产生约束力。</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三、本次联合投标中，分工如下：（联合体其中一方成员名称）承担的工作和义务为：             ；……。</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四、（联合体其中一方成员名称）提供的全部服务由小微企业承接，其合同份额占到合同总金额     %以上；……。（未预留份额专门面向中小企业采购的的采购项目，以及预留份额中的非预留部分采购包，接受联合体投标的，联合体其中一方提供的服物全部由小微企业承接，且其合同份额占到合同总金额 30%以上，对联合体报价给予</w:t>
      </w:r>
      <w:r>
        <w:rPr>
          <w:rFonts w:hint="eastAsia" w:ascii="仿宋_GB2312" w:eastAsia="仿宋_GB2312"/>
          <w:sz w:val="24"/>
          <w:szCs w:val="24"/>
          <w:lang w:val="en-US" w:eastAsia="zh-CN"/>
        </w:rPr>
        <w:t>6</w:t>
      </w:r>
      <w:r>
        <w:rPr>
          <w:rFonts w:hint="eastAsia" w:ascii="仿宋_GB2312" w:eastAsia="仿宋_GB2312"/>
          <w:sz w:val="24"/>
          <w:szCs w:val="24"/>
        </w:rPr>
        <w:t>%的扣除）</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五、如果中标，联合体各成员方共同与采购人签订合同，并就采购合同约定的事项对采购人承担连带责任。</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六、有关本次联合投标的其他事宜：</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1、联合体各方不再单独参加或者与其他供应商另外组成联合体参加同一合同项下的政府采购活动。</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2、联合体中有同类资质的各方按照联合体分工承担相同工作的，按照资质等级较低的供应商确定资质等级。</w:t>
      </w:r>
    </w:p>
    <w:p>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3、本协议提交采购人、采购代理机构后，联合体各方不得以任何形式对上述内容进行修改或撤销。</w:t>
      </w:r>
    </w:p>
    <w:p>
      <w:pPr>
        <w:spacing w:line="440" w:lineRule="exact"/>
        <w:contextualSpacing/>
        <w:rPr>
          <w:rFonts w:ascii="仿宋_GB2312" w:eastAsia="仿宋_GB2312"/>
          <w:sz w:val="24"/>
          <w:szCs w:val="24"/>
        </w:rPr>
      </w:pPr>
      <w:r>
        <w:rPr>
          <w:rFonts w:hint="eastAsia" w:ascii="仿宋_GB2312" w:eastAsia="仿宋_GB2312"/>
          <w:sz w:val="24"/>
          <w:szCs w:val="24"/>
        </w:rPr>
        <w:t>联合体成员名称(电子签名/公章)：</w:t>
      </w:r>
    </w:p>
    <w:p>
      <w:pPr>
        <w:spacing w:line="440" w:lineRule="exact"/>
        <w:contextualSpacing/>
        <w:rPr>
          <w:rFonts w:ascii="仿宋_GB2312" w:eastAsia="仿宋_GB2312"/>
          <w:sz w:val="24"/>
          <w:szCs w:val="24"/>
        </w:rPr>
      </w:pPr>
      <w:r>
        <w:rPr>
          <w:rFonts w:hint="eastAsia" w:ascii="仿宋_GB2312" w:eastAsia="仿宋_GB2312"/>
          <w:sz w:val="24"/>
          <w:szCs w:val="24"/>
        </w:rPr>
        <w:t xml:space="preserve">                                               </w:t>
      </w:r>
    </w:p>
    <w:p>
      <w:pPr>
        <w:spacing w:line="440" w:lineRule="exact"/>
        <w:ind w:firstLine="5400" w:firstLineChars="2250"/>
        <w:contextualSpacing/>
        <w:rPr>
          <w:rFonts w:hint="eastAsia" w:ascii="仿宋_GB2312" w:eastAsia="仿宋_GB2312"/>
          <w:sz w:val="24"/>
          <w:szCs w:val="24"/>
        </w:rPr>
      </w:pPr>
      <w:r>
        <w:rPr>
          <w:rFonts w:hint="eastAsia" w:ascii="仿宋_GB2312" w:eastAsia="仿宋_GB2312"/>
          <w:sz w:val="24"/>
          <w:szCs w:val="24"/>
        </w:rPr>
        <w:t xml:space="preserve">日期：  年  月  </w:t>
      </w:r>
    </w:p>
    <w:p>
      <w:pPr>
        <w:pStyle w:val="2"/>
        <w:rPr>
          <w:rFonts w:hint="eastAsia" w:ascii="仿宋_GB2312" w:eastAsia="仿宋_GB2312"/>
          <w:sz w:val="24"/>
          <w:szCs w:val="24"/>
        </w:rPr>
      </w:pPr>
    </w:p>
    <w:p>
      <w:pPr>
        <w:spacing w:line="540" w:lineRule="exact"/>
        <w:ind w:firstLine="562" w:firstLineChars="200"/>
        <w:contextualSpacing/>
        <w:rPr>
          <w:rFonts w:ascii="仿宋_GB2312" w:eastAsia="仿宋_GB2312"/>
          <w:b/>
          <w:sz w:val="28"/>
          <w:szCs w:val="28"/>
        </w:rPr>
      </w:pPr>
      <w:r>
        <w:rPr>
          <w:rFonts w:hint="eastAsia" w:ascii="仿宋_GB2312" w:eastAsia="仿宋_GB2312"/>
          <w:b/>
          <w:sz w:val="28"/>
          <w:szCs w:val="28"/>
        </w:rPr>
        <w:t>（对于未预留份额专门面向中小企业的政府采购货物或服务项目，以及预留份额政府采购货物或服务项目中的非预留部分，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r>
        <w:rPr>
          <w:rFonts w:hint="eastAsia" w:ascii="仿宋_GB2312" w:eastAsia="仿宋_GB2312"/>
          <w:b/>
          <w:sz w:val="28"/>
          <w:szCs w:val="28"/>
          <w:lang w:eastAsia="zh-CN"/>
        </w:rPr>
        <w:t>。</w:t>
      </w:r>
      <w:r>
        <w:rPr>
          <w:rFonts w:hint="eastAsia" w:ascii="仿宋_GB2312" w:eastAsia="仿宋_GB2312"/>
          <w:b/>
          <w:sz w:val="28"/>
          <w:szCs w:val="28"/>
        </w:rPr>
        <w:t>）</w:t>
      </w:r>
    </w:p>
    <w:p>
      <w:pPr>
        <w:pStyle w:val="3"/>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四、分包意向协议</w:t>
      </w:r>
    </w:p>
    <w:p>
      <w:pPr>
        <w:spacing w:line="540" w:lineRule="exact"/>
        <w:ind w:firstLine="560" w:firstLineChars="200"/>
        <w:contextualSpacing/>
        <w:rPr>
          <w:rFonts w:ascii="仿宋_GB2312" w:eastAsia="仿宋_GB2312"/>
          <w:sz w:val="28"/>
          <w:szCs w:val="28"/>
        </w:rPr>
      </w:pP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（中标后以分包方式履行合同的，提供分包意向协议；采购人不同意分包或者投标人中标后不以分包方式履行合同的，则不需要提供。）</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 xml:space="preserve">（投标人名称）若成为（项目名称）【招标编号：（采购编号）】的中标供应商，将依法采取分包方式履行合同。（投标人名称）与（所有分包供应商名称）达成分包意向协议。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一、分包标的及数量</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（投标人名称）将   XX工作内容   分包给（某分包供应商名称），（某分包供应商名称），具备承担XX工作内容相应资质条件且不得再次分包；</w:t>
      </w:r>
    </w:p>
    <w:p>
      <w:pPr>
        <w:spacing w:line="540" w:lineRule="exact"/>
        <w:contextualSpacing/>
        <w:rPr>
          <w:rFonts w:ascii="仿宋_GB2312" w:eastAsia="仿宋_GB2312"/>
          <w:sz w:val="28"/>
          <w:szCs w:val="28"/>
        </w:rPr>
      </w:pPr>
      <w:r>
        <w:rPr>
          <w:rFonts w:hint="eastAsia" w:ascii="仿宋_GB2312" w:eastAsia="仿宋_GB2312"/>
          <w:sz w:val="28"/>
          <w:szCs w:val="28"/>
        </w:rPr>
        <w:t>……</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二、分包工作履行期限、地点、方式</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三、质量</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四、价款或者报酬</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五、违约责任</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六、争议解决的办法</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七、其他</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（分包供应商名称）提供的货物或服务全部由该中型企业或该小微企业承接，其合同份额为合同总金额的40%。详见申请人资格要求。</w:t>
      </w:r>
    </w:p>
    <w:p>
      <w:pPr>
        <w:spacing w:line="540" w:lineRule="exact"/>
        <w:ind w:firstLine="562" w:firstLineChars="200"/>
        <w:contextualSpacing/>
        <w:rPr>
          <w:rFonts w:ascii="仿宋_GB2312" w:eastAsia="仿宋_GB2312"/>
          <w:b/>
          <w:sz w:val="28"/>
          <w:szCs w:val="28"/>
        </w:rPr>
      </w:pPr>
      <w:r>
        <w:rPr>
          <w:rFonts w:hint="eastAsia" w:ascii="仿宋_GB2312" w:eastAsia="仿宋_GB2312"/>
          <w:b/>
          <w:sz w:val="28"/>
          <w:szCs w:val="28"/>
        </w:rPr>
        <w:t>（对于未预留份额专门面向中小企业的政府采购货物或服务项目，以及预留份额政府采购货物或服务项目中的非预留部分，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540" w:lineRule="exact"/>
        <w:contextualSpacing/>
        <w:rPr>
          <w:rFonts w:ascii="仿宋_GB2312" w:eastAsia="仿宋_GB2312"/>
          <w:b/>
          <w:sz w:val="28"/>
          <w:szCs w:val="28"/>
        </w:rPr>
      </w:pPr>
      <w:r>
        <w:rPr>
          <w:rFonts w:hint="eastAsia" w:ascii="仿宋_GB2312" w:eastAsia="仿宋_GB2312"/>
          <w:b/>
          <w:sz w:val="28"/>
          <w:szCs w:val="28"/>
        </w:rPr>
        <w:t xml:space="preserve">                         </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r>
        <w:rPr>
          <w:rFonts w:hint="eastAsia" w:ascii="仿宋_GB2312" w:eastAsia="仿宋_GB2312"/>
          <w:sz w:val="28"/>
          <w:szCs w:val="28"/>
        </w:rPr>
        <w:t xml:space="preserve">                             投标人名称(电子签名)：</w:t>
      </w:r>
    </w:p>
    <w:p>
      <w:pPr>
        <w:spacing w:line="540" w:lineRule="exact"/>
        <w:ind w:firstLine="4760" w:firstLineChars="1700"/>
        <w:contextualSpacing/>
        <w:rPr>
          <w:rFonts w:ascii="仿宋_GB2312" w:eastAsia="仿宋_GB2312"/>
          <w:sz w:val="28"/>
          <w:szCs w:val="28"/>
        </w:rPr>
      </w:pPr>
      <w:r>
        <w:rPr>
          <w:rFonts w:hint="eastAsia" w:ascii="仿宋_GB2312" w:eastAsia="仿宋_GB2312"/>
          <w:sz w:val="28"/>
          <w:szCs w:val="28"/>
        </w:rPr>
        <w:t>分包供应商名称：</w:t>
      </w:r>
    </w:p>
    <w:p>
      <w:pPr>
        <w:spacing w:line="540" w:lineRule="exact"/>
        <w:ind w:firstLine="6160" w:firstLineChars="2200"/>
        <w:contextualSpacing/>
        <w:rPr>
          <w:rFonts w:ascii="仿宋_GB2312" w:eastAsia="仿宋_GB2312"/>
          <w:sz w:val="28"/>
          <w:szCs w:val="28"/>
        </w:rPr>
      </w:pPr>
      <w:r>
        <w:rPr>
          <w:rFonts w:hint="eastAsia" w:ascii="仿宋_GB2312" w:eastAsia="仿宋_GB2312"/>
          <w:sz w:val="28"/>
          <w:szCs w:val="28"/>
        </w:rPr>
        <w:t>……</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日期：  年  月   日</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五、符合性审查资料</w:t>
      </w: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4991"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实质性要求</w:t>
            </w:r>
          </w:p>
        </w:tc>
        <w:tc>
          <w:tcPr>
            <w:tcW w:w="255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需要提供的符合性审查资料</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1</w:t>
            </w:r>
          </w:p>
        </w:tc>
        <w:tc>
          <w:tcPr>
            <w:tcW w:w="499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投标文件按照招标文件要求签署、盖章。</w:t>
            </w:r>
          </w:p>
        </w:tc>
        <w:tc>
          <w:tcPr>
            <w:tcW w:w="255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需要使用电子签名或者签字盖章的投标文件的组成部分</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2</w:t>
            </w:r>
          </w:p>
        </w:tc>
        <w:tc>
          <w:tcPr>
            <w:tcW w:w="499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节能产品认证证书（本项目拟采购的产品不属于政府强制采购的节能产品品目清单范围的，无需提供）</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3</w:t>
            </w:r>
          </w:p>
        </w:tc>
        <w:tc>
          <w:tcPr>
            <w:tcW w:w="499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投标文件中承诺的投标有效期不少于招标文件中载明的投标有效期。</w:t>
            </w:r>
          </w:p>
        </w:tc>
        <w:tc>
          <w:tcPr>
            <w:tcW w:w="255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投标函</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4</w:t>
            </w:r>
          </w:p>
        </w:tc>
        <w:tc>
          <w:tcPr>
            <w:tcW w:w="499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投标文件满足招标文件的其它实质性要求。</w:t>
            </w:r>
          </w:p>
        </w:tc>
        <w:tc>
          <w:tcPr>
            <w:tcW w:w="2551" w:type="dxa"/>
            <w:vAlign w:val="center"/>
          </w:tcPr>
          <w:p>
            <w:pPr>
              <w:spacing w:line="400" w:lineRule="exact"/>
              <w:contextualSpacing/>
              <w:rPr>
                <w:rFonts w:ascii="仿宋_GB2312" w:eastAsia="仿宋_GB2312"/>
                <w:sz w:val="24"/>
                <w:szCs w:val="24"/>
              </w:rPr>
            </w:pPr>
            <w:r>
              <w:rPr>
                <w:rFonts w:hint="eastAsia" w:ascii="仿宋_GB2312" w:eastAsia="仿宋_GB2312"/>
                <w:sz w:val="24"/>
                <w:szCs w:val="24"/>
              </w:rPr>
              <w:t>招标文件其它实质性要求相应的材料（“▲” 系指实质性要求条款，招标文件无其它实质性要求的，无需提供）</w:t>
            </w:r>
          </w:p>
        </w:tc>
        <w:tc>
          <w:tcPr>
            <w:tcW w:w="1418" w:type="dxa"/>
            <w:vAlign w:val="center"/>
          </w:tcPr>
          <w:p>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bl>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r>
        <w:rPr>
          <w:rFonts w:hint="eastAsia" w:ascii="仿宋_GB2312" w:eastAsia="仿宋_GB2312"/>
          <w:sz w:val="28"/>
          <w:szCs w:val="28"/>
        </w:rPr>
        <w:t xml:space="preserve">            </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jc w:val="center"/>
        <w:rPr>
          <w:rFonts w:ascii="仿宋_GB2312" w:eastAsia="仿宋_GB2312"/>
          <w:sz w:val="28"/>
          <w:szCs w:val="28"/>
        </w:rPr>
      </w:pPr>
      <w:r>
        <w:rPr>
          <w:rFonts w:hint="eastAsia" w:ascii="仿宋_GB2312" w:eastAsia="仿宋_GB2312"/>
          <w:sz w:val="28"/>
          <w:szCs w:val="28"/>
        </w:rPr>
        <w:t>六、拟投入的项目班子格式</w:t>
      </w:r>
    </w:p>
    <w:p>
      <w:pPr>
        <w:spacing w:line="540" w:lineRule="exact"/>
        <w:contextualSpacing/>
        <w:rPr>
          <w:rFonts w:ascii="仿宋_GB2312" w:eastAsia="仿宋_GB2312"/>
          <w:sz w:val="28"/>
          <w:szCs w:val="28"/>
        </w:rPr>
      </w:pPr>
      <w:r>
        <w:rPr>
          <w:rFonts w:hint="eastAsia" w:ascii="仿宋_GB2312" w:eastAsia="仿宋_GB2312"/>
          <w:sz w:val="28"/>
          <w:szCs w:val="28"/>
        </w:rPr>
        <w:t>（格式仅供参考）</w:t>
      </w:r>
    </w:p>
    <w:p>
      <w:pPr>
        <w:spacing w:line="540" w:lineRule="exact"/>
        <w:contextualSpacing/>
        <w:rPr>
          <w:rFonts w:ascii="仿宋_GB2312" w:eastAsia="仿宋_GB2312"/>
          <w:sz w:val="28"/>
          <w:szCs w:val="28"/>
        </w:rPr>
      </w:pPr>
      <w:r>
        <w:rPr>
          <w:rFonts w:hint="eastAsia" w:ascii="仿宋_GB2312" w:eastAsia="仿宋_GB2312"/>
          <w:sz w:val="28"/>
          <w:szCs w:val="28"/>
        </w:rPr>
        <w:t>项目负责人简历表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709"/>
        <w:gridCol w:w="456"/>
        <w:gridCol w:w="1155"/>
        <w:gridCol w:w="686"/>
        <w:gridCol w:w="469"/>
        <w:gridCol w:w="1232"/>
        <w:gridCol w:w="151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pPr>
              <w:spacing w:line="540" w:lineRule="exact"/>
              <w:contextualSpacing/>
              <w:rPr>
                <w:rFonts w:ascii="仿宋_GB2312" w:eastAsia="仿宋_GB2312"/>
                <w:sz w:val="28"/>
                <w:szCs w:val="28"/>
              </w:rPr>
            </w:pPr>
            <w:r>
              <w:rPr>
                <w:rFonts w:hint="eastAsia" w:ascii="仿宋_GB2312" w:eastAsia="仿宋_GB2312"/>
                <w:sz w:val="28"/>
                <w:szCs w:val="28"/>
              </w:rPr>
              <w:t>姓  名</w:t>
            </w:r>
          </w:p>
        </w:tc>
        <w:tc>
          <w:tcPr>
            <w:tcW w:w="1165" w:type="dxa"/>
            <w:gridSpan w:val="2"/>
            <w:shd w:val="clear" w:color="auto" w:fill="auto"/>
            <w:vAlign w:val="center"/>
          </w:tcPr>
          <w:p>
            <w:pPr>
              <w:spacing w:line="540" w:lineRule="exact"/>
              <w:contextualSpacing/>
              <w:rPr>
                <w:rFonts w:ascii="仿宋_GB2312" w:eastAsia="仿宋_GB2312"/>
                <w:sz w:val="28"/>
                <w:szCs w:val="28"/>
              </w:rPr>
            </w:pPr>
          </w:p>
        </w:tc>
        <w:tc>
          <w:tcPr>
            <w:tcW w:w="1155" w:type="dxa"/>
            <w:shd w:val="clear" w:color="auto" w:fill="auto"/>
            <w:vAlign w:val="center"/>
          </w:tcPr>
          <w:p>
            <w:pPr>
              <w:spacing w:line="540" w:lineRule="exact"/>
              <w:contextualSpacing/>
              <w:rPr>
                <w:rFonts w:ascii="仿宋_GB2312" w:eastAsia="仿宋_GB2312"/>
                <w:sz w:val="28"/>
                <w:szCs w:val="28"/>
              </w:rPr>
            </w:pPr>
            <w:r>
              <w:rPr>
                <w:rFonts w:hint="eastAsia" w:ascii="仿宋_GB2312" w:eastAsia="仿宋_GB2312"/>
                <w:sz w:val="28"/>
                <w:szCs w:val="28"/>
              </w:rPr>
              <w:t>年  龄</w:t>
            </w:r>
          </w:p>
        </w:tc>
        <w:tc>
          <w:tcPr>
            <w:tcW w:w="1155" w:type="dxa"/>
            <w:gridSpan w:val="2"/>
            <w:shd w:val="clear" w:color="auto" w:fill="auto"/>
            <w:vAlign w:val="center"/>
          </w:tcPr>
          <w:p>
            <w:pPr>
              <w:spacing w:line="540" w:lineRule="exact"/>
              <w:contextualSpacing/>
              <w:rPr>
                <w:rFonts w:ascii="仿宋_GB2312" w:eastAsia="仿宋_GB2312"/>
                <w:sz w:val="28"/>
                <w:szCs w:val="28"/>
              </w:rPr>
            </w:pPr>
          </w:p>
        </w:tc>
        <w:tc>
          <w:tcPr>
            <w:tcW w:w="2745" w:type="dxa"/>
            <w:gridSpan w:val="2"/>
            <w:shd w:val="clear" w:color="auto" w:fill="auto"/>
            <w:vAlign w:val="center"/>
          </w:tcPr>
          <w:p>
            <w:pPr>
              <w:spacing w:line="540" w:lineRule="exact"/>
              <w:contextualSpacing/>
              <w:rPr>
                <w:rFonts w:ascii="仿宋_GB2312" w:eastAsia="仿宋_GB2312"/>
                <w:sz w:val="28"/>
                <w:szCs w:val="28"/>
              </w:rPr>
            </w:pPr>
            <w:r>
              <w:rPr>
                <w:rFonts w:hint="eastAsia" w:ascii="仿宋_GB2312" w:eastAsia="仿宋_GB2312"/>
                <w:sz w:val="28"/>
                <w:szCs w:val="28"/>
              </w:rPr>
              <w:t>学历</w:t>
            </w:r>
          </w:p>
        </w:tc>
        <w:tc>
          <w:tcPr>
            <w:tcW w:w="1800" w:type="dxa"/>
            <w:shd w:val="clear" w:color="auto" w:fill="auto"/>
            <w:vAlign w:val="center"/>
          </w:tcPr>
          <w:p>
            <w:pPr>
              <w:spacing w:line="540" w:lineRule="exact"/>
              <w:contextualSpacing/>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pPr>
              <w:spacing w:line="540" w:lineRule="exact"/>
              <w:contextualSpacing/>
              <w:rPr>
                <w:rFonts w:ascii="仿宋_GB2312" w:eastAsia="仿宋_GB2312"/>
                <w:sz w:val="28"/>
                <w:szCs w:val="28"/>
              </w:rPr>
            </w:pPr>
            <w:r>
              <w:rPr>
                <w:rFonts w:hint="eastAsia" w:ascii="仿宋_GB2312" w:eastAsia="仿宋_GB2312"/>
                <w:sz w:val="28"/>
                <w:szCs w:val="28"/>
              </w:rPr>
              <w:t>职  称</w:t>
            </w:r>
          </w:p>
        </w:tc>
        <w:tc>
          <w:tcPr>
            <w:tcW w:w="1165" w:type="dxa"/>
            <w:gridSpan w:val="2"/>
            <w:shd w:val="clear" w:color="auto" w:fill="auto"/>
            <w:vAlign w:val="center"/>
          </w:tcPr>
          <w:p>
            <w:pPr>
              <w:spacing w:line="540" w:lineRule="exact"/>
              <w:contextualSpacing/>
              <w:rPr>
                <w:rFonts w:ascii="仿宋_GB2312" w:eastAsia="仿宋_GB2312"/>
                <w:sz w:val="28"/>
                <w:szCs w:val="28"/>
              </w:rPr>
            </w:pPr>
          </w:p>
        </w:tc>
        <w:tc>
          <w:tcPr>
            <w:tcW w:w="1155" w:type="dxa"/>
            <w:shd w:val="clear" w:color="auto" w:fill="auto"/>
            <w:vAlign w:val="center"/>
          </w:tcPr>
          <w:p>
            <w:pPr>
              <w:spacing w:line="540" w:lineRule="exact"/>
              <w:contextualSpacing/>
              <w:rPr>
                <w:rFonts w:ascii="仿宋_GB2312" w:eastAsia="仿宋_GB2312"/>
                <w:sz w:val="28"/>
                <w:szCs w:val="28"/>
              </w:rPr>
            </w:pPr>
            <w:r>
              <w:rPr>
                <w:rFonts w:hint="eastAsia" w:ascii="仿宋_GB2312" w:eastAsia="仿宋_GB2312"/>
                <w:sz w:val="28"/>
                <w:szCs w:val="28"/>
              </w:rPr>
              <w:t>职  务</w:t>
            </w:r>
          </w:p>
        </w:tc>
        <w:tc>
          <w:tcPr>
            <w:tcW w:w="1155" w:type="dxa"/>
            <w:gridSpan w:val="2"/>
            <w:shd w:val="clear" w:color="auto" w:fill="auto"/>
            <w:vAlign w:val="center"/>
          </w:tcPr>
          <w:p>
            <w:pPr>
              <w:spacing w:line="540" w:lineRule="exact"/>
              <w:contextualSpacing/>
              <w:rPr>
                <w:rFonts w:ascii="仿宋_GB2312" w:eastAsia="仿宋_GB2312"/>
                <w:sz w:val="28"/>
                <w:szCs w:val="28"/>
              </w:rPr>
            </w:pPr>
          </w:p>
        </w:tc>
        <w:tc>
          <w:tcPr>
            <w:tcW w:w="2745" w:type="dxa"/>
            <w:gridSpan w:val="2"/>
            <w:shd w:val="clear" w:color="auto" w:fill="auto"/>
            <w:vAlign w:val="center"/>
          </w:tcPr>
          <w:p>
            <w:pPr>
              <w:spacing w:line="540" w:lineRule="exact"/>
              <w:contextualSpacing/>
              <w:rPr>
                <w:rFonts w:ascii="仿宋_GB2312" w:eastAsia="仿宋_GB2312"/>
                <w:sz w:val="28"/>
                <w:szCs w:val="28"/>
              </w:rPr>
            </w:pPr>
            <w:r>
              <w:rPr>
                <w:rFonts w:hint="eastAsia" w:ascii="仿宋_GB2312" w:eastAsia="仿宋_GB2312"/>
                <w:sz w:val="28"/>
                <w:szCs w:val="28"/>
              </w:rPr>
              <w:t>拟在本项目任职</w:t>
            </w:r>
          </w:p>
        </w:tc>
        <w:tc>
          <w:tcPr>
            <w:tcW w:w="1800" w:type="dxa"/>
            <w:shd w:val="clear" w:color="auto" w:fill="auto"/>
            <w:vAlign w:val="center"/>
          </w:tcPr>
          <w:p>
            <w:pPr>
              <w:spacing w:line="540" w:lineRule="exact"/>
              <w:contextualSpacing/>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pPr>
              <w:spacing w:line="540" w:lineRule="exact"/>
              <w:contextualSpacing/>
              <w:rPr>
                <w:rFonts w:ascii="仿宋_GB2312" w:eastAsia="仿宋_GB2312"/>
                <w:sz w:val="28"/>
                <w:szCs w:val="28"/>
              </w:rPr>
            </w:pPr>
            <w:r>
              <w:rPr>
                <w:rFonts w:hint="eastAsia" w:ascii="仿宋_GB2312" w:eastAsia="仿宋_GB2312"/>
                <w:sz w:val="28"/>
                <w:szCs w:val="28"/>
              </w:rPr>
              <w:t>毕业院校</w:t>
            </w:r>
          </w:p>
        </w:tc>
        <w:tc>
          <w:tcPr>
            <w:tcW w:w="8020" w:type="dxa"/>
            <w:gridSpan w:val="8"/>
            <w:shd w:val="clear" w:color="auto" w:fill="auto"/>
            <w:vAlign w:val="center"/>
          </w:tcPr>
          <w:p>
            <w:pPr>
              <w:spacing w:line="540" w:lineRule="exact"/>
              <w:contextualSpacing/>
              <w:rPr>
                <w:rFonts w:ascii="仿宋_GB2312" w:eastAsia="仿宋_GB2312"/>
                <w:sz w:val="28"/>
                <w:szCs w:val="28"/>
              </w:rPr>
            </w:pPr>
            <w:r>
              <w:rPr>
                <w:rFonts w:hint="eastAsia" w:ascii="仿宋_GB2312" w:eastAsia="仿宋_GB2312"/>
                <w:sz w:val="28"/>
                <w:szCs w:val="28"/>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pPr>
              <w:spacing w:line="540" w:lineRule="exact"/>
              <w:contextualSpacing/>
              <w:rPr>
                <w:rFonts w:ascii="仿宋_GB2312" w:eastAsia="仿宋_GB2312"/>
                <w:sz w:val="28"/>
                <w:szCs w:val="28"/>
              </w:rPr>
            </w:pPr>
            <w:r>
              <w:rPr>
                <w:rFonts w:hint="eastAsia" w:ascii="仿宋_GB2312" w:eastAsia="仿宋_GB2312"/>
                <w:sz w:val="28"/>
                <w:szCs w:val="28"/>
              </w:rPr>
              <w:t>主要工作履历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pPr>
              <w:spacing w:line="540" w:lineRule="exact"/>
              <w:contextualSpacing/>
              <w:rPr>
                <w:rFonts w:ascii="仿宋_GB2312" w:eastAsia="仿宋_GB2312"/>
                <w:sz w:val="28"/>
                <w:szCs w:val="28"/>
              </w:rPr>
            </w:pPr>
            <w:r>
              <w:rPr>
                <w:rFonts w:hint="eastAsia" w:ascii="仿宋_GB2312" w:eastAsia="仿宋_GB2312"/>
                <w:sz w:val="28"/>
                <w:szCs w:val="28"/>
              </w:rPr>
              <w:t>时间</w:t>
            </w:r>
          </w:p>
        </w:tc>
        <w:tc>
          <w:tcPr>
            <w:tcW w:w="2297" w:type="dxa"/>
            <w:gridSpan w:val="3"/>
            <w:shd w:val="clear" w:color="auto" w:fill="auto"/>
            <w:vAlign w:val="center"/>
          </w:tcPr>
          <w:p>
            <w:pPr>
              <w:spacing w:line="540" w:lineRule="exact"/>
              <w:contextualSpacing/>
              <w:rPr>
                <w:rFonts w:ascii="仿宋_GB2312" w:eastAsia="仿宋_GB2312"/>
                <w:sz w:val="28"/>
                <w:szCs w:val="28"/>
              </w:rPr>
            </w:pPr>
            <w:r>
              <w:rPr>
                <w:rFonts w:hint="eastAsia" w:ascii="仿宋_GB2312" w:eastAsia="仿宋_GB2312"/>
                <w:sz w:val="28"/>
                <w:szCs w:val="28"/>
              </w:rPr>
              <w:t>参加过类似项目</w:t>
            </w:r>
          </w:p>
        </w:tc>
        <w:tc>
          <w:tcPr>
            <w:tcW w:w="1701" w:type="dxa"/>
            <w:gridSpan w:val="2"/>
            <w:shd w:val="clear" w:color="auto" w:fill="auto"/>
            <w:vAlign w:val="center"/>
          </w:tcPr>
          <w:p>
            <w:pPr>
              <w:spacing w:line="540" w:lineRule="exact"/>
              <w:contextualSpacing/>
              <w:rPr>
                <w:rFonts w:ascii="仿宋_GB2312" w:eastAsia="仿宋_GB2312"/>
                <w:sz w:val="28"/>
                <w:szCs w:val="28"/>
              </w:rPr>
            </w:pPr>
            <w:r>
              <w:rPr>
                <w:rFonts w:hint="eastAsia" w:ascii="仿宋_GB2312" w:eastAsia="仿宋_GB2312"/>
                <w:sz w:val="28"/>
                <w:szCs w:val="28"/>
              </w:rPr>
              <w:t>担任职务</w:t>
            </w:r>
          </w:p>
        </w:tc>
        <w:tc>
          <w:tcPr>
            <w:tcW w:w="3313" w:type="dxa"/>
            <w:gridSpan w:val="2"/>
            <w:shd w:val="clear" w:color="auto" w:fill="auto"/>
            <w:vAlign w:val="center"/>
          </w:tcPr>
          <w:p>
            <w:pPr>
              <w:spacing w:line="540" w:lineRule="exact"/>
              <w:contextualSpacing/>
              <w:rPr>
                <w:rFonts w:ascii="仿宋_GB2312" w:eastAsia="仿宋_GB2312"/>
                <w:sz w:val="28"/>
                <w:szCs w:val="28"/>
              </w:rPr>
            </w:pPr>
            <w:r>
              <w:rPr>
                <w:rFonts w:hint="eastAsia" w:ascii="仿宋_GB2312" w:eastAsia="仿宋_GB2312"/>
                <w:sz w:val="28"/>
                <w:szCs w:val="28"/>
              </w:rPr>
              <w:t>业主及联系电话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pPr>
              <w:spacing w:line="540" w:lineRule="exact"/>
              <w:contextualSpacing/>
              <w:rPr>
                <w:rFonts w:ascii="仿宋_GB2312" w:eastAsia="仿宋_GB2312"/>
                <w:sz w:val="28"/>
                <w:szCs w:val="28"/>
              </w:rPr>
            </w:pPr>
          </w:p>
        </w:tc>
        <w:tc>
          <w:tcPr>
            <w:tcW w:w="2297" w:type="dxa"/>
            <w:gridSpan w:val="3"/>
            <w:shd w:val="clear" w:color="auto" w:fill="auto"/>
            <w:vAlign w:val="center"/>
          </w:tcPr>
          <w:p>
            <w:pPr>
              <w:spacing w:line="540" w:lineRule="exact"/>
              <w:contextualSpacing/>
              <w:rPr>
                <w:rFonts w:ascii="仿宋_GB2312" w:eastAsia="仿宋_GB2312"/>
                <w:sz w:val="28"/>
                <w:szCs w:val="28"/>
              </w:rPr>
            </w:pPr>
          </w:p>
        </w:tc>
        <w:tc>
          <w:tcPr>
            <w:tcW w:w="1701" w:type="dxa"/>
            <w:gridSpan w:val="2"/>
            <w:shd w:val="clear" w:color="auto" w:fill="auto"/>
            <w:vAlign w:val="center"/>
          </w:tcPr>
          <w:p>
            <w:pPr>
              <w:spacing w:line="540" w:lineRule="exact"/>
              <w:contextualSpacing/>
              <w:rPr>
                <w:rFonts w:ascii="仿宋_GB2312" w:eastAsia="仿宋_GB2312"/>
                <w:sz w:val="28"/>
                <w:szCs w:val="28"/>
              </w:rPr>
            </w:pPr>
          </w:p>
        </w:tc>
        <w:tc>
          <w:tcPr>
            <w:tcW w:w="3313" w:type="dxa"/>
            <w:gridSpan w:val="2"/>
            <w:shd w:val="clear" w:color="auto" w:fill="auto"/>
            <w:vAlign w:val="center"/>
          </w:tcPr>
          <w:p>
            <w:pPr>
              <w:spacing w:line="540" w:lineRule="exact"/>
              <w:contextualSpacing/>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pPr>
              <w:spacing w:line="540" w:lineRule="exact"/>
              <w:contextualSpacing/>
              <w:rPr>
                <w:rFonts w:ascii="仿宋_GB2312" w:eastAsia="仿宋_GB2312"/>
                <w:sz w:val="28"/>
                <w:szCs w:val="28"/>
              </w:rPr>
            </w:pPr>
          </w:p>
        </w:tc>
        <w:tc>
          <w:tcPr>
            <w:tcW w:w="2297" w:type="dxa"/>
            <w:gridSpan w:val="3"/>
            <w:shd w:val="clear" w:color="auto" w:fill="auto"/>
            <w:vAlign w:val="center"/>
          </w:tcPr>
          <w:p>
            <w:pPr>
              <w:spacing w:line="540" w:lineRule="exact"/>
              <w:contextualSpacing/>
              <w:rPr>
                <w:rFonts w:ascii="仿宋_GB2312" w:eastAsia="仿宋_GB2312"/>
                <w:sz w:val="28"/>
                <w:szCs w:val="28"/>
              </w:rPr>
            </w:pPr>
          </w:p>
        </w:tc>
        <w:tc>
          <w:tcPr>
            <w:tcW w:w="1701" w:type="dxa"/>
            <w:gridSpan w:val="2"/>
            <w:shd w:val="clear" w:color="auto" w:fill="auto"/>
            <w:vAlign w:val="center"/>
          </w:tcPr>
          <w:p>
            <w:pPr>
              <w:spacing w:line="540" w:lineRule="exact"/>
              <w:contextualSpacing/>
              <w:rPr>
                <w:rFonts w:ascii="仿宋_GB2312" w:eastAsia="仿宋_GB2312"/>
                <w:sz w:val="28"/>
                <w:szCs w:val="28"/>
              </w:rPr>
            </w:pPr>
          </w:p>
        </w:tc>
        <w:tc>
          <w:tcPr>
            <w:tcW w:w="3313" w:type="dxa"/>
            <w:gridSpan w:val="2"/>
            <w:shd w:val="clear" w:color="auto" w:fill="auto"/>
            <w:vAlign w:val="center"/>
          </w:tcPr>
          <w:p>
            <w:pPr>
              <w:spacing w:line="540" w:lineRule="exact"/>
              <w:contextualSpacing/>
              <w:rPr>
                <w:rFonts w:ascii="仿宋_GB2312" w:eastAsia="仿宋_GB2312"/>
                <w:sz w:val="28"/>
                <w:szCs w:val="28"/>
              </w:rPr>
            </w:pPr>
          </w:p>
        </w:tc>
      </w:tr>
    </w:tbl>
    <w:p>
      <w:pPr>
        <w:spacing w:line="540" w:lineRule="exact"/>
        <w:contextualSpacing/>
        <w:rPr>
          <w:rFonts w:ascii="仿宋_GB2312" w:eastAsia="仿宋_GB2312"/>
          <w:sz w:val="28"/>
          <w:szCs w:val="28"/>
        </w:rPr>
      </w:pPr>
      <w:r>
        <w:rPr>
          <w:rFonts w:hint="eastAsia" w:ascii="仿宋_GB2312" w:eastAsia="仿宋_GB2312"/>
          <w:sz w:val="28"/>
          <w:szCs w:val="28"/>
        </w:rPr>
        <w:t>附：执业资格证书、职称证书、学历证书等复印件证明材料</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r>
        <w:rPr>
          <w:rFonts w:hint="eastAsia" w:ascii="仿宋_GB2312" w:eastAsia="仿宋_GB2312"/>
          <w:sz w:val="28"/>
          <w:szCs w:val="28"/>
        </w:rPr>
        <w:t>项目班子一览表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1984"/>
        <w:gridCol w:w="1843"/>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pPr>
              <w:spacing w:line="540" w:lineRule="exact"/>
              <w:contextualSpacing/>
              <w:rPr>
                <w:rFonts w:ascii="仿宋_GB2312" w:eastAsia="仿宋_GB2312"/>
                <w:sz w:val="28"/>
                <w:szCs w:val="28"/>
              </w:rPr>
            </w:pPr>
            <w:r>
              <w:rPr>
                <w:rFonts w:hint="eastAsia" w:ascii="仿宋_GB2312" w:eastAsia="仿宋_GB2312"/>
                <w:sz w:val="28"/>
                <w:szCs w:val="28"/>
              </w:rPr>
              <w:t>姓名</w:t>
            </w:r>
          </w:p>
        </w:tc>
        <w:tc>
          <w:tcPr>
            <w:tcW w:w="1418" w:type="dxa"/>
            <w:shd w:val="clear" w:color="auto" w:fill="auto"/>
            <w:vAlign w:val="center"/>
          </w:tcPr>
          <w:p>
            <w:pPr>
              <w:spacing w:line="540" w:lineRule="exact"/>
              <w:contextualSpacing/>
              <w:rPr>
                <w:rFonts w:ascii="仿宋_GB2312" w:eastAsia="仿宋_GB2312"/>
                <w:sz w:val="28"/>
                <w:szCs w:val="28"/>
              </w:rPr>
            </w:pPr>
            <w:r>
              <w:rPr>
                <w:rFonts w:hint="eastAsia" w:ascii="仿宋_GB2312" w:eastAsia="仿宋_GB2312"/>
                <w:sz w:val="28"/>
                <w:szCs w:val="28"/>
              </w:rPr>
              <w:t>职务</w:t>
            </w:r>
          </w:p>
        </w:tc>
        <w:tc>
          <w:tcPr>
            <w:tcW w:w="1984" w:type="dxa"/>
            <w:shd w:val="clear" w:color="auto" w:fill="auto"/>
            <w:vAlign w:val="center"/>
          </w:tcPr>
          <w:p>
            <w:pPr>
              <w:spacing w:line="540" w:lineRule="exact"/>
              <w:contextualSpacing/>
              <w:rPr>
                <w:rFonts w:ascii="仿宋_GB2312" w:eastAsia="仿宋_GB2312"/>
                <w:sz w:val="28"/>
                <w:szCs w:val="28"/>
              </w:rPr>
            </w:pPr>
            <w:r>
              <w:rPr>
                <w:rFonts w:hint="eastAsia" w:ascii="仿宋_GB2312" w:eastAsia="仿宋_GB2312"/>
                <w:sz w:val="28"/>
                <w:szCs w:val="28"/>
              </w:rPr>
              <w:t>专业技术资格</w:t>
            </w:r>
          </w:p>
        </w:tc>
        <w:tc>
          <w:tcPr>
            <w:tcW w:w="1843" w:type="dxa"/>
            <w:shd w:val="clear" w:color="auto" w:fill="auto"/>
            <w:vAlign w:val="center"/>
          </w:tcPr>
          <w:p>
            <w:pPr>
              <w:spacing w:line="540" w:lineRule="exact"/>
              <w:contextualSpacing/>
              <w:rPr>
                <w:rFonts w:ascii="仿宋_GB2312" w:eastAsia="仿宋_GB2312"/>
                <w:sz w:val="28"/>
                <w:szCs w:val="28"/>
              </w:rPr>
            </w:pPr>
            <w:r>
              <w:rPr>
                <w:rFonts w:hint="eastAsia" w:ascii="仿宋_GB2312" w:eastAsia="仿宋_GB2312"/>
                <w:sz w:val="28"/>
                <w:szCs w:val="28"/>
              </w:rPr>
              <w:t>证书编号</w:t>
            </w:r>
          </w:p>
        </w:tc>
        <w:tc>
          <w:tcPr>
            <w:tcW w:w="2755" w:type="dxa"/>
            <w:shd w:val="clear" w:color="auto" w:fill="auto"/>
            <w:vAlign w:val="center"/>
          </w:tcPr>
          <w:p>
            <w:pPr>
              <w:spacing w:line="540" w:lineRule="exact"/>
              <w:contextualSpacing/>
              <w:rPr>
                <w:rFonts w:ascii="仿宋_GB2312" w:eastAsia="仿宋_GB2312"/>
                <w:sz w:val="28"/>
                <w:szCs w:val="28"/>
              </w:rPr>
            </w:pPr>
            <w:r>
              <w:rPr>
                <w:rFonts w:hint="eastAsia" w:ascii="仿宋_GB2312" w:eastAsia="仿宋_GB2312"/>
                <w:sz w:val="28"/>
                <w:szCs w:val="28"/>
              </w:rPr>
              <w:t>实施经验说明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pPr>
              <w:spacing w:line="540" w:lineRule="exact"/>
              <w:contextualSpacing/>
              <w:rPr>
                <w:rFonts w:ascii="仿宋_GB2312" w:eastAsia="仿宋_GB2312"/>
                <w:sz w:val="28"/>
                <w:szCs w:val="28"/>
              </w:rPr>
            </w:pPr>
          </w:p>
        </w:tc>
        <w:tc>
          <w:tcPr>
            <w:tcW w:w="1418" w:type="dxa"/>
            <w:shd w:val="clear" w:color="auto" w:fill="auto"/>
            <w:vAlign w:val="center"/>
          </w:tcPr>
          <w:p>
            <w:pPr>
              <w:spacing w:line="540" w:lineRule="exact"/>
              <w:contextualSpacing/>
              <w:rPr>
                <w:rFonts w:ascii="仿宋_GB2312" w:eastAsia="仿宋_GB2312"/>
                <w:sz w:val="28"/>
                <w:szCs w:val="28"/>
              </w:rPr>
            </w:pPr>
          </w:p>
        </w:tc>
        <w:tc>
          <w:tcPr>
            <w:tcW w:w="1984" w:type="dxa"/>
            <w:shd w:val="clear" w:color="auto" w:fill="auto"/>
            <w:vAlign w:val="center"/>
          </w:tcPr>
          <w:p>
            <w:pPr>
              <w:spacing w:line="540" w:lineRule="exact"/>
              <w:contextualSpacing/>
              <w:rPr>
                <w:rFonts w:ascii="仿宋_GB2312" w:eastAsia="仿宋_GB2312"/>
                <w:sz w:val="28"/>
                <w:szCs w:val="28"/>
              </w:rPr>
            </w:pPr>
          </w:p>
        </w:tc>
        <w:tc>
          <w:tcPr>
            <w:tcW w:w="1843" w:type="dxa"/>
            <w:shd w:val="clear" w:color="auto" w:fill="auto"/>
            <w:vAlign w:val="center"/>
          </w:tcPr>
          <w:p>
            <w:pPr>
              <w:spacing w:line="540" w:lineRule="exact"/>
              <w:contextualSpacing/>
              <w:rPr>
                <w:rFonts w:ascii="仿宋_GB2312" w:eastAsia="仿宋_GB2312"/>
                <w:sz w:val="28"/>
                <w:szCs w:val="28"/>
              </w:rPr>
            </w:pPr>
          </w:p>
        </w:tc>
        <w:tc>
          <w:tcPr>
            <w:tcW w:w="2755" w:type="dxa"/>
            <w:shd w:val="clear" w:color="auto" w:fill="auto"/>
            <w:vAlign w:val="center"/>
          </w:tcPr>
          <w:p>
            <w:pPr>
              <w:spacing w:line="540" w:lineRule="exact"/>
              <w:contextualSpacing/>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pPr>
              <w:spacing w:line="540" w:lineRule="exact"/>
              <w:contextualSpacing/>
              <w:rPr>
                <w:rFonts w:ascii="仿宋_GB2312" w:eastAsia="仿宋_GB2312"/>
                <w:sz w:val="28"/>
                <w:szCs w:val="28"/>
              </w:rPr>
            </w:pPr>
          </w:p>
        </w:tc>
        <w:tc>
          <w:tcPr>
            <w:tcW w:w="1418" w:type="dxa"/>
            <w:shd w:val="clear" w:color="auto" w:fill="auto"/>
            <w:vAlign w:val="center"/>
          </w:tcPr>
          <w:p>
            <w:pPr>
              <w:spacing w:line="540" w:lineRule="exact"/>
              <w:contextualSpacing/>
              <w:rPr>
                <w:rFonts w:ascii="仿宋_GB2312" w:eastAsia="仿宋_GB2312"/>
                <w:sz w:val="28"/>
                <w:szCs w:val="28"/>
              </w:rPr>
            </w:pPr>
          </w:p>
        </w:tc>
        <w:tc>
          <w:tcPr>
            <w:tcW w:w="1984" w:type="dxa"/>
            <w:shd w:val="clear" w:color="auto" w:fill="auto"/>
            <w:vAlign w:val="center"/>
          </w:tcPr>
          <w:p>
            <w:pPr>
              <w:spacing w:line="540" w:lineRule="exact"/>
              <w:contextualSpacing/>
              <w:rPr>
                <w:rFonts w:ascii="仿宋_GB2312" w:eastAsia="仿宋_GB2312"/>
                <w:sz w:val="28"/>
                <w:szCs w:val="28"/>
              </w:rPr>
            </w:pPr>
          </w:p>
        </w:tc>
        <w:tc>
          <w:tcPr>
            <w:tcW w:w="1843" w:type="dxa"/>
            <w:shd w:val="clear" w:color="auto" w:fill="auto"/>
            <w:vAlign w:val="center"/>
          </w:tcPr>
          <w:p>
            <w:pPr>
              <w:spacing w:line="540" w:lineRule="exact"/>
              <w:contextualSpacing/>
              <w:rPr>
                <w:rFonts w:ascii="仿宋_GB2312" w:eastAsia="仿宋_GB2312"/>
                <w:sz w:val="28"/>
                <w:szCs w:val="28"/>
              </w:rPr>
            </w:pPr>
          </w:p>
        </w:tc>
        <w:tc>
          <w:tcPr>
            <w:tcW w:w="2755" w:type="dxa"/>
            <w:shd w:val="clear" w:color="auto" w:fill="auto"/>
            <w:vAlign w:val="center"/>
          </w:tcPr>
          <w:p>
            <w:pPr>
              <w:spacing w:line="540" w:lineRule="exact"/>
              <w:contextualSpacing/>
              <w:rPr>
                <w:rFonts w:ascii="仿宋_GB2312" w:eastAsia="仿宋_GB2312"/>
                <w:sz w:val="28"/>
                <w:szCs w:val="28"/>
              </w:rPr>
            </w:pPr>
          </w:p>
        </w:tc>
      </w:tr>
    </w:tbl>
    <w:p>
      <w:pPr>
        <w:spacing w:line="540" w:lineRule="exact"/>
        <w:contextualSpacing/>
        <w:rPr>
          <w:rFonts w:ascii="仿宋_GB2312" w:eastAsia="仿宋_GB2312"/>
          <w:sz w:val="28"/>
          <w:szCs w:val="28"/>
        </w:rPr>
      </w:pPr>
      <w:r>
        <w:rPr>
          <w:rFonts w:hint="eastAsia" w:ascii="仿宋_GB2312" w:eastAsia="仿宋_GB2312"/>
          <w:sz w:val="28"/>
          <w:szCs w:val="28"/>
        </w:rPr>
        <w:t>附：相关人员的专业技术资格证书复印件证明材料</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ind w:firstLine="5180" w:firstLineChars="1850"/>
        <w:contextualSpacing/>
        <w:rPr>
          <w:rFonts w:ascii="仿宋_GB2312" w:eastAsia="仿宋_GB2312"/>
          <w:sz w:val="28"/>
          <w:szCs w:val="28"/>
        </w:rPr>
      </w:pPr>
      <w:r>
        <w:rPr>
          <w:rFonts w:hint="eastAsia" w:ascii="仿宋_GB2312" w:eastAsia="仿宋_GB2312"/>
          <w:sz w:val="28"/>
          <w:szCs w:val="28"/>
        </w:rPr>
        <w:t xml:space="preserve">投标人盖章：            </w:t>
      </w:r>
    </w:p>
    <w:p>
      <w:pPr>
        <w:spacing w:line="540" w:lineRule="exact"/>
        <w:ind w:firstLine="5180" w:firstLineChars="1850"/>
        <w:contextualSpacing/>
        <w:rPr>
          <w:rFonts w:ascii="仿宋_GB2312" w:eastAsia="仿宋_GB2312"/>
          <w:sz w:val="28"/>
          <w:szCs w:val="28"/>
        </w:rPr>
      </w:pPr>
      <w:r>
        <w:rPr>
          <w:rFonts w:hint="eastAsia" w:ascii="仿宋_GB2312" w:eastAsia="仿宋_GB2312"/>
          <w:sz w:val="28"/>
          <w:szCs w:val="28"/>
        </w:rPr>
        <w:t xml:space="preserve">日      期：            </w:t>
      </w:r>
    </w:p>
    <w:p>
      <w:pPr>
        <w:spacing w:line="540" w:lineRule="exact"/>
        <w:contextualSpacing/>
        <w:rPr>
          <w:rFonts w:ascii="仿宋_GB2312" w:eastAsia="仿宋_GB2312"/>
          <w:sz w:val="28"/>
          <w:szCs w:val="28"/>
        </w:rPr>
      </w:pP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七、评标标准相应的商务技术资料</w:t>
      </w:r>
    </w:p>
    <w:p>
      <w:pPr>
        <w:spacing w:line="540" w:lineRule="exact"/>
        <w:contextualSpacing/>
        <w:rPr>
          <w:rFonts w:ascii="仿宋_GB2312" w:eastAsia="仿宋_GB2312"/>
          <w:sz w:val="28"/>
          <w:szCs w:val="28"/>
        </w:rPr>
      </w:pPr>
      <w:r>
        <w:rPr>
          <w:rFonts w:hint="eastAsia" w:ascii="仿宋_GB2312" w:eastAsia="仿宋_GB2312"/>
          <w:sz w:val="28"/>
          <w:szCs w:val="28"/>
        </w:rPr>
        <w:t>（按招标文件第四部分评标办法前附表中“投标文件中评标标准相应的商务技术资料目录”提供资料）</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八、政府采购供应商廉洁自律承诺书</w:t>
      </w:r>
    </w:p>
    <w:p>
      <w:pPr>
        <w:spacing w:line="540" w:lineRule="exact"/>
        <w:contextualSpacing/>
        <w:rPr>
          <w:rFonts w:ascii="仿宋_GB2312" w:eastAsia="仿宋_GB2312"/>
          <w:sz w:val="28"/>
          <w:szCs w:val="28"/>
        </w:rPr>
      </w:pPr>
    </w:p>
    <w:p>
      <w:pPr>
        <w:spacing w:line="500" w:lineRule="exact"/>
        <w:contextualSpacing/>
        <w:rPr>
          <w:rFonts w:ascii="仿宋_GB2312" w:eastAsia="仿宋_GB2312"/>
          <w:sz w:val="28"/>
          <w:szCs w:val="28"/>
        </w:rPr>
      </w:pPr>
      <w:r>
        <w:rPr>
          <w:rFonts w:hint="eastAsia" w:ascii="仿宋_GB2312" w:eastAsia="仿宋_GB2312"/>
          <w:sz w:val="28"/>
          <w:szCs w:val="28"/>
        </w:rPr>
        <w:t>（采购人）、（采购代理机构）：</w:t>
      </w:r>
    </w:p>
    <w:p>
      <w:pPr>
        <w:spacing w:line="500" w:lineRule="exact"/>
        <w:ind w:firstLine="560" w:firstLineChars="200"/>
        <w:contextualSpacing/>
        <w:rPr>
          <w:rFonts w:ascii="仿宋_GB2312" w:eastAsia="仿宋_GB2312"/>
          <w:sz w:val="28"/>
          <w:szCs w:val="28"/>
        </w:rPr>
      </w:pPr>
      <w:r>
        <w:rPr>
          <w:rFonts w:hint="eastAsia" w:ascii="仿宋_GB2312" w:eastAsia="仿宋_GB2312"/>
          <w:sz w:val="28"/>
          <w:szCs w:val="28"/>
        </w:rPr>
        <w:t>我单位响应你单位项目招标要求参加投标。在这次投标过程中和中标后，我们将严格遵守国家法律法规要求，并郑重承诺：</w:t>
      </w:r>
    </w:p>
    <w:p>
      <w:pPr>
        <w:spacing w:line="500" w:lineRule="exact"/>
        <w:ind w:firstLine="560" w:firstLineChars="200"/>
        <w:contextualSpacing/>
        <w:rPr>
          <w:rFonts w:ascii="仿宋_GB2312" w:eastAsia="仿宋_GB2312"/>
          <w:sz w:val="28"/>
          <w:szCs w:val="28"/>
        </w:rPr>
      </w:pPr>
      <w:r>
        <w:rPr>
          <w:rFonts w:hint="eastAsia" w:ascii="仿宋_GB2312" w:eastAsia="仿宋_GB2312"/>
          <w:sz w:val="28"/>
          <w:szCs w:val="28"/>
        </w:rPr>
        <w:t xml:space="preserve">一、不向项目有关人员及部门赠送礼金礼物、有价证券、回扣以及中介费、介绍费、咨询费等好处费； </w:t>
      </w:r>
    </w:p>
    <w:p>
      <w:pPr>
        <w:spacing w:line="500" w:lineRule="exact"/>
        <w:ind w:firstLine="560" w:firstLineChars="200"/>
        <w:contextualSpacing/>
        <w:rPr>
          <w:rFonts w:ascii="仿宋_GB2312" w:eastAsia="仿宋_GB2312"/>
          <w:sz w:val="28"/>
          <w:szCs w:val="28"/>
        </w:rPr>
      </w:pPr>
      <w:r>
        <w:rPr>
          <w:rFonts w:hint="eastAsia" w:ascii="仿宋_GB2312" w:eastAsia="仿宋_GB2312"/>
          <w:sz w:val="28"/>
          <w:szCs w:val="28"/>
        </w:rPr>
        <w:t xml:space="preserve">二、不为项目有关人员及部门报销应由你方单位或个人支付的费用； </w:t>
      </w:r>
    </w:p>
    <w:p>
      <w:pPr>
        <w:spacing w:line="500" w:lineRule="exact"/>
        <w:ind w:firstLine="560" w:firstLineChars="200"/>
        <w:contextualSpacing/>
        <w:rPr>
          <w:rFonts w:ascii="仿宋_GB2312" w:eastAsia="仿宋_GB2312"/>
          <w:sz w:val="28"/>
          <w:szCs w:val="28"/>
        </w:rPr>
      </w:pPr>
      <w:r>
        <w:rPr>
          <w:rFonts w:hint="eastAsia" w:ascii="仿宋_GB2312" w:eastAsia="仿宋_GB2312"/>
          <w:sz w:val="28"/>
          <w:szCs w:val="28"/>
        </w:rPr>
        <w:t xml:space="preserve">三、不向项目有关人员及部门提供有可能影响公正的宴请和健身娱乐等活动； </w:t>
      </w:r>
    </w:p>
    <w:p>
      <w:pPr>
        <w:spacing w:line="500" w:lineRule="exact"/>
        <w:ind w:firstLine="560" w:firstLineChars="200"/>
        <w:contextualSpacing/>
        <w:rPr>
          <w:rFonts w:ascii="仿宋_GB2312" w:eastAsia="仿宋_GB2312"/>
          <w:sz w:val="28"/>
          <w:szCs w:val="28"/>
        </w:rPr>
      </w:pPr>
      <w:r>
        <w:rPr>
          <w:rFonts w:hint="eastAsia" w:ascii="仿宋_GB2312" w:eastAsia="仿宋_GB2312"/>
          <w:sz w:val="28"/>
          <w:szCs w:val="28"/>
        </w:rPr>
        <w:t>四、不为项目有关人员及部门出国（境）、旅游等提供方便；</w:t>
      </w:r>
    </w:p>
    <w:p>
      <w:pPr>
        <w:spacing w:line="500" w:lineRule="exact"/>
        <w:ind w:firstLine="560" w:firstLineChars="200"/>
        <w:contextualSpacing/>
        <w:rPr>
          <w:rFonts w:ascii="仿宋_GB2312" w:eastAsia="仿宋_GB2312"/>
          <w:sz w:val="28"/>
          <w:szCs w:val="28"/>
        </w:rPr>
      </w:pPr>
      <w:r>
        <w:rPr>
          <w:rFonts w:hint="eastAsia" w:ascii="仿宋_GB2312" w:eastAsia="仿宋_GB2312"/>
          <w:sz w:val="28"/>
          <w:szCs w:val="28"/>
        </w:rPr>
        <w:t>五、不为项目有关人员个人装修住房、婚丧嫁娶、配偶子女工作安排等提供好处；</w:t>
      </w:r>
    </w:p>
    <w:p>
      <w:pPr>
        <w:spacing w:line="500" w:lineRule="exact"/>
        <w:ind w:firstLine="700" w:firstLineChars="250"/>
        <w:contextualSpacing/>
        <w:rPr>
          <w:rFonts w:ascii="仿宋_GB2312" w:eastAsia="仿宋_GB2312"/>
          <w:sz w:val="28"/>
          <w:szCs w:val="28"/>
        </w:rPr>
      </w:pPr>
      <w:r>
        <w:rPr>
          <w:rFonts w:hint="eastAsia" w:ascii="仿宋_GB2312" w:eastAsia="仿宋_GB2312"/>
          <w:sz w:val="28"/>
          <w:szCs w:val="28"/>
        </w:rPr>
        <w:t xml:space="preserve">六、严格遵守《中华人民共和国政府采购法》《中华人民共和国招标投标法》《中华人民共和国民法典》等法律法规，诚实守信，合法经营，坚决抵制各种违法违纪行为。 </w:t>
      </w:r>
    </w:p>
    <w:p>
      <w:pPr>
        <w:spacing w:line="500" w:lineRule="exact"/>
        <w:ind w:firstLine="560" w:firstLineChars="200"/>
        <w:contextualSpacing/>
        <w:rPr>
          <w:rFonts w:ascii="仿宋_GB2312" w:eastAsia="仿宋_GB2312"/>
          <w:sz w:val="28"/>
          <w:szCs w:val="28"/>
        </w:rPr>
      </w:pPr>
      <w:r>
        <w:rPr>
          <w:rFonts w:hint="eastAsia" w:ascii="仿宋_GB2312" w:eastAsia="仿宋_GB2312"/>
          <w:sz w:val="28"/>
          <w:szCs w:val="28"/>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spacing w:line="500" w:lineRule="exact"/>
        <w:contextualSpacing/>
        <w:rPr>
          <w:rFonts w:ascii="仿宋_GB2312" w:eastAsia="仿宋_GB2312"/>
          <w:sz w:val="28"/>
          <w:szCs w:val="28"/>
        </w:rPr>
      </w:pPr>
    </w:p>
    <w:p>
      <w:pPr>
        <w:spacing w:line="500" w:lineRule="exact"/>
        <w:ind w:firstLine="5320" w:firstLineChars="1900"/>
        <w:contextualSpacing/>
        <w:rPr>
          <w:rFonts w:ascii="仿宋_GB2312" w:eastAsia="仿宋_GB2312"/>
          <w:sz w:val="28"/>
          <w:szCs w:val="28"/>
        </w:rPr>
      </w:pPr>
      <w:r>
        <w:rPr>
          <w:rFonts w:hint="eastAsia" w:ascii="仿宋_GB2312" w:eastAsia="仿宋_GB2312"/>
          <w:sz w:val="28"/>
          <w:szCs w:val="28"/>
        </w:rPr>
        <w:t xml:space="preserve">投标人名称（电子签名）：                                                                                                                                                                                                               </w:t>
      </w:r>
    </w:p>
    <w:p>
      <w:pPr>
        <w:spacing w:line="500" w:lineRule="exact"/>
        <w:ind w:firstLine="5460" w:firstLineChars="1950"/>
        <w:contextualSpacing/>
        <w:rPr>
          <w:rFonts w:ascii="仿宋_GB2312" w:eastAsia="仿宋_GB2312"/>
          <w:sz w:val="28"/>
          <w:szCs w:val="28"/>
        </w:rPr>
      </w:pPr>
      <w:r>
        <w:rPr>
          <w:rFonts w:hint="eastAsia" w:ascii="仿宋_GB2312" w:eastAsia="仿宋_GB2312"/>
          <w:sz w:val="28"/>
          <w:szCs w:val="28"/>
        </w:rPr>
        <w:t>日期：   年   月   日</w:t>
      </w:r>
    </w:p>
    <w:p>
      <w:pPr>
        <w:spacing w:line="540" w:lineRule="exact"/>
        <w:contextualSpacing/>
        <w:rPr>
          <w:rFonts w:ascii="仿宋_GB2312" w:eastAsia="仿宋_GB2312"/>
          <w:sz w:val="28"/>
          <w:szCs w:val="28"/>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spacing w:line="540" w:lineRule="exact"/>
        <w:contextualSpacing/>
        <w:jc w:val="center"/>
        <w:rPr>
          <w:rFonts w:ascii="仿宋_GB2312" w:eastAsia="仿宋_GB2312"/>
          <w:b/>
          <w:sz w:val="32"/>
          <w:szCs w:val="32"/>
        </w:rPr>
      </w:pPr>
      <w:r>
        <w:rPr>
          <w:rFonts w:hint="eastAsia" w:ascii="仿宋_GB2312" w:eastAsia="仿宋_GB2312"/>
          <w:b/>
          <w:sz w:val="32"/>
          <w:szCs w:val="32"/>
        </w:rPr>
        <w:t>报价文件部分</w:t>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目录</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4"/>
          <w:szCs w:val="24"/>
        </w:rPr>
      </w:pPr>
      <w:r>
        <w:rPr>
          <w:rFonts w:hint="eastAsia" w:ascii="仿宋_GB2312" w:eastAsia="仿宋_GB2312"/>
          <w:sz w:val="24"/>
          <w:szCs w:val="24"/>
        </w:rPr>
        <w:t>（1）开标一览表（报价表）………………………………………………………（页码）</w:t>
      </w:r>
    </w:p>
    <w:p>
      <w:pPr>
        <w:spacing w:line="540" w:lineRule="exact"/>
        <w:contextualSpacing/>
        <w:rPr>
          <w:rFonts w:ascii="仿宋_GB2312" w:eastAsia="仿宋_GB2312"/>
          <w:sz w:val="24"/>
          <w:szCs w:val="24"/>
        </w:rPr>
      </w:pPr>
      <w:r>
        <w:rPr>
          <w:rFonts w:hint="eastAsia" w:ascii="仿宋_GB2312" w:eastAsia="仿宋_GB2312"/>
          <w:sz w:val="24"/>
          <w:szCs w:val="24"/>
        </w:rPr>
        <w:t>（2）中小企业声明函………………………………………………………………（页码）</w:t>
      </w:r>
    </w:p>
    <w:p>
      <w:pPr>
        <w:spacing w:line="540" w:lineRule="exact"/>
        <w:contextualSpacing/>
        <w:rPr>
          <w:rFonts w:ascii="仿宋_GB2312" w:eastAsia="仿宋_GB2312"/>
          <w:sz w:val="24"/>
          <w:szCs w:val="24"/>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一、开标一览表（报价表）</w:t>
      </w:r>
    </w:p>
    <w:p>
      <w:pPr>
        <w:spacing w:line="540" w:lineRule="exact"/>
        <w:contextualSpacing/>
        <w:rPr>
          <w:rFonts w:ascii="仿宋_GB2312" w:eastAsia="仿宋_GB2312"/>
          <w:sz w:val="28"/>
          <w:szCs w:val="28"/>
        </w:rPr>
      </w:pPr>
      <w:r>
        <w:rPr>
          <w:rFonts w:hint="eastAsia" w:ascii="仿宋_GB2312" w:eastAsia="仿宋_GB2312"/>
          <w:sz w:val="28"/>
          <w:szCs w:val="28"/>
        </w:rPr>
        <w:t>（采购人）、（采购代理机构）：</w:t>
      </w:r>
    </w:p>
    <w:p>
      <w:pPr>
        <w:spacing w:line="540" w:lineRule="exact"/>
        <w:contextualSpacing/>
        <w:rPr>
          <w:rFonts w:ascii="仿宋_GB2312" w:eastAsia="仿宋_GB2312"/>
          <w:sz w:val="28"/>
          <w:szCs w:val="28"/>
        </w:rPr>
      </w:pPr>
      <w:r>
        <w:rPr>
          <w:rFonts w:hint="eastAsia" w:ascii="仿宋_GB2312" w:eastAsia="仿宋_GB2312"/>
          <w:sz w:val="28"/>
          <w:szCs w:val="28"/>
        </w:rPr>
        <w:t>按你方招标文件要求，我们，本投标文件签字方，谨此向你方发出要约如下：如你方接受本投标，我方承诺按照如下开标一览表（报价表）的价格完成（项目名称）【招标编号：（采购编号）】的实施。</w:t>
      </w:r>
    </w:p>
    <w:p>
      <w:pPr>
        <w:spacing w:line="540" w:lineRule="exact"/>
        <w:contextualSpacing/>
        <w:jc w:val="center"/>
        <w:rPr>
          <w:rFonts w:ascii="仿宋_GB2312" w:eastAsia="仿宋_GB2312"/>
          <w:sz w:val="28"/>
          <w:szCs w:val="28"/>
        </w:rPr>
      </w:pPr>
      <w:r>
        <w:rPr>
          <w:rFonts w:hint="eastAsia" w:ascii="仿宋_GB2312" w:eastAsia="仿宋_GB2312"/>
          <w:sz w:val="28"/>
          <w:szCs w:val="28"/>
        </w:rPr>
        <w:t>开标一览表（报价表）</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4"/>
        <w:gridCol w:w="4678"/>
        <w:gridCol w:w="23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1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仿宋_GB2312" w:hAnsi="宋体" w:eastAsia="仿宋_GB2312"/>
                <w:b/>
                <w:sz w:val="24"/>
                <w:szCs w:val="24"/>
              </w:rPr>
            </w:pPr>
            <w:r>
              <w:rPr>
                <w:rFonts w:hint="eastAsia" w:ascii="仿宋_GB2312" w:hAnsi="宋体" w:eastAsia="仿宋_GB2312"/>
                <w:b/>
                <w:sz w:val="24"/>
                <w:szCs w:val="24"/>
              </w:rPr>
              <w:t>序号</w:t>
            </w:r>
          </w:p>
        </w:tc>
        <w:tc>
          <w:tcPr>
            <w:tcW w:w="467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仿宋_GB2312" w:hAnsi="宋体" w:eastAsia="仿宋_GB2312"/>
                <w:b/>
                <w:sz w:val="24"/>
                <w:szCs w:val="24"/>
              </w:rPr>
            </w:pPr>
            <w:r>
              <w:rPr>
                <w:rFonts w:hint="eastAsia" w:ascii="仿宋_GB2312" w:hAnsi="宋体" w:eastAsia="仿宋_GB2312"/>
                <w:b/>
                <w:sz w:val="24"/>
                <w:szCs w:val="24"/>
              </w:rPr>
              <w:t>报价</w:t>
            </w:r>
            <w:r>
              <w:rPr>
                <w:rFonts w:hint="eastAsia" w:ascii="仿宋_GB2312" w:hAnsi="宋体" w:eastAsia="仿宋_GB2312"/>
                <w:b/>
                <w:sz w:val="24"/>
                <w:szCs w:val="24"/>
                <w:lang w:eastAsia="zh-CN"/>
              </w:rPr>
              <w:t>折扣</w:t>
            </w:r>
            <w:r>
              <w:rPr>
                <w:rFonts w:hint="eastAsia" w:ascii="仿宋_GB2312" w:hAnsi="宋体" w:eastAsia="仿宋_GB2312"/>
                <w:b/>
                <w:sz w:val="24"/>
                <w:szCs w:val="24"/>
              </w:rPr>
              <w:t>率</w:t>
            </w:r>
          </w:p>
        </w:tc>
        <w:tc>
          <w:tcPr>
            <w:tcW w:w="233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仿宋_GB2312" w:hAnsi="宋体" w:eastAsia="仿宋_GB2312"/>
                <w:b/>
                <w:sz w:val="24"/>
                <w:szCs w:val="24"/>
              </w:rPr>
            </w:pPr>
            <w:r>
              <w:rPr>
                <w:rFonts w:hint="eastAsia" w:ascii="仿宋_GB2312" w:hAnsi="宋体" w:eastAsia="仿宋_GB2312"/>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1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bCs/>
                <w:sz w:val="24"/>
                <w:szCs w:val="24"/>
              </w:rPr>
            </w:pPr>
            <w:r>
              <w:rPr>
                <w:rFonts w:hint="eastAsia" w:ascii="仿宋_GB2312" w:hAnsi="宋体" w:eastAsia="仿宋_GB2312"/>
                <w:bCs/>
                <w:sz w:val="24"/>
                <w:szCs w:val="24"/>
              </w:rPr>
              <w:t>1</w:t>
            </w:r>
          </w:p>
        </w:tc>
        <w:tc>
          <w:tcPr>
            <w:tcW w:w="467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bCs/>
                <w:sz w:val="24"/>
                <w:szCs w:val="24"/>
              </w:rPr>
            </w:pPr>
            <w:r>
              <w:rPr>
                <w:rFonts w:hint="eastAsia" w:ascii="仿宋_GB2312" w:hAnsi="宋体" w:eastAsia="仿宋_GB2312"/>
                <w:bCs/>
                <w:sz w:val="24"/>
                <w:szCs w:val="24"/>
                <w:u w:val="single"/>
              </w:rPr>
              <w:t xml:space="preserve">        </w:t>
            </w:r>
            <w:r>
              <w:rPr>
                <w:rFonts w:hint="eastAsia" w:ascii="仿宋_GB2312" w:hAnsi="宋体" w:eastAsia="仿宋_GB2312"/>
                <w:bCs/>
                <w:sz w:val="24"/>
                <w:szCs w:val="24"/>
              </w:rPr>
              <w:t>%</w:t>
            </w:r>
          </w:p>
        </w:tc>
        <w:tc>
          <w:tcPr>
            <w:tcW w:w="2339"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宋体" w:eastAsia="仿宋_GB2312"/>
                <w:b/>
                <w:bCs/>
                <w:sz w:val="24"/>
                <w:szCs w:val="24"/>
              </w:rPr>
            </w:pPr>
          </w:p>
        </w:tc>
      </w:tr>
    </w:tbl>
    <w:p>
      <w:pPr>
        <w:spacing w:line="540" w:lineRule="exact"/>
        <w:contextualSpacing/>
        <w:rPr>
          <w:rFonts w:ascii="仿宋_GB2312" w:eastAsia="仿宋_GB2312"/>
          <w:sz w:val="28"/>
          <w:szCs w:val="28"/>
        </w:rPr>
      </w:pPr>
      <w:r>
        <w:rPr>
          <w:rFonts w:hint="eastAsia" w:ascii="仿宋_GB2312" w:eastAsia="仿宋_GB2312"/>
          <w:sz w:val="28"/>
          <w:szCs w:val="28"/>
        </w:rPr>
        <w:t>注：</w:t>
      </w:r>
    </w:p>
    <w:p>
      <w:pPr>
        <w:spacing w:line="540" w:lineRule="exact"/>
        <w:contextualSpacing/>
        <w:rPr>
          <w:rFonts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1、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spacing w:line="540" w:lineRule="exact"/>
        <w:contextualSpacing/>
        <w:rPr>
          <w:rFonts w:ascii="仿宋_GB2312" w:eastAsia="仿宋_GB2312"/>
          <w:sz w:val="28"/>
          <w:szCs w:val="28"/>
        </w:rPr>
      </w:pPr>
      <w:r>
        <w:rPr>
          <w:rFonts w:hint="eastAsia" w:ascii="仿宋_GB2312" w:eastAsia="仿宋_GB2312"/>
          <w:sz w:val="28"/>
          <w:szCs w:val="28"/>
        </w:rPr>
        <w:t>2、特别提示：采购代理机构将对项目名称和项目编号，中标供应商名称、地址和中标金额，主要中标标的的名称、规格型号、数量、单价、服务要求等予以公示。</w:t>
      </w:r>
    </w:p>
    <w:p>
      <w:pPr>
        <w:spacing w:line="540" w:lineRule="exact"/>
        <w:contextualSpacing/>
        <w:rPr>
          <w:rFonts w:ascii="仿宋_GB2312" w:eastAsia="仿宋_GB2312"/>
          <w:sz w:val="28"/>
          <w:szCs w:val="28"/>
        </w:rPr>
      </w:pPr>
      <w:r>
        <w:rPr>
          <w:rFonts w:hint="eastAsia" w:ascii="仿宋_GB2312" w:eastAsia="仿宋_GB2312"/>
          <w:sz w:val="28"/>
          <w:szCs w:val="28"/>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540" w:lineRule="exact"/>
        <w:contextualSpacing/>
        <w:rPr>
          <w:rFonts w:ascii="仿宋_GB2312" w:eastAsia="仿宋_GB2312"/>
          <w:sz w:val="28"/>
          <w:szCs w:val="28"/>
        </w:rPr>
      </w:pPr>
      <w:r>
        <w:rPr>
          <w:rFonts w:hint="eastAsia" w:ascii="仿宋_GB2312" w:eastAsia="仿宋_GB2312"/>
          <w:sz w:val="28"/>
          <w:szCs w:val="28"/>
        </w:rPr>
        <w:t>4、投标报价一经涂改，应在涂改处加盖单位公章或投标人代表签字（或盖章），否则其投标作无效标处理。</w:t>
      </w:r>
    </w:p>
    <w:p>
      <w:pPr>
        <w:spacing w:line="540" w:lineRule="exact"/>
        <w:contextualSpacing/>
        <w:rPr>
          <w:rFonts w:hint="eastAsia" w:ascii="仿宋_GB2312" w:eastAsia="仿宋_GB2312"/>
          <w:sz w:val="28"/>
          <w:szCs w:val="28"/>
        </w:rPr>
      </w:pPr>
      <w:r>
        <w:rPr>
          <w:rFonts w:hint="eastAsia" w:ascii="仿宋_GB2312" w:eastAsia="仿宋_GB2312"/>
          <w:sz w:val="28"/>
          <w:szCs w:val="28"/>
        </w:rPr>
        <w:t>5、投标人应根据招标文件的规定和投标人自身实际情况进行优惠报价。</w:t>
      </w:r>
    </w:p>
    <w:p>
      <w:pPr>
        <w:spacing w:line="540" w:lineRule="exact"/>
        <w:contextualSpacing/>
        <w:rPr>
          <w:rFonts w:hint="eastAsia" w:ascii="仿宋_GB2312" w:eastAsia="仿宋_GB2312"/>
          <w:color w:val="FF0000"/>
          <w:sz w:val="28"/>
          <w:szCs w:val="28"/>
          <w:lang w:val="en-US" w:eastAsia="zh-CN"/>
        </w:rPr>
      </w:pPr>
      <w:r>
        <w:rPr>
          <w:rFonts w:hint="eastAsia" w:ascii="仿宋_GB2312" w:eastAsia="仿宋_GB2312"/>
          <w:sz w:val="28"/>
          <w:szCs w:val="28"/>
          <w:lang w:val="en-US" w:eastAsia="zh-CN"/>
        </w:rPr>
        <w:t>6、投标时承诺的折扣率：合同履约时提供每项服务的统一折扣比例</w:t>
      </w:r>
      <w:r>
        <w:rPr>
          <w:rFonts w:hint="eastAsia" w:ascii="仿宋_GB2312" w:eastAsia="仿宋_GB2312"/>
          <w:color w:val="FF0000"/>
          <w:sz w:val="28"/>
          <w:szCs w:val="28"/>
          <w:lang w:val="en-US" w:eastAsia="zh-CN"/>
        </w:rPr>
        <w:t>(开标一览表中填写用百分比表述，按百分号整数报价，小数点后不予考虑）。</w:t>
      </w:r>
    </w:p>
    <w:p>
      <w:pPr>
        <w:spacing w:line="540" w:lineRule="exact"/>
        <w:contextualSpacing/>
        <w:rPr>
          <w:rFonts w:hint="eastAsia" w:ascii="仿宋_GB2312" w:eastAsia="仿宋_GB2312"/>
          <w:color w:val="FF0000"/>
          <w:sz w:val="28"/>
          <w:szCs w:val="28"/>
          <w:lang w:val="en-US" w:eastAsia="zh-CN"/>
        </w:rPr>
      </w:pPr>
      <w:r>
        <w:rPr>
          <w:rFonts w:hint="eastAsia" w:ascii="仿宋_GB2312" w:eastAsia="仿宋_GB2312"/>
          <w:color w:val="FF0000"/>
          <w:sz w:val="28"/>
          <w:szCs w:val="28"/>
          <w:lang w:val="en-US" w:eastAsia="zh-CN"/>
        </w:rPr>
        <w:t>7、报价折扣率的具体解释举例：如投标人所报的折扣为九折的，其报价折扣率为90%，合同履约时提供单项服务的报价即为该项服务最高限价*90%。</w:t>
      </w:r>
    </w:p>
    <w:p>
      <w:pPr>
        <w:spacing w:line="540" w:lineRule="exact"/>
        <w:contextualSpacing/>
        <w:rPr>
          <w:rFonts w:hint="default" w:ascii="仿宋_GB2312" w:eastAsia="仿宋_GB2312"/>
          <w:color w:val="FF0000"/>
          <w:sz w:val="28"/>
          <w:szCs w:val="28"/>
          <w:lang w:val="en-US" w:eastAsia="zh-CN"/>
        </w:rPr>
      </w:pPr>
      <w:r>
        <w:rPr>
          <w:rFonts w:hint="eastAsia" w:ascii="仿宋_GB2312" w:eastAsia="仿宋_GB2312"/>
          <w:color w:val="FF0000"/>
          <w:sz w:val="28"/>
          <w:szCs w:val="28"/>
          <w:lang w:val="en-US" w:eastAsia="zh-CN"/>
        </w:rPr>
        <w:t>▲8、开标一览表中所有服务的折扣比例应是相同的，针对不同服务提供不同折扣比例的报价文件将被拒绝。</w:t>
      </w:r>
    </w:p>
    <w:p>
      <w:pPr>
        <w:spacing w:line="540" w:lineRule="exact"/>
        <w:contextualSpacing/>
        <w:rPr>
          <w:rFonts w:hint="default" w:ascii="仿宋_GB2312" w:eastAsia="仿宋_GB2312"/>
          <w:sz w:val="28"/>
          <w:szCs w:val="28"/>
          <w:lang w:val="en-US" w:eastAsia="zh-CN"/>
        </w:rPr>
      </w:pPr>
    </w:p>
    <w:p>
      <w:pPr>
        <w:spacing w:line="540" w:lineRule="exact"/>
        <w:contextualSpacing/>
        <w:rPr>
          <w:rFonts w:hint="eastAsia" w:ascii="仿宋_GB2312" w:eastAsia="仿宋_GB2312"/>
          <w:sz w:val="28"/>
          <w:szCs w:val="28"/>
        </w:rPr>
      </w:pPr>
    </w:p>
    <w:p>
      <w:pPr>
        <w:spacing w:line="540" w:lineRule="exact"/>
        <w:contextualSpacing/>
        <w:rPr>
          <w:rFonts w:hint="eastAsia" w:ascii="仿宋_GB2312" w:eastAsia="仿宋_GB2312"/>
          <w:sz w:val="28"/>
          <w:szCs w:val="28"/>
        </w:rPr>
      </w:pPr>
    </w:p>
    <w:p>
      <w:pPr>
        <w:spacing w:line="540" w:lineRule="exact"/>
        <w:contextualSpacing/>
        <w:rPr>
          <w:rFonts w:ascii="仿宋_GB2312" w:eastAsia="仿宋_GB2312"/>
          <w:sz w:val="28"/>
          <w:szCs w:val="28"/>
        </w:rPr>
        <w:sectPr>
          <w:pgSz w:w="11906" w:h="16838"/>
          <w:pgMar w:top="1247" w:right="1418" w:bottom="1276" w:left="1418" w:header="851" w:footer="992" w:gutter="0"/>
          <w:cols w:space="720" w:num="1"/>
          <w:titlePg/>
          <w:docGrid w:linePitch="312" w:charSpace="0"/>
        </w:sectPr>
      </w:pP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二、中小企业声明函</w:t>
      </w:r>
    </w:p>
    <w:p>
      <w:pPr>
        <w:spacing w:line="540" w:lineRule="exact"/>
        <w:ind w:firstLine="560" w:firstLineChars="200"/>
        <w:contextualSpacing/>
        <w:rPr>
          <w:rFonts w:ascii="仿宋_GB2312" w:eastAsia="仿宋_GB2312"/>
          <w:sz w:val="28"/>
          <w:szCs w:val="28"/>
        </w:rPr>
      </w:pP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jc w:val="center"/>
        <w:rPr>
          <w:rFonts w:ascii="仿宋_GB2312" w:eastAsia="仿宋_GB2312"/>
          <w:b/>
          <w:sz w:val="32"/>
          <w:szCs w:val="32"/>
        </w:rPr>
      </w:pPr>
      <w:bookmarkStart w:id="464" w:name="_Toc465665161"/>
      <w:r>
        <w:rPr>
          <w:rFonts w:hint="eastAsia" w:ascii="仿宋_GB2312" w:eastAsia="仿宋_GB2312"/>
          <w:b/>
          <w:sz w:val="32"/>
          <w:szCs w:val="32"/>
        </w:rPr>
        <w:t>附    件</w:t>
      </w:r>
      <w:bookmarkEnd w:id="464"/>
    </w:p>
    <w:p>
      <w:pPr>
        <w:spacing w:line="540" w:lineRule="exact"/>
        <w:contextualSpacing/>
        <w:rPr>
          <w:rFonts w:ascii="仿宋_GB2312" w:eastAsia="仿宋_GB2312"/>
          <w:sz w:val="28"/>
          <w:szCs w:val="28"/>
        </w:rPr>
      </w:pPr>
    </w:p>
    <w:p>
      <w:pPr>
        <w:spacing w:line="540" w:lineRule="exact"/>
        <w:contextualSpacing/>
        <w:jc w:val="left"/>
        <w:rPr>
          <w:rFonts w:ascii="仿宋_GB2312" w:eastAsia="仿宋_GB2312"/>
          <w:sz w:val="28"/>
          <w:szCs w:val="28"/>
        </w:rPr>
      </w:pPr>
      <w:r>
        <w:rPr>
          <w:rFonts w:hint="eastAsia" w:ascii="仿宋_GB2312" w:eastAsia="仿宋_GB2312"/>
          <w:sz w:val="28"/>
          <w:szCs w:val="28"/>
        </w:rPr>
        <w:t>附件1：</w:t>
      </w:r>
    </w:p>
    <w:p>
      <w:pPr>
        <w:spacing w:line="540" w:lineRule="exact"/>
        <w:contextualSpacing/>
        <w:jc w:val="center"/>
        <w:rPr>
          <w:rFonts w:ascii="仿宋_GB2312" w:eastAsia="仿宋_GB2312"/>
          <w:sz w:val="28"/>
          <w:szCs w:val="28"/>
        </w:rPr>
      </w:pPr>
      <w:bookmarkStart w:id="465" w:name="OLE_LINK13"/>
      <w:bookmarkStart w:id="466" w:name="OLE_LINK14"/>
      <w:r>
        <w:rPr>
          <w:rFonts w:hint="eastAsia" w:ascii="仿宋_GB2312" w:eastAsia="仿宋_GB2312"/>
          <w:sz w:val="28"/>
          <w:szCs w:val="28"/>
        </w:rPr>
        <w:t>残疾人福利性单位声明函</w:t>
      </w:r>
    </w:p>
    <w:bookmarkEnd w:id="465"/>
    <w:bookmarkEnd w:id="466"/>
    <w:p>
      <w:pPr>
        <w:spacing w:line="540" w:lineRule="exact"/>
        <w:contextualSpacing/>
        <w:rPr>
          <w:rFonts w:ascii="仿宋_GB2312" w:eastAsia="仿宋_GB2312"/>
          <w:sz w:val="28"/>
          <w:szCs w:val="28"/>
        </w:rPr>
      </w:pP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本单位对上述声明的真实性负责。如有虚假，将依法承担相应责任。</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r>
        <w:rPr>
          <w:rFonts w:hint="eastAsia" w:ascii="仿宋_GB2312" w:eastAsia="仿宋_GB2312"/>
          <w:sz w:val="28"/>
          <w:szCs w:val="28"/>
        </w:rPr>
        <w:t xml:space="preserve">                         投标人名称（电子签名）：</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日  期：</w:t>
      </w:r>
    </w:p>
    <w:p>
      <w:pPr>
        <w:spacing w:line="540" w:lineRule="exact"/>
        <w:contextualSpacing/>
        <w:rPr>
          <w:rFonts w:ascii="仿宋_GB2312" w:eastAsia="仿宋_GB2312"/>
          <w:sz w:val="28"/>
          <w:szCs w:val="28"/>
        </w:rPr>
      </w:pPr>
      <w:r>
        <w:rPr>
          <w:rFonts w:hint="eastAsia" w:ascii="仿宋_GB2312" w:eastAsia="仿宋_GB2312"/>
          <w:sz w:val="28"/>
          <w:szCs w:val="28"/>
        </w:rPr>
        <w:t>附件2：</w:t>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质疑函范本及制作说明</w:t>
      </w:r>
    </w:p>
    <w:p>
      <w:pPr>
        <w:spacing w:line="540" w:lineRule="exact"/>
        <w:contextualSpacing/>
        <w:jc w:val="center"/>
        <w:rPr>
          <w:rFonts w:ascii="仿宋_GB2312" w:eastAsia="仿宋_GB2312"/>
          <w:sz w:val="28"/>
          <w:szCs w:val="28"/>
        </w:rPr>
      </w:pPr>
    </w:p>
    <w:p>
      <w:pPr>
        <w:spacing w:line="540" w:lineRule="exact"/>
        <w:contextualSpacing/>
        <w:jc w:val="center"/>
        <w:rPr>
          <w:rFonts w:ascii="仿宋_GB2312" w:eastAsia="仿宋_GB2312"/>
          <w:sz w:val="28"/>
          <w:szCs w:val="28"/>
        </w:rPr>
      </w:pPr>
      <w:r>
        <w:rPr>
          <w:rFonts w:hint="eastAsia" w:ascii="仿宋_GB2312" w:eastAsia="仿宋_GB2312"/>
          <w:sz w:val="28"/>
          <w:szCs w:val="28"/>
        </w:rPr>
        <w:t>质疑函范本</w:t>
      </w:r>
    </w:p>
    <w:p>
      <w:pPr>
        <w:spacing w:line="540" w:lineRule="exact"/>
        <w:contextualSpacing/>
        <w:rPr>
          <w:rFonts w:ascii="仿宋_GB2312" w:eastAsia="仿宋_GB2312"/>
          <w:sz w:val="28"/>
          <w:szCs w:val="28"/>
        </w:rPr>
      </w:pPr>
      <w:r>
        <w:rPr>
          <w:rFonts w:hint="eastAsia" w:ascii="仿宋_GB2312" w:eastAsia="仿宋_GB2312"/>
          <w:sz w:val="28"/>
          <w:szCs w:val="28"/>
        </w:rPr>
        <w:t>一、质疑供应商基本信息</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质疑供应商：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地址：                          邮编：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联系人：                      联系电话：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授权代表：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联系电话：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地址：                         邮编：                                                </w:t>
      </w:r>
    </w:p>
    <w:p>
      <w:pPr>
        <w:spacing w:line="540" w:lineRule="exact"/>
        <w:contextualSpacing/>
        <w:rPr>
          <w:rFonts w:ascii="仿宋_GB2312" w:eastAsia="仿宋_GB2312"/>
          <w:sz w:val="28"/>
          <w:szCs w:val="28"/>
        </w:rPr>
      </w:pPr>
      <w:r>
        <w:rPr>
          <w:rFonts w:hint="eastAsia" w:ascii="仿宋_GB2312" w:eastAsia="仿宋_GB2312"/>
          <w:sz w:val="28"/>
          <w:szCs w:val="28"/>
        </w:rPr>
        <w:t>二、质疑项目基本情况</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质疑项目的名称：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质疑项目的编号：               标项：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采购人名称：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采购文件获取日期：                                           </w:t>
      </w:r>
    </w:p>
    <w:p>
      <w:pPr>
        <w:spacing w:line="540" w:lineRule="exact"/>
        <w:contextualSpacing/>
        <w:rPr>
          <w:rFonts w:ascii="仿宋_GB2312" w:eastAsia="仿宋_GB2312"/>
          <w:sz w:val="28"/>
          <w:szCs w:val="28"/>
        </w:rPr>
      </w:pPr>
      <w:r>
        <w:rPr>
          <w:rFonts w:hint="eastAsia" w:ascii="仿宋_GB2312" w:eastAsia="仿宋_GB2312"/>
          <w:sz w:val="28"/>
          <w:szCs w:val="28"/>
        </w:rPr>
        <w:t>三、质疑事项具体内容</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质疑事项1：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事实依据：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法律依据：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w:t>
      </w:r>
    </w:p>
    <w:p>
      <w:pPr>
        <w:spacing w:line="540" w:lineRule="exact"/>
        <w:contextualSpacing/>
        <w:rPr>
          <w:rFonts w:ascii="仿宋_GB2312" w:eastAsia="仿宋_GB2312"/>
          <w:sz w:val="28"/>
          <w:szCs w:val="28"/>
        </w:rPr>
      </w:pPr>
      <w:r>
        <w:rPr>
          <w:rFonts w:hint="eastAsia" w:ascii="仿宋_GB2312" w:eastAsia="仿宋_GB2312"/>
          <w:sz w:val="28"/>
          <w:szCs w:val="28"/>
        </w:rPr>
        <w:t>质疑事项2</w:t>
      </w:r>
    </w:p>
    <w:p>
      <w:pPr>
        <w:spacing w:line="540" w:lineRule="exact"/>
        <w:contextualSpacing/>
        <w:rPr>
          <w:rFonts w:ascii="仿宋_GB2312" w:eastAsia="仿宋_GB2312"/>
          <w:sz w:val="28"/>
          <w:szCs w:val="28"/>
        </w:rPr>
      </w:pPr>
      <w:r>
        <w:rPr>
          <w:rFonts w:hint="eastAsia" w:ascii="仿宋_GB2312" w:eastAsia="仿宋_GB2312"/>
          <w:sz w:val="28"/>
          <w:szCs w:val="28"/>
        </w:rPr>
        <w:t>……</w:t>
      </w:r>
    </w:p>
    <w:p>
      <w:pPr>
        <w:spacing w:line="540" w:lineRule="exact"/>
        <w:contextualSpacing/>
        <w:rPr>
          <w:rFonts w:ascii="仿宋_GB2312" w:eastAsia="仿宋_GB2312"/>
          <w:sz w:val="28"/>
          <w:szCs w:val="28"/>
        </w:rPr>
      </w:pPr>
      <w:r>
        <w:rPr>
          <w:rFonts w:hint="eastAsia" w:ascii="仿宋_GB2312" w:eastAsia="仿宋_GB2312"/>
          <w:sz w:val="28"/>
          <w:szCs w:val="28"/>
        </w:rPr>
        <w:t>四、与质疑事项相关的质疑请求</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请求：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签字(签章)：                   公章：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日期：    </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r>
        <w:rPr>
          <w:rFonts w:hint="eastAsia" w:ascii="仿宋_GB2312" w:eastAsia="仿宋_GB2312"/>
          <w:sz w:val="28"/>
          <w:szCs w:val="28"/>
        </w:rPr>
        <w:t>质疑函制作说明：</w:t>
      </w:r>
    </w:p>
    <w:p>
      <w:pPr>
        <w:spacing w:line="540" w:lineRule="exact"/>
        <w:contextualSpacing/>
        <w:rPr>
          <w:rFonts w:ascii="仿宋_GB2312" w:eastAsia="仿宋_GB2312"/>
          <w:sz w:val="28"/>
          <w:szCs w:val="28"/>
        </w:rPr>
      </w:pPr>
      <w:r>
        <w:rPr>
          <w:rFonts w:hint="eastAsia" w:ascii="仿宋_GB2312" w:eastAsia="仿宋_GB2312"/>
          <w:sz w:val="28"/>
          <w:szCs w:val="28"/>
        </w:rPr>
        <w:t>1.供应商提出质疑时，应提交质疑函和必要的证明材料。</w:t>
      </w:r>
    </w:p>
    <w:p>
      <w:pPr>
        <w:spacing w:line="540" w:lineRule="exact"/>
        <w:contextualSpacing/>
        <w:rPr>
          <w:rFonts w:ascii="仿宋_GB2312" w:eastAsia="仿宋_GB2312"/>
          <w:sz w:val="28"/>
          <w:szCs w:val="28"/>
        </w:rPr>
      </w:pPr>
      <w:r>
        <w:rPr>
          <w:rFonts w:hint="eastAsia" w:ascii="仿宋_GB2312" w:eastAsia="仿宋_GB2312"/>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40" w:lineRule="exact"/>
        <w:contextualSpacing/>
        <w:rPr>
          <w:rFonts w:ascii="仿宋_GB2312" w:eastAsia="仿宋_GB2312"/>
          <w:sz w:val="28"/>
          <w:szCs w:val="28"/>
        </w:rPr>
      </w:pPr>
      <w:r>
        <w:rPr>
          <w:rFonts w:hint="eastAsia" w:ascii="仿宋_GB2312" w:eastAsia="仿宋_GB2312"/>
          <w:sz w:val="28"/>
          <w:szCs w:val="28"/>
        </w:rPr>
        <w:t>3.质疑供应商若对项目的某一分包进行质疑，质疑函中应列明具体分包号。</w:t>
      </w:r>
    </w:p>
    <w:p>
      <w:pPr>
        <w:spacing w:line="540" w:lineRule="exact"/>
        <w:contextualSpacing/>
        <w:rPr>
          <w:rFonts w:ascii="仿宋_GB2312" w:eastAsia="仿宋_GB2312"/>
          <w:sz w:val="28"/>
          <w:szCs w:val="28"/>
        </w:rPr>
      </w:pPr>
      <w:r>
        <w:rPr>
          <w:rFonts w:hint="eastAsia" w:ascii="仿宋_GB2312" w:eastAsia="仿宋_GB2312"/>
          <w:sz w:val="28"/>
          <w:szCs w:val="28"/>
        </w:rPr>
        <w:t>4.质疑函的质疑事项应具体、明确，并有必要的事实依据和法律依据。</w:t>
      </w:r>
    </w:p>
    <w:p>
      <w:pPr>
        <w:spacing w:line="540" w:lineRule="exact"/>
        <w:contextualSpacing/>
        <w:rPr>
          <w:rFonts w:ascii="仿宋_GB2312" w:eastAsia="仿宋_GB2312"/>
          <w:sz w:val="28"/>
          <w:szCs w:val="28"/>
        </w:rPr>
      </w:pPr>
      <w:r>
        <w:rPr>
          <w:rFonts w:hint="eastAsia" w:ascii="仿宋_GB2312" w:eastAsia="仿宋_GB2312"/>
          <w:sz w:val="28"/>
          <w:szCs w:val="28"/>
        </w:rPr>
        <w:t>5.质疑函的质疑请求应与质疑事项相关。</w:t>
      </w:r>
    </w:p>
    <w:p>
      <w:pPr>
        <w:spacing w:line="540" w:lineRule="exact"/>
        <w:contextualSpacing/>
        <w:rPr>
          <w:rFonts w:ascii="仿宋_GB2312" w:eastAsia="仿宋_GB2312"/>
          <w:sz w:val="28"/>
          <w:szCs w:val="28"/>
        </w:rPr>
      </w:pPr>
      <w:r>
        <w:rPr>
          <w:rFonts w:hint="eastAsia" w:ascii="仿宋_GB2312" w:eastAsia="仿宋_GB2312"/>
          <w:sz w:val="28"/>
          <w:szCs w:val="28"/>
        </w:rPr>
        <w:t>6.质疑供应商为自然人的，质疑函应由本人签字；质疑供应商为法人或者其他组织的，质疑函应由法定代表人、主要负责人，或者其授权代表签字或者盖章，并加盖公章。</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r>
        <w:rPr>
          <w:rFonts w:hint="eastAsia" w:ascii="仿宋_GB2312" w:eastAsia="仿宋_GB2312"/>
          <w:sz w:val="28"/>
          <w:szCs w:val="28"/>
        </w:rPr>
        <w:t>附件3：</w:t>
      </w:r>
    </w:p>
    <w:p>
      <w:pPr>
        <w:spacing w:line="540" w:lineRule="exact"/>
        <w:contextualSpacing/>
        <w:jc w:val="center"/>
        <w:rPr>
          <w:rFonts w:ascii="仿宋_GB2312" w:eastAsia="仿宋_GB2312"/>
          <w:b/>
          <w:sz w:val="32"/>
          <w:szCs w:val="32"/>
        </w:rPr>
      </w:pPr>
      <w:r>
        <w:rPr>
          <w:rFonts w:hint="eastAsia" w:ascii="仿宋_GB2312" w:eastAsia="仿宋_GB2312"/>
          <w:b/>
          <w:sz w:val="32"/>
          <w:szCs w:val="32"/>
        </w:rPr>
        <w:t>投诉书范本及制作说明</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r>
        <w:rPr>
          <w:rFonts w:hint="eastAsia" w:ascii="仿宋_GB2312" w:eastAsia="仿宋_GB2312"/>
          <w:sz w:val="28"/>
          <w:szCs w:val="28"/>
        </w:rPr>
        <w:t>投诉书范本</w:t>
      </w:r>
    </w:p>
    <w:p>
      <w:pPr>
        <w:spacing w:line="540" w:lineRule="exact"/>
        <w:contextualSpacing/>
        <w:rPr>
          <w:rFonts w:ascii="仿宋_GB2312" w:eastAsia="仿宋_GB2312"/>
          <w:sz w:val="28"/>
          <w:szCs w:val="28"/>
        </w:rPr>
      </w:pPr>
      <w:r>
        <w:rPr>
          <w:rFonts w:hint="eastAsia" w:ascii="仿宋_GB2312" w:eastAsia="仿宋_GB2312"/>
          <w:sz w:val="28"/>
          <w:szCs w:val="28"/>
        </w:rPr>
        <w:t>一、投诉相关主体基本情况</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投诉人：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地     址：                             邮编：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法定代表人/主要负责人：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联系电话：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授权代表：             联系电话：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地     址：                             邮编：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被投诉人1：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地     址：                             邮编：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联系人：               联系电话：                       </w:t>
      </w:r>
    </w:p>
    <w:p>
      <w:pPr>
        <w:spacing w:line="540" w:lineRule="exact"/>
        <w:contextualSpacing/>
        <w:rPr>
          <w:rFonts w:ascii="仿宋_GB2312" w:eastAsia="仿宋_GB2312"/>
          <w:sz w:val="28"/>
          <w:szCs w:val="28"/>
        </w:rPr>
      </w:pPr>
      <w:r>
        <w:rPr>
          <w:rFonts w:hint="eastAsia" w:ascii="仿宋_GB2312" w:eastAsia="仿宋_GB2312"/>
          <w:sz w:val="28"/>
          <w:szCs w:val="28"/>
        </w:rPr>
        <w:t>被投诉人2</w:t>
      </w:r>
    </w:p>
    <w:p>
      <w:pPr>
        <w:spacing w:line="540" w:lineRule="exact"/>
        <w:contextualSpacing/>
        <w:rPr>
          <w:rFonts w:ascii="仿宋_GB2312" w:eastAsia="仿宋_GB2312"/>
          <w:sz w:val="28"/>
          <w:szCs w:val="28"/>
        </w:rPr>
      </w:pPr>
      <w:r>
        <w:rPr>
          <w:rFonts w:hint="eastAsia" w:ascii="仿宋_GB2312" w:eastAsia="仿宋_GB2312"/>
          <w:sz w:val="28"/>
          <w:szCs w:val="28"/>
        </w:rPr>
        <w:t>……</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相关供应商：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地     址：                             邮编：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联系人：               联系电话：                            </w:t>
      </w:r>
    </w:p>
    <w:p>
      <w:pPr>
        <w:spacing w:line="540" w:lineRule="exact"/>
        <w:contextualSpacing/>
        <w:rPr>
          <w:rFonts w:ascii="仿宋_GB2312" w:eastAsia="仿宋_GB2312"/>
          <w:sz w:val="28"/>
          <w:szCs w:val="28"/>
        </w:rPr>
      </w:pPr>
      <w:r>
        <w:rPr>
          <w:rFonts w:hint="eastAsia" w:ascii="仿宋_GB2312" w:eastAsia="仿宋_GB2312"/>
          <w:sz w:val="28"/>
          <w:szCs w:val="28"/>
        </w:rPr>
        <w:t>二、投诉项目基本情况</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采购项目名称：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采购项目编号：                 包号：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采购人名称：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代理机构名称：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采购文件公告:是/否 公告期限：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采购结果公告:是/否 公告期限：                        </w:t>
      </w:r>
    </w:p>
    <w:p>
      <w:pPr>
        <w:spacing w:line="540" w:lineRule="exact"/>
        <w:contextualSpacing/>
        <w:rPr>
          <w:rFonts w:ascii="仿宋_GB2312" w:eastAsia="仿宋_GB2312"/>
          <w:sz w:val="28"/>
          <w:szCs w:val="28"/>
        </w:rPr>
      </w:pPr>
      <w:r>
        <w:rPr>
          <w:rFonts w:hint="eastAsia" w:ascii="仿宋_GB2312" w:eastAsia="仿宋_GB2312"/>
          <w:sz w:val="28"/>
          <w:szCs w:val="28"/>
        </w:rPr>
        <w:t>三、质疑基本情况</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投诉人于   年   月  日,向                   提出质疑，质疑事项为：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w:t>
      </w:r>
    </w:p>
    <w:p>
      <w:pPr>
        <w:spacing w:line="540" w:lineRule="exact"/>
        <w:contextualSpacing/>
        <w:rPr>
          <w:rFonts w:ascii="仿宋_GB2312" w:eastAsia="仿宋_GB2312"/>
          <w:sz w:val="28"/>
          <w:szCs w:val="28"/>
        </w:rPr>
      </w:pPr>
      <w:r>
        <w:rPr>
          <w:rFonts w:hint="eastAsia" w:ascii="仿宋_GB2312" w:eastAsia="仿宋_GB2312"/>
          <w:sz w:val="28"/>
          <w:szCs w:val="28"/>
        </w:rPr>
        <w:t>采购人/代理机构于   年   月   日,就质疑事项作出了答复/没有在法定期限内作出答复。</w:t>
      </w:r>
    </w:p>
    <w:p>
      <w:pPr>
        <w:spacing w:line="540" w:lineRule="exact"/>
        <w:contextualSpacing/>
        <w:rPr>
          <w:rFonts w:ascii="仿宋_GB2312" w:eastAsia="仿宋_GB2312"/>
          <w:sz w:val="28"/>
          <w:szCs w:val="28"/>
        </w:rPr>
      </w:pPr>
      <w:r>
        <w:rPr>
          <w:rFonts w:hint="eastAsia" w:ascii="仿宋_GB2312" w:eastAsia="仿宋_GB2312"/>
          <w:sz w:val="28"/>
          <w:szCs w:val="28"/>
        </w:rPr>
        <w:t>四、投诉事项具体内容</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投诉事项 1：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事实依据：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法律依据：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w:t>
      </w:r>
    </w:p>
    <w:p>
      <w:pPr>
        <w:spacing w:line="540" w:lineRule="exact"/>
        <w:contextualSpacing/>
        <w:rPr>
          <w:rFonts w:ascii="仿宋_GB2312" w:eastAsia="仿宋_GB2312"/>
          <w:sz w:val="28"/>
          <w:szCs w:val="28"/>
        </w:rPr>
      </w:pPr>
      <w:r>
        <w:rPr>
          <w:rFonts w:hint="eastAsia" w:ascii="仿宋_GB2312" w:eastAsia="仿宋_GB2312"/>
          <w:sz w:val="28"/>
          <w:szCs w:val="28"/>
        </w:rPr>
        <w:t>投诉事项2</w:t>
      </w:r>
    </w:p>
    <w:p>
      <w:pPr>
        <w:spacing w:line="540" w:lineRule="exact"/>
        <w:contextualSpacing/>
        <w:rPr>
          <w:rFonts w:ascii="仿宋_GB2312" w:eastAsia="仿宋_GB2312"/>
          <w:sz w:val="28"/>
          <w:szCs w:val="28"/>
        </w:rPr>
      </w:pPr>
      <w:r>
        <w:rPr>
          <w:rFonts w:hint="eastAsia" w:ascii="仿宋_GB2312" w:eastAsia="仿宋_GB2312"/>
          <w:sz w:val="28"/>
          <w:szCs w:val="28"/>
        </w:rPr>
        <w:t>……</w:t>
      </w:r>
    </w:p>
    <w:p>
      <w:pPr>
        <w:spacing w:line="540" w:lineRule="exact"/>
        <w:contextualSpacing/>
        <w:rPr>
          <w:rFonts w:ascii="仿宋_GB2312" w:eastAsia="仿宋_GB2312"/>
          <w:sz w:val="28"/>
          <w:szCs w:val="28"/>
        </w:rPr>
      </w:pPr>
      <w:r>
        <w:rPr>
          <w:rFonts w:hint="eastAsia" w:ascii="仿宋_GB2312" w:eastAsia="仿宋_GB2312"/>
          <w:sz w:val="28"/>
          <w:szCs w:val="28"/>
        </w:rPr>
        <w:t>五、与投诉事项相关的投诉请求</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请求：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签字(签章)：                   公章：                      </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日期：    </w:t>
      </w:r>
    </w:p>
    <w:p>
      <w:pPr>
        <w:spacing w:line="540" w:lineRule="exact"/>
        <w:contextualSpacing/>
        <w:rPr>
          <w:rFonts w:ascii="仿宋_GB2312" w:eastAsia="仿宋_GB2312"/>
          <w:sz w:val="28"/>
          <w:szCs w:val="28"/>
        </w:rPr>
      </w:pPr>
    </w:p>
    <w:p>
      <w:pPr>
        <w:spacing w:line="540" w:lineRule="exact"/>
        <w:contextualSpacing/>
        <w:jc w:val="left"/>
        <w:rPr>
          <w:rFonts w:ascii="仿宋_GB2312" w:eastAsia="仿宋_GB2312"/>
          <w:sz w:val="28"/>
          <w:szCs w:val="28"/>
        </w:rPr>
      </w:pPr>
      <w:r>
        <w:rPr>
          <w:rFonts w:hint="eastAsia" w:ascii="仿宋_GB2312" w:eastAsia="仿宋_GB2312"/>
          <w:sz w:val="28"/>
          <w:szCs w:val="28"/>
        </w:rPr>
        <w:t>投诉书制作说明：</w:t>
      </w:r>
    </w:p>
    <w:p>
      <w:pPr>
        <w:spacing w:line="540" w:lineRule="exact"/>
        <w:contextualSpacing/>
        <w:rPr>
          <w:rFonts w:ascii="仿宋_GB2312" w:eastAsia="仿宋_GB2312"/>
          <w:sz w:val="28"/>
          <w:szCs w:val="28"/>
        </w:rPr>
      </w:pPr>
      <w:r>
        <w:rPr>
          <w:rFonts w:hint="eastAsia" w:ascii="仿宋_GB2312" w:eastAsia="仿宋_GB2312"/>
          <w:sz w:val="28"/>
          <w:szCs w:val="28"/>
        </w:rPr>
        <w:t>1.投诉人提起投诉时，应当提交投诉书和必要的证明材料，并按照被投诉人和与投诉事项有关的供应商数量提供投诉书副本。</w:t>
      </w:r>
    </w:p>
    <w:p>
      <w:pPr>
        <w:spacing w:line="540" w:lineRule="exact"/>
        <w:contextualSpacing/>
        <w:rPr>
          <w:rFonts w:ascii="仿宋_GB2312" w:eastAsia="仿宋_GB2312"/>
          <w:sz w:val="28"/>
          <w:szCs w:val="28"/>
        </w:rPr>
      </w:pPr>
      <w:r>
        <w:rPr>
          <w:rFonts w:hint="eastAsia" w:ascii="仿宋_GB2312" w:eastAsia="仿宋_GB2312"/>
          <w:sz w:val="28"/>
          <w:szCs w:val="28"/>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540" w:lineRule="exact"/>
        <w:contextualSpacing/>
        <w:rPr>
          <w:rFonts w:ascii="仿宋_GB2312" w:eastAsia="仿宋_GB2312"/>
          <w:sz w:val="28"/>
          <w:szCs w:val="28"/>
        </w:rPr>
      </w:pPr>
      <w:r>
        <w:rPr>
          <w:rFonts w:hint="eastAsia" w:ascii="仿宋_GB2312" w:eastAsia="仿宋_GB2312"/>
          <w:sz w:val="28"/>
          <w:szCs w:val="28"/>
        </w:rPr>
        <w:t>3.投诉人若对项目的某一分包进行投诉，投诉书应列明具体分包号。</w:t>
      </w:r>
    </w:p>
    <w:p>
      <w:pPr>
        <w:spacing w:line="540" w:lineRule="exact"/>
        <w:contextualSpacing/>
        <w:rPr>
          <w:rFonts w:ascii="仿宋_GB2312" w:eastAsia="仿宋_GB2312"/>
          <w:sz w:val="28"/>
          <w:szCs w:val="28"/>
        </w:rPr>
      </w:pPr>
      <w:r>
        <w:rPr>
          <w:rFonts w:hint="eastAsia" w:ascii="仿宋_GB2312" w:eastAsia="仿宋_GB2312"/>
          <w:sz w:val="28"/>
          <w:szCs w:val="28"/>
        </w:rPr>
        <w:t>4.投诉书应简要列明质疑事项，质疑函、质疑答复等作为附件材料提供。</w:t>
      </w:r>
    </w:p>
    <w:p>
      <w:pPr>
        <w:spacing w:line="540" w:lineRule="exact"/>
        <w:contextualSpacing/>
        <w:rPr>
          <w:rFonts w:ascii="仿宋_GB2312" w:eastAsia="仿宋_GB2312"/>
          <w:sz w:val="28"/>
          <w:szCs w:val="28"/>
        </w:rPr>
      </w:pPr>
      <w:r>
        <w:rPr>
          <w:rFonts w:hint="eastAsia" w:ascii="仿宋_GB2312" w:eastAsia="仿宋_GB2312"/>
          <w:sz w:val="28"/>
          <w:szCs w:val="28"/>
        </w:rPr>
        <w:t>5.投诉书的投诉事项应具体、明确，并有必要的事实依据和法律依据。</w:t>
      </w:r>
    </w:p>
    <w:p>
      <w:pPr>
        <w:spacing w:line="540" w:lineRule="exact"/>
        <w:contextualSpacing/>
        <w:rPr>
          <w:rFonts w:ascii="仿宋_GB2312" w:eastAsia="仿宋_GB2312"/>
          <w:sz w:val="28"/>
          <w:szCs w:val="28"/>
        </w:rPr>
      </w:pPr>
      <w:r>
        <w:rPr>
          <w:rFonts w:hint="eastAsia" w:ascii="仿宋_GB2312" w:eastAsia="仿宋_GB2312"/>
          <w:sz w:val="28"/>
          <w:szCs w:val="28"/>
        </w:rPr>
        <w:t>6.投诉书的投诉请求应与投诉事项相关。</w:t>
      </w:r>
    </w:p>
    <w:p>
      <w:pPr>
        <w:spacing w:line="540" w:lineRule="exact"/>
        <w:contextualSpacing/>
        <w:rPr>
          <w:rFonts w:ascii="仿宋_GB2312" w:eastAsia="仿宋_GB2312"/>
          <w:sz w:val="28"/>
          <w:szCs w:val="28"/>
        </w:rPr>
      </w:pPr>
      <w:r>
        <w:rPr>
          <w:rFonts w:hint="eastAsia" w:ascii="仿宋_GB2312" w:eastAsia="仿宋_GB2312"/>
          <w:sz w:val="28"/>
          <w:szCs w:val="28"/>
        </w:rPr>
        <w:t>7.投诉人为自然人的，投诉书应当由本人签字；投诉人为法人或者其他组织的，投诉书应当由法定代表人、主要负责人，或者其授权代表签字或者盖章，并加盖公章。</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r>
        <w:rPr>
          <w:rFonts w:hint="eastAsia" w:ascii="仿宋_GB2312" w:eastAsia="仿宋_GB2312"/>
          <w:sz w:val="28"/>
          <w:szCs w:val="28"/>
        </w:rPr>
        <w:t>附件4：</w:t>
      </w:r>
    </w:p>
    <w:p>
      <w:pPr>
        <w:spacing w:line="540" w:lineRule="exact"/>
        <w:contextualSpacing/>
        <w:jc w:val="center"/>
        <w:rPr>
          <w:rFonts w:ascii="仿宋_GB2312" w:eastAsia="仿宋_GB2312"/>
          <w:b/>
          <w:sz w:val="28"/>
          <w:szCs w:val="28"/>
        </w:rPr>
      </w:pPr>
      <w:r>
        <w:rPr>
          <w:rFonts w:hint="eastAsia" w:ascii="仿宋_GB2312" w:eastAsia="仿宋_GB2312"/>
          <w:b/>
          <w:sz w:val="28"/>
          <w:szCs w:val="28"/>
        </w:rPr>
        <w:t>业务专用章使用说明函</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r>
        <w:rPr>
          <w:rFonts w:hint="eastAsia" w:ascii="仿宋_GB2312" w:eastAsia="仿宋_GB2312"/>
          <w:sz w:val="28"/>
          <w:szCs w:val="28"/>
        </w:rPr>
        <w:t>（采购人）、（采购代理机构）：</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 xml:space="preserve">我方                         (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pPr>
        <w:spacing w:line="540" w:lineRule="exact"/>
        <w:contextualSpacing/>
        <w:rPr>
          <w:rFonts w:ascii="仿宋_GB2312" w:eastAsia="仿宋_GB2312"/>
          <w:sz w:val="28"/>
          <w:szCs w:val="28"/>
        </w:rPr>
      </w:pPr>
      <w:r>
        <w:rPr>
          <w:rFonts w:hint="eastAsia" w:ascii="仿宋_GB2312" w:eastAsia="仿宋_GB2312"/>
          <w:sz w:val="28"/>
          <w:szCs w:val="28"/>
        </w:rPr>
        <w:t>特此说明。</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ind w:firstLine="4200" w:firstLineChars="1500"/>
        <w:contextualSpacing/>
        <w:rPr>
          <w:rFonts w:ascii="仿宋_GB2312" w:eastAsia="仿宋_GB2312"/>
          <w:sz w:val="28"/>
          <w:szCs w:val="28"/>
        </w:rPr>
      </w:pPr>
      <w:r>
        <w:rPr>
          <w:rFonts w:hint="eastAsia" w:ascii="仿宋_GB2312" w:eastAsia="仿宋_GB2312"/>
          <w:sz w:val="28"/>
          <w:szCs w:val="28"/>
        </w:rPr>
        <w:t>投标单位（法定名称章）：</w:t>
      </w:r>
    </w:p>
    <w:p>
      <w:pPr>
        <w:spacing w:line="540" w:lineRule="exact"/>
        <w:contextualSpacing/>
        <w:rPr>
          <w:rFonts w:ascii="仿宋_GB2312" w:eastAsia="仿宋_GB2312"/>
          <w:sz w:val="28"/>
          <w:szCs w:val="28"/>
        </w:rPr>
      </w:pPr>
      <w:r>
        <w:rPr>
          <w:rFonts w:hint="eastAsia" w:ascii="仿宋_GB2312" w:eastAsia="仿宋_GB2312"/>
          <w:sz w:val="28"/>
          <w:szCs w:val="28"/>
        </w:rPr>
        <w:t xml:space="preserve">                              日期：    年    月    日</w:t>
      </w:r>
    </w:p>
    <w:p>
      <w:pPr>
        <w:spacing w:line="540" w:lineRule="exact"/>
        <w:contextualSpacing/>
        <w:rPr>
          <w:rFonts w:ascii="仿宋_GB2312" w:eastAsia="仿宋_GB2312"/>
          <w:sz w:val="28"/>
          <w:szCs w:val="28"/>
        </w:rPr>
      </w:pPr>
      <w:r>
        <w:rPr>
          <w:rFonts w:hint="eastAsia" w:ascii="仿宋_GB2312" w:eastAsia="仿宋_GB2312"/>
          <w:sz w:val="28"/>
          <w:szCs w:val="28"/>
        </w:rPr>
        <w:t>附：</w:t>
      </w:r>
    </w:p>
    <w:p>
      <w:pPr>
        <w:spacing w:line="540" w:lineRule="exact"/>
        <w:contextualSpacing/>
        <w:rPr>
          <w:rFonts w:ascii="仿宋_GB2312" w:eastAsia="仿宋_GB2312"/>
          <w:sz w:val="24"/>
          <w:szCs w:val="24"/>
        </w:rPr>
      </w:pPr>
      <w:r>
        <w:rPr>
          <w:rFonts w:hint="eastAsia" w:ascii="仿宋_GB2312" w:eastAsia="仿宋_GB2312"/>
          <w:sz w:val="24"/>
          <w:szCs w:val="24"/>
        </w:rPr>
        <w:t>投标单位法定名称章（印模）                投标单位“XX专用章”（印模）</w:t>
      </w:r>
    </w:p>
    <w:p>
      <w:pPr>
        <w:spacing w:line="540" w:lineRule="exact"/>
        <w:contextualSpacing/>
        <w:rPr>
          <w:rFonts w:ascii="仿宋_GB2312" w:eastAsia="仿宋_GB2312"/>
          <w:sz w:val="28"/>
          <w:szCs w:val="28"/>
        </w:rPr>
      </w:pPr>
      <w:r>
        <w:rPr>
          <w:rFonts w:ascii="仿宋_GB2312" w:eastAsia="仿宋_GB2312"/>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704465" cy="1593850"/>
                <wp:effectExtent l="4445" t="4445" r="15240" b="2095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1.05pt;height:125.5pt;width:212.95pt;z-index:-251657216;mso-width-relative:page;mso-height-relative:page;" fillcolor="#FFFFFF" filled="t" stroked="t" coordsize="21600,21600" o:gfxdata="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kzKQ9cAAAAJAQAADwAAAAAAAAABACAAAAAiAAAAZHJzL2Rvd25yZXYueG1sUEsB&#10;AhQAFAAAAAgAh07iQNx+AYwvAgAAggQAAA4AAAAAAAAAAQAgAAAAJgEAAGRycy9lMm9Eb2MueG1s&#10;UEsFBgAAAAAGAAYAWQEAAMcFAAAAAA==&#10;">
                <v:fill on="t" focussize="0,0"/>
                <v:stroke color="#000000" miterlimit="2" joinstyle="miter"/>
                <v:imagedata o:title=""/>
                <o:lock v:ext="edit" aspectratio="f"/>
              </v:rect>
            </w:pict>
          </mc:Fallback>
        </mc:AlternateContent>
      </w:r>
      <w:r>
        <w:rPr>
          <w:rFonts w:ascii="仿宋_GB2312" w:eastAsia="仿宋_GB2312"/>
          <w:sz w:val="24"/>
          <w:szCs w:val="24"/>
        </w:rPr>
        <mc:AlternateContent>
          <mc:Choice Requires="wps">
            <w:drawing>
              <wp:anchor distT="0" distB="0" distL="114300" distR="114300" simplePos="0" relativeHeight="251660288" behindDoc="1" locked="0" layoutInCell="1" allowOverlap="1">
                <wp:simplePos x="0" y="0"/>
                <wp:positionH relativeFrom="column">
                  <wp:posOffset>-45720</wp:posOffset>
                </wp:positionH>
                <wp:positionV relativeFrom="paragraph">
                  <wp:posOffset>13335</wp:posOffset>
                </wp:positionV>
                <wp:extent cx="2647950" cy="1593850"/>
                <wp:effectExtent l="4445" t="4445" r="14605" b="2095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3.6pt;margin-top:1.05pt;height:125.5pt;width:208.5pt;z-index:-251656192;mso-width-relative:page;mso-height-relative:page;" fillcolor="#FFFFFF" filled="t" stroked="t" coordsize="21600,21600" o:gfxdata="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6VNQP1gAAAAgBAAAPAAAAAAAAAAEAIAAAACIAAABkcnMvZG93bnJldi54bWxQSwEC&#10;FAAUAAAACACHTuJATWcsNC8CAACCBAAADgAAAAAAAAABACAAAAAlAQAAZHJzL2Uyb0RvYy54bWxQ&#10;SwUGAAAAAAYABgBZAQAAxgUAAAAA&#10;">
                <v:fill on="t" focussize="0,0"/>
                <v:stroke color="#000000" miterlimit="2" joinstyle="miter"/>
                <v:imagedata o:title=""/>
                <o:lock v:ext="edit" aspectratio="f"/>
              </v:rect>
            </w:pict>
          </mc:Fallback>
        </mc:AlternateConten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r>
        <w:rPr>
          <w:rFonts w:hint="eastAsia" w:ascii="仿宋_GB2312" w:eastAsia="仿宋_GB2312"/>
          <w:sz w:val="28"/>
          <w:szCs w:val="28"/>
        </w:rPr>
        <w:t>附件5：</w:t>
      </w:r>
    </w:p>
    <w:p>
      <w:pPr>
        <w:spacing w:line="500" w:lineRule="exact"/>
        <w:contextualSpacing/>
        <w:jc w:val="center"/>
        <w:rPr>
          <w:rFonts w:ascii="仿宋_GB2312" w:eastAsia="仿宋_GB2312"/>
          <w:b/>
          <w:sz w:val="32"/>
          <w:szCs w:val="32"/>
        </w:rPr>
      </w:pPr>
      <w:r>
        <w:rPr>
          <w:rFonts w:hint="eastAsia" w:ascii="仿宋_GB2312" w:eastAsia="仿宋_GB2312"/>
          <w:b/>
          <w:sz w:val="32"/>
          <w:szCs w:val="32"/>
        </w:rPr>
        <w:t>中小企业声明函</w:t>
      </w:r>
    </w:p>
    <w:p>
      <w:pPr>
        <w:spacing w:line="500" w:lineRule="exact"/>
        <w:contextualSpacing/>
        <w:jc w:val="center"/>
        <w:rPr>
          <w:rFonts w:ascii="仿宋_GB2312" w:eastAsia="仿宋_GB2312"/>
          <w:sz w:val="28"/>
          <w:szCs w:val="28"/>
        </w:rPr>
      </w:pPr>
    </w:p>
    <w:p>
      <w:pPr>
        <w:spacing w:line="500" w:lineRule="exact"/>
        <w:contextualSpacing/>
        <w:jc w:val="center"/>
        <w:rPr>
          <w:rFonts w:ascii="仿宋_GB2312" w:eastAsia="仿宋_GB2312"/>
          <w:sz w:val="28"/>
          <w:szCs w:val="28"/>
        </w:rPr>
      </w:pPr>
      <w:r>
        <w:rPr>
          <w:rFonts w:hint="eastAsia" w:ascii="仿宋_GB2312" w:eastAsia="仿宋_GB2312"/>
          <w:sz w:val="28"/>
          <w:szCs w:val="28"/>
        </w:rPr>
        <w:t>中小企业声明函（货物）</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本公司（联合体）郑重声明，根据《政府采购促进中小企业发展管理办法》（财库</w:t>
      </w:r>
      <w:r>
        <w:rPr>
          <w:rFonts w:hint="eastAsia" w:ascii="仿宋_GB2312"/>
          <w:sz w:val="24"/>
          <w:szCs w:val="24"/>
        </w:rPr>
        <w:t>﹝</w:t>
      </w:r>
      <w:r>
        <w:rPr>
          <w:rFonts w:hint="eastAsia" w:ascii="仿宋_GB2312" w:eastAsia="仿宋_GB2312"/>
          <w:sz w:val="24"/>
          <w:szCs w:val="24"/>
        </w:rPr>
        <w:t>2020</w:t>
      </w:r>
      <w:r>
        <w:rPr>
          <w:rFonts w:hint="eastAsia" w:ascii="仿宋_GB2312"/>
          <w:sz w:val="24"/>
          <w:szCs w:val="24"/>
        </w:rPr>
        <w:t>﹞</w:t>
      </w:r>
      <w:r>
        <w:rPr>
          <w:rFonts w:hint="eastAsia" w:ascii="仿宋_GB2312" w:eastAsia="仿宋_GB2312"/>
          <w:sz w:val="24"/>
          <w:szCs w:val="24"/>
        </w:rPr>
        <w:t>46 号）的规定，本公司（联合体）参加 （单位名称） 的 （项目名称） 采购活动，提供的货物全部由符合政策要求的中小企业制造。相关企业（含联合体中的中小企业、签订分包意向协议的中小企业）的具体情况如下：</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1. （标的名称） ，属于 （采购文件中明确的所属行业）行业 ；制造商为 （企业名称） ，从业人员  人，营业收入为  万元，资产总额为   万元，属于 （中型企业、小型企业、微型企业） ；</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2. （标的名称） ，属于 （采购文件中明确的所属行业）行业 ；制造商为 （企业名称） ，从业人员  人，营业收入为  万元，资产总额为   万元，属于 （中型企业、小型企业、微型企业） ；</w:t>
      </w:r>
    </w:p>
    <w:p>
      <w:pPr>
        <w:spacing w:line="500" w:lineRule="exact"/>
        <w:contextualSpacing/>
        <w:rPr>
          <w:rFonts w:ascii="仿宋_GB2312" w:eastAsia="仿宋_GB2312"/>
          <w:sz w:val="24"/>
          <w:szCs w:val="24"/>
        </w:rPr>
      </w:pPr>
      <w:r>
        <w:rPr>
          <w:rFonts w:hint="eastAsia" w:ascii="仿宋_GB2312" w:eastAsia="仿宋_GB2312"/>
          <w:sz w:val="24"/>
          <w:szCs w:val="24"/>
        </w:rPr>
        <w:t>……</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以上企业，不属于大企业的分支机构，不存在控股股东为大企业的情形，也不存在与大企业的负责人为同一人的情形。</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本企业对上述声明内容的真实性负责。如有虚假，将依法承担相应责任。</w:t>
      </w:r>
    </w:p>
    <w:p>
      <w:pPr>
        <w:spacing w:line="500" w:lineRule="exact"/>
        <w:ind w:firstLine="4440" w:firstLineChars="1850"/>
        <w:contextualSpacing/>
        <w:rPr>
          <w:rFonts w:ascii="仿宋_GB2312" w:eastAsia="仿宋_GB2312"/>
          <w:sz w:val="24"/>
          <w:szCs w:val="24"/>
        </w:rPr>
      </w:pPr>
      <w:r>
        <w:rPr>
          <w:rFonts w:hint="eastAsia" w:ascii="仿宋_GB2312" w:eastAsia="仿宋_GB2312"/>
          <w:sz w:val="24"/>
          <w:szCs w:val="24"/>
        </w:rPr>
        <w:t>投标人名称(电子签名)：</w:t>
      </w:r>
    </w:p>
    <w:p>
      <w:pPr>
        <w:spacing w:line="500" w:lineRule="exact"/>
        <w:contextualSpacing/>
        <w:rPr>
          <w:rFonts w:ascii="仿宋_GB2312" w:eastAsia="仿宋_GB2312"/>
          <w:sz w:val="24"/>
          <w:szCs w:val="24"/>
        </w:rPr>
      </w:pPr>
      <w:r>
        <w:rPr>
          <w:rFonts w:hint="eastAsia" w:ascii="仿宋_GB2312" w:eastAsia="仿宋_GB2312"/>
          <w:sz w:val="24"/>
          <w:szCs w:val="24"/>
        </w:rPr>
        <w:t xml:space="preserve">                                           日期：  年  月   日</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从业人员、营业收入、资产总额填报上一年度数据，无上一年度数据的新成立企业可不填报。</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540" w:lineRule="exact"/>
        <w:contextualSpacing/>
        <w:rPr>
          <w:rFonts w:ascii="仿宋_GB2312" w:eastAsia="仿宋_GB2312"/>
          <w:sz w:val="28"/>
          <w:szCs w:val="28"/>
        </w:rPr>
      </w:pPr>
    </w:p>
    <w:p>
      <w:pPr>
        <w:spacing w:line="540" w:lineRule="exact"/>
        <w:contextualSpacing/>
        <w:jc w:val="center"/>
        <w:rPr>
          <w:rFonts w:ascii="仿宋_GB2312" w:eastAsia="仿宋_GB2312"/>
          <w:b/>
          <w:sz w:val="32"/>
          <w:szCs w:val="32"/>
        </w:rPr>
      </w:pPr>
      <w:r>
        <w:rPr>
          <w:rFonts w:hint="eastAsia" w:ascii="仿宋_GB2312" w:eastAsia="仿宋_GB2312"/>
          <w:b/>
          <w:sz w:val="32"/>
          <w:szCs w:val="32"/>
        </w:rPr>
        <w:t>中小企业声明函（工程、服务）</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本公司（联合体）郑重声明，根据《政府采购促进中小企业发展管理办法》（财库</w:t>
      </w:r>
      <w:r>
        <w:rPr>
          <w:rFonts w:hint="eastAsia" w:ascii="仿宋_GB2312"/>
          <w:sz w:val="24"/>
          <w:szCs w:val="24"/>
        </w:rPr>
        <w:t>﹝</w:t>
      </w:r>
      <w:r>
        <w:rPr>
          <w:rFonts w:hint="eastAsia" w:ascii="仿宋_GB2312" w:eastAsia="仿宋_GB2312"/>
          <w:sz w:val="24"/>
          <w:szCs w:val="24"/>
        </w:rPr>
        <w:t>2020</w:t>
      </w:r>
      <w:r>
        <w:rPr>
          <w:rFonts w:hint="eastAsia" w:ascii="仿宋_GB2312"/>
          <w:sz w:val="24"/>
          <w:szCs w:val="24"/>
        </w:rPr>
        <w:t>﹞</w:t>
      </w:r>
      <w:r>
        <w:rPr>
          <w:rFonts w:hint="eastAsia" w:ascii="仿宋_GB2312" w:eastAsia="仿宋_GB2312"/>
          <w:sz w:val="24"/>
          <w:szCs w:val="24"/>
        </w:rPr>
        <w:t>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1. 物业管理服务，属于物业管理行业；承建（承接）企业为 （企业名称） ，从业人员   人，营业收入为  万元，资产总额为   万元属于 （中型企业、小型企业、微型企业） ；</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2. （标的名称），属于 （采购文件中明确的所属行业） ；承建（承接）企业为 （企业名称） ，从业人员   人，营业收入为  万元，资产总额为   万元属于 （中型企业、小型企业、微型企业） ；</w:t>
      </w:r>
    </w:p>
    <w:p>
      <w:pPr>
        <w:spacing w:line="500" w:lineRule="exact"/>
        <w:contextualSpacing/>
        <w:rPr>
          <w:rFonts w:ascii="仿宋_GB2312" w:eastAsia="仿宋_GB2312"/>
          <w:sz w:val="24"/>
          <w:szCs w:val="24"/>
        </w:rPr>
      </w:pPr>
      <w:r>
        <w:rPr>
          <w:rFonts w:hint="eastAsia" w:ascii="仿宋_GB2312" w:eastAsia="仿宋_GB2312"/>
          <w:sz w:val="24"/>
          <w:szCs w:val="24"/>
        </w:rPr>
        <w:t>……</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以上企业，不属于大企业的分支机构，不存在控股股东为大企业的情形，也不存在与大企业的负责人为同一人的情形。</w:t>
      </w:r>
    </w:p>
    <w:p>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本企业对上述声明内容的真实性负责。如有虚假，将依法承担相应责任。</w:t>
      </w:r>
    </w:p>
    <w:p>
      <w:pPr>
        <w:spacing w:line="500" w:lineRule="exact"/>
        <w:ind w:firstLine="4680" w:firstLineChars="1950"/>
        <w:contextualSpacing/>
        <w:rPr>
          <w:rFonts w:ascii="仿宋_GB2312" w:eastAsia="仿宋_GB2312"/>
          <w:sz w:val="24"/>
          <w:szCs w:val="24"/>
        </w:rPr>
      </w:pPr>
    </w:p>
    <w:p>
      <w:pPr>
        <w:spacing w:line="500" w:lineRule="exact"/>
        <w:ind w:firstLine="4680" w:firstLineChars="1950"/>
        <w:contextualSpacing/>
        <w:rPr>
          <w:rFonts w:ascii="仿宋_GB2312" w:eastAsia="仿宋_GB2312"/>
          <w:sz w:val="24"/>
          <w:szCs w:val="24"/>
        </w:rPr>
      </w:pPr>
    </w:p>
    <w:p>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pPr>
        <w:spacing w:line="500" w:lineRule="exact"/>
        <w:ind w:firstLine="5520" w:firstLineChars="2300"/>
        <w:contextualSpacing/>
        <w:rPr>
          <w:rFonts w:ascii="仿宋_GB2312" w:eastAsia="仿宋_GB2312"/>
          <w:sz w:val="24"/>
          <w:szCs w:val="24"/>
        </w:rPr>
      </w:pPr>
      <w:r>
        <w:rPr>
          <w:rFonts w:hint="eastAsia" w:ascii="仿宋_GB2312" w:eastAsia="仿宋_GB2312"/>
          <w:sz w:val="24"/>
          <w:szCs w:val="24"/>
        </w:rPr>
        <w:t>日 期：</w:t>
      </w:r>
    </w:p>
    <w:p>
      <w:pPr>
        <w:spacing w:line="460" w:lineRule="exact"/>
        <w:contextualSpacing/>
        <w:rPr>
          <w:rFonts w:ascii="仿宋_GB2312" w:eastAsia="仿宋_GB2312"/>
          <w:sz w:val="24"/>
          <w:szCs w:val="24"/>
        </w:rPr>
      </w:pPr>
      <w:r>
        <w:rPr>
          <w:rFonts w:hint="eastAsia" w:ascii="仿宋_GB2312" w:eastAsia="仿宋_GB2312"/>
          <w:sz w:val="24"/>
          <w:szCs w:val="24"/>
        </w:rPr>
        <w:t>从业人员、营业收入、资产总额填报上一年度数据，无上一年度数据的新成立企业可不填报。</w:t>
      </w:r>
    </w:p>
    <w:p>
      <w:pPr>
        <w:spacing w:line="460" w:lineRule="exact"/>
        <w:contextualSpacing/>
        <w:rPr>
          <w:rFonts w:ascii="仿宋_GB2312" w:eastAsia="仿宋_GB2312"/>
          <w:sz w:val="24"/>
          <w:szCs w:val="24"/>
        </w:rPr>
      </w:pPr>
    </w:p>
    <w:p>
      <w:pPr>
        <w:spacing w:line="460" w:lineRule="exact"/>
        <w:contextualSpacing/>
        <w:rPr>
          <w:rFonts w:ascii="仿宋_GB2312" w:eastAsia="仿宋_GB2312"/>
          <w:sz w:val="24"/>
          <w:szCs w:val="24"/>
        </w:rPr>
      </w:pPr>
      <w:r>
        <w:rPr>
          <w:rFonts w:hint="eastAsia" w:ascii="仿宋_GB2312" w:eastAsia="仿宋_GB2312"/>
          <w:sz w:val="24"/>
          <w:szCs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540" w:lineRule="exact"/>
        <w:contextualSpacing/>
        <w:jc w:val="center"/>
        <w:rPr>
          <w:rFonts w:ascii="仿宋_GB2312" w:eastAsia="仿宋_GB2312"/>
          <w:b/>
          <w:sz w:val="32"/>
          <w:szCs w:val="32"/>
        </w:rPr>
      </w:pPr>
      <w:r>
        <w:rPr>
          <w:rFonts w:hint="eastAsia" w:ascii="仿宋_GB2312" w:eastAsia="仿宋_GB2312"/>
          <w:b/>
          <w:sz w:val="32"/>
          <w:szCs w:val="32"/>
        </w:rPr>
        <w:t>政  采  贷</w:t>
      </w:r>
    </w:p>
    <w:p>
      <w:pPr>
        <w:spacing w:line="540" w:lineRule="exact"/>
        <w:ind w:firstLine="560" w:firstLineChars="200"/>
        <w:contextualSpacing/>
        <w:rPr>
          <w:rFonts w:ascii="仿宋_GB2312" w:eastAsia="仿宋_GB2312"/>
          <w:sz w:val="28"/>
          <w:szCs w:val="28"/>
        </w:rPr>
      </w:pPr>
      <w:r>
        <w:rPr>
          <w:rFonts w:hint="eastAsia" w:ascii="仿宋_GB2312" w:eastAsia="仿宋_GB2312"/>
          <w:sz w:val="28"/>
          <w:szCs w:val="28"/>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15"/>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984"/>
        <w:gridCol w:w="1847"/>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0" w:type="dxa"/>
            <w:gridSpan w:val="4"/>
          </w:tcPr>
          <w:p>
            <w:pPr>
              <w:spacing w:line="360" w:lineRule="exact"/>
              <w:contextualSpacing/>
              <w:rPr>
                <w:rFonts w:ascii="仿宋_GB2312" w:eastAsia="仿宋_GB2312"/>
                <w:sz w:val="24"/>
                <w:szCs w:val="24"/>
              </w:rPr>
            </w:pPr>
            <w:r>
              <w:rPr>
                <w:rFonts w:hint="eastAsia" w:ascii="仿宋_GB2312" w:eastAsia="仿宋_GB2312"/>
                <w:sz w:val="24"/>
                <w:szCs w:val="24"/>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984" w:type="dxa"/>
            <w:vAlign w:val="center"/>
          </w:tcPr>
          <w:p>
            <w:pPr>
              <w:spacing w:line="440" w:lineRule="exact"/>
              <w:contextualSpacing/>
              <w:jc w:val="center"/>
              <w:rPr>
                <w:rFonts w:ascii="仿宋_GB2312" w:eastAsia="仿宋_GB2312"/>
                <w:sz w:val="24"/>
                <w:szCs w:val="24"/>
              </w:rPr>
            </w:pPr>
            <w:r>
              <w:rPr>
                <w:rFonts w:hint="eastAsia" w:ascii="仿宋_GB2312" w:eastAsia="仿宋_GB2312"/>
                <w:sz w:val="24"/>
                <w:szCs w:val="24"/>
              </w:rPr>
              <w:t>银行名称</w:t>
            </w:r>
          </w:p>
        </w:tc>
        <w:tc>
          <w:tcPr>
            <w:tcW w:w="3984" w:type="dxa"/>
            <w:vAlign w:val="center"/>
          </w:tcPr>
          <w:p>
            <w:pPr>
              <w:spacing w:line="360" w:lineRule="exact"/>
              <w:contextualSpacing/>
              <w:jc w:val="center"/>
              <w:rPr>
                <w:rFonts w:ascii="仿宋_GB2312" w:eastAsia="仿宋_GB2312"/>
                <w:sz w:val="24"/>
                <w:szCs w:val="24"/>
              </w:rPr>
            </w:pPr>
            <w:r>
              <w:rPr>
                <w:rFonts w:hint="eastAsia" w:ascii="仿宋_GB2312" w:eastAsia="仿宋_GB2312"/>
                <w:sz w:val="24"/>
                <w:szCs w:val="24"/>
              </w:rPr>
              <w:t>产品特点</w:t>
            </w:r>
          </w:p>
        </w:tc>
        <w:tc>
          <w:tcPr>
            <w:tcW w:w="1847" w:type="dxa"/>
            <w:vAlign w:val="center"/>
          </w:tcPr>
          <w:p>
            <w:pPr>
              <w:spacing w:line="440" w:lineRule="exact"/>
              <w:contextualSpacing/>
              <w:jc w:val="center"/>
              <w:rPr>
                <w:rFonts w:ascii="仿宋_GB2312" w:eastAsia="仿宋_GB2312"/>
                <w:sz w:val="24"/>
                <w:szCs w:val="24"/>
              </w:rPr>
            </w:pPr>
            <w:r>
              <w:rPr>
                <w:rFonts w:hint="eastAsia" w:ascii="仿宋_GB2312" w:eastAsia="仿宋_GB2312"/>
                <w:sz w:val="24"/>
                <w:szCs w:val="24"/>
              </w:rPr>
              <w:t>经办人</w:t>
            </w:r>
          </w:p>
        </w:tc>
        <w:tc>
          <w:tcPr>
            <w:tcW w:w="1575" w:type="dxa"/>
            <w:vAlign w:val="center"/>
          </w:tcPr>
          <w:p>
            <w:pPr>
              <w:spacing w:line="440" w:lineRule="exact"/>
              <w:contextualSpacing/>
              <w:jc w:val="center"/>
              <w:rPr>
                <w:rFonts w:ascii="仿宋_GB2312" w:eastAsia="仿宋_GB2312"/>
                <w:sz w:val="24"/>
                <w:szCs w:val="24"/>
              </w:rPr>
            </w:pPr>
            <w:r>
              <w:rPr>
                <w:rFonts w:hint="eastAsia" w:ascii="仿宋_GB2312" w:eastAsia="仿宋_GB2312"/>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spacing w:line="440" w:lineRule="exact"/>
              <w:contextualSpacing/>
              <w:rPr>
                <w:rFonts w:ascii="仿宋_GB2312" w:eastAsia="仿宋_GB2312"/>
                <w:sz w:val="24"/>
                <w:szCs w:val="24"/>
              </w:rPr>
            </w:pPr>
            <w:r>
              <w:rPr>
                <w:rFonts w:hint="eastAsia" w:ascii="仿宋_GB2312" w:eastAsia="仿宋_GB2312"/>
                <w:sz w:val="24"/>
                <w:szCs w:val="24"/>
              </w:rPr>
              <w:t>中国工商银行股份有限公司舟山分行</w:t>
            </w:r>
          </w:p>
        </w:tc>
        <w:tc>
          <w:tcPr>
            <w:tcW w:w="3984" w:type="dxa"/>
          </w:tcPr>
          <w:p>
            <w:pPr>
              <w:spacing w:line="360" w:lineRule="exact"/>
              <w:contextualSpacing/>
              <w:rPr>
                <w:rFonts w:ascii="仿宋_GB2312" w:eastAsia="仿宋_GB2312"/>
                <w:sz w:val="24"/>
                <w:szCs w:val="24"/>
              </w:rPr>
            </w:pPr>
            <w:r>
              <w:rPr>
                <w:rFonts w:hint="eastAsia" w:ascii="仿宋_GB2312" w:eastAsia="仿宋_GB2312"/>
                <w:sz w:val="24"/>
                <w:szCs w:val="24"/>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847" w:type="dxa"/>
            <w:vAlign w:val="center"/>
          </w:tcPr>
          <w:p>
            <w:pPr>
              <w:spacing w:line="440" w:lineRule="exact"/>
              <w:contextualSpacing/>
              <w:jc w:val="center"/>
              <w:rPr>
                <w:rFonts w:ascii="仿宋_GB2312" w:eastAsia="仿宋_GB2312"/>
                <w:sz w:val="24"/>
                <w:szCs w:val="24"/>
              </w:rPr>
            </w:pPr>
            <w:r>
              <w:rPr>
                <w:rFonts w:hint="eastAsia" w:ascii="仿宋_GB2312" w:eastAsia="仿宋_GB2312"/>
                <w:sz w:val="24"/>
                <w:szCs w:val="24"/>
              </w:rPr>
              <w:t>柳超颖</w:t>
            </w:r>
          </w:p>
        </w:tc>
        <w:tc>
          <w:tcPr>
            <w:tcW w:w="1575" w:type="dxa"/>
            <w:vAlign w:val="center"/>
          </w:tcPr>
          <w:p>
            <w:pPr>
              <w:spacing w:line="440" w:lineRule="exact"/>
              <w:contextualSpacing/>
              <w:rPr>
                <w:rFonts w:ascii="仿宋_GB2312" w:eastAsia="仿宋_GB2312"/>
                <w:szCs w:val="21"/>
              </w:rPr>
            </w:pPr>
            <w:r>
              <w:rPr>
                <w:rFonts w:hint="eastAsia" w:ascii="仿宋_GB2312" w:eastAsia="仿宋_GB2312"/>
                <w:szCs w:val="21"/>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84" w:type="dxa"/>
            <w:vAlign w:val="center"/>
          </w:tcPr>
          <w:p>
            <w:pPr>
              <w:spacing w:line="440" w:lineRule="exact"/>
              <w:contextualSpacing/>
              <w:rPr>
                <w:rFonts w:ascii="仿宋_GB2312" w:eastAsia="仿宋_GB2312"/>
                <w:sz w:val="24"/>
                <w:szCs w:val="24"/>
              </w:rPr>
            </w:pPr>
            <w:r>
              <w:rPr>
                <w:rFonts w:hint="eastAsia" w:ascii="仿宋_GB2312" w:eastAsia="仿宋_GB2312"/>
                <w:sz w:val="24"/>
                <w:szCs w:val="24"/>
              </w:rPr>
              <w:t>中国建设银行股份有限公司舟山分行</w:t>
            </w:r>
          </w:p>
        </w:tc>
        <w:tc>
          <w:tcPr>
            <w:tcW w:w="3984" w:type="dxa"/>
          </w:tcPr>
          <w:p>
            <w:pPr>
              <w:spacing w:line="360" w:lineRule="exact"/>
              <w:contextualSpacing/>
              <w:rPr>
                <w:rFonts w:ascii="仿宋_GB2312" w:eastAsia="仿宋_GB2312"/>
                <w:sz w:val="24"/>
                <w:szCs w:val="24"/>
              </w:rPr>
            </w:pPr>
            <w:r>
              <w:rPr>
                <w:rFonts w:hint="eastAsia" w:ascii="仿宋_GB2312" w:eastAsia="仿宋_GB2312"/>
                <w:sz w:val="24"/>
                <w:szCs w:val="24"/>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847" w:type="dxa"/>
            <w:vAlign w:val="center"/>
          </w:tcPr>
          <w:p>
            <w:pPr>
              <w:spacing w:line="440" w:lineRule="exact"/>
              <w:contextualSpacing/>
              <w:jc w:val="center"/>
              <w:rPr>
                <w:rFonts w:ascii="仿宋_GB2312" w:eastAsia="仿宋_GB2312"/>
                <w:sz w:val="24"/>
                <w:szCs w:val="24"/>
              </w:rPr>
            </w:pPr>
            <w:r>
              <w:rPr>
                <w:rFonts w:hint="eastAsia" w:ascii="仿宋_GB2312" w:eastAsia="仿宋_GB2312"/>
                <w:sz w:val="24"/>
                <w:szCs w:val="24"/>
              </w:rPr>
              <w:t>普陀片区：蔡妮妮</w:t>
            </w:r>
          </w:p>
          <w:p>
            <w:pPr>
              <w:spacing w:line="440" w:lineRule="exact"/>
              <w:contextualSpacing/>
              <w:jc w:val="center"/>
              <w:rPr>
                <w:rFonts w:ascii="仿宋_GB2312" w:eastAsia="仿宋_GB2312"/>
                <w:sz w:val="24"/>
                <w:szCs w:val="24"/>
              </w:rPr>
            </w:pPr>
            <w:r>
              <w:rPr>
                <w:rFonts w:hint="eastAsia" w:ascii="仿宋_GB2312" w:eastAsia="仿宋_GB2312"/>
                <w:sz w:val="24"/>
                <w:szCs w:val="24"/>
              </w:rPr>
              <w:t>定海片区：杨莹</w:t>
            </w:r>
          </w:p>
          <w:p>
            <w:pPr>
              <w:spacing w:line="440" w:lineRule="exact"/>
              <w:contextualSpacing/>
              <w:jc w:val="center"/>
              <w:rPr>
                <w:rFonts w:ascii="仿宋_GB2312" w:eastAsia="仿宋_GB2312"/>
                <w:sz w:val="24"/>
                <w:szCs w:val="24"/>
              </w:rPr>
            </w:pPr>
            <w:r>
              <w:rPr>
                <w:rFonts w:hint="eastAsia" w:ascii="仿宋_GB2312" w:eastAsia="仿宋_GB2312"/>
                <w:sz w:val="24"/>
                <w:szCs w:val="24"/>
              </w:rPr>
              <w:t>自贸区片区：郑佳奇</w:t>
            </w:r>
          </w:p>
        </w:tc>
        <w:tc>
          <w:tcPr>
            <w:tcW w:w="1575" w:type="dxa"/>
            <w:vAlign w:val="center"/>
          </w:tcPr>
          <w:p>
            <w:pPr>
              <w:spacing w:line="440" w:lineRule="exact"/>
              <w:contextualSpacing/>
              <w:rPr>
                <w:rFonts w:ascii="仿宋_GB2312" w:eastAsia="仿宋_GB2312"/>
                <w:szCs w:val="21"/>
              </w:rPr>
            </w:pPr>
            <w:r>
              <w:rPr>
                <w:rFonts w:hint="eastAsia" w:ascii="仿宋_GB2312" w:eastAsia="仿宋_GB2312"/>
                <w:szCs w:val="21"/>
              </w:rPr>
              <w:t>普陀片区：13957201791</w:t>
            </w:r>
          </w:p>
          <w:p>
            <w:pPr>
              <w:spacing w:line="440" w:lineRule="exact"/>
              <w:contextualSpacing/>
              <w:rPr>
                <w:rFonts w:ascii="仿宋_GB2312" w:eastAsia="仿宋_GB2312"/>
                <w:szCs w:val="21"/>
              </w:rPr>
            </w:pPr>
            <w:r>
              <w:rPr>
                <w:rFonts w:hint="eastAsia" w:ascii="仿宋_GB2312" w:eastAsia="仿宋_GB2312"/>
                <w:szCs w:val="21"/>
              </w:rPr>
              <w:t>定海片区：13655803997</w:t>
            </w:r>
          </w:p>
          <w:p>
            <w:pPr>
              <w:spacing w:line="440" w:lineRule="exact"/>
              <w:contextualSpacing/>
              <w:rPr>
                <w:rFonts w:ascii="仿宋_GB2312" w:eastAsia="仿宋_GB2312"/>
                <w:szCs w:val="21"/>
              </w:rPr>
            </w:pPr>
            <w:r>
              <w:rPr>
                <w:rFonts w:hint="eastAsia" w:ascii="仿宋_GB2312" w:eastAsia="仿宋_GB2312"/>
                <w:szCs w:val="21"/>
              </w:rPr>
              <w:t>自贸区片区：13857208408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spacing w:line="440" w:lineRule="exact"/>
              <w:contextualSpacing/>
              <w:rPr>
                <w:rFonts w:ascii="仿宋_GB2312" w:eastAsia="仿宋_GB2312"/>
                <w:sz w:val="24"/>
                <w:szCs w:val="24"/>
              </w:rPr>
            </w:pPr>
            <w:r>
              <w:rPr>
                <w:rFonts w:hint="eastAsia" w:ascii="仿宋_GB2312" w:eastAsia="仿宋_GB2312"/>
                <w:sz w:val="24"/>
                <w:szCs w:val="24"/>
              </w:rPr>
              <w:t>杭州银行股份有限公司舟山市分行</w:t>
            </w:r>
          </w:p>
        </w:tc>
        <w:tc>
          <w:tcPr>
            <w:tcW w:w="3984" w:type="dxa"/>
          </w:tcPr>
          <w:p>
            <w:pPr>
              <w:spacing w:line="360" w:lineRule="exact"/>
              <w:contextualSpacing/>
              <w:rPr>
                <w:rFonts w:ascii="仿宋_GB2312" w:eastAsia="仿宋_GB2312"/>
                <w:sz w:val="24"/>
                <w:szCs w:val="24"/>
              </w:rPr>
            </w:pPr>
            <w:r>
              <w:rPr>
                <w:rFonts w:hint="eastAsia" w:ascii="仿宋_GB2312" w:eastAsia="仿宋_GB2312"/>
                <w:sz w:val="24"/>
                <w:szCs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847" w:type="dxa"/>
            <w:vAlign w:val="center"/>
          </w:tcPr>
          <w:p>
            <w:pPr>
              <w:spacing w:line="440" w:lineRule="exact"/>
              <w:contextualSpacing/>
              <w:jc w:val="center"/>
              <w:rPr>
                <w:rFonts w:ascii="仿宋_GB2312" w:eastAsia="仿宋_GB2312"/>
                <w:sz w:val="24"/>
                <w:szCs w:val="24"/>
              </w:rPr>
            </w:pPr>
            <w:r>
              <w:rPr>
                <w:rFonts w:hint="eastAsia" w:ascii="仿宋_GB2312" w:eastAsia="仿宋_GB2312"/>
                <w:sz w:val="24"/>
                <w:szCs w:val="24"/>
              </w:rPr>
              <w:t>方经理</w:t>
            </w:r>
          </w:p>
        </w:tc>
        <w:tc>
          <w:tcPr>
            <w:tcW w:w="1575" w:type="dxa"/>
            <w:vAlign w:val="center"/>
          </w:tcPr>
          <w:p>
            <w:pPr>
              <w:spacing w:line="440" w:lineRule="exact"/>
              <w:contextualSpacing/>
              <w:rPr>
                <w:rFonts w:ascii="仿宋_GB2312" w:eastAsia="仿宋_GB2312"/>
                <w:szCs w:val="21"/>
              </w:rPr>
            </w:pPr>
            <w:r>
              <w:rPr>
                <w:rFonts w:hint="eastAsia" w:ascii="仿宋_GB2312" w:eastAsia="仿宋_GB2312"/>
                <w:szCs w:val="21"/>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spacing w:line="440" w:lineRule="exact"/>
              <w:contextualSpacing/>
              <w:rPr>
                <w:rFonts w:ascii="仿宋_GB2312" w:eastAsia="仿宋_GB2312"/>
                <w:sz w:val="24"/>
                <w:szCs w:val="24"/>
              </w:rPr>
            </w:pPr>
            <w:r>
              <w:rPr>
                <w:rFonts w:hint="eastAsia" w:ascii="仿宋_GB2312" w:eastAsia="仿宋_GB2312"/>
                <w:sz w:val="24"/>
                <w:szCs w:val="24"/>
              </w:rPr>
              <w:t>招商银行股份有限公司浙江自贸试验区舟山分行</w:t>
            </w:r>
          </w:p>
        </w:tc>
        <w:tc>
          <w:tcPr>
            <w:tcW w:w="3984" w:type="dxa"/>
          </w:tcPr>
          <w:p>
            <w:pPr>
              <w:spacing w:line="360" w:lineRule="exact"/>
              <w:contextualSpacing/>
              <w:rPr>
                <w:rFonts w:ascii="仿宋_GB2312" w:eastAsia="仿宋_GB2312"/>
                <w:sz w:val="24"/>
                <w:szCs w:val="24"/>
              </w:rPr>
            </w:pPr>
            <w:r>
              <w:rPr>
                <w:rFonts w:hint="eastAsia" w:ascii="仿宋_GB2312" w:eastAsia="仿宋_GB2312"/>
                <w:sz w:val="24"/>
                <w:szCs w:val="24"/>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847" w:type="dxa"/>
            <w:vAlign w:val="center"/>
          </w:tcPr>
          <w:p>
            <w:pPr>
              <w:spacing w:line="440" w:lineRule="exact"/>
              <w:contextualSpacing/>
              <w:jc w:val="center"/>
              <w:rPr>
                <w:rFonts w:ascii="仿宋_GB2312" w:eastAsia="仿宋_GB2312"/>
                <w:sz w:val="24"/>
                <w:szCs w:val="24"/>
              </w:rPr>
            </w:pPr>
            <w:r>
              <w:rPr>
                <w:rFonts w:hint="eastAsia" w:ascii="仿宋_GB2312" w:eastAsia="仿宋_GB2312"/>
                <w:sz w:val="24"/>
                <w:szCs w:val="24"/>
              </w:rPr>
              <w:t>李玲</w:t>
            </w:r>
          </w:p>
        </w:tc>
        <w:tc>
          <w:tcPr>
            <w:tcW w:w="1575" w:type="dxa"/>
            <w:vAlign w:val="center"/>
          </w:tcPr>
          <w:p>
            <w:pPr>
              <w:spacing w:line="440" w:lineRule="exact"/>
              <w:contextualSpacing/>
              <w:rPr>
                <w:rFonts w:ascii="仿宋_GB2312" w:eastAsia="仿宋_GB2312"/>
                <w:szCs w:val="21"/>
              </w:rPr>
            </w:pPr>
            <w:r>
              <w:rPr>
                <w:rFonts w:hint="eastAsia" w:ascii="仿宋_GB2312" w:eastAsia="仿宋_GB2312"/>
                <w:szCs w:val="21"/>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984" w:type="dxa"/>
            <w:vAlign w:val="center"/>
          </w:tcPr>
          <w:p>
            <w:pPr>
              <w:spacing w:line="440" w:lineRule="exact"/>
              <w:contextualSpacing/>
              <w:rPr>
                <w:rFonts w:ascii="仿宋_GB2312" w:eastAsia="仿宋_GB2312"/>
                <w:sz w:val="24"/>
                <w:szCs w:val="24"/>
              </w:rPr>
            </w:pPr>
            <w:r>
              <w:rPr>
                <w:rFonts w:hint="eastAsia" w:ascii="仿宋_GB2312" w:eastAsia="仿宋_GB2312"/>
                <w:sz w:val="24"/>
                <w:szCs w:val="24"/>
              </w:rPr>
              <w:t>温州银行股份有限公司舟山市分行</w:t>
            </w:r>
          </w:p>
        </w:tc>
        <w:tc>
          <w:tcPr>
            <w:tcW w:w="3984" w:type="dxa"/>
          </w:tcPr>
          <w:p>
            <w:pPr>
              <w:spacing w:line="360" w:lineRule="exact"/>
              <w:contextualSpacing/>
              <w:rPr>
                <w:rFonts w:ascii="仿宋_GB2312" w:eastAsia="仿宋_GB2312"/>
                <w:sz w:val="24"/>
                <w:szCs w:val="24"/>
              </w:rPr>
            </w:pPr>
            <w:r>
              <w:rPr>
                <w:rFonts w:hint="eastAsia" w:ascii="仿宋_GB2312" w:eastAsia="仿宋_GB2312"/>
                <w:sz w:val="24"/>
                <w:szCs w:val="24"/>
              </w:rPr>
              <w:t>“政采订单贷” ：单户授信最高为500万，单笔申请最高可按中标金额0.8折，贷款期限最少三个月、最长一年，可通过政采云平台向本行发起政采订单贷业务申请</w:t>
            </w:r>
          </w:p>
        </w:tc>
        <w:tc>
          <w:tcPr>
            <w:tcW w:w="1847" w:type="dxa"/>
            <w:vAlign w:val="center"/>
          </w:tcPr>
          <w:p>
            <w:pPr>
              <w:spacing w:line="440" w:lineRule="exact"/>
              <w:contextualSpacing/>
              <w:jc w:val="center"/>
              <w:rPr>
                <w:rFonts w:ascii="仿宋_GB2312" w:eastAsia="仿宋_GB2312"/>
                <w:sz w:val="24"/>
                <w:szCs w:val="24"/>
              </w:rPr>
            </w:pPr>
            <w:r>
              <w:rPr>
                <w:rFonts w:hint="eastAsia" w:ascii="仿宋_GB2312" w:eastAsia="仿宋_GB2312"/>
                <w:sz w:val="24"/>
                <w:szCs w:val="24"/>
              </w:rPr>
              <w:t>郑贤栋</w:t>
            </w:r>
          </w:p>
        </w:tc>
        <w:tc>
          <w:tcPr>
            <w:tcW w:w="1575" w:type="dxa"/>
            <w:vAlign w:val="center"/>
          </w:tcPr>
          <w:p>
            <w:pPr>
              <w:spacing w:line="440" w:lineRule="exact"/>
              <w:contextualSpacing/>
              <w:rPr>
                <w:rFonts w:ascii="仿宋_GB2312" w:eastAsia="仿宋_GB2312"/>
                <w:szCs w:val="21"/>
              </w:rPr>
            </w:pPr>
            <w:r>
              <w:rPr>
                <w:rFonts w:hint="eastAsia" w:ascii="仿宋_GB2312" w:eastAsia="仿宋_GB2312"/>
                <w:szCs w:val="21"/>
              </w:rPr>
              <w:t>058—8866086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spacing w:line="440" w:lineRule="exact"/>
              <w:contextualSpacing/>
              <w:rPr>
                <w:rFonts w:ascii="仿宋_GB2312" w:eastAsia="仿宋_GB2312"/>
                <w:sz w:val="24"/>
                <w:szCs w:val="24"/>
              </w:rPr>
            </w:pPr>
            <w:r>
              <w:rPr>
                <w:rFonts w:hint="eastAsia" w:ascii="仿宋_GB2312" w:eastAsia="仿宋_GB2312"/>
                <w:sz w:val="24"/>
                <w:szCs w:val="24"/>
              </w:rPr>
              <w:t>交通银行股份有限公司舟山分行</w:t>
            </w:r>
          </w:p>
        </w:tc>
        <w:tc>
          <w:tcPr>
            <w:tcW w:w="3984" w:type="dxa"/>
          </w:tcPr>
          <w:p>
            <w:pPr>
              <w:spacing w:line="360" w:lineRule="exact"/>
              <w:contextualSpacing/>
              <w:rPr>
                <w:rFonts w:ascii="仿宋_GB2312" w:eastAsia="仿宋_GB2312"/>
                <w:sz w:val="24"/>
                <w:szCs w:val="24"/>
              </w:rPr>
            </w:pPr>
            <w:r>
              <w:rPr>
                <w:rFonts w:hint="eastAsia" w:ascii="仿宋_GB2312" w:eastAsia="仿宋_GB2312"/>
                <w:sz w:val="24"/>
                <w:szCs w:val="24"/>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847" w:type="dxa"/>
            <w:vAlign w:val="center"/>
          </w:tcPr>
          <w:p>
            <w:pPr>
              <w:spacing w:line="440" w:lineRule="exact"/>
              <w:contextualSpacing/>
              <w:jc w:val="center"/>
              <w:rPr>
                <w:rFonts w:ascii="仿宋_GB2312" w:eastAsia="仿宋_GB2312"/>
                <w:sz w:val="24"/>
                <w:szCs w:val="24"/>
              </w:rPr>
            </w:pPr>
            <w:r>
              <w:rPr>
                <w:rFonts w:hint="eastAsia" w:ascii="仿宋_GB2312" w:eastAsia="仿宋_GB2312"/>
                <w:sz w:val="24"/>
                <w:szCs w:val="24"/>
              </w:rPr>
              <w:t>赵争艳</w:t>
            </w:r>
          </w:p>
        </w:tc>
        <w:tc>
          <w:tcPr>
            <w:tcW w:w="1575" w:type="dxa"/>
            <w:vAlign w:val="center"/>
          </w:tcPr>
          <w:p>
            <w:pPr>
              <w:spacing w:line="440" w:lineRule="exact"/>
              <w:contextualSpacing/>
              <w:rPr>
                <w:rFonts w:ascii="仿宋_GB2312" w:eastAsia="仿宋_GB2312"/>
                <w:szCs w:val="21"/>
              </w:rPr>
            </w:pPr>
            <w:r>
              <w:rPr>
                <w:rFonts w:hint="eastAsia" w:ascii="仿宋_GB2312" w:eastAsia="仿宋_GB2312"/>
                <w:szCs w:val="21"/>
              </w:rPr>
              <w:t>0580-2260728</w:t>
            </w:r>
          </w:p>
          <w:p>
            <w:pPr>
              <w:spacing w:line="440" w:lineRule="exact"/>
              <w:contextualSpacing/>
              <w:rPr>
                <w:rFonts w:ascii="仿宋_GB2312" w:eastAsia="仿宋_GB2312"/>
                <w:szCs w:val="21"/>
              </w:rPr>
            </w:pPr>
            <w:r>
              <w:rPr>
                <w:rFonts w:hint="eastAsia" w:ascii="仿宋_GB2312" w:eastAsia="仿宋_GB2312"/>
                <w:szCs w:val="21"/>
              </w:rPr>
              <w:t>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84" w:type="dxa"/>
            <w:vAlign w:val="center"/>
          </w:tcPr>
          <w:p>
            <w:pPr>
              <w:spacing w:line="440" w:lineRule="exact"/>
              <w:contextualSpacing/>
              <w:rPr>
                <w:rFonts w:ascii="仿宋_GB2312" w:eastAsia="仿宋_GB2312"/>
                <w:sz w:val="24"/>
                <w:szCs w:val="24"/>
              </w:rPr>
            </w:pPr>
            <w:r>
              <w:rPr>
                <w:rFonts w:hint="eastAsia" w:ascii="仿宋_GB2312" w:eastAsia="仿宋_GB2312"/>
                <w:sz w:val="24"/>
                <w:szCs w:val="24"/>
              </w:rPr>
              <w:t>中信银行股份有限公司舟山分行</w:t>
            </w:r>
          </w:p>
        </w:tc>
        <w:tc>
          <w:tcPr>
            <w:tcW w:w="3984" w:type="dxa"/>
          </w:tcPr>
          <w:p>
            <w:pPr>
              <w:spacing w:line="360" w:lineRule="exact"/>
              <w:contextualSpacing/>
              <w:rPr>
                <w:rFonts w:ascii="仿宋_GB2312" w:eastAsia="仿宋_GB2312"/>
                <w:sz w:val="24"/>
                <w:szCs w:val="24"/>
              </w:rPr>
            </w:pPr>
            <w:r>
              <w:rPr>
                <w:rFonts w:hint="eastAsia" w:ascii="仿宋_GB2312" w:eastAsia="仿宋_GB2312"/>
                <w:sz w:val="24"/>
                <w:szCs w:val="24"/>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847" w:type="dxa"/>
            <w:vAlign w:val="center"/>
          </w:tcPr>
          <w:p>
            <w:pPr>
              <w:spacing w:line="440" w:lineRule="exact"/>
              <w:contextualSpacing/>
              <w:jc w:val="center"/>
              <w:rPr>
                <w:rFonts w:ascii="仿宋_GB2312" w:eastAsia="仿宋_GB2312"/>
                <w:sz w:val="24"/>
                <w:szCs w:val="24"/>
              </w:rPr>
            </w:pPr>
            <w:r>
              <w:rPr>
                <w:rFonts w:hint="eastAsia" w:ascii="仿宋_GB2312" w:eastAsia="仿宋_GB2312"/>
                <w:sz w:val="24"/>
                <w:szCs w:val="24"/>
              </w:rPr>
              <w:t>杨莉丹</w:t>
            </w:r>
          </w:p>
        </w:tc>
        <w:tc>
          <w:tcPr>
            <w:tcW w:w="1575" w:type="dxa"/>
            <w:vAlign w:val="center"/>
          </w:tcPr>
          <w:p>
            <w:pPr>
              <w:spacing w:line="440" w:lineRule="exact"/>
              <w:contextualSpacing/>
              <w:rPr>
                <w:rFonts w:ascii="仿宋_GB2312" w:eastAsia="仿宋_GB2312"/>
                <w:szCs w:val="21"/>
              </w:rPr>
            </w:pPr>
            <w:r>
              <w:rPr>
                <w:rFonts w:hint="eastAsia" w:ascii="仿宋_GB2312" w:eastAsia="仿宋_GB2312"/>
                <w:szCs w:val="21"/>
              </w:rPr>
              <w:t>13905809681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84" w:type="dxa"/>
            <w:vAlign w:val="center"/>
          </w:tcPr>
          <w:p>
            <w:pPr>
              <w:spacing w:line="440" w:lineRule="exact"/>
              <w:contextualSpacing/>
              <w:rPr>
                <w:rFonts w:ascii="仿宋_GB2312" w:eastAsia="仿宋_GB2312"/>
                <w:sz w:val="24"/>
                <w:szCs w:val="24"/>
              </w:rPr>
            </w:pPr>
            <w:r>
              <w:rPr>
                <w:rFonts w:hint="eastAsia" w:ascii="仿宋_GB2312" w:eastAsia="仿宋_GB2312"/>
                <w:sz w:val="24"/>
                <w:szCs w:val="24"/>
              </w:rPr>
              <w:t>泰隆银行舟山市分行</w:t>
            </w:r>
          </w:p>
        </w:tc>
        <w:tc>
          <w:tcPr>
            <w:tcW w:w="3984" w:type="dxa"/>
          </w:tcPr>
          <w:p>
            <w:pPr>
              <w:spacing w:line="360" w:lineRule="exact"/>
              <w:contextualSpacing/>
              <w:rPr>
                <w:rFonts w:ascii="仿宋_GB2312" w:eastAsia="仿宋_GB2312"/>
                <w:sz w:val="24"/>
                <w:szCs w:val="24"/>
              </w:rPr>
            </w:pPr>
            <w:r>
              <w:rPr>
                <w:rFonts w:hint="eastAsia" w:ascii="仿宋_GB2312" w:eastAsia="仿宋_GB2312"/>
                <w:sz w:val="24"/>
                <w:szCs w:val="24"/>
              </w:rPr>
              <w:t>符合我行基本准入，期限对照订单最长不超过1年，额度最高1000万，担保方式享受信用贷款执行，可由中标企业或其实际控制人出面申请，利率最低可至当期LPR ，对于合同期限确实超过一年的，可享受无还本续贷至合同付款日。</w:t>
            </w:r>
          </w:p>
        </w:tc>
        <w:tc>
          <w:tcPr>
            <w:tcW w:w="1847" w:type="dxa"/>
            <w:vAlign w:val="center"/>
          </w:tcPr>
          <w:p>
            <w:pPr>
              <w:spacing w:line="440" w:lineRule="exact"/>
              <w:contextualSpacing/>
              <w:jc w:val="center"/>
              <w:rPr>
                <w:rFonts w:ascii="仿宋_GB2312" w:eastAsia="仿宋_GB2312"/>
                <w:sz w:val="24"/>
                <w:szCs w:val="24"/>
              </w:rPr>
            </w:pPr>
            <w:r>
              <w:rPr>
                <w:rFonts w:hint="eastAsia" w:ascii="仿宋_GB2312" w:eastAsia="仿宋_GB2312"/>
                <w:sz w:val="24"/>
                <w:szCs w:val="24"/>
              </w:rPr>
              <w:t>胡亢宇</w:t>
            </w:r>
          </w:p>
        </w:tc>
        <w:tc>
          <w:tcPr>
            <w:tcW w:w="1575" w:type="dxa"/>
            <w:vAlign w:val="center"/>
          </w:tcPr>
          <w:p>
            <w:pPr>
              <w:spacing w:line="440" w:lineRule="exact"/>
              <w:contextualSpacing/>
              <w:rPr>
                <w:rFonts w:ascii="仿宋_GB2312" w:eastAsia="仿宋_GB2312"/>
                <w:szCs w:val="21"/>
              </w:rPr>
            </w:pPr>
            <w:r>
              <w:rPr>
                <w:rFonts w:hint="eastAsia" w:ascii="仿宋_GB2312" w:eastAsia="仿宋_GB2312"/>
                <w:szCs w:val="21"/>
              </w:rPr>
              <w:t>17605868703</w:t>
            </w:r>
          </w:p>
        </w:tc>
      </w:tr>
    </w:tbl>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r>
        <w:rPr>
          <w:rFonts w:hint="eastAsia" w:ascii="仿宋_GB2312" w:eastAsia="仿宋_GB2312"/>
          <w:sz w:val="28"/>
          <w:szCs w:val="28"/>
        </w:rPr>
        <w:t>1. 一般步骤</w:t>
      </w:r>
    </w:p>
    <w:p>
      <w:pPr>
        <w:spacing w:line="540" w:lineRule="exact"/>
        <w:contextualSpacing/>
        <w:rPr>
          <w:rFonts w:ascii="仿宋_GB2312" w:eastAsia="仿宋_GB2312"/>
          <w:sz w:val="28"/>
          <w:szCs w:val="28"/>
        </w:rPr>
      </w:pPr>
      <w:r>
        <w:rPr>
          <w:rFonts w:hint="eastAsia" w:ascii="仿宋_GB2312" w:eastAsia="仿宋_GB2312"/>
          <w:sz w:val="28"/>
          <w:szCs w:val="28"/>
        </w:rPr>
        <w:t>（1）供应商先与银行对接，办理融资前期手续；</w:t>
      </w:r>
    </w:p>
    <w:p>
      <w:pPr>
        <w:spacing w:line="540" w:lineRule="exact"/>
        <w:contextualSpacing/>
        <w:rPr>
          <w:rFonts w:ascii="仿宋_GB2312" w:eastAsia="仿宋_GB2312"/>
          <w:sz w:val="28"/>
          <w:szCs w:val="28"/>
        </w:rPr>
      </w:pPr>
      <w:r>
        <w:rPr>
          <w:rFonts w:hint="eastAsia" w:ascii="仿宋_GB2312" w:eastAsia="仿宋_GB2312"/>
          <w:sz w:val="28"/>
          <w:szCs w:val="28"/>
        </w:rPr>
        <w:t>（2）供应商中标后，凭中标通知书等材料，向相关合作银行发出融资申请；</w:t>
      </w:r>
    </w:p>
    <w:p>
      <w:pPr>
        <w:spacing w:line="540" w:lineRule="exact"/>
        <w:contextualSpacing/>
        <w:rPr>
          <w:rFonts w:ascii="仿宋_GB2312" w:eastAsia="仿宋_GB2312"/>
          <w:sz w:val="28"/>
          <w:szCs w:val="28"/>
        </w:rPr>
      </w:pPr>
      <w:r>
        <w:rPr>
          <w:rFonts w:hint="eastAsia" w:ascii="仿宋_GB2312" w:eastAsia="仿宋_GB2312"/>
          <w:sz w:val="28"/>
          <w:szCs w:val="28"/>
        </w:rPr>
        <w:t>（3）银行、供应商线下办理审批、放贷事宜。</w:t>
      </w:r>
    </w:p>
    <w:p>
      <w:pPr>
        <w:spacing w:line="540" w:lineRule="exact"/>
        <w:contextualSpacing/>
        <w:rPr>
          <w:rFonts w:ascii="仿宋_GB2312" w:eastAsia="仿宋_GB2312"/>
          <w:sz w:val="28"/>
          <w:szCs w:val="28"/>
        </w:rPr>
      </w:pPr>
      <w:r>
        <w:rPr>
          <w:rFonts w:hint="eastAsia" w:ascii="仿宋_GB2312" w:eastAsia="仿宋_GB2312"/>
          <w:sz w:val="28"/>
          <w:szCs w:val="28"/>
        </w:rPr>
        <w:t>2. 注意事项</w:t>
      </w:r>
    </w:p>
    <w:p>
      <w:pPr>
        <w:spacing w:line="540" w:lineRule="exact"/>
        <w:contextualSpacing/>
        <w:rPr>
          <w:rFonts w:ascii="仿宋_GB2312" w:eastAsia="仿宋_GB2312"/>
          <w:sz w:val="28"/>
          <w:szCs w:val="28"/>
        </w:rPr>
      </w:pPr>
      <w:r>
        <w:rPr>
          <w:rFonts w:hint="eastAsia" w:ascii="仿宋_GB2312" w:eastAsia="仿宋_GB2312"/>
          <w:sz w:val="28"/>
          <w:szCs w:val="28"/>
        </w:rPr>
        <w:t>（1）中标供应商需确保政府采购合同的收款账户与融资银行开户账户一致。</w:t>
      </w:r>
    </w:p>
    <w:p>
      <w:pPr>
        <w:spacing w:line="540" w:lineRule="exact"/>
        <w:contextualSpacing/>
        <w:rPr>
          <w:rFonts w:ascii="仿宋_GB2312" w:eastAsia="仿宋_GB2312"/>
          <w:sz w:val="28"/>
          <w:szCs w:val="28"/>
        </w:rPr>
      </w:pPr>
      <w:r>
        <w:rPr>
          <w:rFonts w:hint="eastAsia" w:ascii="仿宋_GB2312" w:eastAsia="仿宋_GB2312"/>
          <w:sz w:val="28"/>
          <w:szCs w:val="28"/>
        </w:rPr>
        <w:t>（2）用于政府采购信用融资的政府采购合同，应当包含如下条款：“第   条：</w:t>
      </w:r>
    </w:p>
    <w:p>
      <w:pPr>
        <w:spacing w:line="540" w:lineRule="exact"/>
        <w:contextualSpacing/>
        <w:rPr>
          <w:rFonts w:ascii="仿宋_GB2312" w:eastAsia="仿宋_GB2312"/>
          <w:sz w:val="28"/>
          <w:szCs w:val="28"/>
        </w:rPr>
      </w:pPr>
      <w:r>
        <w:rPr>
          <w:rFonts w:hint="eastAsia" w:ascii="仿宋_GB2312" w:eastAsia="仿宋_GB2312"/>
          <w:sz w:val="28"/>
          <w:szCs w:val="28"/>
        </w:rPr>
        <w:t>政府采购合同贷款</w:t>
      </w:r>
    </w:p>
    <w:p>
      <w:pPr>
        <w:spacing w:line="540" w:lineRule="exact"/>
        <w:contextualSpacing/>
        <w:rPr>
          <w:rFonts w:ascii="仿宋_GB2312" w:eastAsia="仿宋_GB2312"/>
          <w:sz w:val="28"/>
          <w:szCs w:val="28"/>
        </w:rPr>
      </w:pPr>
      <w:r>
        <w:rPr>
          <w:rFonts w:hint="eastAsia" w:ascii="仿宋_GB2312" w:eastAsia="仿宋_GB2312"/>
          <w:sz w:val="28"/>
          <w:szCs w:val="28"/>
        </w:rPr>
        <w:t>本合同同时用于乙方向      银行（金融机构）申请政府采购信用贷款。</w:t>
      </w:r>
    </w:p>
    <w:p>
      <w:pPr>
        <w:spacing w:line="540" w:lineRule="exact"/>
        <w:contextualSpacing/>
        <w:rPr>
          <w:rFonts w:ascii="仿宋_GB2312" w:eastAsia="仿宋_GB2312"/>
          <w:sz w:val="28"/>
          <w:szCs w:val="28"/>
        </w:rPr>
      </w:pPr>
      <w:r>
        <w:rPr>
          <w:rFonts w:hint="eastAsia" w:ascii="仿宋_GB2312" w:eastAsia="仿宋_GB2312"/>
          <w:sz w:val="28"/>
          <w:szCs w:val="28"/>
        </w:rPr>
        <w:t>本合同一经签订，原则上不得更改乙方收款账户信息。确须更改的，乙方应取得原合同收款账户开户银行书面同意，否则修改后的合同不予备案，采购资金不予支付。”</w:t>
      </w: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p>
      <w:pPr>
        <w:spacing w:line="540" w:lineRule="exact"/>
        <w:contextualSpacing/>
        <w:rPr>
          <w:rFonts w:ascii="仿宋_GB2312" w:eastAsia="仿宋_GB2312"/>
          <w:sz w:val="28"/>
          <w:szCs w:val="28"/>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552296"/>
      <w:docPartObj>
        <w:docPartGallery w:val="autotext"/>
      </w:docPartObj>
    </w:sdtPr>
    <w:sdtContent>
      <w:p>
        <w:pPr>
          <w:pStyle w:val="11"/>
          <w:jc w:val="center"/>
        </w:pPr>
        <w:r>
          <w:fldChar w:fldCharType="begin"/>
        </w:r>
        <w:r>
          <w:instrText xml:space="preserve"> PAGE   \* MERGEFORMAT </w:instrText>
        </w:r>
        <w:r>
          <w:fldChar w:fldCharType="separate"/>
        </w:r>
        <w:r>
          <w:rPr>
            <w:lang w:val="zh-CN"/>
          </w:rPr>
          <w:t>24</w:t>
        </w:r>
        <w:r>
          <w:rPr>
            <w:lang w:val="zh-CN"/>
          </w:rPr>
          <w:fldChar w:fldCharType="end"/>
        </w:r>
      </w:p>
    </w:sdtContent>
  </w:sdt>
  <w:p>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552263"/>
      <w:docPartObj>
        <w:docPartGallery w:val="autotext"/>
      </w:docPartObj>
    </w:sdtPr>
    <w:sdtContent>
      <w:p>
        <w:pPr>
          <w:pStyle w:val="11"/>
          <w:jc w:val="center"/>
        </w:pPr>
        <w:r>
          <w:fldChar w:fldCharType="begin"/>
        </w:r>
        <w:r>
          <w:instrText xml:space="preserve"> PAGE   \* MERGEFORMAT </w:instrText>
        </w:r>
        <w:r>
          <w:fldChar w:fldCharType="separate"/>
        </w:r>
        <w:r>
          <w:rPr>
            <w:lang w:val="zh-CN"/>
          </w:rPr>
          <w:t>67</w:t>
        </w:r>
        <w:r>
          <w:rPr>
            <w:lang w:val="zh-CN"/>
          </w:rPr>
          <w:fldChar w:fldCharType="end"/>
        </w:r>
      </w:p>
    </w:sdtContent>
  </w:sdt>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552267"/>
      <w:docPartObj>
        <w:docPartGallery w:val="autotext"/>
      </w:docPartObj>
    </w:sdtPr>
    <w:sdtContent>
      <w:p>
        <w:pPr>
          <w:pStyle w:val="11"/>
          <w:jc w:val="center"/>
        </w:pPr>
        <w:r>
          <w:fldChar w:fldCharType="begin"/>
        </w:r>
        <w:r>
          <w:instrText xml:space="preserve"> PAGE   \* MERGEFORMAT </w:instrText>
        </w:r>
        <w:r>
          <w:fldChar w:fldCharType="separate"/>
        </w:r>
        <w:r>
          <w:rPr>
            <w:lang w:val="zh-CN"/>
          </w:rPr>
          <w:t>74</w:t>
        </w:r>
        <w:r>
          <w:rPr>
            <w:lang w:val="zh-CN"/>
          </w:rPr>
          <w:fldChar w:fldCharType="end"/>
        </w:r>
      </w:p>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552266"/>
      <w:docPartObj>
        <w:docPartGallery w:val="autotext"/>
      </w:docPartObj>
    </w:sdtPr>
    <w:sdtContent>
      <w:p>
        <w:pPr>
          <w:pStyle w:val="11"/>
          <w:jc w:val="center"/>
        </w:pPr>
        <w:r>
          <w:fldChar w:fldCharType="begin"/>
        </w:r>
        <w:r>
          <w:instrText xml:space="preserve"> PAGE   \* MERGEFORMAT </w:instrText>
        </w:r>
        <w:r>
          <w:fldChar w:fldCharType="separate"/>
        </w:r>
        <w:r>
          <w:rPr>
            <w:lang w:val="zh-CN"/>
          </w:rPr>
          <w:t>72</w:t>
        </w:r>
        <w:r>
          <w:rPr>
            <w:lang w:val="zh-CN"/>
          </w:rPr>
          <w:fldChar w:fldCharType="end"/>
        </w:r>
      </w:p>
    </w:sdtContent>
  </w:sdt>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552311"/>
      <w:docPartObj>
        <w:docPartGallery w:val="autotext"/>
      </w:docPartObj>
    </w:sdtPr>
    <w:sdtContent>
      <w:p>
        <w:pPr>
          <w:pStyle w:val="11"/>
          <w:jc w:val="center"/>
        </w:pPr>
        <w:r>
          <w:fldChar w:fldCharType="begin"/>
        </w:r>
        <w:r>
          <w:instrText xml:space="preserve"> PAGE   \* MERGEFORMAT </w:instrText>
        </w:r>
        <w:r>
          <w:fldChar w:fldCharType="separate"/>
        </w:r>
        <w:r>
          <w:rPr>
            <w:lang w:val="zh-CN"/>
          </w:rPr>
          <w:t>77</w:t>
        </w:r>
        <w:r>
          <w:rPr>
            <w:lang w:val="zh-CN"/>
          </w:rPr>
          <w:fldChar w:fldCharType="end"/>
        </w:r>
      </w:p>
    </w:sdtContent>
  </w:sdt>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w:instrText>
    </w:r>
    <w:r>
      <w:fldChar w:fldCharType="end"/>
    </w:r>
  </w:p>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552268"/>
      <w:docPartObj>
        <w:docPartGallery w:val="autotext"/>
      </w:docPartObj>
    </w:sdtPr>
    <w:sdtContent>
      <w:p>
        <w:pPr>
          <w:pStyle w:val="11"/>
          <w:jc w:val="center"/>
        </w:pPr>
        <w:r>
          <w:fldChar w:fldCharType="begin"/>
        </w:r>
        <w:r>
          <w:instrText xml:space="preserve"> PAGE   \* MERGEFORMAT </w:instrText>
        </w:r>
        <w:r>
          <w:fldChar w:fldCharType="separate"/>
        </w:r>
        <w:r>
          <w:rPr>
            <w:lang w:val="zh-CN"/>
          </w:rPr>
          <w:t>75</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w:instrTex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552290"/>
      <w:docPartObj>
        <w:docPartGallery w:val="autotext"/>
      </w:docPartObj>
    </w:sdtPr>
    <w:sdtContent>
      <w:p>
        <w:pPr>
          <w:pStyle w:val="11"/>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9070"/>
      </w:tabs>
      <w:jc w:val="center"/>
    </w:pP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p>
    <w:pPr>
      <w:pStyle w:val="11"/>
      <w:ind w:right="36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552298"/>
      <w:docPartObj>
        <w:docPartGallery w:val="autotext"/>
      </w:docPartObj>
    </w:sdtPr>
    <w:sdtContent>
      <w:p>
        <w:pPr>
          <w:pStyle w:val="11"/>
          <w:jc w:val="center"/>
        </w:pPr>
        <w:r>
          <w:fldChar w:fldCharType="begin"/>
        </w:r>
        <w:r>
          <w:instrText xml:space="preserve"> PAGE   \* MERGEFORMAT </w:instrText>
        </w:r>
        <w:r>
          <w:fldChar w:fldCharType="separate"/>
        </w:r>
        <w:r>
          <w:rPr>
            <w:lang w:val="zh-CN"/>
          </w:rPr>
          <w:t>50</w:t>
        </w:r>
        <w:r>
          <w:rPr>
            <w:lang w:val="zh-CN"/>
          </w:rPr>
          <w:fldChar w:fldCharType="end"/>
        </w:r>
      </w:p>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552297"/>
      <w:docPartObj>
        <w:docPartGallery w:val="autotext"/>
      </w:docPartObj>
    </w:sdtPr>
    <w:sdtContent>
      <w:p>
        <w:pPr>
          <w:pStyle w:val="11"/>
          <w:jc w:val="center"/>
        </w:pPr>
        <w:r>
          <w:fldChar w:fldCharType="begin"/>
        </w:r>
        <w:r>
          <w:instrText xml:space="preserve"> PAGE   \* MERGEFORMAT </w:instrText>
        </w:r>
        <w:r>
          <w:fldChar w:fldCharType="separate"/>
        </w:r>
        <w:r>
          <w:rPr>
            <w:lang w:val="zh-CN"/>
          </w:rPr>
          <w:t>25</w:t>
        </w:r>
        <w:r>
          <w:rPr>
            <w:lang w:val="zh-CN"/>
          </w:rPr>
          <w:fldChar w:fldCharType="end"/>
        </w:r>
      </w:p>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552264"/>
      <w:docPartObj>
        <w:docPartGallery w:val="autotext"/>
      </w:docPartObj>
    </w:sdtPr>
    <w:sdtContent>
      <w:p>
        <w:pPr>
          <w:pStyle w:val="11"/>
          <w:jc w:val="center"/>
        </w:pPr>
        <w:r>
          <w:fldChar w:fldCharType="begin"/>
        </w:r>
        <w:r>
          <w:instrText xml:space="preserve"> PAGE   \* MERGEFORMAT </w:instrText>
        </w:r>
        <w:r>
          <w:fldChar w:fldCharType="separate"/>
        </w:r>
        <w:r>
          <w:rPr>
            <w:lang w:val="zh-CN"/>
          </w:rPr>
          <w:t>68</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8279"/>
        <w:tab w:val="clear" w:pos="8306"/>
      </w:tabs>
      <w:jc w:val="right"/>
    </w:pPr>
    <w:r>
      <w:rPr>
        <w:rFonts w:hint="eastAsia"/>
        <w:lang w:val="zh-CN"/>
      </w:rPr>
      <w:t xml:space="preserve"> </w:t>
    </w:r>
    <w:r>
      <w:tab/>
    </w:r>
    <w:r>
      <w:rPr>
        <w:rFonts w:hint="eastAsia"/>
        <w:lang w:val="zh-CN"/>
      </w:rPr>
      <w:t xml:space="preserve"> </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2E77B"/>
    <w:multiLevelType w:val="singleLevel"/>
    <w:tmpl w:val="8102E77B"/>
    <w:lvl w:ilvl="0" w:tentative="0">
      <w:start w:val="2"/>
      <w:numFmt w:val="chineseCounting"/>
      <w:lvlText w:val="第%1章"/>
      <w:lvlJc w:val="left"/>
      <w:rPr>
        <w:rFonts w:hint="eastAsia"/>
      </w:rPr>
    </w:lvl>
  </w:abstractNum>
  <w:abstractNum w:abstractNumId="1">
    <w:nsid w:val="A8B12C9D"/>
    <w:multiLevelType w:val="singleLevel"/>
    <w:tmpl w:val="A8B12C9D"/>
    <w:lvl w:ilvl="0" w:tentative="0">
      <w:start w:val="2"/>
      <w:numFmt w:val="chineseCounting"/>
      <w:suff w:val="nothing"/>
      <w:lvlText w:val="（%1）"/>
      <w:lvlJc w:val="left"/>
      <w:rPr>
        <w:rFonts w:hint="eastAsia"/>
      </w:rPr>
    </w:lvl>
  </w:abstractNum>
  <w:abstractNum w:abstractNumId="2">
    <w:nsid w:val="F7DB70A0"/>
    <w:multiLevelType w:val="singleLevel"/>
    <w:tmpl w:val="F7DB70A0"/>
    <w:lvl w:ilvl="0" w:tentative="0">
      <w:start w:val="6"/>
      <w:numFmt w:val="decimal"/>
      <w:suff w:val="space"/>
      <w:lvlText w:val="%1."/>
      <w:lvlJc w:val="left"/>
    </w:lvl>
  </w:abstractNum>
  <w:abstractNum w:abstractNumId="3">
    <w:nsid w:val="FD5C6B00"/>
    <w:multiLevelType w:val="singleLevel"/>
    <w:tmpl w:val="FD5C6B00"/>
    <w:lvl w:ilvl="0" w:tentative="0">
      <w:start w:val="2"/>
      <w:numFmt w:val="decimal"/>
      <w:suff w:val="nothing"/>
      <w:lvlText w:val="（%1）"/>
      <w:lvlJc w:val="left"/>
    </w:lvl>
  </w:abstractNum>
  <w:abstractNum w:abstractNumId="4">
    <w:nsid w:val="FF082303"/>
    <w:multiLevelType w:val="singleLevel"/>
    <w:tmpl w:val="FF082303"/>
    <w:lvl w:ilvl="0" w:tentative="0">
      <w:start w:val="6"/>
      <w:numFmt w:val="decimal"/>
      <w:suff w:val="space"/>
      <w:lvlText w:val="%1."/>
      <w:lvlJc w:val="left"/>
    </w:lvl>
  </w:abstractNum>
  <w:abstractNum w:abstractNumId="5">
    <w:nsid w:val="00000001"/>
    <w:multiLevelType w:val="multilevel"/>
    <w:tmpl w:val="00000001"/>
    <w:lvl w:ilvl="0" w:tentative="0">
      <w:start w:val="1"/>
      <w:numFmt w:val="chineseCounting"/>
      <w:suff w:val="space"/>
      <w:lvlText w:val="%1、"/>
      <w:lvlJc w:val="left"/>
      <w:pPr>
        <w:tabs>
          <w:tab w:val="left" w:pos="420"/>
        </w:tabs>
        <w:ind w:left="425" w:hanging="425"/>
      </w:pPr>
      <w:rPr>
        <w:rFonts w:hint="eastAsia" w:ascii="宋体" w:hAnsi="宋体" w:eastAsia="宋体" w:cs="宋体"/>
      </w:rPr>
    </w:lvl>
    <w:lvl w:ilvl="1" w:tentative="0">
      <w:start w:val="1"/>
      <w:numFmt w:val="decimal"/>
      <w:isLgl/>
      <w:lvlText w:val="%1.%2."/>
      <w:lvlJc w:val="left"/>
      <w:pPr>
        <w:ind w:left="567" w:hanging="567"/>
      </w:pPr>
      <w:rPr>
        <w:rFonts w:hint="eastAsia" w:ascii="宋体" w:hAnsi="宋体" w:eastAsia="宋体" w:cs="宋体"/>
      </w:rPr>
    </w:lvl>
    <w:lvl w:ilvl="2" w:tentative="0">
      <w:start w:val="1"/>
      <w:numFmt w:val="decimal"/>
      <w:isLgl/>
      <w:lvlText w:val="%1.%2.%3."/>
      <w:lvlJc w:val="left"/>
      <w:pPr>
        <w:ind w:left="709" w:hanging="709"/>
      </w:pPr>
      <w:rPr>
        <w:rFonts w:hint="eastAsia" w:ascii="宋体" w:hAnsi="宋体" w:eastAsia="宋体" w:cs="宋体"/>
      </w:rPr>
    </w:lvl>
    <w:lvl w:ilvl="3" w:tentative="0">
      <w:start w:val="1"/>
      <w:numFmt w:val="decimal"/>
      <w:isLgl/>
      <w:lvlText w:val="%1.%2.%3.%4."/>
      <w:lvlJc w:val="left"/>
      <w:pPr>
        <w:ind w:left="850" w:hanging="850"/>
      </w:pPr>
      <w:rPr>
        <w:rFonts w:hint="eastAsia" w:ascii="宋体" w:hAnsi="宋体" w:eastAsia="宋体" w:cs="宋体"/>
      </w:rPr>
    </w:lvl>
    <w:lvl w:ilvl="4" w:tentative="0">
      <w:start w:val="1"/>
      <w:numFmt w:val="decimal"/>
      <w:isLgl/>
      <w:lvlText w:val="%1.%2.%3.%4.%5."/>
      <w:lvlJc w:val="left"/>
      <w:pPr>
        <w:ind w:left="991" w:hanging="991"/>
      </w:pPr>
      <w:rPr>
        <w:rFonts w:hint="eastAsia" w:ascii="宋体" w:hAnsi="宋体" w:eastAsia="宋体" w:cs="宋体"/>
      </w:rPr>
    </w:lvl>
    <w:lvl w:ilvl="5" w:tentative="0">
      <w:start w:val="1"/>
      <w:numFmt w:val="decimal"/>
      <w:isLgl/>
      <w:lvlText w:val="%1.%2.%3.%4.%5.%6."/>
      <w:lvlJc w:val="left"/>
      <w:pPr>
        <w:ind w:left="1134" w:hanging="1134"/>
      </w:pPr>
      <w:rPr>
        <w:rFonts w:hint="eastAsia" w:ascii="宋体" w:hAnsi="宋体" w:eastAsia="宋体" w:cs="宋体"/>
      </w:rPr>
    </w:lvl>
    <w:lvl w:ilvl="6" w:tentative="0">
      <w:start w:val="1"/>
      <w:numFmt w:val="decimal"/>
      <w:isLgl/>
      <w:lvlText w:val="%1.%2.%3.%4.%5.%6.%7."/>
      <w:lvlJc w:val="left"/>
      <w:pPr>
        <w:ind w:left="1275" w:hanging="1275"/>
      </w:pPr>
      <w:rPr>
        <w:rFonts w:hint="eastAsia" w:ascii="宋体" w:hAnsi="宋体" w:eastAsia="宋体" w:cs="宋体"/>
      </w:rPr>
    </w:lvl>
    <w:lvl w:ilvl="7" w:tentative="0">
      <w:start w:val="1"/>
      <w:numFmt w:val="decimal"/>
      <w:isLgl/>
      <w:lvlText w:val="%1.%2.%3.%4.%5.%6.%7.%8."/>
      <w:lvlJc w:val="left"/>
      <w:pPr>
        <w:ind w:left="1418" w:hanging="1418"/>
      </w:pPr>
      <w:rPr>
        <w:rFonts w:hint="eastAsia" w:ascii="宋体" w:hAnsi="宋体" w:eastAsia="宋体" w:cs="宋体"/>
      </w:rPr>
    </w:lvl>
    <w:lvl w:ilvl="8" w:tentative="0">
      <w:start w:val="1"/>
      <w:numFmt w:val="decimal"/>
      <w:isLgl/>
      <w:lvlText w:val="%1.%2.%3.%4.%5.%6.%7.%8.%9."/>
      <w:lvlJc w:val="left"/>
      <w:pPr>
        <w:ind w:left="1558" w:hanging="1558"/>
      </w:pPr>
      <w:rPr>
        <w:rFonts w:hint="eastAsia" w:ascii="宋体" w:hAnsi="宋体" w:eastAsia="宋体" w:cs="宋体"/>
      </w:rPr>
    </w:lvl>
  </w:abstractNum>
  <w:abstractNum w:abstractNumId="6">
    <w:nsid w:val="01960A07"/>
    <w:multiLevelType w:val="multilevel"/>
    <w:tmpl w:val="01960A07"/>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21F1CCF"/>
    <w:multiLevelType w:val="multilevel"/>
    <w:tmpl w:val="021F1CCF"/>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31F75C4"/>
    <w:multiLevelType w:val="multilevel"/>
    <w:tmpl w:val="031F75C4"/>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023CE2"/>
    <w:multiLevelType w:val="multilevel"/>
    <w:tmpl w:val="18023CE2"/>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744EA5"/>
    <w:multiLevelType w:val="multilevel"/>
    <w:tmpl w:val="18744EA5"/>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356193E"/>
    <w:multiLevelType w:val="multilevel"/>
    <w:tmpl w:val="3356193E"/>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DBC8A1A"/>
    <w:multiLevelType w:val="multilevel"/>
    <w:tmpl w:val="3DBC8A1A"/>
    <w:lvl w:ilvl="0" w:tentative="0">
      <w:start w:val="1"/>
      <w:numFmt w:val="decimal"/>
      <w:pStyle w:val="5"/>
      <w:lvlText w:val="%1."/>
      <w:lvlJc w:val="left"/>
      <w:pPr>
        <w:ind w:left="432" w:hanging="432"/>
      </w:pPr>
      <w:rPr>
        <w:rFonts w:hint="default"/>
        <w:b w:val="0"/>
        <w:bCs w:val="0"/>
      </w:rPr>
    </w:lvl>
    <w:lvl w:ilvl="1" w:tentative="0">
      <w:start w:val="1"/>
      <w:numFmt w:val="decimal"/>
      <w:lvlText w:val="%1.%2."/>
      <w:lvlJc w:val="left"/>
      <w:pPr>
        <w:ind w:left="575" w:hanging="575"/>
      </w:pPr>
      <w:rPr>
        <w:rFonts w:hint="default" w:ascii="仿宋" w:hAnsi="仿宋" w:eastAsia="仿宋"/>
        <w:b w:val="0"/>
        <w:sz w:val="32"/>
        <w:szCs w:val="32"/>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3">
    <w:nsid w:val="3E051396"/>
    <w:multiLevelType w:val="multilevel"/>
    <w:tmpl w:val="3E051396"/>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40E67998"/>
    <w:multiLevelType w:val="multilevel"/>
    <w:tmpl w:val="40E67998"/>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67A747C"/>
    <w:multiLevelType w:val="multilevel"/>
    <w:tmpl w:val="467A747C"/>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82D19F2"/>
    <w:multiLevelType w:val="multilevel"/>
    <w:tmpl w:val="482D19F2"/>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CD8470B"/>
    <w:multiLevelType w:val="multilevel"/>
    <w:tmpl w:val="4CD8470B"/>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DB81608"/>
    <w:multiLevelType w:val="multilevel"/>
    <w:tmpl w:val="5DB81608"/>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8384855"/>
    <w:multiLevelType w:val="multilevel"/>
    <w:tmpl w:val="78384855"/>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B02B45"/>
    <w:multiLevelType w:val="multilevel"/>
    <w:tmpl w:val="7DB02B45"/>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1"/>
  </w:num>
  <w:num w:numId="3">
    <w:abstractNumId w:val="3"/>
  </w:num>
  <w:num w:numId="4">
    <w:abstractNumId w:val="2"/>
  </w:num>
  <w:num w:numId="5">
    <w:abstractNumId w:val="4"/>
  </w:num>
  <w:num w:numId="6">
    <w:abstractNumId w:val="5"/>
  </w:num>
  <w:num w:numId="7">
    <w:abstractNumId w:val="13"/>
  </w:num>
  <w:num w:numId="8">
    <w:abstractNumId w:val="16"/>
  </w:num>
  <w:num w:numId="9">
    <w:abstractNumId w:val="11"/>
  </w:num>
  <w:num w:numId="10">
    <w:abstractNumId w:val="7"/>
  </w:num>
  <w:num w:numId="11">
    <w:abstractNumId w:val="17"/>
  </w:num>
  <w:num w:numId="12">
    <w:abstractNumId w:val="14"/>
  </w:num>
  <w:num w:numId="13">
    <w:abstractNumId w:val="9"/>
  </w:num>
  <w:num w:numId="14">
    <w:abstractNumId w:val="6"/>
  </w:num>
  <w:num w:numId="15">
    <w:abstractNumId w:val="8"/>
  </w:num>
  <w:num w:numId="16">
    <w:abstractNumId w:val="19"/>
  </w:num>
  <w:num w:numId="17">
    <w:abstractNumId w:val="18"/>
  </w:num>
  <w:num w:numId="18">
    <w:abstractNumId w:val="10"/>
  </w:num>
  <w:num w:numId="19">
    <w:abstractNumId w:val="15"/>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ZWNiYzNhN2IxZWMzOTRiOWU4N2NiNGRhMDYwY2YifQ=="/>
  </w:docVars>
  <w:rsids>
    <w:rsidRoot w:val="00EA0AFB"/>
    <w:rsid w:val="00047C6C"/>
    <w:rsid w:val="000B2469"/>
    <w:rsid w:val="000B2472"/>
    <w:rsid w:val="000F12AA"/>
    <w:rsid w:val="00135956"/>
    <w:rsid w:val="002139A6"/>
    <w:rsid w:val="00255506"/>
    <w:rsid w:val="002F698B"/>
    <w:rsid w:val="00390607"/>
    <w:rsid w:val="003D1136"/>
    <w:rsid w:val="003F3F6F"/>
    <w:rsid w:val="0044428A"/>
    <w:rsid w:val="004852E8"/>
    <w:rsid w:val="004A2173"/>
    <w:rsid w:val="004F4C1E"/>
    <w:rsid w:val="0050296D"/>
    <w:rsid w:val="005572D1"/>
    <w:rsid w:val="005826BE"/>
    <w:rsid w:val="00582934"/>
    <w:rsid w:val="00591A34"/>
    <w:rsid w:val="005C0037"/>
    <w:rsid w:val="00621B62"/>
    <w:rsid w:val="006810B5"/>
    <w:rsid w:val="00696BA1"/>
    <w:rsid w:val="00722A92"/>
    <w:rsid w:val="00740768"/>
    <w:rsid w:val="007648D4"/>
    <w:rsid w:val="00781EEC"/>
    <w:rsid w:val="0078780E"/>
    <w:rsid w:val="007B7772"/>
    <w:rsid w:val="007D1DC2"/>
    <w:rsid w:val="007D5489"/>
    <w:rsid w:val="0081666C"/>
    <w:rsid w:val="00891A7F"/>
    <w:rsid w:val="008F06F0"/>
    <w:rsid w:val="008F3C33"/>
    <w:rsid w:val="00916323"/>
    <w:rsid w:val="009266C1"/>
    <w:rsid w:val="0094408C"/>
    <w:rsid w:val="00945E02"/>
    <w:rsid w:val="009538CB"/>
    <w:rsid w:val="00962DCE"/>
    <w:rsid w:val="009B2B28"/>
    <w:rsid w:val="009C5C09"/>
    <w:rsid w:val="00A41833"/>
    <w:rsid w:val="00A57AF6"/>
    <w:rsid w:val="00B0031F"/>
    <w:rsid w:val="00B008B4"/>
    <w:rsid w:val="00B07525"/>
    <w:rsid w:val="00B23F4D"/>
    <w:rsid w:val="00BC4067"/>
    <w:rsid w:val="00BF28D4"/>
    <w:rsid w:val="00C52109"/>
    <w:rsid w:val="00C63E27"/>
    <w:rsid w:val="00C866CD"/>
    <w:rsid w:val="00CE3960"/>
    <w:rsid w:val="00CF0B37"/>
    <w:rsid w:val="00CF1A9E"/>
    <w:rsid w:val="00CF4818"/>
    <w:rsid w:val="00D374A4"/>
    <w:rsid w:val="00D440D9"/>
    <w:rsid w:val="00D758A3"/>
    <w:rsid w:val="00D80CB1"/>
    <w:rsid w:val="00DA7F8A"/>
    <w:rsid w:val="00E17FEA"/>
    <w:rsid w:val="00EA0AFB"/>
    <w:rsid w:val="00F15D33"/>
    <w:rsid w:val="00F27D8D"/>
    <w:rsid w:val="00F724F5"/>
    <w:rsid w:val="00FA7733"/>
    <w:rsid w:val="00FE5065"/>
    <w:rsid w:val="00FF015B"/>
    <w:rsid w:val="00FF22FA"/>
    <w:rsid w:val="00FF6BF3"/>
    <w:rsid w:val="00FF7F28"/>
    <w:rsid w:val="01215BCF"/>
    <w:rsid w:val="0293709B"/>
    <w:rsid w:val="036E3AED"/>
    <w:rsid w:val="03B10EED"/>
    <w:rsid w:val="051872C9"/>
    <w:rsid w:val="084A1239"/>
    <w:rsid w:val="0A2D5AB1"/>
    <w:rsid w:val="0AA53E6A"/>
    <w:rsid w:val="0C1C316A"/>
    <w:rsid w:val="0C8C0749"/>
    <w:rsid w:val="163C422E"/>
    <w:rsid w:val="16CD0930"/>
    <w:rsid w:val="19390ED3"/>
    <w:rsid w:val="19E42A16"/>
    <w:rsid w:val="1A4B46C9"/>
    <w:rsid w:val="1ACD49DB"/>
    <w:rsid w:val="1BEDAFFC"/>
    <w:rsid w:val="1C132070"/>
    <w:rsid w:val="1EFB58A7"/>
    <w:rsid w:val="275D7A97"/>
    <w:rsid w:val="2CD97BCE"/>
    <w:rsid w:val="2E5FCF6B"/>
    <w:rsid w:val="3375248B"/>
    <w:rsid w:val="3402746C"/>
    <w:rsid w:val="357D7235"/>
    <w:rsid w:val="35AFA4B2"/>
    <w:rsid w:val="37F74C33"/>
    <w:rsid w:val="3C6F37AE"/>
    <w:rsid w:val="3FB157F6"/>
    <w:rsid w:val="40A92B69"/>
    <w:rsid w:val="426361B0"/>
    <w:rsid w:val="43677124"/>
    <w:rsid w:val="467F4982"/>
    <w:rsid w:val="47984D71"/>
    <w:rsid w:val="47C03A98"/>
    <w:rsid w:val="4A9F716F"/>
    <w:rsid w:val="4AD16873"/>
    <w:rsid w:val="4B7B380E"/>
    <w:rsid w:val="54DE6EA5"/>
    <w:rsid w:val="553971D9"/>
    <w:rsid w:val="56F04862"/>
    <w:rsid w:val="58C13561"/>
    <w:rsid w:val="5A8C2C8F"/>
    <w:rsid w:val="5B0326B2"/>
    <w:rsid w:val="5E3249B6"/>
    <w:rsid w:val="614659F7"/>
    <w:rsid w:val="61FAF86B"/>
    <w:rsid w:val="64D01409"/>
    <w:rsid w:val="672B54D4"/>
    <w:rsid w:val="67973E39"/>
    <w:rsid w:val="6C32732A"/>
    <w:rsid w:val="6C971A97"/>
    <w:rsid w:val="6E4349A7"/>
    <w:rsid w:val="701F1799"/>
    <w:rsid w:val="72BD0BF7"/>
    <w:rsid w:val="746B79C3"/>
    <w:rsid w:val="74AE4701"/>
    <w:rsid w:val="769E681B"/>
    <w:rsid w:val="7ACB4590"/>
    <w:rsid w:val="7B1C47E1"/>
    <w:rsid w:val="7B4A6482"/>
    <w:rsid w:val="7E7FFAC8"/>
    <w:rsid w:val="7EB268B9"/>
    <w:rsid w:val="7EDFD52C"/>
    <w:rsid w:val="7EE67438"/>
    <w:rsid w:val="7F294C04"/>
    <w:rsid w:val="7F7F735F"/>
    <w:rsid w:val="B7F77618"/>
    <w:rsid w:val="BA9FA3C7"/>
    <w:rsid w:val="BF9B1561"/>
    <w:rsid w:val="C3FFF153"/>
    <w:rsid w:val="CCF6C4FD"/>
    <w:rsid w:val="CF93D96E"/>
    <w:rsid w:val="D3EF9929"/>
    <w:rsid w:val="D9D75CDB"/>
    <w:rsid w:val="D9FFEFB4"/>
    <w:rsid w:val="DEEDEDA4"/>
    <w:rsid w:val="DFC59173"/>
    <w:rsid w:val="DFFF79D1"/>
    <w:rsid w:val="EDDEB561"/>
    <w:rsid w:val="EFFF9CD6"/>
    <w:rsid w:val="F5E6ABF6"/>
    <w:rsid w:val="F6F66FB1"/>
    <w:rsid w:val="FD1F0994"/>
    <w:rsid w:val="FD7705FC"/>
    <w:rsid w:val="FDD609D5"/>
    <w:rsid w:val="FDF23A19"/>
    <w:rsid w:val="FFCE779A"/>
    <w:rsid w:val="FFFD8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6">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ind w:firstLine="200" w:firstLineChars="200"/>
    </w:pPr>
    <w:rPr>
      <w:rFonts w:ascii="Arial" w:hAnsi="Arial" w:eastAsia="宋体" w:cs="Times New Roman"/>
      <w:spacing w:val="-5"/>
      <w:kern w:val="0"/>
      <w:sz w:val="24"/>
      <w:szCs w:val="20"/>
    </w:rPr>
  </w:style>
  <w:style w:type="paragraph" w:styleId="3">
    <w:name w:val="Body Text"/>
    <w:basedOn w:val="1"/>
    <w:next w:val="4"/>
    <w:link w:val="20"/>
    <w:semiHidden/>
    <w:unhideWhenUsed/>
    <w:qFormat/>
    <w:uiPriority w:val="99"/>
    <w:pPr>
      <w:spacing w:after="120"/>
    </w:pPr>
  </w:style>
  <w:style w:type="paragraph" w:styleId="4">
    <w:name w:val="Body Text First Indent"/>
    <w:basedOn w:val="3"/>
    <w:next w:val="1"/>
    <w:qFormat/>
    <w:uiPriority w:val="0"/>
    <w:pPr>
      <w:spacing w:after="120"/>
      <w:ind w:firstLine="420" w:firstLineChars="100"/>
    </w:pPr>
    <w:rPr>
      <w:rFonts w:eastAsia="??"/>
      <w:szCs w:val="24"/>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rPr>
      <w:szCs w:val="24"/>
    </w:rPr>
  </w:style>
  <w:style w:type="paragraph" w:styleId="9">
    <w:name w:val="Body Text Indent"/>
    <w:basedOn w:val="1"/>
    <w:next w:val="1"/>
    <w:qFormat/>
    <w:uiPriority w:val="0"/>
    <w:pPr>
      <w:spacing w:after="120"/>
      <w:ind w:left="420" w:leftChars="200"/>
    </w:pPr>
    <w:rPr>
      <w:szCs w:val="20"/>
    </w:rPr>
  </w:style>
  <w:style w:type="paragraph" w:styleId="10">
    <w:name w:val="Plain Text"/>
    <w:basedOn w:val="1"/>
    <w:next w:val="1"/>
    <w:qFormat/>
    <w:uiPriority w:val="0"/>
    <w:rPr>
      <w:rFonts w:ascii="宋体" w:hAnsi="Courier New" w:eastAsia="仿宋_GB2312"/>
      <w:sz w:val="30"/>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szCs w:val="24"/>
    </w:r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Char"/>
    <w:basedOn w:val="16"/>
    <w:link w:val="12"/>
    <w:qFormat/>
    <w:uiPriority w:val="99"/>
    <w:rPr>
      <w:sz w:val="18"/>
      <w:szCs w:val="18"/>
    </w:rPr>
  </w:style>
  <w:style w:type="character" w:customStyle="1" w:styleId="19">
    <w:name w:val="页脚 Char"/>
    <w:basedOn w:val="16"/>
    <w:link w:val="11"/>
    <w:qFormat/>
    <w:uiPriority w:val="99"/>
    <w:rPr>
      <w:sz w:val="18"/>
      <w:szCs w:val="18"/>
    </w:rPr>
  </w:style>
  <w:style w:type="character" w:customStyle="1" w:styleId="20">
    <w:name w:val="正文文本 Char"/>
    <w:basedOn w:val="16"/>
    <w:link w:val="3"/>
    <w:semiHidden/>
    <w:qFormat/>
    <w:uiPriority w:val="99"/>
  </w:style>
  <w:style w:type="table" w:customStyle="1" w:styleId="21">
    <w:name w:val="Table Normal"/>
    <w:qFormat/>
    <w:uiPriority w:val="0"/>
    <w:rPr>
      <w:rFonts w:ascii="Times New Roman" w:hAnsi="Times New Roman" w:cs="Times New Roman"/>
      <w:kern w:val="0"/>
      <w:sz w:val="20"/>
      <w:szCs w:val="20"/>
    </w:rPr>
    <w:tblPr>
      <w:tblCellMar>
        <w:top w:w="0" w:type="dxa"/>
        <w:left w:w="0" w:type="dxa"/>
        <w:bottom w:w="0" w:type="dxa"/>
        <w:right w:w="0" w:type="dxa"/>
      </w:tblCellMar>
    </w:tblPr>
  </w:style>
  <w:style w:type="paragraph" w:customStyle="1" w:styleId="22">
    <w:name w:val="正文缩进1"/>
    <w:basedOn w:val="1"/>
    <w:next w:val="9"/>
    <w:qFormat/>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23">
    <w:name w:val="索引 11"/>
    <w:basedOn w:val="1"/>
    <w:next w:val="1"/>
    <w:qFormat/>
    <w:uiPriority w:val="0"/>
    <w:pPr>
      <w:adjustRightInd/>
      <w:spacing w:line="360" w:lineRule="auto"/>
    </w:pPr>
    <w:rPr>
      <w:rFonts w:ascii="仿宋_GB2312" w:eastAsia="仿宋_GB2312"/>
      <w:sz w:val="24"/>
      <w:szCs w:val="20"/>
    </w:rPr>
  </w:style>
  <w:style w:type="paragraph" w:customStyle="1" w:styleId="24">
    <w:name w:val="正文（本文）"/>
    <w:basedOn w:val="1"/>
    <w:qFormat/>
    <w:uiPriority w:val="0"/>
    <w:pPr>
      <w:snapToGrid w:val="0"/>
      <w:spacing w:line="360" w:lineRule="auto"/>
      <w:ind w:firstLine="480" w:firstLineChars="200"/>
    </w:pPr>
    <w:rPr>
      <w:sz w:val="24"/>
      <w:szCs w:val="24"/>
    </w:rPr>
  </w:style>
  <w:style w:type="paragraph" w:customStyle="1" w:styleId="25">
    <w:name w:val="样式1"/>
    <w:basedOn w:val="1"/>
    <w:qFormat/>
    <w:uiPriority w:val="0"/>
    <w:pPr>
      <w:ind w:left="161" w:leftChars="67" w:firstLine="566" w:firstLineChars="236"/>
    </w:pPr>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122</Pages>
  <Words>57807</Words>
  <Characters>63394</Characters>
  <Lines>358</Lines>
  <Paragraphs>100</Paragraphs>
  <TotalTime>10</TotalTime>
  <ScaleCrop>false</ScaleCrop>
  <LinksUpToDate>false</LinksUpToDate>
  <CharactersWithSpaces>68867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2022-05-30T16:22:00Z</dcterms:created>
  <dc:creator>NTKO</dc:creator>
  <cp:lastModifiedBy>舟</cp:lastModifiedBy>
  <cp:lastPrinted>2022-12-02T07:05:00Z</cp:lastPrinted>
  <dcterms:modified xsi:type="dcterms:W3CDTF">2022-12-05T07:59:31Z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241A0914B239445889DACA37678C459A</vt:lpwstr>
  </property>
</Properties>
</file>